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5A4" w:rsidRDefault="005975A4" w:rsidP="005975A4">
      <w:pPr>
        <w:spacing w:line="480" w:lineRule="exact"/>
        <w:rPr>
          <w:rFonts w:ascii="黑体" w:eastAsia="黑体" w:hAnsi="黑体" w:cs="黑体"/>
          <w:sz w:val="32"/>
          <w:szCs w:val="32"/>
        </w:rPr>
      </w:pPr>
      <w:r>
        <w:rPr>
          <w:rFonts w:ascii="黑体" w:eastAsia="黑体" w:hAnsi="黑体" w:cs="黑体" w:hint="eastAsia"/>
          <w:sz w:val="32"/>
          <w:szCs w:val="32"/>
        </w:rPr>
        <w:t>附表</w:t>
      </w:r>
    </w:p>
    <w:p w:rsidR="005975A4" w:rsidRDefault="005975A4" w:rsidP="005975A4">
      <w:pPr>
        <w:spacing w:line="480" w:lineRule="exact"/>
        <w:jc w:val="center"/>
        <w:rPr>
          <w:rFonts w:ascii="方正小标宋简体" w:eastAsia="方正小标宋简体"/>
          <w:sz w:val="44"/>
          <w:szCs w:val="44"/>
        </w:rPr>
      </w:pPr>
      <w:proofErr w:type="gramStart"/>
      <w:r>
        <w:rPr>
          <w:rFonts w:ascii="方正小标宋简体" w:eastAsia="方正小标宋简体" w:hint="eastAsia"/>
          <w:sz w:val="44"/>
          <w:szCs w:val="44"/>
        </w:rPr>
        <w:t>莲</w:t>
      </w:r>
      <w:proofErr w:type="gramEnd"/>
      <w:r>
        <w:rPr>
          <w:rFonts w:ascii="方正小标宋简体" w:eastAsia="方正小标宋简体" w:hint="eastAsia"/>
          <w:sz w:val="44"/>
          <w:szCs w:val="44"/>
        </w:rPr>
        <w:t>湖区2019年净土保卫战工作任务清单</w:t>
      </w:r>
    </w:p>
    <w:tbl>
      <w:tblPr>
        <w:tblW w:w="15584" w:type="dxa"/>
        <w:tblInd w:w="-685" w:type="dxa"/>
        <w:tblLayout w:type="fixed"/>
        <w:tblCellMar>
          <w:left w:w="0" w:type="dxa"/>
          <w:right w:w="0" w:type="dxa"/>
        </w:tblCellMar>
        <w:tblLook w:val="04A0" w:firstRow="1" w:lastRow="0" w:firstColumn="1" w:lastColumn="0" w:noHBand="0" w:noVBand="1"/>
      </w:tblPr>
      <w:tblGrid>
        <w:gridCol w:w="648"/>
        <w:gridCol w:w="1534"/>
        <w:gridCol w:w="2340"/>
        <w:gridCol w:w="7518"/>
        <w:gridCol w:w="2070"/>
        <w:gridCol w:w="1474"/>
      </w:tblGrid>
      <w:tr w:rsidR="005975A4" w:rsidTr="005975A4">
        <w:trPr>
          <w:trHeight w:val="495"/>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序号</w:t>
            </w:r>
          </w:p>
        </w:tc>
        <w:tc>
          <w:tcPr>
            <w:tcW w:w="1534"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重点工作</w:t>
            </w:r>
          </w:p>
        </w:tc>
        <w:tc>
          <w:tcPr>
            <w:tcW w:w="2340"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主要任务</w:t>
            </w:r>
          </w:p>
        </w:tc>
        <w:tc>
          <w:tcPr>
            <w:tcW w:w="7518"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工作措施</w:t>
            </w:r>
          </w:p>
        </w:tc>
        <w:tc>
          <w:tcPr>
            <w:tcW w:w="2070"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牵头部门</w:t>
            </w:r>
          </w:p>
        </w:tc>
        <w:tc>
          <w:tcPr>
            <w:tcW w:w="1474"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黑体" w:eastAsia="黑体" w:hAnsi="宋体" w:cs="黑体"/>
                <w:color w:val="000000"/>
                <w:sz w:val="24"/>
                <w:szCs w:val="24"/>
              </w:rPr>
            </w:pPr>
            <w:r>
              <w:rPr>
                <w:rFonts w:ascii="黑体" w:eastAsia="黑体" w:hAnsi="宋体" w:cs="黑体" w:hint="eastAsia"/>
                <w:color w:val="000000"/>
                <w:kern w:val="0"/>
                <w:sz w:val="24"/>
                <w:szCs w:val="24"/>
              </w:rPr>
              <w:t>完成时限</w:t>
            </w:r>
          </w:p>
        </w:tc>
      </w:tr>
      <w:tr w:rsidR="005975A4" w:rsidTr="005975A4">
        <w:trPr>
          <w:trHeight w:val="312"/>
        </w:trPr>
        <w:tc>
          <w:tcPr>
            <w:tcW w:w="648" w:type="dxa"/>
            <w:vMerge w:val="restart"/>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1</w:t>
            </w:r>
          </w:p>
        </w:tc>
        <w:tc>
          <w:tcPr>
            <w:tcW w:w="1534"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配合深化土壤污染状况调查，加强对调查成果运用。</w:t>
            </w:r>
          </w:p>
        </w:tc>
        <w:tc>
          <w:tcPr>
            <w:tcW w:w="2340"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配合完善土壤环境质量监测网络。</w:t>
            </w:r>
          </w:p>
        </w:tc>
        <w:tc>
          <w:tcPr>
            <w:tcW w:w="7518"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根据工作需要，配合补充设置市控土壤监测点位，对特征污染物进行监测。参加上级组织的土壤环境监测技术人员培训，提升土壤环境监测能力。</w:t>
            </w:r>
          </w:p>
        </w:tc>
        <w:tc>
          <w:tcPr>
            <w:tcW w:w="2070"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422"/>
        </w:trPr>
        <w:tc>
          <w:tcPr>
            <w:tcW w:w="648" w:type="dxa"/>
            <w:vMerge/>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312"/>
        </w:trPr>
        <w:tc>
          <w:tcPr>
            <w:tcW w:w="648" w:type="dxa"/>
            <w:vMerge w:val="restart"/>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w:t>
            </w:r>
          </w:p>
        </w:tc>
        <w:tc>
          <w:tcPr>
            <w:tcW w:w="1534"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配合省土壤详查工作组开展重点行业企业信息采集、风险筛查和采样调查。</w:t>
            </w:r>
          </w:p>
        </w:tc>
        <w:tc>
          <w:tcPr>
            <w:tcW w:w="7518"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加强与省级部门对接，争取实现土壤环境基础数据共享，提高我区土壤环境信息化管理能力。</w:t>
            </w:r>
          </w:p>
        </w:tc>
        <w:tc>
          <w:tcPr>
            <w:tcW w:w="2070"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vMerge w:val="restart"/>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720"/>
        </w:trPr>
        <w:tc>
          <w:tcPr>
            <w:tcW w:w="648" w:type="dxa"/>
            <w:vMerge/>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671"/>
        </w:trPr>
        <w:tc>
          <w:tcPr>
            <w:tcW w:w="648"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3</w:t>
            </w:r>
          </w:p>
        </w:tc>
        <w:tc>
          <w:tcPr>
            <w:tcW w:w="1534" w:type="dxa"/>
            <w:vMerge w:val="restart"/>
            <w:tcBorders>
              <w:top w:val="nil"/>
              <w:left w:val="nil"/>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实施建设用地准入管理，防范人居环境风险。</w:t>
            </w:r>
            <w:bookmarkStart w:id="0" w:name="_GoBack"/>
            <w:bookmarkEnd w:id="0"/>
          </w:p>
        </w:tc>
        <w:tc>
          <w:tcPr>
            <w:tcW w:w="2340"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动态更新污染地块名录。</w:t>
            </w:r>
          </w:p>
        </w:tc>
        <w:tc>
          <w:tcPr>
            <w:tcW w:w="751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加强对建设用地土壤环境状况调查、风险评估和污染地块治理与修复活动的监管，动态更新污染地块名录及开发利用的负面清单。</w:t>
            </w:r>
          </w:p>
        </w:tc>
        <w:tc>
          <w:tcPr>
            <w:tcW w:w="2070"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90"/>
        </w:trPr>
        <w:tc>
          <w:tcPr>
            <w:tcW w:w="648"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4</w:t>
            </w:r>
          </w:p>
        </w:tc>
        <w:tc>
          <w:tcPr>
            <w:tcW w:w="1534" w:type="dxa"/>
            <w:vMerge/>
            <w:tcBorders>
              <w:left w:val="nil"/>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将建设用地土壤环境管理要求纳入城市规划和供地管理，土地开发利用必须符合土壤环境质量要求。</w:t>
            </w:r>
          </w:p>
        </w:tc>
        <w:tc>
          <w:tcPr>
            <w:tcW w:w="751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加强土地征收、收回、收购以及转让、改变用途等环节监管，充分利用污染地块信息系统，提升监管能力。</w:t>
            </w:r>
          </w:p>
        </w:tc>
        <w:tc>
          <w:tcPr>
            <w:tcW w:w="2070"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国土莲湖分局、规划莲湖分局，大兴新区（土门地区）国土房管局、土地储备交易中心</w:t>
            </w:r>
          </w:p>
        </w:tc>
        <w:tc>
          <w:tcPr>
            <w:tcW w:w="147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2701"/>
        </w:trPr>
        <w:tc>
          <w:tcPr>
            <w:tcW w:w="648" w:type="dxa"/>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lastRenderedPageBreak/>
              <w:t>5</w:t>
            </w:r>
          </w:p>
        </w:tc>
        <w:tc>
          <w:tcPr>
            <w:tcW w:w="1534" w:type="dxa"/>
            <w:vMerge/>
            <w:tcBorders>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实施建设用地准入管理。</w:t>
            </w:r>
          </w:p>
        </w:tc>
        <w:tc>
          <w:tcPr>
            <w:tcW w:w="751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对拟收回土地使用权的有色金属冶炼、石油加工、化工、焦化、电镀等行业企业用地，以及用途拟变更为居住和商业、学校、医疗、养老机构等公共设施的上述企业用地，由土地使用权人负责开展土壤环境状况调查评估，动态更新疑似污染地块名单，督促土地使用权人在6个月内完成土壤环境初步调查，编制调查报告并上传至污染地块信息系统，调查报告主要内容向社会公开。区自然资源部门、大兴新区（土门地区）国土房管局、大兴新区（土门地区）管委会土地储备交易中心在疑似污染地块和污染地块收回、转让或变更用途前，应书面征询生态环境莲湖分局意见。</w:t>
            </w:r>
          </w:p>
        </w:tc>
        <w:tc>
          <w:tcPr>
            <w:tcW w:w="2070"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生态环境莲湖分局</w:t>
            </w:r>
          </w:p>
        </w:tc>
        <w:tc>
          <w:tcPr>
            <w:tcW w:w="147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2"/>
        </w:trPr>
        <w:tc>
          <w:tcPr>
            <w:tcW w:w="64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6</w:t>
            </w:r>
          </w:p>
        </w:tc>
        <w:tc>
          <w:tcPr>
            <w:tcW w:w="153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加强土壤污染源头管控，做好土壤污染预防工作。</w:t>
            </w:r>
          </w:p>
        </w:tc>
        <w:tc>
          <w:tcPr>
            <w:tcW w:w="234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密切关注省级动态更新的土壤污染重点监管企业名单，按照要求做好向社会公布工作。</w:t>
            </w:r>
          </w:p>
        </w:tc>
        <w:tc>
          <w:tcPr>
            <w:tcW w:w="751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督促企业对用地土壤环境进行监测，监测结果向社会公开，区政府与企业签订土壤污染防治责任书。对辖区土壤污染重点企业开展强制性清洁生产审核。配合定期对重点企业周边开展监测，监测数据及时上传土壤环境信息化管理平台，监测结果作为环境执法和风险预警重要依据。加大环境执法力度，对超标排放造成土壤污染的企业挂牌督办，限期治理，对治理后仍不能达标的企业坚决依法关停。土壤污染重点监管单位拆除设施、设备或者建筑物、构筑物的，应当制定包括应急措施在内的土壤污染防治工作方案，报辖区生态环境、工业和信息化部门备案并实施。</w:t>
            </w:r>
          </w:p>
        </w:tc>
        <w:tc>
          <w:tcPr>
            <w:tcW w:w="207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5"/>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312"/>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1615"/>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312"/>
        </w:trPr>
        <w:tc>
          <w:tcPr>
            <w:tcW w:w="64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7</w:t>
            </w: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严格执行重金属污染物排放标准并落实相关总量控制指标，加大对涉重金属企业的监督检查力度。</w:t>
            </w:r>
          </w:p>
        </w:tc>
        <w:tc>
          <w:tcPr>
            <w:tcW w:w="751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严格执行重金属污染物排放标准并落实相关总量控制指标，加大对涉重金属企业的监督检查力度，对整改后仍不达标的企业，依法责令其停业或关闭，并将企业名单向社会公布。重点行业的重点重金属排放量以2013年为基数继续削减2％。</w:t>
            </w:r>
          </w:p>
        </w:tc>
        <w:tc>
          <w:tcPr>
            <w:tcW w:w="207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2"/>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1059"/>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758"/>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8</w:t>
            </w: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推动涉重金属重点行业技术提升。</w:t>
            </w:r>
          </w:p>
        </w:tc>
        <w:tc>
          <w:tcPr>
            <w:tcW w:w="7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优先支持涉重金属重点行业企业采用先进生产工艺和技术进行升级改造，推动涉重金属重点行业企业技术提升。</w:t>
            </w:r>
          </w:p>
        </w:tc>
        <w:tc>
          <w:tcPr>
            <w:tcW w:w="20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区工信交通局</w:t>
            </w:r>
          </w:p>
        </w:tc>
        <w:tc>
          <w:tcPr>
            <w:tcW w:w="147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2"/>
        </w:trPr>
        <w:tc>
          <w:tcPr>
            <w:tcW w:w="64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lastRenderedPageBreak/>
              <w:t>9</w:t>
            </w: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加强固体废物监管，持续开展固体废物污染防治专项整治行动，巩固2018“清废”成果。</w:t>
            </w:r>
          </w:p>
        </w:tc>
        <w:tc>
          <w:tcPr>
            <w:tcW w:w="751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深化固体废物“放管服”事中事后监管，开展</w:t>
            </w:r>
            <w:proofErr w:type="gramStart"/>
            <w:r>
              <w:rPr>
                <w:rFonts w:ascii="仿宋_GB2312" w:eastAsia="仿宋_GB2312" w:hAnsi="宋体" w:cs="仿宋_GB2312" w:hint="eastAsia"/>
                <w:color w:val="000000"/>
                <w:kern w:val="0"/>
                <w:sz w:val="24"/>
                <w:szCs w:val="24"/>
              </w:rPr>
              <w:t>涉危险</w:t>
            </w:r>
            <w:proofErr w:type="gramEnd"/>
            <w:r>
              <w:rPr>
                <w:rFonts w:ascii="仿宋_GB2312" w:eastAsia="仿宋_GB2312" w:hAnsi="宋体" w:cs="仿宋_GB2312" w:hint="eastAsia"/>
                <w:color w:val="000000"/>
                <w:kern w:val="0"/>
                <w:sz w:val="24"/>
                <w:szCs w:val="24"/>
              </w:rPr>
              <w:t>废物违法大检查活动，提升危险废物规范化管理水平。推进辖区废铅酸电池污染防治工作。开展废旧电池等有害物品回收试点示范工作。推动“无废城市”建设。</w:t>
            </w:r>
          </w:p>
        </w:tc>
        <w:tc>
          <w:tcPr>
            <w:tcW w:w="207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5"/>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312"/>
        </w:trPr>
        <w:tc>
          <w:tcPr>
            <w:tcW w:w="64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7518"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rPr>
                <w:rFonts w:ascii="仿宋_GB2312" w:eastAsia="仿宋_GB2312" w:hAnsi="宋体" w:cs="仿宋_GB2312"/>
                <w:color w:val="000000"/>
                <w:sz w:val="24"/>
                <w:szCs w:val="24"/>
              </w:rPr>
            </w:pPr>
          </w:p>
        </w:tc>
        <w:tc>
          <w:tcPr>
            <w:tcW w:w="207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147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r>
      <w:tr w:rsidR="005975A4" w:rsidTr="005975A4">
        <w:trPr>
          <w:trHeight w:val="162"/>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10</w:t>
            </w: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推进“垃圾围堰”整治。</w:t>
            </w:r>
          </w:p>
        </w:tc>
        <w:tc>
          <w:tcPr>
            <w:tcW w:w="7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结合“河湖长制”工作推进“垃圾围堰”整治。</w:t>
            </w:r>
          </w:p>
        </w:tc>
        <w:tc>
          <w:tcPr>
            <w:tcW w:w="20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区发改委</w:t>
            </w:r>
          </w:p>
        </w:tc>
        <w:tc>
          <w:tcPr>
            <w:tcW w:w="147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829"/>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11</w:t>
            </w: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减少生活污染</w:t>
            </w:r>
          </w:p>
        </w:tc>
        <w:tc>
          <w:tcPr>
            <w:tcW w:w="7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组织开展较大规模的生活垃圾非正规堆放点整治和加快推进餐</w:t>
            </w:r>
            <w:proofErr w:type="gramStart"/>
            <w:r>
              <w:rPr>
                <w:rFonts w:ascii="仿宋_GB2312" w:eastAsia="仿宋_GB2312" w:hAnsi="宋体" w:cs="仿宋_GB2312" w:hint="eastAsia"/>
                <w:color w:val="000000"/>
                <w:kern w:val="0"/>
                <w:sz w:val="24"/>
                <w:szCs w:val="24"/>
              </w:rPr>
              <w:t>厨</w:t>
            </w:r>
            <w:proofErr w:type="gramEnd"/>
            <w:r>
              <w:rPr>
                <w:rFonts w:ascii="仿宋_GB2312" w:eastAsia="仿宋_GB2312" w:hAnsi="宋体" w:cs="仿宋_GB2312" w:hint="eastAsia"/>
                <w:color w:val="000000"/>
                <w:kern w:val="0"/>
                <w:sz w:val="24"/>
                <w:szCs w:val="24"/>
              </w:rPr>
              <w:t>垃圾处理试点建设。</w:t>
            </w:r>
          </w:p>
        </w:tc>
        <w:tc>
          <w:tcPr>
            <w:tcW w:w="20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区城管局</w:t>
            </w:r>
          </w:p>
        </w:tc>
        <w:tc>
          <w:tcPr>
            <w:tcW w:w="147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681"/>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12</w:t>
            </w:r>
          </w:p>
        </w:tc>
        <w:tc>
          <w:tcPr>
            <w:tcW w:w="1534"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严格落实程序规定，有序开展土壤污染治理。</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配合开展重点行业周边地下水调查。</w:t>
            </w:r>
          </w:p>
        </w:tc>
        <w:tc>
          <w:tcPr>
            <w:tcW w:w="7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按照省上统一部署，配合开展化工行业等典型污染源周边地下水基础环境状况调查，建设地下水污染防治项目库，推进地下水污染防治信息共享。</w:t>
            </w:r>
          </w:p>
        </w:tc>
        <w:tc>
          <w:tcPr>
            <w:tcW w:w="20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生态环境莲湖分局</w:t>
            </w:r>
          </w:p>
        </w:tc>
        <w:tc>
          <w:tcPr>
            <w:tcW w:w="147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2"/>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13</w:t>
            </w:r>
          </w:p>
        </w:tc>
        <w:tc>
          <w:tcPr>
            <w:tcW w:w="1534"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jc w:val="center"/>
              <w:rPr>
                <w:rFonts w:ascii="仿宋_GB2312" w:eastAsia="仿宋_GB2312" w:hAnsi="宋体" w:cs="仿宋_GB2312"/>
                <w:color w:val="000000"/>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土壤污染治理与修复工程原则上在原址进行，防止土壤挖掘、堆存等造成二次污染。</w:t>
            </w:r>
          </w:p>
        </w:tc>
        <w:tc>
          <w:tcPr>
            <w:tcW w:w="7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施工期间要设立公告牌，公开工程基本情况、环境影响及防范措施，定期向上级报送土壤污染治理与修复工作进展情况，强化治理与修复过程中的督导检查，工程完工后要按照国家土壤污染治理与修复成效评估办法，委托第三方进行综合评估，结果向社会公开。</w:t>
            </w:r>
          </w:p>
        </w:tc>
        <w:tc>
          <w:tcPr>
            <w:tcW w:w="20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2019年12月</w:t>
            </w:r>
          </w:p>
        </w:tc>
      </w:tr>
      <w:tr w:rsidR="005975A4" w:rsidTr="005975A4">
        <w:trPr>
          <w:trHeight w:val="312"/>
        </w:trPr>
        <w:tc>
          <w:tcPr>
            <w:tcW w:w="64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14</w:t>
            </w:r>
          </w:p>
        </w:tc>
        <w:tc>
          <w:tcPr>
            <w:tcW w:w="153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制定方案，强化责任</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制定</w:t>
            </w:r>
            <w:proofErr w:type="gramStart"/>
            <w:r>
              <w:rPr>
                <w:rFonts w:ascii="仿宋_GB2312" w:eastAsia="仿宋_GB2312" w:hAnsi="宋体" w:cs="仿宋_GB2312" w:hint="eastAsia"/>
                <w:color w:val="000000"/>
                <w:kern w:val="0"/>
                <w:sz w:val="24"/>
                <w:szCs w:val="24"/>
              </w:rPr>
              <w:t>莲</w:t>
            </w:r>
            <w:proofErr w:type="gramEnd"/>
            <w:r>
              <w:rPr>
                <w:rFonts w:ascii="仿宋_GB2312" w:eastAsia="仿宋_GB2312" w:hAnsi="宋体" w:cs="仿宋_GB2312" w:hint="eastAsia"/>
                <w:color w:val="000000"/>
                <w:kern w:val="0"/>
                <w:sz w:val="24"/>
                <w:szCs w:val="24"/>
              </w:rPr>
              <w:t>湖区工作方案</w:t>
            </w:r>
          </w:p>
        </w:tc>
        <w:tc>
          <w:tcPr>
            <w:tcW w:w="7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制定本辖区工作方案，分解任务，细化责任</w:t>
            </w:r>
          </w:p>
        </w:tc>
        <w:tc>
          <w:tcPr>
            <w:tcW w:w="20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生态环境莲湖分局</w:t>
            </w:r>
          </w:p>
        </w:tc>
        <w:tc>
          <w:tcPr>
            <w:tcW w:w="147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5975A4" w:rsidRDefault="005975A4" w:rsidP="00CA13F2">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2019年4月</w:t>
            </w:r>
          </w:p>
        </w:tc>
      </w:tr>
    </w:tbl>
    <w:p w:rsidR="00AD3EC8" w:rsidRPr="00CE22F1" w:rsidRDefault="00AD3EC8" w:rsidP="00CE22F1">
      <w:pPr>
        <w:spacing w:line="240" w:lineRule="exact"/>
      </w:pPr>
    </w:p>
    <w:sectPr w:rsidR="00AD3EC8" w:rsidRPr="00CE22F1" w:rsidSect="007E0A6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3E8" w:rsidRDefault="00CA63E8" w:rsidP="007E0A63">
      <w:r>
        <w:separator/>
      </w:r>
    </w:p>
  </w:endnote>
  <w:endnote w:type="continuationSeparator" w:id="0">
    <w:p w:rsidR="00CA63E8" w:rsidRDefault="00CA63E8" w:rsidP="007E0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3E8" w:rsidRDefault="00CA63E8" w:rsidP="007E0A63">
      <w:r>
        <w:separator/>
      </w:r>
    </w:p>
  </w:footnote>
  <w:footnote w:type="continuationSeparator" w:id="0">
    <w:p w:rsidR="00CA63E8" w:rsidRDefault="00CA63E8" w:rsidP="007E0A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46"/>
    <w:rsid w:val="00335C7A"/>
    <w:rsid w:val="004616E1"/>
    <w:rsid w:val="00520BD7"/>
    <w:rsid w:val="005975A4"/>
    <w:rsid w:val="00617446"/>
    <w:rsid w:val="007E0A63"/>
    <w:rsid w:val="00AD3EC8"/>
    <w:rsid w:val="00CA63E8"/>
    <w:rsid w:val="00CE22F1"/>
    <w:rsid w:val="00F14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315</Words>
  <Characters>1801</Characters>
  <Application>Microsoft Office Word</Application>
  <DocSecurity>0</DocSecurity>
  <Lines>15</Lines>
  <Paragraphs>4</Paragraphs>
  <ScaleCrop>false</ScaleCrop>
  <Company>Microsoft</Company>
  <LinksUpToDate>false</LinksUpToDate>
  <CharactersWithSpaces>2112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5</cp:revision>
  <dcterms:created xsi:type="dcterms:W3CDTF">2019-08-16T08:24:00Z</dcterms:created>
  <dcterms:modified xsi:type="dcterms:W3CDTF">2019-08-16T08:38:00Z</dcterms:modified>
</cp:coreProperties>
</file>