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A63" w:rsidRDefault="007E0A63" w:rsidP="007E0A63">
      <w:pPr>
        <w:spacing w:line="560" w:lineRule="exact"/>
        <w:rPr>
          <w:rFonts w:ascii="黑体" w:eastAsia="黑体" w:hAnsi="黑体" w:cs="黑体"/>
          <w:color w:val="000000"/>
          <w:sz w:val="32"/>
          <w:szCs w:val="32"/>
        </w:rPr>
      </w:pPr>
      <w:r>
        <w:rPr>
          <w:rFonts w:ascii="黑体" w:eastAsia="黑体" w:hAnsi="黑体" w:cs="黑体" w:hint="eastAsia"/>
          <w:color w:val="000000"/>
          <w:sz w:val="32"/>
          <w:szCs w:val="32"/>
        </w:rPr>
        <w:t>附表</w:t>
      </w:r>
    </w:p>
    <w:p w:rsidR="007E0A63" w:rsidRDefault="007E0A63" w:rsidP="007E0A63">
      <w:pPr>
        <w:spacing w:line="520" w:lineRule="exact"/>
        <w:jc w:val="center"/>
        <w:rPr>
          <w:rFonts w:ascii="方正小标宋简体" w:eastAsia="方正小标宋简体"/>
          <w:color w:val="000000"/>
          <w:sz w:val="44"/>
          <w:szCs w:val="44"/>
        </w:rPr>
      </w:pPr>
      <w:proofErr w:type="gramStart"/>
      <w:r>
        <w:rPr>
          <w:rFonts w:ascii="方正小标宋简体" w:eastAsia="方正小标宋简体" w:hint="eastAsia"/>
          <w:color w:val="000000"/>
          <w:sz w:val="44"/>
          <w:szCs w:val="44"/>
        </w:rPr>
        <w:t>莲</w:t>
      </w:r>
      <w:proofErr w:type="gramEnd"/>
      <w:r>
        <w:rPr>
          <w:rFonts w:ascii="方正小标宋简体" w:eastAsia="方正小标宋简体" w:hint="eastAsia"/>
          <w:color w:val="000000"/>
          <w:sz w:val="44"/>
          <w:szCs w:val="44"/>
        </w:rPr>
        <w:t>湖区</w:t>
      </w:r>
      <w:r>
        <w:rPr>
          <w:rFonts w:ascii="方正小标宋简体" w:eastAsia="方正小标宋简体"/>
          <w:color w:val="000000"/>
          <w:sz w:val="44"/>
          <w:szCs w:val="44"/>
        </w:rPr>
        <w:t>2019</w:t>
      </w:r>
      <w:r>
        <w:rPr>
          <w:rFonts w:ascii="方正小标宋简体" w:eastAsia="方正小标宋简体" w:hint="eastAsia"/>
          <w:color w:val="000000"/>
          <w:sz w:val="44"/>
          <w:szCs w:val="44"/>
        </w:rPr>
        <w:t>年蓝天保卫战工作任务清单</w:t>
      </w:r>
    </w:p>
    <w:tbl>
      <w:tblPr>
        <w:tblW w:w="14060" w:type="dxa"/>
        <w:jc w:val="center"/>
        <w:tblLayout w:type="fixed"/>
        <w:tblLook w:val="04A0" w:firstRow="1" w:lastRow="0" w:firstColumn="1" w:lastColumn="0" w:noHBand="0" w:noVBand="1"/>
      </w:tblPr>
      <w:tblGrid>
        <w:gridCol w:w="697"/>
        <w:gridCol w:w="1601"/>
        <w:gridCol w:w="1283"/>
        <w:gridCol w:w="8803"/>
        <w:gridCol w:w="1676"/>
      </w:tblGrid>
      <w:tr w:rsidR="007E0A63" w:rsidTr="00CA13F2">
        <w:trPr>
          <w:trHeight w:val="785"/>
          <w:jc w:val="center"/>
        </w:trPr>
        <w:tc>
          <w:tcPr>
            <w:tcW w:w="3581" w:type="dxa"/>
            <w:gridSpan w:val="3"/>
            <w:tcBorders>
              <w:top w:val="single" w:sz="4" w:space="0" w:color="auto"/>
              <w:left w:val="single" w:sz="4" w:space="0" w:color="auto"/>
              <w:bottom w:val="single" w:sz="4" w:space="0" w:color="auto"/>
              <w:right w:val="single" w:sz="4" w:space="0" w:color="auto"/>
            </w:tcBorders>
            <w:noWrap/>
            <w:vAlign w:val="center"/>
          </w:tcPr>
          <w:p w:rsidR="007E0A63" w:rsidRDefault="007E0A63" w:rsidP="00CA13F2">
            <w:pPr>
              <w:jc w:val="center"/>
              <w:rPr>
                <w:rFonts w:ascii="Times New Roman" w:eastAsia="黑体" w:hAnsi="Times New Roman"/>
                <w:color w:val="000000"/>
                <w:szCs w:val="21"/>
              </w:rPr>
            </w:pPr>
            <w:r>
              <w:rPr>
                <w:rFonts w:ascii="Times New Roman" w:eastAsia="黑体" w:hAnsi="Times New Roman" w:hint="eastAsia"/>
                <w:color w:val="000000"/>
                <w:sz w:val="24"/>
                <w:szCs w:val="24"/>
              </w:rPr>
              <w:t>工作目标</w:t>
            </w:r>
          </w:p>
        </w:tc>
        <w:tc>
          <w:tcPr>
            <w:tcW w:w="10479" w:type="dxa"/>
            <w:gridSpan w:val="2"/>
            <w:tcBorders>
              <w:top w:val="single" w:sz="4" w:space="0" w:color="auto"/>
              <w:left w:val="nil"/>
              <w:bottom w:val="single" w:sz="4" w:space="0" w:color="auto"/>
              <w:right w:val="single" w:sz="4" w:space="0" w:color="auto"/>
            </w:tcBorders>
            <w:noWrap/>
            <w:vAlign w:val="center"/>
          </w:tcPr>
          <w:p w:rsidR="007E0A63" w:rsidRDefault="007E0A63" w:rsidP="00CA13F2">
            <w:pPr>
              <w:rPr>
                <w:rFonts w:ascii="Times New Roman" w:eastAsia="仿宋_GB2312" w:hAnsi="Times New Roman"/>
                <w:color w:val="000000"/>
                <w:szCs w:val="21"/>
              </w:rPr>
            </w:pPr>
            <w:r>
              <w:rPr>
                <w:rFonts w:ascii="仿宋_GB2312" w:eastAsia="仿宋_GB2312" w:hAnsi="仿宋_GB2312" w:cs="仿宋_GB2312" w:hint="eastAsia"/>
                <w:sz w:val="24"/>
                <w:szCs w:val="24"/>
              </w:rPr>
              <w:t>完成市上下达的空气质量改善各项指标。细颗粒物（PM2.5）浓度59微克/立方米，颗粒物（PM10）浓度121微克/立方米，优良天数达到252天。</w:t>
            </w:r>
          </w:p>
        </w:tc>
      </w:tr>
      <w:tr w:rsidR="007E0A63" w:rsidTr="00CA13F2">
        <w:trPr>
          <w:trHeight w:val="665"/>
          <w:jc w:val="center"/>
        </w:trPr>
        <w:tc>
          <w:tcPr>
            <w:tcW w:w="697" w:type="dxa"/>
            <w:tcBorders>
              <w:top w:val="single" w:sz="4" w:space="0" w:color="auto"/>
              <w:left w:val="single" w:sz="4" w:space="0" w:color="auto"/>
              <w:bottom w:val="single" w:sz="4" w:space="0" w:color="auto"/>
              <w:right w:val="single" w:sz="4" w:space="0" w:color="auto"/>
            </w:tcBorders>
            <w:noWrap/>
            <w:vAlign w:val="center"/>
          </w:tcPr>
          <w:p w:rsidR="007E0A63" w:rsidRDefault="007E0A63" w:rsidP="00CA13F2">
            <w:pPr>
              <w:jc w:val="center"/>
              <w:rPr>
                <w:rFonts w:ascii="Times New Roman" w:eastAsia="黑体" w:hAnsi="Times New Roman"/>
                <w:color w:val="000000"/>
                <w:sz w:val="24"/>
                <w:szCs w:val="24"/>
              </w:rPr>
            </w:pPr>
            <w:r>
              <w:rPr>
                <w:rFonts w:ascii="Times New Roman" w:eastAsia="黑体" w:hAnsi="Times New Roman" w:hint="eastAsia"/>
                <w:color w:val="000000"/>
                <w:sz w:val="24"/>
                <w:szCs w:val="24"/>
              </w:rPr>
              <w:t>序号</w:t>
            </w:r>
          </w:p>
        </w:tc>
        <w:tc>
          <w:tcPr>
            <w:tcW w:w="1601" w:type="dxa"/>
            <w:tcBorders>
              <w:top w:val="single" w:sz="4" w:space="0" w:color="auto"/>
              <w:left w:val="nil"/>
              <w:bottom w:val="single" w:sz="4" w:space="0" w:color="auto"/>
              <w:right w:val="single" w:sz="4" w:space="0" w:color="auto"/>
            </w:tcBorders>
            <w:noWrap/>
            <w:vAlign w:val="center"/>
          </w:tcPr>
          <w:p w:rsidR="007E0A63" w:rsidRDefault="007E0A63" w:rsidP="00CA13F2">
            <w:pPr>
              <w:jc w:val="center"/>
              <w:rPr>
                <w:rFonts w:ascii="Times New Roman" w:eastAsia="黑体" w:hAnsi="Times New Roman"/>
                <w:color w:val="000000"/>
                <w:sz w:val="24"/>
                <w:szCs w:val="24"/>
              </w:rPr>
            </w:pPr>
            <w:r>
              <w:rPr>
                <w:rFonts w:ascii="Times New Roman" w:eastAsia="黑体" w:hAnsi="Times New Roman" w:hint="eastAsia"/>
                <w:color w:val="000000"/>
                <w:sz w:val="24"/>
                <w:szCs w:val="24"/>
              </w:rPr>
              <w:t>主要任务</w:t>
            </w:r>
          </w:p>
        </w:tc>
        <w:tc>
          <w:tcPr>
            <w:tcW w:w="1283" w:type="dxa"/>
            <w:tcBorders>
              <w:top w:val="single" w:sz="4" w:space="0" w:color="auto"/>
              <w:left w:val="nil"/>
              <w:bottom w:val="single" w:sz="4" w:space="0" w:color="auto"/>
              <w:right w:val="single" w:sz="4" w:space="0" w:color="auto"/>
            </w:tcBorders>
            <w:noWrap/>
            <w:vAlign w:val="center"/>
          </w:tcPr>
          <w:p w:rsidR="007E0A63" w:rsidRDefault="007E0A63" w:rsidP="00CA13F2">
            <w:pPr>
              <w:jc w:val="center"/>
              <w:rPr>
                <w:rFonts w:ascii="Times New Roman" w:eastAsia="黑体" w:hAnsi="Times New Roman"/>
                <w:color w:val="000000"/>
                <w:sz w:val="24"/>
                <w:szCs w:val="24"/>
              </w:rPr>
            </w:pPr>
            <w:r>
              <w:rPr>
                <w:rFonts w:ascii="Times New Roman" w:eastAsia="黑体" w:hAnsi="Times New Roman" w:hint="eastAsia"/>
                <w:color w:val="000000"/>
                <w:sz w:val="24"/>
                <w:szCs w:val="24"/>
              </w:rPr>
              <w:t>牵头部门</w:t>
            </w:r>
          </w:p>
        </w:tc>
        <w:tc>
          <w:tcPr>
            <w:tcW w:w="8803" w:type="dxa"/>
            <w:tcBorders>
              <w:top w:val="single" w:sz="4" w:space="0" w:color="auto"/>
              <w:left w:val="nil"/>
              <w:bottom w:val="single" w:sz="4" w:space="0" w:color="auto"/>
              <w:right w:val="single" w:sz="4" w:space="0" w:color="auto"/>
            </w:tcBorders>
            <w:noWrap/>
            <w:vAlign w:val="center"/>
          </w:tcPr>
          <w:p w:rsidR="007E0A63" w:rsidRDefault="007E0A63" w:rsidP="00CA13F2">
            <w:pPr>
              <w:jc w:val="center"/>
              <w:rPr>
                <w:rFonts w:ascii="Times New Roman" w:eastAsia="黑体" w:hAnsi="Times New Roman"/>
                <w:color w:val="000000"/>
                <w:sz w:val="24"/>
                <w:szCs w:val="24"/>
              </w:rPr>
            </w:pPr>
            <w:r>
              <w:rPr>
                <w:rFonts w:ascii="Times New Roman" w:eastAsia="黑体" w:hAnsi="Times New Roman" w:hint="eastAsia"/>
                <w:color w:val="000000"/>
                <w:sz w:val="24"/>
                <w:szCs w:val="24"/>
              </w:rPr>
              <w:t>工作措施</w:t>
            </w:r>
          </w:p>
        </w:tc>
        <w:tc>
          <w:tcPr>
            <w:tcW w:w="1676" w:type="dxa"/>
            <w:tcBorders>
              <w:top w:val="single" w:sz="4" w:space="0" w:color="auto"/>
              <w:left w:val="nil"/>
              <w:bottom w:val="single" w:sz="4" w:space="0" w:color="auto"/>
              <w:right w:val="single" w:sz="4" w:space="0" w:color="auto"/>
            </w:tcBorders>
            <w:noWrap/>
            <w:vAlign w:val="center"/>
          </w:tcPr>
          <w:p w:rsidR="007E0A63" w:rsidRDefault="007E0A63" w:rsidP="00CA13F2">
            <w:pPr>
              <w:jc w:val="center"/>
              <w:rPr>
                <w:rFonts w:ascii="Times New Roman" w:eastAsia="黑体" w:hAnsi="Times New Roman"/>
                <w:color w:val="000000"/>
                <w:sz w:val="24"/>
                <w:szCs w:val="24"/>
              </w:rPr>
            </w:pPr>
            <w:r>
              <w:rPr>
                <w:rFonts w:ascii="Times New Roman" w:eastAsia="黑体" w:hAnsi="Times New Roman" w:hint="eastAsia"/>
                <w:color w:val="000000"/>
                <w:sz w:val="24"/>
                <w:szCs w:val="24"/>
              </w:rPr>
              <w:t>完成时限</w:t>
            </w:r>
          </w:p>
        </w:tc>
      </w:tr>
      <w:tr w:rsidR="007E0A63" w:rsidTr="00CA13F2">
        <w:trPr>
          <w:trHeight w:val="1076"/>
          <w:jc w:val="center"/>
        </w:trPr>
        <w:tc>
          <w:tcPr>
            <w:tcW w:w="697" w:type="dxa"/>
            <w:tcBorders>
              <w:top w:val="single" w:sz="4" w:space="0" w:color="auto"/>
              <w:left w:val="single" w:sz="4" w:space="0" w:color="auto"/>
              <w:bottom w:val="single" w:sz="4" w:space="0" w:color="auto"/>
              <w:right w:val="single" w:sz="4" w:space="0" w:color="auto"/>
            </w:tcBorders>
            <w:noWrap/>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1601" w:type="dxa"/>
            <w:tcBorders>
              <w:top w:val="single" w:sz="4" w:space="0" w:color="auto"/>
              <w:left w:val="single" w:sz="4" w:space="0" w:color="auto"/>
              <w:bottom w:val="single" w:sz="4" w:space="0" w:color="auto"/>
              <w:right w:val="single" w:sz="4" w:space="0" w:color="auto"/>
            </w:tcBorders>
            <w:noWrap/>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建成区重污染企业搬迁或关闭</w:t>
            </w:r>
          </w:p>
        </w:tc>
        <w:tc>
          <w:tcPr>
            <w:tcW w:w="1283" w:type="dxa"/>
            <w:tcBorders>
              <w:top w:val="single" w:sz="4" w:space="0" w:color="auto"/>
              <w:left w:val="single" w:sz="4" w:space="0" w:color="auto"/>
              <w:bottom w:val="single" w:sz="4" w:space="0" w:color="auto"/>
              <w:right w:val="single" w:sz="4" w:space="0" w:color="auto"/>
            </w:tcBorders>
            <w:noWrap/>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区工信交通局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完成西安经建油漆股份有限公司搬迁改造或关闭工作。每月将工作开展进度情</w:t>
            </w:r>
            <w:bookmarkStart w:id="0" w:name="_GoBack"/>
            <w:bookmarkEnd w:id="0"/>
            <w:r>
              <w:rPr>
                <w:rFonts w:ascii="仿宋_GB2312" w:eastAsia="仿宋_GB2312" w:hAnsi="仿宋_GB2312" w:cs="仿宋_GB2312" w:hint="eastAsia"/>
                <w:sz w:val="24"/>
                <w:szCs w:val="24"/>
              </w:rPr>
              <w:t>况报市工信局。</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854"/>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化工园区</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整治</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区工信交通局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每季度对辖区内工业集中区及大中型企业“厂中厂”内是否存在化工企业开展一次排查，发现一家依法依规整治一家。</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066"/>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重点行业</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错峰生产</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区工信交通局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4月30日前按市工信局要求报送夏季错峰生产企业名单及措施；9月25日前按市工信局要求报送冬季错峰生产企业名单及措施。每月开展辖区内企业监督检查。</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夏防期</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冬防期</w:t>
            </w:r>
          </w:p>
        </w:tc>
      </w:tr>
      <w:tr w:rsidR="007E0A63" w:rsidTr="00CA13F2">
        <w:trPr>
          <w:trHeight w:val="847"/>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淘汰落后</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产能</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区工信交通局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每季度开展一次落后产能摸底排查，对排查出的落后产能依法依规进行淘汰。</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502"/>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5</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强化“散乱污”综合整治</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区工信交通局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持续开展“散乱污”工业企业排查、综合整治；每月报送排查整治情况。将“散乱污”企业纳入网格化监督管理。对新发现的疑似“散乱污”企业，报至市工信局定性后及时纳入台账，分类实施整治。</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031"/>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6</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深化工业</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污染治理</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完成辖区</w:t>
            </w:r>
            <w:proofErr w:type="gramStart"/>
            <w:r>
              <w:rPr>
                <w:rFonts w:ascii="仿宋_GB2312" w:eastAsia="仿宋_GB2312" w:hAnsi="仿宋_GB2312" w:cs="仿宋_GB2312" w:hint="eastAsia"/>
                <w:sz w:val="24"/>
                <w:szCs w:val="24"/>
              </w:rPr>
              <w:t>涉气重点</w:t>
            </w:r>
            <w:proofErr w:type="gramEnd"/>
            <w:r>
              <w:rPr>
                <w:rFonts w:ascii="仿宋_GB2312" w:eastAsia="仿宋_GB2312" w:hAnsi="仿宋_GB2312" w:cs="仿宋_GB2312" w:hint="eastAsia"/>
                <w:sz w:val="24"/>
                <w:szCs w:val="24"/>
              </w:rPr>
              <w:t>工业污染源（含重点污染源、45米高架源、重点VOCs企业）烟气在线监控设施安装、联网。完成</w:t>
            </w:r>
            <w:proofErr w:type="gramStart"/>
            <w:r>
              <w:rPr>
                <w:rFonts w:ascii="仿宋_GB2312" w:eastAsia="仿宋_GB2312" w:hAnsi="仿宋_GB2312" w:cs="仿宋_GB2312" w:hint="eastAsia"/>
                <w:sz w:val="24"/>
                <w:szCs w:val="24"/>
              </w:rPr>
              <w:t>涉气固定</w:t>
            </w:r>
            <w:proofErr w:type="gramEnd"/>
            <w:r>
              <w:rPr>
                <w:rFonts w:ascii="仿宋_GB2312" w:eastAsia="仿宋_GB2312" w:hAnsi="仿宋_GB2312" w:cs="仿宋_GB2312" w:hint="eastAsia"/>
                <w:sz w:val="24"/>
                <w:szCs w:val="24"/>
              </w:rPr>
              <w:t>污染源排污许可证核发，每月向市生态环境局报送核发的企业名单。</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829"/>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7</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工业企业</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无组织排放</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管理</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对辖区钢铁、建材、有色、火电、焦化、铸造等重点行业及燃煤锅炉无组织排放未达到《排污许可证申请与核发技术规范》相关规定，对物料（废渣）储存、装卸、破碎、输送及工艺过程中未采取集中收集处理、密闭、围挡、遮盖、清扫、洒水等措施的企业进行排查，制定整改方案，限期整改；建立管理台账。每月现场对照《排污许可证申请与核发技术规范》及法律规定检查名单上企业的无组织排放实际情况。每月报送完成整治企业名单，并</w:t>
            </w:r>
            <w:proofErr w:type="gramStart"/>
            <w:r>
              <w:rPr>
                <w:rFonts w:ascii="仿宋_GB2312" w:eastAsia="仿宋_GB2312" w:hAnsi="仿宋_GB2312" w:cs="仿宋_GB2312" w:hint="eastAsia"/>
                <w:sz w:val="24"/>
                <w:szCs w:val="24"/>
              </w:rPr>
              <w:t>更新台</w:t>
            </w:r>
            <w:proofErr w:type="gramEnd"/>
            <w:r>
              <w:rPr>
                <w:rFonts w:ascii="仿宋_GB2312" w:eastAsia="仿宋_GB2312" w:hAnsi="仿宋_GB2312" w:cs="仿宋_GB2312" w:hint="eastAsia"/>
                <w:sz w:val="24"/>
                <w:szCs w:val="24"/>
              </w:rPr>
              <w:t>账。</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1149"/>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8</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工业窑炉</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专项整治</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实行动态化管理，持续开展工业炉窑排查，对新排查出的工业炉窑要及时纳入整治清单，做到发现一起，治理一起。逾期未完成治理、污染物排放不达标的，不得进行生产并予以封停。</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260"/>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9</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VOCs专项</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整治</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建立辖区涉及VOCs企业台账，每月更新并向市生态环境局报送。每季度对涉VOCs排放重点企业排放口和无组织排放情况监测1次，</w:t>
            </w:r>
            <w:proofErr w:type="gramStart"/>
            <w:r>
              <w:rPr>
                <w:rFonts w:ascii="仿宋_GB2312" w:eastAsia="仿宋_GB2312" w:hAnsi="仿宋_GB2312" w:cs="仿宋_GB2312" w:hint="eastAsia"/>
                <w:sz w:val="24"/>
                <w:szCs w:val="24"/>
              </w:rPr>
              <w:t>夏防期加密</w:t>
            </w:r>
            <w:proofErr w:type="gramEnd"/>
            <w:r>
              <w:rPr>
                <w:rFonts w:ascii="仿宋_GB2312" w:eastAsia="仿宋_GB2312" w:hAnsi="仿宋_GB2312" w:cs="仿宋_GB2312" w:hint="eastAsia"/>
                <w:sz w:val="24"/>
                <w:szCs w:val="24"/>
              </w:rPr>
              <w:t>监测频次，监测结果</w:t>
            </w:r>
            <w:proofErr w:type="gramStart"/>
            <w:r>
              <w:rPr>
                <w:rFonts w:ascii="仿宋_GB2312" w:eastAsia="仿宋_GB2312" w:hAnsi="仿宋_GB2312" w:cs="仿宋_GB2312" w:hint="eastAsia"/>
                <w:sz w:val="24"/>
                <w:szCs w:val="24"/>
              </w:rPr>
              <w:t>送环境</w:t>
            </w:r>
            <w:proofErr w:type="gramEnd"/>
            <w:r>
              <w:rPr>
                <w:rFonts w:ascii="仿宋_GB2312" w:eastAsia="仿宋_GB2312" w:hAnsi="仿宋_GB2312" w:cs="仿宋_GB2312" w:hint="eastAsia"/>
                <w:sz w:val="24"/>
                <w:szCs w:val="24"/>
              </w:rPr>
              <w:t>执法部门。按市上要求制定并实施辖区VOCs治理方案，</w:t>
            </w:r>
            <w:proofErr w:type="gramStart"/>
            <w:r>
              <w:rPr>
                <w:rFonts w:ascii="仿宋_GB2312" w:eastAsia="仿宋_GB2312" w:hAnsi="仿宋_GB2312" w:cs="仿宋_GB2312" w:hint="eastAsia"/>
                <w:sz w:val="24"/>
                <w:szCs w:val="24"/>
              </w:rPr>
              <w:t>夏防期对</w:t>
            </w:r>
            <w:proofErr w:type="gramEnd"/>
            <w:r>
              <w:rPr>
                <w:rFonts w:ascii="仿宋_GB2312" w:eastAsia="仿宋_GB2312" w:hAnsi="仿宋_GB2312" w:cs="仿宋_GB2312" w:hint="eastAsia"/>
                <w:sz w:val="24"/>
                <w:szCs w:val="24"/>
              </w:rPr>
              <w:t>涉VOCs企业开展检查。</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proofErr w:type="gramStart"/>
            <w:r>
              <w:rPr>
                <w:rFonts w:ascii="仿宋_GB2312" w:eastAsia="仿宋_GB2312" w:hAnsi="仿宋_GB2312" w:cs="仿宋_GB2312" w:hint="eastAsia"/>
                <w:sz w:val="24"/>
                <w:szCs w:val="24"/>
              </w:rPr>
              <w:t>夏防期</w:t>
            </w:r>
            <w:proofErr w:type="gramEnd"/>
          </w:p>
        </w:tc>
      </w:tr>
      <w:tr w:rsidR="007E0A63" w:rsidTr="00CA13F2">
        <w:trPr>
          <w:trHeight w:val="1320"/>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燃气锅炉</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综合整治</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6月底前完成229台；7月底前完成22台；燃气</w:t>
            </w:r>
            <w:proofErr w:type="gramStart"/>
            <w:r>
              <w:rPr>
                <w:rFonts w:ascii="仿宋_GB2312" w:eastAsia="仿宋_GB2312" w:hAnsi="仿宋_GB2312" w:cs="仿宋_GB2312" w:hint="eastAsia"/>
                <w:sz w:val="24"/>
                <w:szCs w:val="24"/>
              </w:rPr>
              <w:t>锅炉低氮燃烧</w:t>
            </w:r>
            <w:proofErr w:type="gramEnd"/>
            <w:r>
              <w:rPr>
                <w:rFonts w:ascii="仿宋_GB2312" w:eastAsia="仿宋_GB2312" w:hAnsi="仿宋_GB2312" w:cs="仿宋_GB2312" w:hint="eastAsia"/>
                <w:sz w:val="24"/>
                <w:szCs w:val="24"/>
              </w:rPr>
              <w:t>改造并达到排放标准要求，改造后的燃气锅炉氮氧化物排放浓度不高于80毫克/立方米。实行动态化管理，持续对辖区内燃气锅炉进行排查，对新排查的及时纳入台账。对拒不改造的，2019年7月1日起按《陕西省锅炉大气污染物排放标准（DB61 1226—2018）》规定的排放限值监督管理。</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1244"/>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11</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燃煤锅炉</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综合整治</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继续对辖区内35蒸</w:t>
            </w:r>
            <w:proofErr w:type="gramStart"/>
            <w:r>
              <w:rPr>
                <w:rFonts w:ascii="仿宋_GB2312" w:eastAsia="仿宋_GB2312" w:hAnsi="仿宋_GB2312" w:cs="仿宋_GB2312" w:hint="eastAsia"/>
                <w:sz w:val="24"/>
                <w:szCs w:val="24"/>
              </w:rPr>
              <w:t>吨以下</w:t>
            </w:r>
            <w:proofErr w:type="gramEnd"/>
            <w:r>
              <w:rPr>
                <w:rFonts w:ascii="仿宋_GB2312" w:eastAsia="仿宋_GB2312" w:hAnsi="仿宋_GB2312" w:cs="仿宋_GB2312" w:hint="eastAsia"/>
                <w:sz w:val="24"/>
                <w:szCs w:val="24"/>
              </w:rPr>
              <w:t>燃煤锅炉排查，发现一台，拆改一台，每月进行排查并</w:t>
            </w:r>
            <w:proofErr w:type="gramStart"/>
            <w:r>
              <w:rPr>
                <w:rFonts w:ascii="仿宋_GB2312" w:eastAsia="仿宋_GB2312" w:hAnsi="仿宋_GB2312" w:cs="仿宋_GB2312" w:hint="eastAsia"/>
                <w:sz w:val="24"/>
                <w:szCs w:val="24"/>
              </w:rPr>
              <w:t>更新台</w:t>
            </w:r>
            <w:proofErr w:type="gramEnd"/>
            <w:r>
              <w:rPr>
                <w:rFonts w:ascii="仿宋_GB2312" w:eastAsia="仿宋_GB2312" w:hAnsi="仿宋_GB2312" w:cs="仿宋_GB2312" w:hint="eastAsia"/>
                <w:sz w:val="24"/>
                <w:szCs w:val="24"/>
              </w:rPr>
              <w:t>账，同时报送排查结果和拆除情况。</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688"/>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12</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煤炭消费</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总量控制</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区发改委</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完成</w:t>
            </w:r>
            <w:proofErr w:type="gramStart"/>
            <w:r>
              <w:rPr>
                <w:rFonts w:ascii="仿宋_GB2312" w:eastAsia="仿宋_GB2312" w:hAnsi="仿宋_GB2312" w:cs="仿宋_GB2312" w:hint="eastAsia"/>
                <w:sz w:val="24"/>
                <w:szCs w:val="24"/>
              </w:rPr>
              <w:t>市发改委</w:t>
            </w:r>
            <w:proofErr w:type="gramEnd"/>
            <w:r>
              <w:rPr>
                <w:rFonts w:ascii="仿宋_GB2312" w:eastAsia="仿宋_GB2312" w:hAnsi="仿宋_GB2312" w:cs="仿宋_GB2312" w:hint="eastAsia"/>
                <w:sz w:val="24"/>
                <w:szCs w:val="24"/>
              </w:rPr>
              <w:t>下达的年度任务。本辖区年度削减任务要落实到具体企业。</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1276"/>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13</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开展燃煤散烧治理专项检查行动</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区市场</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监管局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非采暖季期间，每季度对辖区洁净</w:t>
            </w:r>
            <w:proofErr w:type="gramStart"/>
            <w:r>
              <w:rPr>
                <w:rFonts w:ascii="仿宋_GB2312" w:eastAsia="仿宋_GB2312" w:hAnsi="仿宋_GB2312" w:cs="仿宋_GB2312" w:hint="eastAsia"/>
                <w:sz w:val="24"/>
                <w:szCs w:val="24"/>
              </w:rPr>
              <w:t>煤经营</w:t>
            </w:r>
            <w:proofErr w:type="gramEnd"/>
            <w:r>
              <w:rPr>
                <w:rFonts w:ascii="仿宋_GB2312" w:eastAsia="仿宋_GB2312" w:hAnsi="仿宋_GB2312" w:cs="仿宋_GB2312" w:hint="eastAsia"/>
                <w:sz w:val="24"/>
                <w:szCs w:val="24"/>
              </w:rPr>
              <w:t>单位组织一次检查，依法清理</w:t>
            </w:r>
            <w:proofErr w:type="gramStart"/>
            <w:r>
              <w:rPr>
                <w:rFonts w:ascii="仿宋_GB2312" w:eastAsia="仿宋_GB2312" w:hAnsi="仿宋_GB2312" w:cs="仿宋_GB2312" w:hint="eastAsia"/>
                <w:sz w:val="24"/>
                <w:szCs w:val="24"/>
              </w:rPr>
              <w:t>取缔非</w:t>
            </w:r>
            <w:proofErr w:type="gramEnd"/>
            <w:r>
              <w:rPr>
                <w:rFonts w:ascii="仿宋_GB2312" w:eastAsia="仿宋_GB2312" w:hAnsi="仿宋_GB2312" w:cs="仿宋_GB2312" w:hint="eastAsia"/>
                <w:sz w:val="24"/>
                <w:szCs w:val="24"/>
              </w:rPr>
              <w:t>定点煤炭销售网点。冬防期每月对辖区定点煤炭经营网点煤质进行抽检。严厉打击散煤销售和非定点煤炭销售网点。对经营性散煤常态化进行监督管理，发现一起依法查处一起。</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047"/>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14</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修订完善高污染燃料禁燃</w:t>
            </w:r>
            <w:proofErr w:type="gramStart"/>
            <w:r>
              <w:rPr>
                <w:rFonts w:ascii="仿宋_GB2312" w:eastAsia="仿宋_GB2312" w:hAnsi="仿宋_GB2312" w:cs="仿宋_GB2312" w:hint="eastAsia"/>
                <w:sz w:val="24"/>
                <w:szCs w:val="24"/>
              </w:rPr>
              <w:t>区划定</w:t>
            </w:r>
            <w:proofErr w:type="gramEnd"/>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4月30日前，完成辖区现有高污染燃料禁燃区进行调研。按市生态环境局有关要求落实。</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763"/>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15</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清洁取暖</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区发改委</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6月30日前，完成辖区清洁取暖率统计工作，按照</w:t>
            </w:r>
            <w:proofErr w:type="gramStart"/>
            <w:r>
              <w:rPr>
                <w:rFonts w:ascii="仿宋_GB2312" w:eastAsia="仿宋_GB2312" w:hAnsi="仿宋_GB2312" w:cs="仿宋_GB2312" w:hint="eastAsia"/>
                <w:sz w:val="24"/>
                <w:szCs w:val="24"/>
              </w:rPr>
              <w:t>市发改委</w:t>
            </w:r>
            <w:proofErr w:type="gramEnd"/>
            <w:r>
              <w:rPr>
                <w:rFonts w:ascii="仿宋_GB2312" w:eastAsia="仿宋_GB2312" w:hAnsi="仿宋_GB2312" w:cs="仿宋_GB2312" w:hint="eastAsia"/>
                <w:sz w:val="24"/>
                <w:szCs w:val="24"/>
              </w:rPr>
              <w:t>要求每季度报送进展情况。年底前确保辖区内清洁取暖达90%以上。</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055"/>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16</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发展地热能</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区发改委</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每月上报新建建筑项目情况，对具备条件的新建建筑全部采用地热能；新建单体建筑面积2万平方米以上，有集中供暖制冷需求的，应采用地热能，每月向</w:t>
            </w:r>
            <w:proofErr w:type="gramStart"/>
            <w:r>
              <w:rPr>
                <w:rFonts w:ascii="仿宋_GB2312" w:eastAsia="仿宋_GB2312" w:hAnsi="仿宋_GB2312" w:cs="仿宋_GB2312" w:hint="eastAsia"/>
                <w:sz w:val="24"/>
                <w:szCs w:val="24"/>
              </w:rPr>
              <w:t>市发改委</w:t>
            </w:r>
            <w:proofErr w:type="gramEnd"/>
            <w:r>
              <w:rPr>
                <w:rFonts w:ascii="仿宋_GB2312" w:eastAsia="仿宋_GB2312" w:hAnsi="仿宋_GB2312" w:cs="仿宋_GB2312" w:hint="eastAsia"/>
                <w:sz w:val="24"/>
                <w:szCs w:val="24"/>
              </w:rPr>
              <w:t>报送实施的项目信息。</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4月30日起</w:t>
            </w:r>
          </w:p>
        </w:tc>
      </w:tr>
      <w:tr w:rsidR="007E0A63" w:rsidTr="00CA13F2">
        <w:trPr>
          <w:trHeight w:val="1000"/>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17</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加快“煤改电”电网升级改造</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区发改委</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5月25日前，对已完成</w:t>
            </w:r>
            <w:proofErr w:type="gramStart"/>
            <w:r>
              <w:rPr>
                <w:rFonts w:ascii="仿宋_GB2312" w:eastAsia="仿宋_GB2312" w:hAnsi="仿宋_GB2312" w:cs="仿宋_GB2312" w:hint="eastAsia"/>
                <w:sz w:val="24"/>
                <w:szCs w:val="24"/>
              </w:rPr>
              <w:t>煤改电用户</w:t>
            </w:r>
            <w:proofErr w:type="gramEnd"/>
            <w:r>
              <w:rPr>
                <w:rFonts w:ascii="仿宋_GB2312" w:eastAsia="仿宋_GB2312" w:hAnsi="仿宋_GB2312" w:cs="仿宋_GB2312" w:hint="eastAsia"/>
                <w:sz w:val="24"/>
                <w:szCs w:val="24"/>
              </w:rPr>
              <w:t>电取暖情况全面排查。对因电网负荷无法满足需求的，向</w:t>
            </w:r>
            <w:proofErr w:type="gramStart"/>
            <w:r>
              <w:rPr>
                <w:rFonts w:ascii="仿宋_GB2312" w:eastAsia="仿宋_GB2312" w:hAnsi="仿宋_GB2312" w:cs="仿宋_GB2312" w:hint="eastAsia"/>
                <w:sz w:val="24"/>
                <w:szCs w:val="24"/>
              </w:rPr>
              <w:t>市发改委</w:t>
            </w:r>
            <w:proofErr w:type="gramEnd"/>
            <w:r>
              <w:rPr>
                <w:rFonts w:ascii="仿宋_GB2312" w:eastAsia="仿宋_GB2312" w:hAnsi="仿宋_GB2312" w:cs="仿宋_GB2312" w:hint="eastAsia"/>
                <w:sz w:val="24"/>
                <w:szCs w:val="24"/>
              </w:rPr>
              <w:t>上报排查情况。对“煤改电”配套电网工程建设给予大力支持。</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5月25日</w:t>
            </w:r>
          </w:p>
        </w:tc>
      </w:tr>
      <w:tr w:rsidR="007E0A63" w:rsidTr="00CA13F2">
        <w:trPr>
          <w:trHeight w:val="758"/>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黑体" w:hAnsi="仿宋_GB2312" w:cs="仿宋_GB2312"/>
                <w:sz w:val="24"/>
                <w:szCs w:val="24"/>
              </w:rPr>
            </w:pPr>
            <w:r>
              <w:rPr>
                <w:rFonts w:ascii="Times New Roman" w:eastAsia="黑体" w:hAnsi="Times New Roman"/>
                <w:color w:val="000000"/>
                <w:szCs w:val="21"/>
              </w:rPr>
              <w:t>1</w:t>
            </w:r>
            <w:r>
              <w:rPr>
                <w:rFonts w:ascii="Times New Roman" w:eastAsia="黑体" w:hAnsi="Times New Roman" w:hint="eastAsia"/>
                <w:color w:val="000000"/>
                <w:szCs w:val="21"/>
              </w:rPr>
              <w:t>8</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推进散煤</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治理</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区发改委</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按</w:t>
            </w:r>
            <w:proofErr w:type="gramStart"/>
            <w:r>
              <w:rPr>
                <w:rFonts w:ascii="仿宋_GB2312" w:eastAsia="仿宋_GB2312" w:hAnsi="仿宋_GB2312" w:cs="仿宋_GB2312" w:hint="eastAsia"/>
                <w:sz w:val="24"/>
                <w:szCs w:val="24"/>
              </w:rPr>
              <w:t>市发改委</w:t>
            </w:r>
            <w:proofErr w:type="gramEnd"/>
            <w:r>
              <w:rPr>
                <w:rFonts w:ascii="仿宋_GB2312" w:eastAsia="仿宋_GB2312" w:hAnsi="仿宋_GB2312" w:cs="仿宋_GB2312" w:hint="eastAsia"/>
                <w:sz w:val="24"/>
                <w:szCs w:val="24"/>
              </w:rPr>
              <w:t>要求完成并报送散煤治理定</w:t>
            </w:r>
            <w:proofErr w:type="gramStart"/>
            <w:r>
              <w:rPr>
                <w:rFonts w:ascii="仿宋_GB2312" w:eastAsia="仿宋_GB2312" w:hAnsi="仿宋_GB2312" w:cs="仿宋_GB2312" w:hint="eastAsia"/>
                <w:sz w:val="24"/>
                <w:szCs w:val="24"/>
              </w:rPr>
              <w:t>村确户清单</w:t>
            </w:r>
            <w:proofErr w:type="gramEnd"/>
            <w:r>
              <w:rPr>
                <w:rFonts w:ascii="仿宋_GB2312" w:eastAsia="仿宋_GB2312" w:hAnsi="仿宋_GB2312" w:cs="仿宋_GB2312" w:hint="eastAsia"/>
                <w:sz w:val="24"/>
                <w:szCs w:val="24"/>
              </w:rPr>
              <w:t>，10月底前完成清单中户数的清洁能源替代散煤工作，每月报送进展情况表；</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宋体" w:hAnsi="宋体" w:cs="宋体" w:hint="eastAsia"/>
                <w:color w:val="000000"/>
                <w:szCs w:val="21"/>
              </w:rPr>
              <w:t>11月15日</w:t>
            </w:r>
          </w:p>
        </w:tc>
      </w:tr>
      <w:tr w:rsidR="007E0A63" w:rsidTr="00CA13F2">
        <w:trPr>
          <w:trHeight w:val="405"/>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19</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优化热源点</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规划布局</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大兴新区（土门地区）管委会市政配套中心</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按</w:t>
            </w:r>
            <w:proofErr w:type="gramStart"/>
            <w:r>
              <w:rPr>
                <w:rFonts w:ascii="仿宋_GB2312" w:eastAsia="仿宋_GB2312" w:hAnsi="仿宋_GB2312" w:cs="仿宋_GB2312" w:hint="eastAsia"/>
                <w:sz w:val="24"/>
                <w:szCs w:val="24"/>
              </w:rPr>
              <w:t>市发改委</w:t>
            </w:r>
            <w:proofErr w:type="gramEnd"/>
            <w:r>
              <w:rPr>
                <w:rFonts w:ascii="仿宋_GB2312" w:eastAsia="仿宋_GB2312" w:hAnsi="仿宋_GB2312" w:cs="仿宋_GB2312" w:hint="eastAsia"/>
                <w:sz w:val="24"/>
                <w:szCs w:val="24"/>
              </w:rPr>
              <w:t>已新建燃气锅炉暂保留的燃煤锅炉处置方案，落实改造任务。辖区内禁止新建燃煤集中供热站。11月10日前西安西联供热有限公司2家12台燃煤锅炉完成超低排放改造，并通过验收。</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113"/>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20</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完成城市智能电表改造</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区住建局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按照市住建局要求继续开展城市智能电表改造工作，4月30日前完成本辖区任务量的40%；6月30日前完成任务量的60%；8月30日前完成任务量的80%；11月15日全面完成年度任务。每月报送进展情况。</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1271"/>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21</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加强在用</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机动车管理</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结合辖区道路和柴油货车通行状况，开展老旧车道路抽检执法检查工作。每周开展执法检查不少于3次（含夜查），检测</w:t>
            </w:r>
            <w:proofErr w:type="gramStart"/>
            <w:r>
              <w:rPr>
                <w:rFonts w:ascii="仿宋_GB2312" w:eastAsia="仿宋_GB2312" w:hAnsi="仿宋_GB2312" w:cs="仿宋_GB2312" w:hint="eastAsia"/>
                <w:sz w:val="24"/>
                <w:szCs w:val="24"/>
              </w:rPr>
              <w:t>老旧车</w:t>
            </w:r>
            <w:proofErr w:type="gramEnd"/>
            <w:r>
              <w:rPr>
                <w:rFonts w:ascii="仿宋_GB2312" w:eastAsia="仿宋_GB2312" w:hAnsi="仿宋_GB2312" w:cs="仿宋_GB2312" w:hint="eastAsia"/>
                <w:sz w:val="24"/>
                <w:szCs w:val="24"/>
              </w:rPr>
              <w:t>不少于150辆。按照市上柴油货车集中停放地监督抽测计划，完成辖区抽检任务。</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每周</w:t>
            </w:r>
          </w:p>
        </w:tc>
      </w:tr>
      <w:tr w:rsidR="007E0A63" w:rsidTr="00CA13F2">
        <w:trPr>
          <w:trHeight w:val="1733"/>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22</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开展非道路移动机械污染防治</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月底和8月底向市生态环境局报送摸底结果。9月底完成非道路移动机械编码登记。凡达不到《非道路柴油移动机械排气烟度限值及测量方法》(GB36886—2018)规定的Ⅲ类限值标准的，6月1日起本辖区内禁止使用。秋冬季期间，各区县对辖区内作业的非道路移动机械排放状况每月检查8次以上，抽查率达到50%以上，禁止超标排放工程机械使用。</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859"/>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23</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严格新车环保检验装置</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每月至少开展1次在新车销售、检验、登记等场所环保装置抽查工作，保证新车环保装置生产一致性。</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921"/>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24</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高排放机动车污染治理</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交警莲湖大队</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2019年底前，</w:t>
            </w:r>
            <w:proofErr w:type="gramStart"/>
            <w:r>
              <w:rPr>
                <w:rFonts w:ascii="仿宋_GB2312" w:eastAsia="仿宋_GB2312" w:hAnsi="仿宋_GB2312" w:cs="仿宋_GB2312" w:hint="eastAsia"/>
                <w:sz w:val="24"/>
                <w:szCs w:val="24"/>
              </w:rPr>
              <w:t>淘汰国</w:t>
            </w:r>
            <w:proofErr w:type="gramEnd"/>
            <w:r>
              <w:rPr>
                <w:rFonts w:ascii="仿宋_GB2312" w:eastAsia="仿宋_GB2312" w:hAnsi="仿宋_GB2312" w:cs="仿宋_GB2312" w:hint="eastAsia"/>
                <w:sz w:val="24"/>
                <w:szCs w:val="24"/>
              </w:rPr>
              <w:t>Ⅲ及以下营运柴油货车5859辆（其中重、中型柴油货车4469辆）、老旧燃气车1047辆；每月报送淘汰的车辆信息。</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2115"/>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25</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加快油品</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质量升级</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区商务局</w:t>
            </w:r>
          </w:p>
          <w:p w:rsidR="007E0A63" w:rsidRDefault="007E0A63" w:rsidP="00CA13F2">
            <w:pPr>
              <w:jc w:val="center"/>
              <w:rPr>
                <w:rFonts w:ascii="仿宋_GB2312" w:eastAsia="仿宋_GB2312" w:hAnsi="仿宋_GB2312" w:cs="仿宋_GB2312"/>
                <w:sz w:val="24"/>
                <w:szCs w:val="24"/>
              </w:rPr>
            </w:pP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按照市商务局要求组织开展“黑加油站点”、流动加油罐车专项整治行动；对发现的“黑加油站点”及流动加油罐车，发现一例立即整治一例。每月向市商务局报送实施情况。4月30日前完成辖区年销售汽油量大于5000吨加油站摸底。6月30日前10%的加油站完成在线监控设备安装；9月30日前50%加油站完成在线监控设备安装；12月10日前相关加油站全部安装在线监测设备并与商务和生态环境部门联网。</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972"/>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26</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加强物料堆场扬尘监管</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4月底前完成辖区应配套建设收尘和密封物料仓库企业摸底，建立台账，5月底</w:t>
            </w:r>
            <w:proofErr w:type="gramStart"/>
            <w:r>
              <w:rPr>
                <w:rFonts w:ascii="仿宋_GB2312" w:eastAsia="仿宋_GB2312" w:hAnsi="仿宋_GB2312" w:cs="仿宋_GB2312" w:hint="eastAsia"/>
                <w:sz w:val="24"/>
                <w:szCs w:val="24"/>
              </w:rPr>
              <w:t>完成台</w:t>
            </w:r>
            <w:proofErr w:type="gramEnd"/>
            <w:r>
              <w:rPr>
                <w:rFonts w:ascii="仿宋_GB2312" w:eastAsia="仿宋_GB2312" w:hAnsi="仿宋_GB2312" w:cs="仿宋_GB2312" w:hint="eastAsia"/>
                <w:sz w:val="24"/>
                <w:szCs w:val="24"/>
              </w:rPr>
              <w:t>账内企业围墙、喷淋、覆盖和围挡等</w:t>
            </w:r>
            <w:proofErr w:type="gramStart"/>
            <w:r>
              <w:rPr>
                <w:rFonts w:ascii="仿宋_GB2312" w:eastAsia="仿宋_GB2312" w:hAnsi="仿宋_GB2312" w:cs="仿宋_GB2312" w:hint="eastAsia"/>
                <w:sz w:val="24"/>
                <w:szCs w:val="24"/>
              </w:rPr>
              <w:t>防风抑尘措施</w:t>
            </w:r>
            <w:proofErr w:type="gramEnd"/>
            <w:r>
              <w:rPr>
                <w:rFonts w:ascii="仿宋_GB2312" w:eastAsia="仿宋_GB2312" w:hAnsi="仿宋_GB2312" w:cs="仿宋_GB2312" w:hint="eastAsia"/>
                <w:sz w:val="24"/>
                <w:szCs w:val="24"/>
              </w:rPr>
              <w:t>。</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3112"/>
          <w:jc w:val="center"/>
        </w:trPr>
        <w:tc>
          <w:tcPr>
            <w:tcW w:w="697" w:type="dxa"/>
            <w:vMerge w:val="restart"/>
            <w:tcBorders>
              <w:top w:val="single" w:sz="4" w:space="0" w:color="auto"/>
              <w:left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27</w:t>
            </w:r>
          </w:p>
          <w:p w:rsidR="007E0A63" w:rsidRDefault="007E0A63" w:rsidP="00CA13F2">
            <w:pPr>
              <w:jc w:val="center"/>
              <w:rPr>
                <w:rFonts w:ascii="仿宋_GB2312" w:eastAsia="仿宋_GB2312" w:hAnsi="仿宋_GB2312" w:cs="仿宋_GB2312"/>
                <w:sz w:val="24"/>
                <w:szCs w:val="24"/>
              </w:rPr>
            </w:pPr>
          </w:p>
        </w:tc>
        <w:tc>
          <w:tcPr>
            <w:tcW w:w="1601" w:type="dxa"/>
            <w:vMerge w:val="restart"/>
            <w:tcBorders>
              <w:top w:val="single" w:sz="4" w:space="0" w:color="auto"/>
              <w:left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施工扬尘</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监管</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区城管局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按照市城管局要求，建立辖区所有符合条件（工期超过1个月、占用面积在1000平方米以上）的市政维护工地及非</w:t>
            </w:r>
            <w:proofErr w:type="gramStart"/>
            <w:r>
              <w:rPr>
                <w:rFonts w:ascii="仿宋_GB2312" w:eastAsia="仿宋_GB2312" w:hAnsi="仿宋_GB2312" w:cs="仿宋_GB2312" w:hint="eastAsia"/>
                <w:sz w:val="24"/>
                <w:szCs w:val="24"/>
              </w:rPr>
              <w:t>市政挖占工地</w:t>
            </w:r>
            <w:proofErr w:type="gramEnd"/>
            <w:r>
              <w:rPr>
                <w:rFonts w:ascii="仿宋_GB2312" w:eastAsia="仿宋_GB2312" w:hAnsi="仿宋_GB2312" w:cs="仿宋_GB2312" w:hint="eastAsia"/>
                <w:sz w:val="24"/>
                <w:szCs w:val="24"/>
              </w:rPr>
              <w:t>（水、电、气、热等）在线监测和视频监控任务清单，并于每月30日之前进行更新，新建项目取得</w:t>
            </w:r>
            <w:proofErr w:type="gramStart"/>
            <w:r>
              <w:rPr>
                <w:rFonts w:ascii="仿宋_GB2312" w:eastAsia="仿宋_GB2312" w:hAnsi="仿宋_GB2312" w:cs="仿宋_GB2312" w:hint="eastAsia"/>
                <w:sz w:val="24"/>
                <w:szCs w:val="24"/>
              </w:rPr>
              <w:t>道路挖占许可证</w:t>
            </w:r>
            <w:proofErr w:type="gramEnd"/>
            <w:r>
              <w:rPr>
                <w:rFonts w:ascii="仿宋_GB2312" w:eastAsia="仿宋_GB2312" w:hAnsi="仿宋_GB2312" w:cs="仿宋_GB2312" w:hint="eastAsia"/>
                <w:sz w:val="24"/>
                <w:szCs w:val="24"/>
              </w:rPr>
              <w:t>后15个工作日内完成在线监测和视频监控安装。新建项目取得施工许可后1个月内完成在线监测和视频监控安装。按照市城管局要求，建立辖区所有符合条件（出土总量在5000立方米以上（含）或集中施工面积超过300平方米的出土工地，拆除工期超过1个月）的出土、拆迁工地安装在线监测和视频监控任务清单。出土工地在办理建筑垃圾清运手续时，必须取得施工许可证，并完成在线监测和视频监控安装。</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4月30日</w:t>
            </w:r>
          </w:p>
        </w:tc>
      </w:tr>
      <w:tr w:rsidR="007E0A63" w:rsidTr="00CA13F2">
        <w:trPr>
          <w:trHeight w:val="1427"/>
          <w:jc w:val="center"/>
        </w:trPr>
        <w:tc>
          <w:tcPr>
            <w:tcW w:w="697" w:type="dxa"/>
            <w:vMerge/>
            <w:tcBorders>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p>
        </w:tc>
        <w:tc>
          <w:tcPr>
            <w:tcW w:w="1601" w:type="dxa"/>
            <w:vMerge/>
            <w:tcBorders>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区住建局</w:t>
            </w:r>
          </w:p>
          <w:p w:rsidR="007E0A63" w:rsidRDefault="007E0A63" w:rsidP="00CA13F2">
            <w:pPr>
              <w:jc w:val="center"/>
              <w:rPr>
                <w:rFonts w:ascii="仿宋_GB2312" w:eastAsia="仿宋_GB2312" w:hAnsi="仿宋_GB2312" w:cs="仿宋_GB2312"/>
                <w:sz w:val="24"/>
                <w:szCs w:val="24"/>
              </w:rPr>
            </w:pP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按照市住建局要求，建立辖区所有符合条件（工期超过2个月或占地面积超过300平方米或总投资额超过100万）的建筑施工工地安装在线监测和视频监控任务清单。新建项目符合条件的在取得施工许可后1个月内完成在线监测和视频监控安装。</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4月30日</w:t>
            </w:r>
          </w:p>
        </w:tc>
      </w:tr>
      <w:tr w:rsidR="007E0A63" w:rsidTr="00CA13F2">
        <w:trPr>
          <w:trHeight w:val="937"/>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28</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建立标准化扬尘在线监控系统</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区住建局</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区城管局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每季度开展辖区各类工地在线系统抽检和</w:t>
            </w:r>
            <w:proofErr w:type="gramStart"/>
            <w:r>
              <w:rPr>
                <w:rFonts w:ascii="仿宋_GB2312" w:eastAsia="仿宋_GB2312" w:hAnsi="仿宋_GB2312" w:cs="仿宋_GB2312" w:hint="eastAsia"/>
                <w:sz w:val="24"/>
                <w:szCs w:val="24"/>
              </w:rPr>
              <w:t>质控</w:t>
            </w:r>
            <w:proofErr w:type="gramEnd"/>
            <w:r>
              <w:rPr>
                <w:rFonts w:ascii="仿宋_GB2312" w:eastAsia="仿宋_GB2312" w:hAnsi="仿宋_GB2312" w:cs="仿宋_GB2312" w:hint="eastAsia"/>
                <w:sz w:val="24"/>
                <w:szCs w:val="24"/>
              </w:rPr>
              <w:t>工作。每月检查比例不少于辖区工地总数的30%，抽检、质</w:t>
            </w:r>
            <w:proofErr w:type="gramStart"/>
            <w:r>
              <w:rPr>
                <w:rFonts w:ascii="仿宋_GB2312" w:eastAsia="仿宋_GB2312" w:hAnsi="仿宋_GB2312" w:cs="仿宋_GB2312" w:hint="eastAsia"/>
                <w:sz w:val="24"/>
                <w:szCs w:val="24"/>
              </w:rPr>
              <w:t>控完成</w:t>
            </w:r>
            <w:proofErr w:type="gramEnd"/>
            <w:r>
              <w:rPr>
                <w:rFonts w:ascii="仿宋_GB2312" w:eastAsia="仿宋_GB2312" w:hAnsi="仿宋_GB2312" w:cs="仿宋_GB2312" w:hint="eastAsia"/>
                <w:sz w:val="24"/>
                <w:szCs w:val="24"/>
              </w:rPr>
              <w:t>后建立台账。</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640"/>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29</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严格控制各类工地扬尘污染排放</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区住建局</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区城管局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月30日前建立全市建筑工地、市政工地、出土工地、拆迁工地管理清单，并每月更新。严格落实“精细化管理+红黄绿挂牌结果管理”模式，严格控制建设、出土、拆迁工地及“两类企业”扬尘污染排放，严格落实“六个100%”和“七个到位”管理要求。严厉打击各类“黑工地”，发现一个依法查处一个，并追究属地管理责任。</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964"/>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30</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加强采暖季</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施工监管</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区住建局</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区城管局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9月30日前完成辖区中心城区划定，并报市政府备案。采暖季期间，按照市上要求进行施工审批，并落实属地监管责任；对采暖</w:t>
            </w:r>
            <w:proofErr w:type="gramStart"/>
            <w:r>
              <w:rPr>
                <w:rFonts w:ascii="仿宋_GB2312" w:eastAsia="仿宋_GB2312" w:hAnsi="仿宋_GB2312" w:cs="仿宋_GB2312" w:hint="eastAsia"/>
                <w:sz w:val="24"/>
                <w:szCs w:val="24"/>
              </w:rPr>
              <w:t>期施工</w:t>
            </w:r>
            <w:proofErr w:type="gramEnd"/>
            <w:r>
              <w:rPr>
                <w:rFonts w:ascii="仿宋_GB2312" w:eastAsia="仿宋_GB2312" w:hAnsi="仿宋_GB2312" w:cs="仿宋_GB2312" w:hint="eastAsia"/>
                <w:sz w:val="24"/>
                <w:szCs w:val="24"/>
              </w:rPr>
              <w:t>的工地，建设主管部门要严格监管，对达不到扬尘管控要求、环境保护措施不到位或有扬尘违法违规问题施工的工地，责令停止施工并从重处罚。</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冬防期</w:t>
            </w:r>
          </w:p>
        </w:tc>
      </w:tr>
      <w:tr w:rsidR="007E0A63" w:rsidTr="00CA13F2">
        <w:trPr>
          <w:trHeight w:val="1656"/>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31</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严格道路保洁作业标准</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区城管局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月底前新增小型新能源保洁车辆（具备吸尘功能）6辆。按照市城管局要求实行机械化清扫、精细化保洁、地毯式吸尘、定时段清洗、全方位洒水的“五位一体”作业模式，从源头上防止道路扬尘。按市城管局要求，开展道路洁净度检测评定，每月报送检</w:t>
            </w:r>
            <w:proofErr w:type="gramStart"/>
            <w:r>
              <w:rPr>
                <w:rFonts w:ascii="仿宋_GB2312" w:eastAsia="仿宋_GB2312" w:hAnsi="仿宋_GB2312" w:cs="仿宋_GB2312" w:hint="eastAsia"/>
                <w:sz w:val="24"/>
                <w:szCs w:val="24"/>
              </w:rPr>
              <w:t>测评定</w:t>
            </w:r>
            <w:proofErr w:type="gramEnd"/>
            <w:r>
              <w:rPr>
                <w:rFonts w:ascii="仿宋_GB2312" w:eastAsia="仿宋_GB2312" w:hAnsi="仿宋_GB2312" w:cs="仿宋_GB2312" w:hint="eastAsia"/>
                <w:sz w:val="24"/>
                <w:szCs w:val="24"/>
              </w:rPr>
              <w:t>结果。确定道路清扫责任主体，建立相应的通报、整改、提升等工作机制并定期调度。</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1717"/>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32</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严格监管渣土运输车辆</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区城管局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每季度，开展渣土运输车辆全密封检测并建立台账。对检测不合格车辆由辖区建筑垃圾主管部门做好停运工作。按照市城管局要求进一步规范渣土通道联合值守点设置及工作机制，对发现存在超高装载、带泥上路等违规行为的，依法查扣处罚清运车辆，并建立倒查机制，追究项目工地、容貌监督员、承运资质公司责任，依法从严从重查处。</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273"/>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33</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提高城市道路硬化率</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区城管局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4月30日前完成城区道路破损摸排工作，建立清单报市城管局。按照市城管局要求年底前完成任务，制定巡查计划，每月</w:t>
            </w:r>
            <w:proofErr w:type="gramStart"/>
            <w:r>
              <w:rPr>
                <w:rFonts w:ascii="仿宋_GB2312" w:eastAsia="仿宋_GB2312" w:hAnsi="仿宋_GB2312" w:cs="仿宋_GB2312" w:hint="eastAsia"/>
                <w:sz w:val="24"/>
                <w:szCs w:val="24"/>
              </w:rPr>
              <w:t>进行抑尘作业</w:t>
            </w:r>
            <w:proofErr w:type="gramEnd"/>
            <w:r>
              <w:rPr>
                <w:rFonts w:ascii="仿宋_GB2312" w:eastAsia="仿宋_GB2312" w:hAnsi="仿宋_GB2312" w:cs="仿宋_GB2312" w:hint="eastAsia"/>
                <w:sz w:val="24"/>
                <w:szCs w:val="24"/>
              </w:rPr>
              <w:t>。</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548"/>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34</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加大环境执</w:t>
            </w:r>
          </w:p>
          <w:p w:rsidR="007E0A63" w:rsidRDefault="007E0A63" w:rsidP="00CA13F2">
            <w:pPr>
              <w:jc w:val="center"/>
              <w:rPr>
                <w:rFonts w:ascii="仿宋_GB2312" w:eastAsia="仿宋_GB2312" w:hAnsi="仿宋_GB2312" w:cs="仿宋_GB2312"/>
                <w:sz w:val="24"/>
                <w:szCs w:val="24"/>
              </w:rPr>
            </w:pPr>
            <w:proofErr w:type="gramStart"/>
            <w:r>
              <w:rPr>
                <w:rFonts w:ascii="仿宋_GB2312" w:eastAsia="仿宋_GB2312" w:hAnsi="仿宋_GB2312" w:cs="仿宋_GB2312" w:hint="eastAsia"/>
                <w:sz w:val="24"/>
                <w:szCs w:val="24"/>
              </w:rPr>
              <w:t>法力度</w:t>
            </w:r>
            <w:proofErr w:type="gramEnd"/>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5月31日前开展辖区7个行业企业无组织排放检查；6月1日至9月30日开展辖区有机废气专项检查，重点对有机废气处理设施的运行情况进行检查；冬防期开展辖区涉煤污染和重污染应急清单执行情况检查。</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164"/>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35</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强化科技</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支撑</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建成并投运区级“智慧环保”综合指挥监控平台，按照市上“一县</w:t>
            </w:r>
            <w:proofErr w:type="gramStart"/>
            <w:r>
              <w:rPr>
                <w:rFonts w:ascii="仿宋_GB2312" w:eastAsia="仿宋_GB2312" w:hAnsi="仿宋_GB2312" w:cs="仿宋_GB2312" w:hint="eastAsia"/>
                <w:sz w:val="24"/>
                <w:szCs w:val="24"/>
              </w:rPr>
              <w:t>一</w:t>
            </w:r>
            <w:proofErr w:type="gramEnd"/>
            <w:r>
              <w:rPr>
                <w:rFonts w:ascii="仿宋_GB2312" w:eastAsia="仿宋_GB2312" w:hAnsi="仿宋_GB2312" w:cs="仿宋_GB2312" w:hint="eastAsia"/>
                <w:sz w:val="24"/>
                <w:szCs w:val="24"/>
              </w:rPr>
              <w:t>策”科技治</w:t>
            </w:r>
            <w:proofErr w:type="gramStart"/>
            <w:r>
              <w:rPr>
                <w:rFonts w:ascii="仿宋_GB2312" w:eastAsia="仿宋_GB2312" w:hAnsi="仿宋_GB2312" w:cs="仿宋_GB2312" w:hint="eastAsia"/>
                <w:sz w:val="24"/>
                <w:szCs w:val="24"/>
              </w:rPr>
              <w:t>霾</w:t>
            </w:r>
            <w:proofErr w:type="gramEnd"/>
            <w:r>
              <w:rPr>
                <w:rFonts w:ascii="仿宋_GB2312" w:eastAsia="仿宋_GB2312" w:hAnsi="仿宋_GB2312" w:cs="仿宋_GB2312" w:hint="eastAsia"/>
                <w:sz w:val="24"/>
                <w:szCs w:val="24"/>
              </w:rPr>
              <w:t>要求，结合辖区实际贯彻落实。</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12月20日</w:t>
            </w:r>
          </w:p>
        </w:tc>
      </w:tr>
      <w:tr w:rsidR="007E0A63" w:rsidTr="00CA13F2">
        <w:trPr>
          <w:trHeight w:val="1674"/>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36</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加强网格化</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建设</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落实《西安市生态环境保护网格化管理办法》，完善铁腕治</w:t>
            </w:r>
            <w:proofErr w:type="gramStart"/>
            <w:r>
              <w:rPr>
                <w:rFonts w:ascii="仿宋_GB2312" w:eastAsia="仿宋_GB2312" w:hAnsi="仿宋_GB2312" w:cs="仿宋_GB2312" w:hint="eastAsia"/>
                <w:sz w:val="24"/>
                <w:szCs w:val="24"/>
              </w:rPr>
              <w:t>霾</w:t>
            </w:r>
            <w:proofErr w:type="gramEnd"/>
            <w:r>
              <w:rPr>
                <w:rFonts w:ascii="仿宋_GB2312" w:eastAsia="仿宋_GB2312" w:hAnsi="仿宋_GB2312" w:cs="仿宋_GB2312" w:hint="eastAsia"/>
                <w:sz w:val="24"/>
                <w:szCs w:val="24"/>
              </w:rPr>
              <w:t>网格化监管平台建设，规范网格化闭环处置流程。加强专职</w:t>
            </w:r>
            <w:proofErr w:type="gramStart"/>
            <w:r>
              <w:rPr>
                <w:rFonts w:ascii="仿宋_GB2312" w:eastAsia="仿宋_GB2312" w:hAnsi="仿宋_GB2312" w:cs="仿宋_GB2312" w:hint="eastAsia"/>
                <w:sz w:val="24"/>
                <w:szCs w:val="24"/>
              </w:rPr>
              <w:t>网格员</w:t>
            </w:r>
            <w:proofErr w:type="gramEnd"/>
            <w:r>
              <w:rPr>
                <w:rFonts w:ascii="仿宋_GB2312" w:eastAsia="仿宋_GB2312" w:hAnsi="仿宋_GB2312" w:cs="仿宋_GB2312" w:hint="eastAsia"/>
                <w:sz w:val="24"/>
                <w:szCs w:val="24"/>
              </w:rPr>
              <w:t>业务培训，实施月度考核，夯实二级、三级网格工作职责。</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134"/>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37</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强化环境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执法</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rPr>
                <w:rFonts w:ascii="仿宋_GB2312" w:eastAsia="仿宋_GB2312" w:hAnsi="仿宋_GB2312" w:cs="仿宋_GB2312"/>
                <w:sz w:val="24"/>
                <w:szCs w:val="24"/>
              </w:rPr>
            </w:pPr>
            <w:r>
              <w:rPr>
                <w:rFonts w:ascii="仿宋_GB2312" w:eastAsia="仿宋_GB2312" w:hAnsi="仿宋_GB2312" w:cs="仿宋_GB2312" w:hint="eastAsia"/>
                <w:sz w:val="24"/>
                <w:szCs w:val="24"/>
              </w:rPr>
              <w:t>生态环境</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莲湖分局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按照市生态环境局要求制定辖区夏</w:t>
            </w:r>
            <w:proofErr w:type="gramStart"/>
            <w:r>
              <w:rPr>
                <w:rFonts w:ascii="仿宋_GB2312" w:eastAsia="仿宋_GB2312" w:hAnsi="仿宋_GB2312" w:cs="仿宋_GB2312" w:hint="eastAsia"/>
                <w:sz w:val="24"/>
                <w:szCs w:val="24"/>
              </w:rPr>
              <w:t>防期执法</w:t>
            </w:r>
            <w:proofErr w:type="gramEnd"/>
            <w:r>
              <w:rPr>
                <w:rFonts w:ascii="仿宋_GB2312" w:eastAsia="仿宋_GB2312" w:hAnsi="仿宋_GB2312" w:cs="仿宋_GB2312" w:hint="eastAsia"/>
                <w:sz w:val="24"/>
                <w:szCs w:val="24"/>
              </w:rPr>
              <w:t>检查行动方案，并组织实施。</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夏防期</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冬防期</w:t>
            </w:r>
          </w:p>
          <w:p w:rsidR="007E0A63" w:rsidRDefault="007E0A63" w:rsidP="00CA13F2">
            <w:pPr>
              <w:jc w:val="center"/>
              <w:rPr>
                <w:rFonts w:ascii="仿宋_GB2312" w:eastAsia="仿宋_GB2312" w:hAnsi="仿宋_GB2312" w:cs="仿宋_GB2312"/>
                <w:sz w:val="24"/>
                <w:szCs w:val="24"/>
              </w:rPr>
            </w:pPr>
          </w:p>
        </w:tc>
      </w:tr>
      <w:tr w:rsidR="007E0A63" w:rsidTr="00CA13F2">
        <w:trPr>
          <w:trHeight w:val="1503"/>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38</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加大餐饮</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油烟治理</w:t>
            </w:r>
          </w:p>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力度</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区城管局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对辖区居民住宅楼、未配套设立专用烟道的商住综合楼以及商住综合楼内与居住层相邻的商业楼层餐饮单位进行全面摸排，建立工作台账。常态</w:t>
            </w:r>
            <w:proofErr w:type="gramStart"/>
            <w:r>
              <w:rPr>
                <w:rFonts w:ascii="仿宋_GB2312" w:eastAsia="仿宋_GB2312" w:hAnsi="仿宋_GB2312" w:cs="仿宋_GB2312" w:hint="eastAsia"/>
                <w:sz w:val="24"/>
                <w:szCs w:val="24"/>
              </w:rPr>
              <w:t>化开展</w:t>
            </w:r>
            <w:proofErr w:type="gramEnd"/>
            <w:r>
              <w:rPr>
                <w:rFonts w:ascii="仿宋_GB2312" w:eastAsia="仿宋_GB2312" w:hAnsi="仿宋_GB2312" w:cs="仿宋_GB2312" w:hint="eastAsia"/>
                <w:sz w:val="24"/>
                <w:szCs w:val="24"/>
              </w:rPr>
              <w:t>餐饮油烟专项执法检查，严厉打击油烟直排、不安装油烟净化设施等违法违规行为。</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r w:rsidR="007E0A63" w:rsidTr="00CA13F2">
        <w:trPr>
          <w:trHeight w:val="1731"/>
          <w:jc w:val="center"/>
        </w:trPr>
        <w:tc>
          <w:tcPr>
            <w:tcW w:w="697"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39</w:t>
            </w:r>
          </w:p>
        </w:tc>
        <w:tc>
          <w:tcPr>
            <w:tcW w:w="1601"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加强露天焚烧污染管控</w:t>
            </w:r>
          </w:p>
        </w:tc>
        <w:tc>
          <w:tcPr>
            <w:tcW w:w="128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区城管局</w:t>
            </w:r>
          </w:p>
        </w:tc>
        <w:tc>
          <w:tcPr>
            <w:tcW w:w="8803"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切实加强秸秆、垃圾、树叶、杂物露天焚烧及燃放烟花爆竹管控、查处力度，强化辖区各级主体责任，重点区域建立网格化监管制度，重点时段开展专项巡查，严防因露天焚烧造成区域性重污染天气。</w:t>
            </w:r>
          </w:p>
        </w:tc>
        <w:tc>
          <w:tcPr>
            <w:tcW w:w="1676" w:type="dxa"/>
            <w:tcBorders>
              <w:top w:val="single" w:sz="4" w:space="0" w:color="auto"/>
              <w:left w:val="single" w:sz="4" w:space="0" w:color="auto"/>
              <w:bottom w:val="single" w:sz="4" w:space="0" w:color="auto"/>
              <w:right w:val="single" w:sz="4" w:space="0" w:color="auto"/>
            </w:tcBorders>
            <w:vAlign w:val="center"/>
          </w:tcPr>
          <w:p w:rsidR="007E0A63" w:rsidRDefault="007E0A63" w:rsidP="00CA13F2">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全年</w:t>
            </w:r>
          </w:p>
        </w:tc>
      </w:tr>
    </w:tbl>
    <w:p w:rsidR="00AD3EC8" w:rsidRDefault="00AD3EC8"/>
    <w:sectPr w:rsidR="00AD3EC8" w:rsidSect="007E0A6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6E1" w:rsidRDefault="004616E1" w:rsidP="007E0A63">
      <w:r>
        <w:separator/>
      </w:r>
    </w:p>
  </w:endnote>
  <w:endnote w:type="continuationSeparator" w:id="0">
    <w:p w:rsidR="004616E1" w:rsidRDefault="004616E1" w:rsidP="007E0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6E1" w:rsidRDefault="004616E1" w:rsidP="007E0A63">
      <w:r>
        <w:separator/>
      </w:r>
    </w:p>
  </w:footnote>
  <w:footnote w:type="continuationSeparator" w:id="0">
    <w:p w:rsidR="004616E1" w:rsidRDefault="004616E1" w:rsidP="007E0A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446"/>
    <w:rsid w:val="004616E1"/>
    <w:rsid w:val="00617446"/>
    <w:rsid w:val="007E0A63"/>
    <w:rsid w:val="00AD3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754</Words>
  <Characters>4301</Characters>
  <Application>Microsoft Office Word</Application>
  <DocSecurity>0</DocSecurity>
  <Lines>35</Lines>
  <Paragraphs>10</Paragraphs>
  <ScaleCrop>false</ScaleCrop>
  <Company>Microsoft</Company>
  <LinksUpToDate>false</LinksUpToDate>
  <CharactersWithSpaces>5045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c:creator>
  <cp:keywords/>
  <dc:description/>
  <cp:lastModifiedBy>Li</cp:lastModifiedBy>
  <cp:revision>2</cp:revision>
  <dcterms:created xsi:type="dcterms:W3CDTF">2019-08-16T08:24:00Z</dcterms:created>
  <dcterms:modified xsi:type="dcterms:W3CDTF">2019-08-16T08:25:00Z</dcterms:modified>
</cp:coreProperties>
</file>