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F7E33" w:rsidRDefault="008F7E33" w:rsidP="00F803B0">
      <w:pPr>
        <w:shd w:val="solid" w:color="FFFFFF" w:fill="auto"/>
        <w:autoSpaceDN w:val="0"/>
        <w:spacing w:line="420" w:lineRule="atLeast"/>
        <w:rPr>
          <w:rFonts w:ascii="黑体" w:eastAsia="黑体" w:hAnsi="黑体" w:hint="eastAsia"/>
          <w:color w:val="2B2B2B"/>
          <w:sz w:val="32"/>
          <w:szCs w:val="32"/>
          <w:shd w:val="clear" w:color="auto" w:fill="FFFFFF"/>
        </w:rPr>
      </w:pPr>
    </w:p>
    <w:tbl>
      <w:tblPr>
        <w:tblW w:w="0" w:type="auto"/>
        <w:tblInd w:w="93" w:type="dxa"/>
        <w:tblLayout w:type="fixed"/>
        <w:tblLook w:val="0000"/>
      </w:tblPr>
      <w:tblGrid>
        <w:gridCol w:w="2724"/>
        <w:gridCol w:w="1114"/>
        <w:gridCol w:w="2185"/>
        <w:gridCol w:w="1114"/>
        <w:gridCol w:w="2076"/>
        <w:gridCol w:w="1114"/>
      </w:tblGrid>
      <w:tr w:rsidR="008F7E33">
        <w:trPr>
          <w:trHeight w:val="285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预算01表</w:t>
            </w:r>
          </w:p>
        </w:tc>
      </w:tr>
      <w:tr w:rsidR="008F7E33">
        <w:trPr>
          <w:trHeight w:val="795"/>
        </w:trPr>
        <w:tc>
          <w:tcPr>
            <w:tcW w:w="1032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7E33" w:rsidRDefault="00F803B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莲湖区交通运输管理站</w:t>
            </w:r>
            <w:r w:rsidR="008F7E33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2017年部门</w:t>
            </w: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支出预算表</w:t>
            </w:r>
          </w:p>
        </w:tc>
      </w:tr>
      <w:tr w:rsidR="008F7E33">
        <w:trPr>
          <w:trHeight w:val="375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单位名称：</w:t>
            </w:r>
            <w:r w:rsidR="00F803B0">
              <w:rPr>
                <w:rFonts w:ascii="宋体" w:hAnsi="宋体" w:cs="宋体" w:hint="eastAsia"/>
                <w:kern w:val="0"/>
                <w:sz w:val="20"/>
                <w:szCs w:val="20"/>
              </w:rPr>
              <w:t>区交通运输管理站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ind w:right="200"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单位：万元</w:t>
            </w:r>
          </w:p>
        </w:tc>
      </w:tr>
      <w:tr w:rsidR="008F7E33">
        <w:trPr>
          <w:trHeight w:val="510"/>
        </w:trPr>
        <w:tc>
          <w:tcPr>
            <w:tcW w:w="3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收                入</w:t>
            </w:r>
          </w:p>
        </w:tc>
        <w:tc>
          <w:tcPr>
            <w:tcW w:w="648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支                         出</w:t>
            </w:r>
          </w:p>
        </w:tc>
      </w:tr>
      <w:tr w:rsidR="008F7E33">
        <w:trPr>
          <w:trHeight w:val="510"/>
        </w:trPr>
        <w:tc>
          <w:tcPr>
            <w:tcW w:w="2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项           目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功能分类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经济分类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预算数</w:t>
            </w:r>
          </w:p>
        </w:tc>
      </w:tr>
      <w:tr w:rsidR="008F7E33">
        <w:trPr>
          <w:trHeight w:val="510"/>
        </w:trPr>
        <w:tc>
          <w:tcPr>
            <w:tcW w:w="2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一、财政拨款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437.1987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一、一般公共服务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一、工资福利支出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8F7E33" w:rsidRDefault="008F7E33">
            <w:pPr>
              <w:widowControl/>
              <w:jc w:val="righ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349.1161</w:t>
            </w:r>
          </w:p>
        </w:tc>
      </w:tr>
      <w:tr w:rsidR="008F7E33">
        <w:trPr>
          <w:trHeight w:val="510"/>
        </w:trPr>
        <w:tc>
          <w:tcPr>
            <w:tcW w:w="2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二、社会保险基金收入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二、外交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二、商品和服务支出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8F7E33" w:rsidRDefault="008F7E33">
            <w:pPr>
              <w:widowControl/>
              <w:jc w:val="righ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91.0826</w:t>
            </w:r>
          </w:p>
        </w:tc>
      </w:tr>
      <w:tr w:rsidR="008F7E33">
        <w:trPr>
          <w:trHeight w:val="510"/>
        </w:trPr>
        <w:tc>
          <w:tcPr>
            <w:tcW w:w="2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三、非税收入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3.0000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三、国防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三、对个人和家庭的补助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510"/>
        </w:trPr>
        <w:tc>
          <w:tcPr>
            <w:tcW w:w="2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(一)政府性基金收入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四、公共安全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四、对企事业单位的补助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510"/>
        </w:trPr>
        <w:tc>
          <w:tcPr>
            <w:tcW w:w="2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(二)专项收入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五、教育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五、转移性支出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510"/>
        </w:trPr>
        <w:tc>
          <w:tcPr>
            <w:tcW w:w="2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(三)彩票资金收入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六、科学技术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六、债务利息支出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510"/>
        </w:trPr>
        <w:tc>
          <w:tcPr>
            <w:tcW w:w="2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(四)行政事业性收费收入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七、文化体育与传媒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七、债务还本支出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510"/>
        </w:trPr>
        <w:tc>
          <w:tcPr>
            <w:tcW w:w="2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(五)罚没收入收入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3.0000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八、社会保障和就业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八、其他资本性支出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510"/>
        </w:trPr>
        <w:tc>
          <w:tcPr>
            <w:tcW w:w="2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(六)国有资本经营收入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九、社会保险基金支出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九、基本建设支出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510"/>
        </w:trPr>
        <w:tc>
          <w:tcPr>
            <w:tcW w:w="2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(七)国有资源（资产）有偿使用收入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十、医疗卫生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十、其他支出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510"/>
        </w:trPr>
        <w:tc>
          <w:tcPr>
            <w:tcW w:w="2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(八)其他收入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十一、节能环保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8F7E33">
        <w:trPr>
          <w:trHeight w:val="510"/>
        </w:trPr>
        <w:tc>
          <w:tcPr>
            <w:tcW w:w="2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四、转移性收入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十二、城乡社区事务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8F7E33">
        <w:trPr>
          <w:trHeight w:val="510"/>
        </w:trPr>
        <w:tc>
          <w:tcPr>
            <w:tcW w:w="2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五、贷款回收本金和产权出让收入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十三、农林水事务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8F7E33">
        <w:trPr>
          <w:trHeight w:val="510"/>
        </w:trPr>
        <w:tc>
          <w:tcPr>
            <w:tcW w:w="27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六、债务收入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十四、交通运输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440.1987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8F7E33">
        <w:trPr>
          <w:trHeight w:val="510"/>
        </w:trPr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七、上年结余结转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十五、采掘电力信息等事务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8F7E33">
        <w:trPr>
          <w:trHeight w:val="510"/>
        </w:trPr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八、上级专款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十六、商业服务业等事务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8F7E33">
        <w:trPr>
          <w:trHeight w:val="510"/>
        </w:trPr>
        <w:tc>
          <w:tcPr>
            <w:tcW w:w="2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十七、金融监管支出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8F7E33">
        <w:trPr>
          <w:trHeight w:val="510"/>
        </w:trPr>
        <w:tc>
          <w:tcPr>
            <w:tcW w:w="2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十八、地震灾后恢复重建支出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8F7E33">
        <w:trPr>
          <w:trHeight w:val="510"/>
        </w:trPr>
        <w:tc>
          <w:tcPr>
            <w:tcW w:w="2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十九、国土资源气象等事务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8F7E33">
        <w:trPr>
          <w:trHeight w:val="510"/>
        </w:trPr>
        <w:tc>
          <w:tcPr>
            <w:tcW w:w="2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二十、住房保障支出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8F7E33">
        <w:trPr>
          <w:trHeight w:val="510"/>
        </w:trPr>
        <w:tc>
          <w:tcPr>
            <w:tcW w:w="2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二十一、粮油物资管理事务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8F7E33">
        <w:trPr>
          <w:trHeight w:val="510"/>
        </w:trPr>
        <w:tc>
          <w:tcPr>
            <w:tcW w:w="2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二十二、预备费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8F7E33">
        <w:trPr>
          <w:trHeight w:val="510"/>
        </w:trPr>
        <w:tc>
          <w:tcPr>
            <w:tcW w:w="2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二十三、国债还本付息支出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8F7E33">
        <w:trPr>
          <w:trHeight w:val="510"/>
        </w:trPr>
        <w:tc>
          <w:tcPr>
            <w:tcW w:w="2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二十四、其他支出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8F7E33">
        <w:trPr>
          <w:trHeight w:val="510"/>
        </w:trPr>
        <w:tc>
          <w:tcPr>
            <w:tcW w:w="2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二十五、转移性支出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8F7E33">
        <w:trPr>
          <w:trHeight w:val="510"/>
        </w:trPr>
        <w:tc>
          <w:tcPr>
            <w:tcW w:w="2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收   入   合   计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wordWrap w:val="0"/>
              <w:jc w:val="righ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  <w:p w:rsidR="008F7E33" w:rsidRDefault="008F7E33">
            <w:pPr>
              <w:widowControl/>
              <w:wordWrap w:val="0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440.1987          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功能分类支出合计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440.1987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经济支出合计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440.1987</w:t>
            </w:r>
          </w:p>
        </w:tc>
      </w:tr>
    </w:tbl>
    <w:p w:rsidR="008F7E33" w:rsidRDefault="008F7E33">
      <w:pPr>
        <w:shd w:val="solid" w:color="FFFFFF" w:fill="auto"/>
        <w:autoSpaceDN w:val="0"/>
        <w:spacing w:line="420" w:lineRule="atLeast"/>
        <w:rPr>
          <w:rFonts w:ascii="仿宋" w:eastAsia="仿宋" w:hAnsi="仿宋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ind w:firstLineChars="200" w:firstLine="640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ind w:firstLineChars="200" w:firstLine="640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ind w:firstLineChars="200" w:firstLine="640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ind w:firstLineChars="200" w:firstLine="640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ind w:firstLineChars="200" w:firstLine="640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ind w:firstLineChars="200" w:firstLine="640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ind w:firstLineChars="200" w:firstLine="640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ind w:firstLineChars="200" w:firstLine="640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ind w:firstLineChars="200" w:firstLine="640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tbl>
      <w:tblPr>
        <w:tblW w:w="0" w:type="auto"/>
        <w:tblInd w:w="93" w:type="dxa"/>
        <w:tblLayout w:type="fixed"/>
        <w:tblLook w:val="0000"/>
      </w:tblPr>
      <w:tblGrid>
        <w:gridCol w:w="1280"/>
        <w:gridCol w:w="4890"/>
        <w:gridCol w:w="1420"/>
        <w:gridCol w:w="1420"/>
        <w:gridCol w:w="1420"/>
      </w:tblGrid>
      <w:tr w:rsidR="008F7E33">
        <w:trPr>
          <w:trHeight w:val="375"/>
        </w:trPr>
        <w:tc>
          <w:tcPr>
            <w:tcW w:w="1043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</w:pPr>
          </w:p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</w:pPr>
          </w:p>
          <w:p w:rsidR="008F7E33" w:rsidRDefault="008F7E3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2017年一般公共预算支出表（按功能科目）</w:t>
            </w:r>
          </w:p>
        </w:tc>
      </w:tr>
      <w:tr w:rsidR="008F7E33">
        <w:trPr>
          <w:trHeight w:val="255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4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</w:tr>
      <w:tr w:rsidR="008F7E33">
        <w:trPr>
          <w:trHeight w:val="255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4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</w:tr>
      <w:tr w:rsidR="008F7E33">
        <w:trPr>
          <w:trHeight w:val="255"/>
        </w:trPr>
        <w:tc>
          <w:tcPr>
            <w:tcW w:w="61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单位名称:交管站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单位：万元</w:t>
            </w:r>
          </w:p>
        </w:tc>
      </w:tr>
      <w:tr w:rsidR="008F7E33">
        <w:trPr>
          <w:trHeight w:val="255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科目代码</w:t>
            </w:r>
          </w:p>
        </w:tc>
        <w:tc>
          <w:tcPr>
            <w:tcW w:w="4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科目名称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项目支出</w:t>
            </w:r>
          </w:p>
        </w:tc>
      </w:tr>
      <w:tr w:rsidR="008F7E33">
        <w:trPr>
          <w:trHeight w:val="255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489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F7E33">
        <w:trPr>
          <w:trHeight w:val="255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440.1987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193.6973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246.5014</w:t>
            </w:r>
          </w:p>
        </w:tc>
      </w:tr>
      <w:tr w:rsidR="008F7E33">
        <w:trPr>
          <w:trHeight w:val="25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214</w:t>
            </w:r>
          </w:p>
        </w:tc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交通运输支出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440.1987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193.6973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246.5014</w:t>
            </w:r>
          </w:p>
        </w:tc>
      </w:tr>
      <w:tr w:rsidR="008F7E33">
        <w:trPr>
          <w:trHeight w:val="25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21401</w:t>
            </w:r>
          </w:p>
        </w:tc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公路水路运输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440.1987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193.6973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246.5014</w:t>
            </w:r>
          </w:p>
        </w:tc>
      </w:tr>
      <w:tr w:rsidR="008F7E33">
        <w:trPr>
          <w:trHeight w:val="25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2140101</w:t>
            </w:r>
          </w:p>
        </w:tc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行政运行（公路水路运输）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1.0800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1.0800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9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2140112</w:t>
            </w:r>
          </w:p>
        </w:tc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公路运输管理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15.0000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15.0000</w:t>
            </w:r>
          </w:p>
        </w:tc>
      </w:tr>
      <w:tr w:rsidR="008F7E33">
        <w:trPr>
          <w:trHeight w:val="25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2140112</w:t>
            </w:r>
          </w:p>
        </w:tc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公路运输管理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13.0000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13.0000</w:t>
            </w:r>
          </w:p>
        </w:tc>
      </w:tr>
      <w:tr w:rsidR="008F7E33">
        <w:trPr>
          <w:trHeight w:val="25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2140131</w:t>
            </w:r>
          </w:p>
        </w:tc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海事管理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5.0000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5.0000</w:t>
            </w:r>
          </w:p>
        </w:tc>
      </w:tr>
      <w:tr w:rsidR="008F7E33">
        <w:trPr>
          <w:trHeight w:val="25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2140199</w:t>
            </w:r>
          </w:p>
        </w:tc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其他公路水路运输支出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0.8880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0.8880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255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2140199</w:t>
            </w:r>
          </w:p>
        </w:tc>
        <w:tc>
          <w:tcPr>
            <w:tcW w:w="4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其他公路水路运输支出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405.2307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191.7293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213.5014</w:t>
            </w:r>
          </w:p>
        </w:tc>
      </w:tr>
    </w:tbl>
    <w:p w:rsidR="008F7E33" w:rsidRDefault="008F7E33">
      <w:pPr>
        <w:shd w:val="solid" w:color="FFFFFF" w:fill="auto"/>
        <w:autoSpaceDN w:val="0"/>
        <w:spacing w:line="420" w:lineRule="atLeast"/>
        <w:ind w:firstLineChars="200" w:firstLine="640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ind w:firstLineChars="200" w:firstLine="640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ind w:firstLineChars="200" w:firstLine="640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ind w:firstLineChars="200" w:firstLine="640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ind w:firstLineChars="200" w:firstLine="640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ind w:firstLineChars="200" w:firstLine="640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ind w:firstLineChars="200" w:firstLine="640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ind w:firstLineChars="200" w:firstLine="640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ind w:firstLineChars="200" w:firstLine="640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ind w:firstLineChars="200" w:firstLine="640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tbl>
      <w:tblPr>
        <w:tblW w:w="0" w:type="auto"/>
        <w:tblInd w:w="93" w:type="dxa"/>
        <w:tblLayout w:type="fixed"/>
        <w:tblLook w:val="0000"/>
      </w:tblPr>
      <w:tblGrid>
        <w:gridCol w:w="1620"/>
        <w:gridCol w:w="2560"/>
        <w:gridCol w:w="1720"/>
        <w:gridCol w:w="1680"/>
        <w:gridCol w:w="1680"/>
      </w:tblGrid>
      <w:tr w:rsidR="008F7E33">
        <w:trPr>
          <w:trHeight w:val="443"/>
        </w:trPr>
        <w:tc>
          <w:tcPr>
            <w:tcW w:w="926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2017年一般公共预算支出表（按经济科目）</w:t>
            </w:r>
          </w:p>
        </w:tc>
      </w:tr>
      <w:tr w:rsidR="008F7E33">
        <w:trPr>
          <w:trHeight w:val="255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</w:tr>
      <w:tr w:rsidR="008F7E33">
        <w:trPr>
          <w:trHeight w:val="255"/>
        </w:trPr>
        <w:tc>
          <w:tcPr>
            <w:tcW w:w="41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单位名称：交管站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单位：万元</w:t>
            </w:r>
          </w:p>
        </w:tc>
      </w:tr>
      <w:tr w:rsidR="008F7E33">
        <w:trPr>
          <w:trHeight w:val="465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科目代码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科目名称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项目支出</w:t>
            </w:r>
          </w:p>
        </w:tc>
      </w:tr>
      <w:tr w:rsidR="008F7E33">
        <w:trPr>
          <w:trHeight w:val="270"/>
        </w:trPr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8F7E33">
        <w:trPr>
          <w:trHeight w:val="360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440.1987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193.6973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246.5014</w:t>
            </w:r>
          </w:p>
        </w:tc>
      </w:tr>
      <w:tr w:rsidR="008F7E33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349.1161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152.6147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196.5014</w:t>
            </w:r>
          </w:p>
        </w:tc>
      </w:tr>
      <w:tr w:rsidR="008F7E33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30101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基本工资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59.9916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59.9916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30104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社会保障缴费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14.04000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14.0400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30107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绩效工资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42.4992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42.4992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30116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196.5014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196.5014</w:t>
            </w:r>
          </w:p>
        </w:tc>
      </w:tr>
      <w:tr w:rsidR="008F7E33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30117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其他工资福利支出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6.4800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6.4800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3019901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降温费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1.6740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1.6740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3019902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取暖费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1.4400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1.4400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3019904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独子费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0.0300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0.0300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3019906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回民补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0.0120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0.0120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3019908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住房公积金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14.4000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14.4000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3019909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改革性补贴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7.0680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7.0680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34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3019911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一次性奖金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4.9799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4.9799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91.0826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41.0826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50.0000</w:t>
            </w:r>
          </w:p>
        </w:tc>
      </w:tr>
      <w:tr w:rsidR="008F7E33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30201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办公费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1.5000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1.5000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30202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印刷费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2.0000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2.0000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30204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手续费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0.2000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0.2000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30205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水费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1.0000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1.0000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30206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电费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7.0000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7.0000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30207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邮电费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1.8000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1.8000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30209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物业管理费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3.0000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3.0000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30215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会议费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0.5400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0.5400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30216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培训费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0.5400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0.5400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30226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劳务费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0.5000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0.5000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30229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福利费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0.0648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0.0648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30230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公务用车运行维护费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20.0000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20.0000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30231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35.0000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35.0000</w:t>
            </w:r>
          </w:p>
        </w:tc>
      </w:tr>
      <w:tr w:rsidR="008F7E33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30231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15.0000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15.0000</w:t>
            </w:r>
          </w:p>
        </w:tc>
      </w:tr>
      <w:tr w:rsidR="008F7E33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30233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职工教育经费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0.8880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0.8880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8F7E33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30299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其他商品和服务支出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2.0498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2.0498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</w:tbl>
    <w:p w:rsidR="008F7E33" w:rsidRDefault="008F7E33">
      <w:pPr>
        <w:shd w:val="solid" w:color="FFFFFF" w:fill="auto"/>
        <w:autoSpaceDN w:val="0"/>
        <w:spacing w:line="420" w:lineRule="atLeast"/>
        <w:ind w:firstLineChars="200" w:firstLine="640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ind w:firstLineChars="200" w:firstLine="640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tbl>
      <w:tblPr>
        <w:tblW w:w="0" w:type="auto"/>
        <w:tblInd w:w="93" w:type="dxa"/>
        <w:tblLayout w:type="fixed"/>
        <w:tblLook w:val="0000"/>
      </w:tblPr>
      <w:tblGrid>
        <w:gridCol w:w="914"/>
        <w:gridCol w:w="1699"/>
        <w:gridCol w:w="1699"/>
        <w:gridCol w:w="1699"/>
        <w:gridCol w:w="2430"/>
        <w:gridCol w:w="1739"/>
      </w:tblGrid>
      <w:tr w:rsidR="008F7E33">
        <w:trPr>
          <w:trHeight w:val="540"/>
        </w:trPr>
        <w:tc>
          <w:tcPr>
            <w:tcW w:w="1018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2017年“三公”经费预算表</w:t>
            </w:r>
          </w:p>
        </w:tc>
      </w:tr>
      <w:tr w:rsidR="008F7E33">
        <w:trPr>
          <w:trHeight w:val="255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</w:tr>
      <w:tr w:rsidR="008F7E33">
        <w:trPr>
          <w:trHeight w:val="255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</w:tr>
      <w:tr w:rsidR="008F7E33">
        <w:trPr>
          <w:trHeight w:val="255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8F7E33">
        <w:trPr>
          <w:trHeight w:val="255"/>
        </w:trPr>
        <w:tc>
          <w:tcPr>
            <w:tcW w:w="26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单位名称：交管站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单位：万元</w:t>
            </w:r>
          </w:p>
        </w:tc>
      </w:tr>
      <w:tr w:rsidR="008F7E33">
        <w:trPr>
          <w:trHeight w:val="450"/>
        </w:trPr>
        <w:tc>
          <w:tcPr>
            <w:tcW w:w="9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年度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“三公”经费财政拨款预算总额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因公出国(境)费用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公务接待费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公务用车购置及运行维护费</w:t>
            </w:r>
          </w:p>
        </w:tc>
        <w:tc>
          <w:tcPr>
            <w:tcW w:w="1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F7E33">
        <w:trPr>
          <w:trHeight w:val="495"/>
        </w:trPr>
        <w:tc>
          <w:tcPr>
            <w:tcW w:w="9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公务用车购置费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公务用车运行维护费</w:t>
            </w:r>
          </w:p>
        </w:tc>
      </w:tr>
      <w:tr w:rsidR="008F7E33">
        <w:trPr>
          <w:trHeight w:val="255"/>
        </w:trPr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</w:tr>
      <w:tr w:rsidR="008F7E33">
        <w:trPr>
          <w:trHeight w:val="255"/>
        </w:trPr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F7E33" w:rsidRDefault="008F7E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2017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20.0000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righ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20.0000</w:t>
            </w:r>
          </w:p>
        </w:tc>
      </w:tr>
      <w:tr w:rsidR="008F7E33">
        <w:trPr>
          <w:trHeight w:val="312"/>
        </w:trPr>
        <w:tc>
          <w:tcPr>
            <w:tcW w:w="1018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注：“三公经费”财政拨款预算数，是指本部门当年部门预算安排的因公出国（境）费用、公务接待费、公务用车购置和运行维护费预算数（含基本经费和项目经费）。其中公务用车运行维护费包含公务用车燃油、维修、保险及其他共计四项。</w:t>
            </w:r>
          </w:p>
        </w:tc>
      </w:tr>
      <w:tr w:rsidR="008F7E33">
        <w:trPr>
          <w:trHeight w:val="312"/>
        </w:trPr>
        <w:tc>
          <w:tcPr>
            <w:tcW w:w="1018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8F7E33">
        <w:trPr>
          <w:trHeight w:val="312"/>
        </w:trPr>
        <w:tc>
          <w:tcPr>
            <w:tcW w:w="1018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E33" w:rsidRDefault="008F7E3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 w:rsidR="008F7E33" w:rsidRDefault="008F7E33">
      <w:pPr>
        <w:shd w:val="solid" w:color="FFFFFF" w:fill="auto"/>
        <w:autoSpaceDN w:val="0"/>
        <w:spacing w:line="420" w:lineRule="atLeast"/>
        <w:rPr>
          <w:rFonts w:ascii="宋体" w:hAnsi="宋体" w:cs="宋体" w:hint="eastAsia"/>
          <w:kern w:val="0"/>
          <w:sz w:val="18"/>
          <w:szCs w:val="18"/>
        </w:rPr>
      </w:pPr>
    </w:p>
    <w:p w:rsidR="008F7E33" w:rsidRDefault="008F7E33">
      <w:pPr>
        <w:shd w:val="solid" w:color="FFFFFF" w:fill="auto"/>
        <w:autoSpaceDN w:val="0"/>
        <w:spacing w:line="420" w:lineRule="atLeast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shd w:val="solid" w:color="FFFFFF" w:fill="auto"/>
        <w:autoSpaceDN w:val="0"/>
        <w:spacing w:line="420" w:lineRule="atLeast"/>
        <w:rPr>
          <w:rFonts w:ascii="仿宋_GB2312" w:eastAsia="仿宋_GB2312" w:hAnsi="微软雅黑" w:hint="eastAsia"/>
          <w:color w:val="2B2B2B"/>
          <w:sz w:val="32"/>
          <w:szCs w:val="32"/>
          <w:shd w:val="clear" w:color="auto" w:fill="FFFFFF"/>
        </w:rPr>
      </w:pPr>
    </w:p>
    <w:p w:rsidR="008F7E33" w:rsidRDefault="008F7E33">
      <w:pPr>
        <w:rPr>
          <w:rFonts w:ascii="仿宋_GB2312" w:eastAsia="仿宋_GB2312" w:hAnsi="宋体" w:hint="eastAsia"/>
          <w:b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                                                                   </w:t>
      </w:r>
      <w:bookmarkStart w:id="0" w:name="_GoBack"/>
      <w:bookmarkEnd w:id="0"/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           </w:t>
      </w:r>
      <w:r>
        <w:rPr>
          <w:rFonts w:ascii="仿宋_GB2312" w:eastAsia="仿宋_GB2312" w:hAnsi="宋体" w:cs="宋体"/>
          <w:kern w:val="0"/>
          <w:sz w:val="28"/>
          <w:szCs w:val="28"/>
        </w:rPr>
        <w:t xml:space="preserve">                                                </w:t>
      </w:r>
    </w:p>
    <w:sectPr w:rsidR="008F7E33">
      <w:footerReference w:type="even" r:id="rId6"/>
      <w:footerReference w:type="default" r:id="rId7"/>
      <w:pgSz w:w="11906" w:h="16838"/>
      <w:pgMar w:top="2098" w:right="851" w:bottom="1985" w:left="85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7BB0" w:rsidRDefault="00E77BB0">
      <w:r>
        <w:separator/>
      </w:r>
    </w:p>
  </w:endnote>
  <w:endnote w:type="continuationSeparator" w:id="1">
    <w:p w:rsidR="00E77BB0" w:rsidRDefault="00E77B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7E33" w:rsidRDefault="008F7E33">
    <w:pPr>
      <w:pStyle w:val="a6"/>
      <w:framePr w:wrap="around" w:vAnchor="text" w:hAnchor="margin" w:xAlign="outside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lang w:val="en-US" w:eastAsia="zh-CN"/>
      </w:rPr>
      <w:t>6</w:t>
    </w:r>
    <w:r>
      <w:fldChar w:fldCharType="end"/>
    </w:r>
  </w:p>
  <w:p w:rsidR="008F7E33" w:rsidRDefault="008F7E33">
    <w:pPr>
      <w:pStyle w:val="a6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7E33" w:rsidRDefault="008F7E33">
    <w:pPr>
      <w:pStyle w:val="a6"/>
      <w:framePr w:wrap="around" w:vAnchor="text" w:hAnchor="margin" w:xAlign="outside" w:y="1"/>
      <w:rPr>
        <w:rStyle w:val="a4"/>
        <w:sz w:val="28"/>
        <w:szCs w:val="28"/>
      </w:rPr>
    </w:pPr>
    <w:r>
      <w:rPr>
        <w:rStyle w:val="a4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a4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F803B0">
      <w:rPr>
        <w:rStyle w:val="a4"/>
        <w:noProof/>
        <w:sz w:val="28"/>
        <w:szCs w:val="28"/>
      </w:rPr>
      <w:t>2</w:t>
    </w:r>
    <w:r>
      <w:rPr>
        <w:sz w:val="28"/>
        <w:szCs w:val="28"/>
      </w:rPr>
      <w:fldChar w:fldCharType="end"/>
    </w:r>
    <w:r>
      <w:rPr>
        <w:rStyle w:val="a4"/>
        <w:sz w:val="28"/>
        <w:szCs w:val="28"/>
      </w:rPr>
      <w:t xml:space="preserve"> —</w:t>
    </w:r>
  </w:p>
  <w:p w:rsidR="008F7E33" w:rsidRDefault="008F7E33">
    <w:pPr>
      <w:pStyle w:val="a6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7BB0" w:rsidRDefault="00E77BB0">
      <w:r>
        <w:separator/>
      </w:r>
    </w:p>
  </w:footnote>
  <w:footnote w:type="continuationSeparator" w:id="1">
    <w:p w:rsidR="00E77BB0" w:rsidRDefault="00E77B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4954"/>
    <w:rsid w:val="000273DB"/>
    <w:rsid w:val="00063041"/>
    <w:rsid w:val="00066A17"/>
    <w:rsid w:val="000777DD"/>
    <w:rsid w:val="000C2981"/>
    <w:rsid w:val="000F785F"/>
    <w:rsid w:val="001111BC"/>
    <w:rsid w:val="00113642"/>
    <w:rsid w:val="00140FB6"/>
    <w:rsid w:val="0015179F"/>
    <w:rsid w:val="00155F74"/>
    <w:rsid w:val="001608C9"/>
    <w:rsid w:val="00180AD4"/>
    <w:rsid w:val="00181A94"/>
    <w:rsid w:val="00182E84"/>
    <w:rsid w:val="00193C98"/>
    <w:rsid w:val="001A42A5"/>
    <w:rsid w:val="001A5F2E"/>
    <w:rsid w:val="001B34B2"/>
    <w:rsid w:val="001C58E6"/>
    <w:rsid w:val="00205083"/>
    <w:rsid w:val="00211F34"/>
    <w:rsid w:val="00222A11"/>
    <w:rsid w:val="00224E53"/>
    <w:rsid w:val="00231175"/>
    <w:rsid w:val="0027465A"/>
    <w:rsid w:val="00274AB9"/>
    <w:rsid w:val="0029585F"/>
    <w:rsid w:val="00296A4B"/>
    <w:rsid w:val="002B651A"/>
    <w:rsid w:val="002D005D"/>
    <w:rsid w:val="002D134C"/>
    <w:rsid w:val="003030AB"/>
    <w:rsid w:val="00337F45"/>
    <w:rsid w:val="0034182A"/>
    <w:rsid w:val="0034444E"/>
    <w:rsid w:val="00356E7A"/>
    <w:rsid w:val="0038645C"/>
    <w:rsid w:val="00396CBF"/>
    <w:rsid w:val="003A565C"/>
    <w:rsid w:val="003A7DBD"/>
    <w:rsid w:val="003B5269"/>
    <w:rsid w:val="003B7662"/>
    <w:rsid w:val="003D5944"/>
    <w:rsid w:val="003E58F1"/>
    <w:rsid w:val="00401DFA"/>
    <w:rsid w:val="004048AE"/>
    <w:rsid w:val="00425A62"/>
    <w:rsid w:val="00431D67"/>
    <w:rsid w:val="00440A65"/>
    <w:rsid w:val="00445A43"/>
    <w:rsid w:val="00466832"/>
    <w:rsid w:val="00481B8E"/>
    <w:rsid w:val="004836D1"/>
    <w:rsid w:val="00485A23"/>
    <w:rsid w:val="00497B40"/>
    <w:rsid w:val="004A0AAB"/>
    <w:rsid w:val="004A4F8D"/>
    <w:rsid w:val="004D2B7D"/>
    <w:rsid w:val="004D3491"/>
    <w:rsid w:val="004D372C"/>
    <w:rsid w:val="004E0A1E"/>
    <w:rsid w:val="004E2DED"/>
    <w:rsid w:val="004E2EC8"/>
    <w:rsid w:val="005158D6"/>
    <w:rsid w:val="00522360"/>
    <w:rsid w:val="00550AE1"/>
    <w:rsid w:val="005530E2"/>
    <w:rsid w:val="0056419B"/>
    <w:rsid w:val="00566D7B"/>
    <w:rsid w:val="00594D73"/>
    <w:rsid w:val="005E7923"/>
    <w:rsid w:val="00610CB2"/>
    <w:rsid w:val="00615F40"/>
    <w:rsid w:val="0065539A"/>
    <w:rsid w:val="006828D1"/>
    <w:rsid w:val="006B26F6"/>
    <w:rsid w:val="006C09D0"/>
    <w:rsid w:val="006E052B"/>
    <w:rsid w:val="006F4F7C"/>
    <w:rsid w:val="007617E8"/>
    <w:rsid w:val="0076613E"/>
    <w:rsid w:val="00791C62"/>
    <w:rsid w:val="007B56C8"/>
    <w:rsid w:val="007C10B7"/>
    <w:rsid w:val="007D2A32"/>
    <w:rsid w:val="007F2222"/>
    <w:rsid w:val="00801C95"/>
    <w:rsid w:val="00807F55"/>
    <w:rsid w:val="008349AA"/>
    <w:rsid w:val="008553D8"/>
    <w:rsid w:val="0086226E"/>
    <w:rsid w:val="0088119F"/>
    <w:rsid w:val="008F77AE"/>
    <w:rsid w:val="008F7E33"/>
    <w:rsid w:val="0091250D"/>
    <w:rsid w:val="009171C9"/>
    <w:rsid w:val="00923249"/>
    <w:rsid w:val="00945163"/>
    <w:rsid w:val="00957E0F"/>
    <w:rsid w:val="009745A8"/>
    <w:rsid w:val="00977CA9"/>
    <w:rsid w:val="00993DFC"/>
    <w:rsid w:val="009A30AF"/>
    <w:rsid w:val="009F0C00"/>
    <w:rsid w:val="009F39A7"/>
    <w:rsid w:val="00A27D39"/>
    <w:rsid w:val="00A342C1"/>
    <w:rsid w:val="00A516E9"/>
    <w:rsid w:val="00A55A62"/>
    <w:rsid w:val="00A576EE"/>
    <w:rsid w:val="00A83241"/>
    <w:rsid w:val="00A86874"/>
    <w:rsid w:val="00A976EF"/>
    <w:rsid w:val="00AD18EB"/>
    <w:rsid w:val="00AD4861"/>
    <w:rsid w:val="00AE760B"/>
    <w:rsid w:val="00AF2C69"/>
    <w:rsid w:val="00B20F79"/>
    <w:rsid w:val="00B24669"/>
    <w:rsid w:val="00B277B5"/>
    <w:rsid w:val="00B30968"/>
    <w:rsid w:val="00B37EB4"/>
    <w:rsid w:val="00B5192B"/>
    <w:rsid w:val="00B72C78"/>
    <w:rsid w:val="00B80409"/>
    <w:rsid w:val="00B87AF1"/>
    <w:rsid w:val="00B92BDD"/>
    <w:rsid w:val="00BA2BAD"/>
    <w:rsid w:val="00BF27C3"/>
    <w:rsid w:val="00C02B60"/>
    <w:rsid w:val="00C262C9"/>
    <w:rsid w:val="00C2677F"/>
    <w:rsid w:val="00C461CB"/>
    <w:rsid w:val="00C71835"/>
    <w:rsid w:val="00C96175"/>
    <w:rsid w:val="00CB5443"/>
    <w:rsid w:val="00CD0F6E"/>
    <w:rsid w:val="00D14085"/>
    <w:rsid w:val="00D20D4D"/>
    <w:rsid w:val="00D306F3"/>
    <w:rsid w:val="00D36933"/>
    <w:rsid w:val="00D40E92"/>
    <w:rsid w:val="00D40EB9"/>
    <w:rsid w:val="00D5318E"/>
    <w:rsid w:val="00D71A7C"/>
    <w:rsid w:val="00D86B42"/>
    <w:rsid w:val="00DA2802"/>
    <w:rsid w:val="00DB0D3B"/>
    <w:rsid w:val="00DC6C3F"/>
    <w:rsid w:val="00DE767A"/>
    <w:rsid w:val="00E23EDD"/>
    <w:rsid w:val="00E27228"/>
    <w:rsid w:val="00E31C4E"/>
    <w:rsid w:val="00E36FD0"/>
    <w:rsid w:val="00E52592"/>
    <w:rsid w:val="00E646CA"/>
    <w:rsid w:val="00E77ABC"/>
    <w:rsid w:val="00E77BB0"/>
    <w:rsid w:val="00E81A14"/>
    <w:rsid w:val="00E86131"/>
    <w:rsid w:val="00EA3500"/>
    <w:rsid w:val="00EA54F8"/>
    <w:rsid w:val="00EB526D"/>
    <w:rsid w:val="00ED0B20"/>
    <w:rsid w:val="00ED33C5"/>
    <w:rsid w:val="00ED70D9"/>
    <w:rsid w:val="00EE2599"/>
    <w:rsid w:val="00F10687"/>
    <w:rsid w:val="00F126F6"/>
    <w:rsid w:val="00F128CB"/>
    <w:rsid w:val="00F160E6"/>
    <w:rsid w:val="00F20E7E"/>
    <w:rsid w:val="00F37E7A"/>
    <w:rsid w:val="00F4477B"/>
    <w:rsid w:val="00F51FB0"/>
    <w:rsid w:val="00F6396B"/>
    <w:rsid w:val="00F6554D"/>
    <w:rsid w:val="00F77FBC"/>
    <w:rsid w:val="00F803B0"/>
    <w:rsid w:val="00F90A55"/>
    <w:rsid w:val="00FB4073"/>
    <w:rsid w:val="00FC2083"/>
    <w:rsid w:val="00FC5516"/>
    <w:rsid w:val="00FF2661"/>
    <w:rsid w:val="166E6B46"/>
    <w:rsid w:val="3A6A5B60"/>
    <w:rsid w:val="3B086D90"/>
    <w:rsid w:val="464F709E"/>
    <w:rsid w:val="492C7666"/>
    <w:rsid w:val="56A06E7E"/>
    <w:rsid w:val="5E5E02BB"/>
    <w:rsid w:val="6B507E26"/>
    <w:rsid w:val="6CE613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494</Words>
  <Characters>2818</Characters>
  <Application>Microsoft Office Word</Application>
  <DocSecurity>0</DocSecurity>
  <PresentationFormat/>
  <Lines>23</Lines>
  <Paragraphs>6</Paragraphs>
  <Slides>0</Slides>
  <Notes>0</Notes>
  <HiddenSlides>0</HiddenSlides>
  <MMClips>0</MMClips>
  <ScaleCrop>false</ScaleCrop>
  <Company>微软中国</Company>
  <LinksUpToDate>false</LinksUpToDate>
  <CharactersWithSpaces>3306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按照《2014年区级部门预算公开工作实施方案》文件精神，现将莲湖区北院门街道办事处部门预算内容说明如下：</dc:title>
  <dc:creator>yanli</dc:creator>
  <cp:lastModifiedBy>le</cp:lastModifiedBy>
  <cp:revision>2</cp:revision>
  <cp:lastPrinted>2014-08-29T03:05:00Z</cp:lastPrinted>
  <dcterms:created xsi:type="dcterms:W3CDTF">2017-10-25T08:24:00Z</dcterms:created>
  <dcterms:modified xsi:type="dcterms:W3CDTF">2017-10-25T08:24:00Z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