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1" w:tblpY="-835"/>
        <w:tblOverlap w:val="never"/>
        <w:tblW w:w="0" w:type="auto"/>
        <w:tblLook w:val="0000"/>
      </w:tblPr>
      <w:tblGrid>
        <w:gridCol w:w="3674"/>
        <w:gridCol w:w="1786"/>
        <w:gridCol w:w="3436"/>
        <w:gridCol w:w="1830"/>
        <w:gridCol w:w="3210"/>
        <w:gridCol w:w="1604"/>
      </w:tblGrid>
      <w:tr w:rsidR="008A56DD" w:rsidTr="00D80278">
        <w:trPr>
          <w:trHeight w:val="450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9524C">
            <w:pPr>
              <w:jc w:val="center"/>
              <w:rPr>
                <w:rFonts w:ascii="宋体"/>
                <w:b/>
                <w:sz w:val="40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（一）</w:t>
            </w:r>
            <w:r w:rsidR="00D9524C" w:rsidRPr="00D9524C">
              <w:rPr>
                <w:rFonts w:ascii="黑体" w:eastAsia="黑体" w:hint="eastAsia"/>
                <w:sz w:val="32"/>
                <w:szCs w:val="32"/>
              </w:rPr>
              <w:t>莲湖区财政局</w:t>
            </w:r>
            <w:r>
              <w:rPr>
                <w:rFonts w:ascii="黑体" w:eastAsia="黑体" w:hint="eastAsia"/>
                <w:sz w:val="32"/>
                <w:szCs w:val="32"/>
              </w:rPr>
              <w:t>2016年度收入支出决算总表</w:t>
            </w:r>
          </w:p>
        </w:tc>
      </w:tr>
      <w:tr w:rsidR="008A56DD" w:rsidTr="00D80278">
        <w:trPr>
          <w:trHeight w:val="282"/>
        </w:trPr>
        <w:tc>
          <w:tcPr>
            <w:tcW w:w="5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单位：万元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    目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决算数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项目(按功能分类)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决算数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项目(按支出性质和经济分类)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决算数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1、财政拨款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1154.89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1、一般公共服务支出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1111.67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一、基本支出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797.24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  其中：政府性基金拨款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2、外交支出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人员经费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653.94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2、上级补助收入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3、国防支出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日常公用经费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143.3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3、事业收入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4、公共安全支出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二、项目支出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332.87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    其中：纳入财政专户管理的收费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5、教育支出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基本建设类项目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4、经营收入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6、科学技术支出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行政事业类项目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332.87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5、附属单位上缴收入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7、文化体育与传媒支出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三、上缴上级支出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7、其他收入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21.25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8、社会保障和就业支出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四、经营支出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9、医疗卫生与计划生育支出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五、对附属单位补助支出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10、节能环保支出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11、城乡社区支出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支出经济分类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12、农林水支出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基本支出和项目支出合计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13、交通运输支出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工资福利支出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14、资源勘探信息等支出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商品和服务支出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15、商业服务业等支出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对个人和家庭的补助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16、金融支出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对企事业单位的补贴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17、援助其他地区支出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债务利息支出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18、国土海洋气象等支出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基本建设支出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19、住房保障支出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其他资本性支出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20、油物资储备支出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其他支出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21、其他支出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本年收入合计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1176.14</w:t>
            </w: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本年支出合计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1130.11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用事业基金弥补收支差额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结余分配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年初结转和结余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402.04</w:t>
            </w: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年末结转和结余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448.08</w:t>
            </w: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  基本支出结转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101.24</w:t>
            </w: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  项目支出结转和结余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300.80</w:t>
            </w: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18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 经营结余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收入总计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1578.18</w:t>
            </w:r>
          </w:p>
        </w:tc>
        <w:tc>
          <w:tcPr>
            <w:tcW w:w="8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支出总计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1578.18</w:t>
            </w:r>
          </w:p>
        </w:tc>
      </w:tr>
    </w:tbl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 xml:space="preserve">      （二）</w:t>
      </w:r>
      <w:r w:rsidR="00D9524C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2016年度部门决算收入总表</w:t>
      </w:r>
    </w:p>
    <w:p w:rsidR="008A56DD" w:rsidRDefault="008A56DD" w:rsidP="008A56DD">
      <w:pPr>
        <w:widowControl/>
        <w:jc w:val="right"/>
        <w:rPr>
          <w:rFonts w:ascii="宋体"/>
          <w:sz w:val="24"/>
        </w:rPr>
      </w:pPr>
    </w:p>
    <w:p w:rsidR="008A56DD" w:rsidRDefault="008A56DD" w:rsidP="008A56DD">
      <w:pPr>
        <w:widowControl/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                                                                             单位：万元</w:t>
      </w:r>
    </w:p>
    <w:tbl>
      <w:tblPr>
        <w:tblpPr w:leftFromText="180" w:rightFromText="180" w:vertAnchor="text" w:horzAnchor="page" w:tblpX="1076" w:tblpY="413"/>
        <w:tblOverlap w:val="never"/>
        <w:tblW w:w="0" w:type="auto"/>
        <w:tblLook w:val="0000"/>
      </w:tblPr>
      <w:tblGrid>
        <w:gridCol w:w="1357"/>
        <w:gridCol w:w="2835"/>
        <w:gridCol w:w="1717"/>
        <w:gridCol w:w="1125"/>
        <w:gridCol w:w="1125"/>
        <w:gridCol w:w="1365"/>
        <w:gridCol w:w="1365"/>
        <w:gridCol w:w="1365"/>
        <w:gridCol w:w="1365"/>
        <w:gridCol w:w="1365"/>
      </w:tblGrid>
      <w:tr w:rsidR="008A56DD" w:rsidTr="00D80278">
        <w:trPr>
          <w:trHeight w:val="1125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科目编码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科目名称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合计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一般公共预算拨款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政府性基金拨款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上级补助收入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事业收入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经营收入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附属单位上缴收入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其他收入</w:t>
            </w:r>
          </w:p>
        </w:tc>
      </w:tr>
      <w:tr w:rsidR="008A56DD" w:rsidTr="00D80278">
        <w:trPr>
          <w:trHeight w:val="360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 款 项</w:t>
            </w:r>
          </w:p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栏次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8</w:t>
            </w:r>
          </w:p>
        </w:tc>
      </w:tr>
      <w:tr w:rsidR="008A56DD" w:rsidTr="00D80278">
        <w:trPr>
          <w:trHeight w:val="360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合计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1176.14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C86324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</w:t>
            </w:r>
            <w:r w:rsidR="00C86324">
              <w:rPr>
                <w:rFonts w:ascii="宋体" w:hint="eastAsia"/>
                <w:sz w:val="18"/>
              </w:rPr>
              <w:t>39</w:t>
            </w:r>
            <w:r>
              <w:rPr>
                <w:rFonts w:ascii="宋体" w:hint="eastAsia"/>
                <w:sz w:val="18"/>
              </w:rPr>
              <w:t>.89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C86324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C86324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21.25</w:t>
            </w:r>
          </w:p>
        </w:tc>
      </w:tr>
      <w:tr w:rsidR="008A56DD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  <w:r w:rsidR="00D9524C"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一般公共服务支出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1122.7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1101.45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  <w:r w:rsidR="00D9524C">
              <w:rPr>
                <w:rFonts w:ascii="宋体" w:hint="eastAsia"/>
                <w:sz w:val="18"/>
              </w:rPr>
              <w:t>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财政事务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1112.7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1091.45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8A56DD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行政运行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755.62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734.37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21.25</w:t>
            </w: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一般行政管理事务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财政国库业务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财政监察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信息化建设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133.26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133.26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其他财政事务支出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80.82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80.82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其他一般公共服务支出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2019999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其他一般公共服务支出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社会保障和就业支出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20899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其他社会保障和就业支出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2089901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50" w:firstLine="45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其他社会保障和就业支出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right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         </w:t>
            </w: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医疗卫生与计划生育支出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医疗保障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2100501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行政单位医疗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城乡社区支出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Pr="00D9524C" w:rsidRDefault="00D9524C" w:rsidP="00D9524C">
            <w:pPr>
              <w:ind w:firstLineChars="100" w:firstLine="110"/>
              <w:rPr>
                <w:rFonts w:ascii="宋体"/>
                <w:sz w:val="11"/>
                <w:szCs w:val="11"/>
              </w:rPr>
            </w:pPr>
            <w:r w:rsidRPr="00D9524C">
              <w:rPr>
                <w:rFonts w:ascii="宋体" w:hint="eastAsia"/>
                <w:sz w:val="11"/>
                <w:szCs w:val="11"/>
              </w:rPr>
              <w:t>新增建设用地土地有偿使用费及对应专项债务收入安排的支出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21203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土地整理支出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36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</w:tbl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 xml:space="preserve">  </w:t>
      </w: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D9524C" w:rsidRDefault="00D9524C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（三）</w:t>
      </w:r>
      <w:r w:rsidR="00D9524C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2016年度部门决算支出总表</w:t>
      </w:r>
    </w:p>
    <w:p w:rsidR="008A56DD" w:rsidRDefault="008A56DD" w:rsidP="008A56DD">
      <w:pPr>
        <w:widowControl/>
        <w:jc w:val="right"/>
        <w:rPr>
          <w:rFonts w:ascii="宋体"/>
          <w:sz w:val="24"/>
        </w:rPr>
      </w:pPr>
    </w:p>
    <w:p w:rsidR="008A56DD" w:rsidRDefault="008A56DD" w:rsidP="008A56DD">
      <w:pPr>
        <w:widowControl/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                                                                             单位：万元</w:t>
      </w:r>
    </w:p>
    <w:tbl>
      <w:tblPr>
        <w:tblW w:w="14700" w:type="dxa"/>
        <w:tblInd w:w="613" w:type="dxa"/>
        <w:tblLook w:val="0000"/>
      </w:tblPr>
      <w:tblGrid>
        <w:gridCol w:w="1306"/>
        <w:gridCol w:w="3333"/>
        <w:gridCol w:w="1366"/>
        <w:gridCol w:w="1577"/>
        <w:gridCol w:w="1381"/>
        <w:gridCol w:w="1607"/>
        <w:gridCol w:w="1592"/>
        <w:gridCol w:w="2538"/>
      </w:tblGrid>
      <w:tr w:rsidR="008A56DD" w:rsidTr="00D80278">
        <w:trPr>
          <w:trHeight w:val="114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科目编码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科目名称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合计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基本支出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项目支出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上缴上级支出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经营支出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对附属单位补助支出</w:t>
            </w:r>
          </w:p>
        </w:tc>
      </w:tr>
      <w:tr w:rsidR="008A56DD" w:rsidTr="00D80278">
        <w:trPr>
          <w:trHeight w:val="304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 款 项</w:t>
            </w:r>
          </w:p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栏次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</w:t>
            </w:r>
          </w:p>
        </w:tc>
      </w:tr>
      <w:tr w:rsidR="008A56DD" w:rsidTr="00D80278">
        <w:trPr>
          <w:trHeight w:val="289"/>
        </w:trPr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合计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1130.1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797.24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332.87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一般公共服务支出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1111.67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778.8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332.87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财政事务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1101.67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778.8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322.87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行政运行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778.8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778.8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一般行政管理事务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11.89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11.89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财政国库业务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100.04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100.04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2010606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财政监察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2010607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信息化建设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80.13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80.13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2010699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其他财政事务支出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94.8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94.8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20199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其他一般公共服务支出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2019999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其他一般公共服务支出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医疗卫生与计划生育支出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21005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医疗保障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  <w:tr w:rsidR="00D9524C" w:rsidTr="00D80278">
        <w:trPr>
          <w:trHeight w:val="4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2100501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行政单位医疗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80278">
            <w:pPr>
              <w:jc w:val="righ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18.44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24C" w:rsidRDefault="00D9524C" w:rsidP="00D9524C">
            <w:pPr>
              <w:jc w:val="right"/>
              <w:rPr>
                <w:rFonts w:ascii="宋体"/>
                <w:sz w:val="18"/>
              </w:rPr>
            </w:pPr>
          </w:p>
        </w:tc>
      </w:tr>
    </w:tbl>
    <w:p w:rsidR="008A56DD" w:rsidRDefault="008A56DD" w:rsidP="008A56DD">
      <w:pPr>
        <w:widowControl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（四）</w:t>
      </w:r>
      <w:r w:rsidR="00D9524C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 xml:space="preserve">2016年度财政拨款收入支出决算总表 </w:t>
      </w: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sz w:val="24"/>
        </w:rPr>
        <w:t xml:space="preserve">                                                                                                 单位：万元</w:t>
      </w:r>
      <w:r>
        <w:rPr>
          <w:rFonts w:ascii="宋体" w:hint="eastAsia"/>
          <w:b/>
          <w:bCs/>
          <w:sz w:val="36"/>
          <w:szCs w:val="36"/>
        </w:rPr>
        <w:t xml:space="preserve"> </w:t>
      </w:r>
    </w:p>
    <w:tbl>
      <w:tblPr>
        <w:tblW w:w="14380" w:type="dxa"/>
        <w:tblInd w:w="821" w:type="dxa"/>
        <w:tblLook w:val="0000"/>
      </w:tblPr>
      <w:tblGrid>
        <w:gridCol w:w="3460"/>
        <w:gridCol w:w="1575"/>
        <w:gridCol w:w="3465"/>
        <w:gridCol w:w="1575"/>
        <w:gridCol w:w="2835"/>
        <w:gridCol w:w="1470"/>
      </w:tblGrid>
      <w:tr w:rsidR="008A56DD" w:rsidTr="00D80278">
        <w:trPr>
          <w:trHeight w:val="28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收入</w:t>
            </w: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支出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项目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决算数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支出功能分类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决算数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支出经济分类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决算数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一、一般公共预算财政拨款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1139.89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一、一般公共服务支出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1067.24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一、基本支出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752.81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二、政府性基金预算财政拨款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二、外交支出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人员经费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653.94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三、国防支出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日常公用经费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98.87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四、公共安全支出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五、教育支出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二、项目支出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332.87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六、科学技术支出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基本建设类项目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七、文化体育与传媒支出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行政事业类项目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332.87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八、社会保障和就业支出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支出经济分类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九、医疗卫生与计划生育支出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18.44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工资福利支出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6DD" w:rsidRDefault="00D9524C" w:rsidP="00D80278">
            <w:r>
              <w:rPr>
                <w:rFonts w:hint="eastAsia"/>
              </w:rPr>
              <w:t>605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十、节能环保支出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商品和服务支出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397.63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十一、城乡社区支出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对个人和家庭的补助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48.94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十二、农林水支出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对企事业单位的补贴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十三、交通运输支出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债务利息支出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十四、资源勘探信息等支出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基本建设支出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十五、商业服务业等支出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其他支出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十六、金融支出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十七、援助其他地区支出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  <w:szCs w:val="18"/>
              </w:rPr>
              <w:t>本年收入合计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1154.89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pPr>
              <w:jc w:val="center"/>
              <w:rPr>
                <w:rFonts w:ascii="宋体"/>
                <w:b/>
                <w:color w:val="000000"/>
                <w:sz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1085.68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sz w:val="18"/>
                <w:szCs w:val="18"/>
              </w:rPr>
              <w:t>本年支出合计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1085.68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年末财政拨款结转和结余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337.01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年末财政拨款结转和结余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337.01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年初财政拨款结转和结余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300.8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基本支出结转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基本支出结转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一、一般公共预算财政拨款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282.8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项目支出结转和结余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337.01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项目支出结转和结余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337.01</w:t>
            </w:r>
          </w:p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二、政府性基金预算财政拨款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D9524C" w:rsidP="00D80278"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总计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总计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</w:rPr>
              <w:t>支出总计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A56DD" w:rsidRDefault="008A56DD" w:rsidP="00D80278"/>
        </w:tc>
      </w:tr>
    </w:tbl>
    <w:tbl>
      <w:tblPr>
        <w:tblpPr w:leftFromText="180" w:rightFromText="180" w:vertAnchor="text" w:horzAnchor="page" w:tblpX="966" w:tblpY="413"/>
        <w:tblOverlap w:val="never"/>
        <w:tblW w:w="0" w:type="auto"/>
        <w:tblLook w:val="0000"/>
      </w:tblPr>
      <w:tblGrid>
        <w:gridCol w:w="3536"/>
        <w:gridCol w:w="2835"/>
        <w:gridCol w:w="2835"/>
        <w:gridCol w:w="2835"/>
        <w:gridCol w:w="2835"/>
      </w:tblGrid>
      <w:tr w:rsidR="008A56DD" w:rsidTr="00D80278">
        <w:trPr>
          <w:trHeight w:val="885"/>
        </w:trPr>
        <w:tc>
          <w:tcPr>
            <w:tcW w:w="14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lastRenderedPageBreak/>
              <w:t>（五）</w:t>
            </w:r>
            <w:r w:rsidR="00465F61">
              <w:rPr>
                <w:rFonts w:ascii="宋体" w:hint="eastAsia"/>
                <w:b/>
                <w:bCs/>
                <w:sz w:val="36"/>
                <w:szCs w:val="36"/>
              </w:rPr>
              <w:t>莲湖区财政局</w:t>
            </w:r>
            <w:r>
              <w:rPr>
                <w:rFonts w:ascii="宋体" w:hint="eastAsia"/>
                <w:b/>
                <w:color w:val="000000"/>
                <w:sz w:val="36"/>
              </w:rPr>
              <w:t>2016年度一般公共预算财政拨款支出决算表</w:t>
            </w:r>
          </w:p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36"/>
              </w:rPr>
            </w:pPr>
            <w:r>
              <w:rPr>
                <w:rFonts w:ascii="宋体" w:hint="eastAsia"/>
                <w:b/>
                <w:color w:val="000000"/>
                <w:sz w:val="36"/>
              </w:rPr>
              <w:t>（按支出功能分类）</w:t>
            </w:r>
          </w:p>
        </w:tc>
      </w:tr>
      <w:tr w:rsidR="008A56DD" w:rsidTr="00D80278">
        <w:trPr>
          <w:trHeight w:val="57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单位：万元</w:t>
            </w:r>
          </w:p>
        </w:tc>
      </w:tr>
      <w:tr w:rsidR="008A56DD" w:rsidTr="00D80278">
        <w:trPr>
          <w:trHeight w:val="780"/>
        </w:trPr>
        <w:tc>
          <w:tcPr>
            <w:tcW w:w="63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b/>
                <w:color w:val="000000"/>
                <w:sz w:val="28"/>
              </w:rPr>
            </w:pPr>
            <w:r>
              <w:rPr>
                <w:rFonts w:ascii="仿宋" w:eastAsia="仿宋" w:hint="eastAsia"/>
                <w:b/>
                <w:color w:val="000000"/>
                <w:sz w:val="28"/>
              </w:rPr>
              <w:t>支出功能分类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 w:hint="eastAsia"/>
                <w:color w:val="000000"/>
                <w:sz w:val="28"/>
              </w:rPr>
              <w:t>合计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 w:hint="eastAsia"/>
                <w:color w:val="000000"/>
                <w:sz w:val="28"/>
              </w:rPr>
              <w:t>基本支出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 w:hint="eastAsia"/>
                <w:color w:val="000000"/>
                <w:sz w:val="28"/>
              </w:rPr>
              <w:t>项目支出</w:t>
            </w:r>
          </w:p>
        </w:tc>
      </w:tr>
      <w:tr w:rsidR="008A56DD" w:rsidTr="00D80278">
        <w:trPr>
          <w:trHeight w:val="78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b/>
                <w:color w:val="000000"/>
                <w:sz w:val="28"/>
              </w:rPr>
            </w:pPr>
            <w:r>
              <w:rPr>
                <w:rFonts w:ascii="仿宋" w:eastAsia="仿宋" w:hint="eastAsia"/>
                <w:b/>
                <w:color w:val="000000"/>
                <w:sz w:val="28"/>
              </w:rPr>
              <w:t>科目编码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b/>
                <w:color w:val="000000"/>
                <w:sz w:val="28"/>
              </w:rPr>
            </w:pPr>
            <w:r>
              <w:rPr>
                <w:rFonts w:ascii="仿宋" w:eastAsia="仿宋" w:hint="eastAsia"/>
                <w:b/>
                <w:color w:val="000000"/>
                <w:sz w:val="28"/>
              </w:rPr>
              <w:t>科目名称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56DD" w:rsidRDefault="008A56DD" w:rsidP="00D80278"/>
        </w:tc>
      </w:tr>
      <w:tr w:rsidR="008A56DD" w:rsidTr="00D80278">
        <w:trPr>
          <w:trHeight w:val="780"/>
        </w:trPr>
        <w:tc>
          <w:tcPr>
            <w:tcW w:w="6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合</w:t>
            </w:r>
            <w:r>
              <w:rPr>
                <w:color w:val="000000"/>
                <w:sz w:val="28"/>
              </w:rPr>
              <w:t xml:space="preserve">    </w:t>
            </w:r>
            <w:r>
              <w:rPr>
                <w:rFonts w:ascii="仿宋" w:eastAsia="仿宋" w:hint="eastAsia"/>
                <w:color w:val="000000"/>
                <w:sz w:val="28"/>
              </w:rPr>
              <w:t>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465F61" w:rsidP="00D80278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1085.68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465F61" w:rsidP="00D80278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752.81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56DD" w:rsidRDefault="00465F61" w:rsidP="00D80278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332.87</w:t>
            </w:r>
          </w:p>
        </w:tc>
      </w:tr>
      <w:tr w:rsidR="008A56DD" w:rsidTr="00D80278">
        <w:trPr>
          <w:trHeight w:val="78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eastAsia="仿宋" w:hint="eastAsia"/>
                <w:color w:val="000000"/>
                <w:sz w:val="24"/>
              </w:rPr>
              <w:t>支出功能分类科目（包括Z07和Z09表数据）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eastAsia="仿宋" w:hint="eastAsia"/>
                <w:color w:val="000000"/>
                <w:sz w:val="24"/>
              </w:rPr>
              <w:t xml:space="preserve">科目名称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</w:tr>
      <w:tr w:rsidR="008A56DD" w:rsidTr="00D80278">
        <w:trPr>
          <w:trHeight w:val="78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需要公开到支出功能科目项级科目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一般公共服务支出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1067.24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734.37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332.87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财政事务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1057.24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734.37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322.87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行政运行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734.37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734.37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一般行政管理事务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11.89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11.89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财政国库业务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100.04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100.04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财政监察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36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信息化建设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80.13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80.13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2010699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其他财政事务支出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94.8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5F61" w:rsidRP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94.8</w:t>
            </w: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lastRenderedPageBreak/>
              <w:t>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医疗卫生与计划生育支出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100" w:firstLine="1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医疗保障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2100501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行政单位医疗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  <w:r w:rsidRPr="00465F61"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390"/>
        </w:trPr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5F61" w:rsidRDefault="00465F61" w:rsidP="00465F61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W w:w="14938" w:type="dxa"/>
        <w:tblInd w:w="443" w:type="dxa"/>
        <w:tblLook w:val="0000"/>
      </w:tblPr>
      <w:tblGrid>
        <w:gridCol w:w="3120"/>
        <w:gridCol w:w="3120"/>
        <w:gridCol w:w="3120"/>
        <w:gridCol w:w="3120"/>
        <w:gridCol w:w="2458"/>
      </w:tblGrid>
      <w:tr w:rsidR="008A56DD" w:rsidTr="00D80278">
        <w:trPr>
          <w:trHeight w:val="1260"/>
        </w:trPr>
        <w:tc>
          <w:tcPr>
            <w:tcW w:w="14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465F61" w:rsidRDefault="00465F61" w:rsidP="00D80278">
            <w:pPr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</w:p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44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lastRenderedPageBreak/>
              <w:t>（六）</w:t>
            </w:r>
            <w:r w:rsidR="00465F61">
              <w:rPr>
                <w:rFonts w:ascii="宋体" w:hint="eastAsia"/>
                <w:b/>
                <w:bCs/>
                <w:sz w:val="36"/>
                <w:szCs w:val="36"/>
              </w:rPr>
              <w:t>莲湖区财政局</w:t>
            </w:r>
            <w:r>
              <w:rPr>
                <w:rFonts w:ascii="宋体" w:hint="eastAsia"/>
                <w:b/>
                <w:color w:val="000000"/>
                <w:sz w:val="44"/>
              </w:rPr>
              <w:t>2016年度一般公共预算财政拨款支出决算表</w:t>
            </w:r>
          </w:p>
          <w:p w:rsidR="008A56DD" w:rsidRDefault="008A56DD" w:rsidP="00D80278">
            <w:pPr>
              <w:jc w:val="center"/>
              <w:rPr>
                <w:rFonts w:ascii="宋体"/>
                <w:b/>
                <w:color w:val="000000"/>
                <w:sz w:val="44"/>
              </w:rPr>
            </w:pPr>
            <w:r>
              <w:rPr>
                <w:rFonts w:ascii="宋体" w:hint="eastAsia"/>
                <w:b/>
                <w:color w:val="000000"/>
                <w:sz w:val="44"/>
              </w:rPr>
              <w:t>（按支出经济分类）</w:t>
            </w:r>
          </w:p>
        </w:tc>
      </w:tr>
      <w:tr w:rsidR="008A56DD" w:rsidTr="00D80278">
        <w:trPr>
          <w:trHeight w:val="5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单位：万元</w:t>
            </w:r>
          </w:p>
        </w:tc>
      </w:tr>
      <w:tr w:rsidR="008A56DD" w:rsidTr="00D80278">
        <w:trPr>
          <w:trHeight w:val="82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支出经济分类科目编码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支出经济分类科目名称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合计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基本支出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项目支出</w:t>
            </w:r>
          </w:p>
        </w:tc>
      </w:tr>
      <w:tr w:rsidR="008A56DD" w:rsidTr="00D80278">
        <w:trPr>
          <w:trHeight w:val="52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支出经济分类科目编码（包括Z07和Z09表数据）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合计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C13D27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1085.68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C13D27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752.81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C13D27" w:rsidP="00D80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332.87</w:t>
            </w:r>
          </w:p>
        </w:tc>
      </w:tr>
      <w:tr w:rsidR="00465F61" w:rsidTr="00D80278">
        <w:trPr>
          <w:trHeight w:val="52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b/>
                <w:color w:val="000000"/>
                <w:sz w:val="18"/>
              </w:rPr>
            </w:pPr>
            <w:r>
              <w:rPr>
                <w:rFonts w:ascii="仿宋" w:eastAsia="仿宋" w:hint="eastAsia"/>
                <w:b/>
                <w:color w:val="000000"/>
                <w:sz w:val="18"/>
              </w:rPr>
              <w:t>工资福利支出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605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605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30101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基本工资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208.68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208.68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30102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津贴补贴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260.1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260.1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30103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奖金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102.34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102.34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 xml:space="preserve">  30106</w:t>
            </w:r>
            <w:r>
              <w:rPr>
                <w:rFonts w:ascii="仿宋" w:eastAsia="仿宋" w:hint="eastAsia"/>
                <w:color w:val="000000"/>
                <w:sz w:val="18"/>
              </w:rPr>
              <w:tab/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伙食补助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24.45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24.45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 xml:space="preserve">  30199</w:t>
            </w:r>
            <w:r>
              <w:rPr>
                <w:rFonts w:ascii="仿宋" w:eastAsia="仿宋" w:hint="eastAsia"/>
                <w:color w:val="000000"/>
                <w:sz w:val="18"/>
              </w:rPr>
              <w:tab/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其他工资福利支出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9.43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9.43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b/>
                <w:color w:val="000000"/>
                <w:sz w:val="18"/>
              </w:rPr>
            </w:pPr>
            <w:r>
              <w:rPr>
                <w:rFonts w:ascii="仿宋" w:eastAsia="仿宋" w:hint="eastAsia"/>
                <w:b/>
                <w:color w:val="000000"/>
                <w:sz w:val="18"/>
              </w:rPr>
              <w:t>商品和服务支出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397.63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98.87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298.76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30201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办公费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118.81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11.78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107.02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30202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印刷费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4.5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4.5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ind w:firstLineChars="700" w:firstLine="1260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30205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水费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0.84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0.84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30206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电费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11.35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11.35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30207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邮电费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8.46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1.87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6.58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差旅费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2.95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2.95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维修费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35.62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0.1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35.52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培训费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7.41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0.2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7.22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30226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劳务费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41.71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4.79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36.93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30227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委托业务费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97.18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97.18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30239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其他交通费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67.94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67.94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lastRenderedPageBreak/>
              <w:t>30299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其它商品和服务支出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0.75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0.75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b/>
                <w:color w:val="000000"/>
                <w:sz w:val="18"/>
              </w:rPr>
            </w:pPr>
            <w:r>
              <w:rPr>
                <w:rFonts w:ascii="仿宋" w:eastAsia="仿宋" w:hint="eastAsia"/>
                <w:b/>
                <w:color w:val="000000"/>
                <w:sz w:val="18"/>
              </w:rPr>
              <w:t>对个人和家庭的补助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48.94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48.94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30304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抚恤金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22.55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22.55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 xml:space="preserve"> 30307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 w:rsidRPr="00465F61">
              <w:rPr>
                <w:rFonts w:ascii="仿宋" w:eastAsia="仿宋" w:hint="eastAsia"/>
                <w:color w:val="000000"/>
                <w:sz w:val="18"/>
              </w:rPr>
              <w:t>医疗费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18.44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465F61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303</w:t>
            </w:r>
            <w:r w:rsidR="00C13D27">
              <w:rPr>
                <w:rFonts w:ascii="仿宋" w:eastAsia="仿宋" w:hint="eastAsia"/>
                <w:color w:val="000000"/>
                <w:sz w:val="18"/>
              </w:rPr>
              <w:t>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P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采暖补贴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7.94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7.94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b/>
                <w:color w:val="000000"/>
                <w:sz w:val="18"/>
              </w:rPr>
            </w:pPr>
            <w:r>
              <w:rPr>
                <w:rFonts w:ascii="仿宋" w:eastAsia="仿宋" w:hint="eastAsia"/>
                <w:b/>
                <w:color w:val="000000"/>
                <w:sz w:val="18"/>
              </w:rPr>
              <w:t>其他资本性支出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C13D27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34.11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C13D27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34.11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C13D27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31002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办公设备购置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C13D27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34.11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C13D27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34.11</w:t>
            </w: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  <w:r>
              <w:rPr>
                <w:rFonts w:ascii="仿宋" w:eastAsia="仿宋" w:hint="eastAsia"/>
                <w:color w:val="000000"/>
                <w:sz w:val="18"/>
              </w:rPr>
              <w:t>专用设备购置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65F61" w:rsidTr="00D80278">
        <w:trPr>
          <w:trHeight w:val="28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仿宋" w:eastAsia="仿宋"/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5F61" w:rsidRDefault="00465F61" w:rsidP="00D802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A56DD" w:rsidRDefault="008A56DD" w:rsidP="008A56DD">
      <w:pPr>
        <w:widowControl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C13D27" w:rsidRDefault="00C13D27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（七）</w:t>
      </w:r>
      <w:r w:rsidR="00C13D27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2016年度一般公共预算财政拨款“三公”经费支出及国有资产占用情况表</w:t>
      </w:r>
    </w:p>
    <w:p w:rsidR="008A56DD" w:rsidRDefault="008A56DD" w:rsidP="008A56DD">
      <w:pPr>
        <w:widowControl/>
        <w:ind w:firstLineChars="4300" w:firstLine="12040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单位：万元</w:t>
      </w:r>
    </w:p>
    <w:tbl>
      <w:tblPr>
        <w:tblW w:w="13851" w:type="dxa"/>
        <w:tblInd w:w="926" w:type="dxa"/>
        <w:tblLayout w:type="fixed"/>
        <w:tblLook w:val="0000"/>
      </w:tblPr>
      <w:tblGrid>
        <w:gridCol w:w="3039"/>
        <w:gridCol w:w="524"/>
        <w:gridCol w:w="1259"/>
        <w:gridCol w:w="3254"/>
        <w:gridCol w:w="528"/>
        <w:gridCol w:w="1046"/>
        <w:gridCol w:w="2602"/>
        <w:gridCol w:w="447"/>
        <w:gridCol w:w="1152"/>
      </w:tblGrid>
      <w:tr w:rsidR="008A56DD" w:rsidTr="00D80278">
        <w:trPr>
          <w:trHeight w:val="28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行次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决算数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行次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统计数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行次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统计数</w:t>
            </w:r>
          </w:p>
        </w:tc>
      </w:tr>
      <w:tr w:rsidR="008A56DD" w:rsidTr="00D80278">
        <w:trPr>
          <w:trHeight w:val="36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栏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次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栏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次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栏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次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A56DD" w:rsidTr="00D80278">
        <w:trPr>
          <w:trHeight w:val="6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一、</w:t>
            </w:r>
            <w:r>
              <w:rPr>
                <w:b/>
                <w:bCs/>
                <w:szCs w:val="21"/>
              </w:rPr>
              <w:t>“</w:t>
            </w:r>
            <w:r>
              <w:rPr>
                <w:b/>
                <w:bCs/>
                <w:szCs w:val="21"/>
              </w:rPr>
              <w:t>三公</w:t>
            </w:r>
            <w:r>
              <w:rPr>
                <w:b/>
                <w:bCs/>
                <w:szCs w:val="21"/>
              </w:rPr>
              <w:t>”</w:t>
            </w:r>
            <w:r>
              <w:rPr>
                <w:b/>
                <w:bCs/>
                <w:szCs w:val="21"/>
              </w:rPr>
              <w:t>经费支出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二</w:t>
            </w:r>
            <w:r>
              <w:rPr>
                <w:b/>
                <w:bCs/>
                <w:szCs w:val="21"/>
              </w:rPr>
              <w:t>、国有资产占用情况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</w:tr>
      <w:tr w:rsidR="008A56DD" w:rsidTr="00D80278">
        <w:trPr>
          <w:trHeight w:val="6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（一）支出合计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（二）相关统计数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（一）车辆数合计（辆）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</w:tr>
      <w:tr w:rsidR="008A56DD" w:rsidTr="00D80278">
        <w:trPr>
          <w:trHeight w:val="6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>
              <w:rPr>
                <w:sz w:val="20"/>
              </w:rPr>
              <w:t>．因公出国（境）费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>
              <w:rPr>
                <w:sz w:val="20"/>
              </w:rPr>
              <w:t>．因公出国（境）团组数（个）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>
              <w:rPr>
                <w:sz w:val="20"/>
              </w:rPr>
              <w:t>．部级领导干部用车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</w:tr>
      <w:tr w:rsidR="008A56DD" w:rsidTr="00D80278">
        <w:trPr>
          <w:trHeight w:val="6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>
              <w:rPr>
                <w:sz w:val="20"/>
              </w:rPr>
              <w:t>．公务用车购置及运行维护费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>
              <w:rPr>
                <w:sz w:val="20"/>
              </w:rPr>
              <w:t>．因公出国（境）人次数（人）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>
              <w:rPr>
                <w:sz w:val="20"/>
              </w:rPr>
              <w:t>．一般公务用车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</w:tr>
      <w:tr w:rsidR="008A56DD" w:rsidTr="00D80278">
        <w:trPr>
          <w:trHeight w:val="28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）公务用车购置费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3</w:t>
            </w:r>
            <w:r>
              <w:rPr>
                <w:sz w:val="20"/>
              </w:rPr>
              <w:t>．公务用车购置数（辆）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3</w:t>
            </w:r>
            <w:r>
              <w:rPr>
                <w:sz w:val="20"/>
              </w:rPr>
              <w:t>．一般执法执勤用车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</w:tr>
      <w:tr w:rsidR="008A56DD" w:rsidTr="00D80278">
        <w:trPr>
          <w:trHeight w:val="28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）公务用车运行维护费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4</w:t>
            </w:r>
            <w:r>
              <w:rPr>
                <w:sz w:val="20"/>
              </w:rPr>
              <w:t>．公务用车保有量（辆）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4</w:t>
            </w:r>
            <w:r>
              <w:rPr>
                <w:sz w:val="20"/>
              </w:rPr>
              <w:t>．特种专业技术用车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</w:tr>
      <w:tr w:rsidR="008A56DD" w:rsidTr="00D80278">
        <w:trPr>
          <w:trHeight w:val="28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3</w:t>
            </w:r>
            <w:r>
              <w:rPr>
                <w:sz w:val="20"/>
              </w:rPr>
              <w:t>．公务接待费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  <w:r>
              <w:rPr>
                <w:sz w:val="20"/>
              </w:rPr>
              <w:t>．国内公务接待批次（个）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  <w:r>
              <w:rPr>
                <w:sz w:val="20"/>
              </w:rPr>
              <w:t>．其他用车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</w:tr>
      <w:tr w:rsidR="008A56DD" w:rsidTr="00D80278">
        <w:trPr>
          <w:trHeight w:val="28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其中：外事接待费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6</w:t>
            </w:r>
            <w:r>
              <w:rPr>
                <w:sz w:val="20"/>
              </w:rPr>
              <w:t>．国内公务接待人次（人）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（二）单价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t>万元以上通用设备（台，套）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8A56DD" w:rsidP="00D80278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6DD" w:rsidRDefault="00C13D27" w:rsidP="00D80278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</w:tr>
    </w:tbl>
    <w:p w:rsidR="008A56DD" w:rsidRDefault="008A56DD" w:rsidP="008A56DD">
      <w:pPr>
        <w:widowControl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  <w:sectPr w:rsidR="008A56DD">
          <w:headerReference w:type="default" r:id="rId8"/>
          <w:footerReference w:type="even" r:id="rId9"/>
          <w:footerReference w:type="default" r:id="rId10"/>
          <w:pgSz w:w="16840" w:h="11907" w:orient="landscape"/>
          <w:pgMar w:top="238" w:right="567" w:bottom="244" w:left="567" w:header="851" w:footer="992" w:gutter="0"/>
          <w:cols w:space="720"/>
          <w:docGrid w:type="lines" w:linePitch="312"/>
        </w:sect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（八）</w:t>
      </w:r>
      <w:r w:rsidR="00C13D27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2016年度“三公”经费增减原因情况表</w:t>
      </w:r>
    </w:p>
    <w:p w:rsidR="008A56DD" w:rsidRDefault="008A56DD" w:rsidP="008A56DD">
      <w:pPr>
        <w:widowControl/>
        <w:ind w:firstLineChars="4600" w:firstLine="1288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152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274"/>
        <w:gridCol w:w="980"/>
        <w:gridCol w:w="878"/>
        <w:gridCol w:w="1057"/>
        <w:gridCol w:w="943"/>
        <w:gridCol w:w="957"/>
        <w:gridCol w:w="899"/>
        <w:gridCol w:w="1079"/>
        <w:gridCol w:w="1041"/>
        <w:gridCol w:w="1038"/>
        <w:gridCol w:w="900"/>
        <w:gridCol w:w="1080"/>
        <w:gridCol w:w="1080"/>
        <w:gridCol w:w="825"/>
      </w:tblGrid>
      <w:tr w:rsidR="008A56DD" w:rsidTr="00D80278">
        <w:trPr>
          <w:cantSplit/>
          <w:trHeight w:val="52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科目编码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科目名称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本年数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上年数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增减原因及备注</w:t>
            </w:r>
          </w:p>
        </w:tc>
      </w:tr>
      <w:tr w:rsidR="008A56DD" w:rsidTr="00D80278">
        <w:trPr>
          <w:cantSplit/>
          <w:trHeight w:val="165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“三公经费”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因公出国（境）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公务用车购置及运行维护费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公务接待费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“三公经费”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因公出国（境）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公务用车购置及运行维护费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公务接待费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“三公经费”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因公出国（境）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公务用车购置及运行维护费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公务接待费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Default="008A56DD" w:rsidP="00D80278"/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2010601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P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13D27">
              <w:rPr>
                <w:rFonts w:ascii="仿宋_GB2312" w:eastAsia="仿宋_GB2312" w:hint="eastAsia"/>
                <w:b/>
                <w:sz w:val="24"/>
              </w:rPr>
              <w:t>行政运行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7.84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7.77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-7.84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车改</w:t>
            </w:r>
          </w:p>
        </w:tc>
      </w:tr>
      <w:tr w:rsidR="00C13D27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2010604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widowControl/>
              <w:spacing w:line="400" w:lineRule="exact"/>
              <w:rPr>
                <w:rFonts w:ascii="仿宋_GB2312" w:eastAsia="仿宋_GB2312"/>
                <w:b/>
                <w:sz w:val="15"/>
                <w:szCs w:val="15"/>
              </w:rPr>
            </w:pPr>
            <w:r w:rsidRPr="00C13D27">
              <w:rPr>
                <w:rFonts w:ascii="仿宋_GB2312" w:eastAsia="仿宋_GB2312" w:hint="eastAsia"/>
                <w:b/>
                <w:sz w:val="15"/>
                <w:szCs w:val="15"/>
              </w:rPr>
              <w:t>预算改革业务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-0.26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6ABF">
              <w:rPr>
                <w:rFonts w:ascii="仿宋_GB2312" w:eastAsia="仿宋_GB2312" w:hint="eastAsia"/>
                <w:b/>
                <w:sz w:val="28"/>
                <w:szCs w:val="28"/>
              </w:rPr>
              <w:t>车改</w:t>
            </w:r>
          </w:p>
        </w:tc>
      </w:tr>
      <w:tr w:rsidR="00C13D27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2010605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widowControl/>
              <w:spacing w:line="400" w:lineRule="exact"/>
              <w:rPr>
                <w:rFonts w:ascii="仿宋_GB2312" w:eastAsia="仿宋_GB2312"/>
                <w:b/>
                <w:sz w:val="15"/>
                <w:szCs w:val="15"/>
              </w:rPr>
            </w:pPr>
            <w:r w:rsidRPr="00C13D27">
              <w:rPr>
                <w:rFonts w:ascii="仿宋_GB2312" w:eastAsia="仿宋_GB2312" w:hint="eastAsia"/>
                <w:b/>
                <w:sz w:val="15"/>
                <w:szCs w:val="15"/>
              </w:rPr>
              <w:t>财政国库业务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6.64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6.64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-6.64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6ABF">
              <w:rPr>
                <w:rFonts w:ascii="仿宋_GB2312" w:eastAsia="仿宋_GB2312" w:hint="eastAsia"/>
                <w:b/>
                <w:sz w:val="28"/>
                <w:szCs w:val="28"/>
              </w:rPr>
              <w:t>车改</w:t>
            </w:r>
          </w:p>
        </w:tc>
      </w:tr>
      <w:tr w:rsidR="00C13D27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2010606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13D27">
              <w:rPr>
                <w:rFonts w:ascii="仿宋_GB2312" w:eastAsia="仿宋_GB2312" w:hint="eastAsia"/>
                <w:b/>
                <w:sz w:val="24"/>
              </w:rPr>
              <w:t>财政监察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-0.42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6ABF">
              <w:rPr>
                <w:rFonts w:ascii="仿宋_GB2312" w:eastAsia="仿宋_GB2312" w:hint="eastAsia"/>
                <w:b/>
                <w:sz w:val="28"/>
                <w:szCs w:val="28"/>
              </w:rPr>
              <w:t>车改</w:t>
            </w:r>
          </w:p>
        </w:tc>
      </w:tr>
      <w:tr w:rsidR="008A56DD" w:rsidTr="00D80278">
        <w:trPr>
          <w:trHeight w:val="42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2010699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Pr="00C13D27" w:rsidRDefault="00C13D27" w:rsidP="00C13D27">
            <w:pPr>
              <w:widowControl/>
              <w:spacing w:line="400" w:lineRule="exact"/>
              <w:rPr>
                <w:rFonts w:ascii="仿宋_GB2312" w:eastAsia="仿宋_GB2312"/>
                <w:b/>
                <w:sz w:val="15"/>
                <w:szCs w:val="15"/>
              </w:rPr>
            </w:pPr>
            <w:r w:rsidRPr="00C13D27">
              <w:rPr>
                <w:rFonts w:ascii="仿宋_GB2312" w:eastAsia="仿宋_GB2312" w:hint="eastAsia"/>
                <w:b/>
                <w:sz w:val="15"/>
                <w:szCs w:val="15"/>
              </w:rPr>
              <w:t>其他财政事务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C13D2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-0.94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6ABF">
              <w:rPr>
                <w:rFonts w:ascii="仿宋_GB2312" w:eastAsia="仿宋_GB2312" w:hint="eastAsia"/>
                <w:b/>
                <w:sz w:val="28"/>
                <w:szCs w:val="28"/>
              </w:rPr>
              <w:t>车改</w:t>
            </w:r>
          </w:p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2299901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Pr="00C13D27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13D27">
              <w:rPr>
                <w:rFonts w:ascii="仿宋_GB2312" w:eastAsia="仿宋_GB2312" w:hint="eastAsia"/>
                <w:b/>
                <w:sz w:val="24"/>
              </w:rPr>
              <w:t>其他支出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0.45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-0.45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C13D27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6ABF">
              <w:rPr>
                <w:rFonts w:ascii="仿宋_GB2312" w:eastAsia="仿宋_GB2312" w:hint="eastAsia"/>
                <w:b/>
                <w:sz w:val="28"/>
                <w:szCs w:val="28"/>
              </w:rPr>
              <w:t>车改</w:t>
            </w:r>
          </w:p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A56DD" w:rsidTr="00D8027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Default="008A56DD" w:rsidP="00D80278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8A56DD" w:rsidRDefault="008A56DD" w:rsidP="008A56DD">
      <w:pPr>
        <w:widowControl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10"/>
          <w:szCs w:val="10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（九）</w:t>
      </w:r>
      <w:r w:rsidR="00F904F2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2016年度部门决算政府性基金收支总表</w:t>
      </w:r>
    </w:p>
    <w:p w:rsidR="008A56DD" w:rsidRDefault="008A56DD" w:rsidP="008A56DD">
      <w:pPr>
        <w:widowControl/>
        <w:jc w:val="center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 xml:space="preserve">                                                                                                                   单位：万元</w:t>
      </w:r>
    </w:p>
    <w:tbl>
      <w:tblPr>
        <w:tblW w:w="0" w:type="auto"/>
        <w:tblLook w:val="0000"/>
      </w:tblPr>
      <w:tblGrid>
        <w:gridCol w:w="2610"/>
        <w:gridCol w:w="1980"/>
        <w:gridCol w:w="2820"/>
        <w:gridCol w:w="1950"/>
        <w:gridCol w:w="3180"/>
        <w:gridCol w:w="2130"/>
      </w:tblGrid>
      <w:tr w:rsidR="008A56DD" w:rsidTr="00D80278">
        <w:trPr>
          <w:trHeight w:val="40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    目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决算数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项目(按功能分类)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决算数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项目(按支出性质和经济分类)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决算数</w:t>
            </w:r>
          </w:p>
        </w:tc>
      </w:tr>
      <w:tr w:rsidR="008A56DD" w:rsidTr="00D80278">
        <w:trPr>
          <w:trHeight w:val="259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一、政府性基金拨款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一、科学技术支出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一、基本支出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二、文化体育与传媒支出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人员经费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三、社会保障和就业支出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日常公用经费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四、节能环保支出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二、项目支出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五、城乡社区支出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基本建设类项目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六、农林水支出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行政事业类项目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七、交通运输支出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八、资源勘探信息等支出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九、商业服务等支出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十二、金融支出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支出经济分类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十三、其他支出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基本支出和项目支出合计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十四、债务还本支出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工资福利支出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十五、债务付息支出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商品和服务支出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十六、债务发行费用支出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对个人和家庭的补助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对企事业单位的补贴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债务利息支出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其他资本性支出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其他支出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本年收入合计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  <w:r w:rsidR="008A56DD">
              <w:rPr>
                <w:rFonts w:asci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本年支出合计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年初结转和结余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7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年末结转和结余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33</w:t>
            </w:r>
          </w:p>
        </w:tc>
      </w:tr>
      <w:tr w:rsidR="008A56DD" w:rsidTr="00D80278">
        <w:trPr>
          <w:trHeight w:val="3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基本支出结转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基本支出结转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b/>
                <w:sz w:val="15"/>
                <w:szCs w:val="15"/>
              </w:rPr>
            </w:pPr>
          </w:p>
        </w:tc>
      </w:tr>
      <w:tr w:rsidR="008A56DD" w:rsidTr="00D80278">
        <w:trPr>
          <w:trHeight w:val="3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项目支出结转和结余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7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项目支出结转和结余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F904F2" w:rsidP="00D80278">
            <w:pPr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int="eastAsia"/>
                <w:b/>
                <w:sz w:val="15"/>
                <w:szCs w:val="15"/>
              </w:rPr>
              <w:t>33</w:t>
            </w:r>
          </w:p>
        </w:tc>
      </w:tr>
      <w:tr w:rsidR="008A56DD" w:rsidTr="00D80278">
        <w:trPr>
          <w:trHeight w:val="15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收入总计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7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56DD" w:rsidRDefault="008A56DD" w:rsidP="00D80278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支出总计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A56DD" w:rsidRDefault="008A56DD" w:rsidP="00D80278">
            <w:pPr>
              <w:rPr>
                <w:rFonts w:ascii="宋体"/>
                <w:sz w:val="20"/>
              </w:rPr>
            </w:pPr>
          </w:p>
        </w:tc>
      </w:tr>
    </w:tbl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（十）</w:t>
      </w:r>
      <w:r w:rsidR="00F904F2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2016年度政府性基金预算财政拨款收入支出决算表</w:t>
      </w:r>
    </w:p>
    <w:p w:rsidR="008A56DD" w:rsidRDefault="008A56DD" w:rsidP="008A56DD">
      <w:pPr>
        <w:widowControl/>
        <w:ind w:firstLineChars="4450" w:firstLine="1246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15757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986"/>
        <w:gridCol w:w="629"/>
        <w:gridCol w:w="1364"/>
        <w:gridCol w:w="1157"/>
        <w:gridCol w:w="627"/>
        <w:gridCol w:w="944"/>
        <w:gridCol w:w="946"/>
        <w:gridCol w:w="629"/>
        <w:gridCol w:w="629"/>
        <w:gridCol w:w="944"/>
        <w:gridCol w:w="1468"/>
        <w:gridCol w:w="978"/>
        <w:gridCol w:w="949"/>
        <w:gridCol w:w="1334"/>
        <w:gridCol w:w="1156"/>
      </w:tblGrid>
      <w:tr w:rsidR="008A56DD" w:rsidTr="00D80278">
        <w:trPr>
          <w:trHeight w:val="622"/>
        </w:trPr>
        <w:tc>
          <w:tcPr>
            <w:tcW w:w="2002" w:type="dxa"/>
            <w:gridSpan w:val="2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  目</w:t>
            </w:r>
          </w:p>
        </w:tc>
        <w:tc>
          <w:tcPr>
            <w:tcW w:w="3150" w:type="dxa"/>
            <w:gridSpan w:val="3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年初结转和结余</w:t>
            </w:r>
          </w:p>
        </w:tc>
        <w:tc>
          <w:tcPr>
            <w:tcW w:w="2517" w:type="dxa"/>
            <w:gridSpan w:val="3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本年收入</w:t>
            </w:r>
          </w:p>
        </w:tc>
        <w:tc>
          <w:tcPr>
            <w:tcW w:w="4648" w:type="dxa"/>
            <w:gridSpan w:val="5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本年支出</w:t>
            </w:r>
          </w:p>
        </w:tc>
        <w:tc>
          <w:tcPr>
            <w:tcW w:w="3439" w:type="dxa"/>
            <w:gridSpan w:val="3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年末结转和结余</w:t>
            </w:r>
          </w:p>
        </w:tc>
      </w:tr>
      <w:tr w:rsidR="008A56DD" w:rsidTr="00D80278">
        <w:trPr>
          <w:trHeight w:val="458"/>
        </w:trPr>
        <w:tc>
          <w:tcPr>
            <w:tcW w:w="1016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科目编码</w:t>
            </w:r>
          </w:p>
        </w:tc>
        <w:tc>
          <w:tcPr>
            <w:tcW w:w="986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科目名称</w:t>
            </w:r>
          </w:p>
        </w:tc>
        <w:tc>
          <w:tcPr>
            <w:tcW w:w="629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1364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基本支出结转</w:t>
            </w:r>
          </w:p>
        </w:tc>
        <w:tc>
          <w:tcPr>
            <w:tcW w:w="1157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项目支出</w:t>
            </w:r>
          </w:p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结转和结余</w:t>
            </w:r>
          </w:p>
        </w:tc>
        <w:tc>
          <w:tcPr>
            <w:tcW w:w="627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944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基本支出</w:t>
            </w:r>
          </w:p>
        </w:tc>
        <w:tc>
          <w:tcPr>
            <w:tcW w:w="946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项目支出</w:t>
            </w:r>
          </w:p>
        </w:tc>
        <w:tc>
          <w:tcPr>
            <w:tcW w:w="629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3041" w:type="dxa"/>
            <w:gridSpan w:val="3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基本支出</w:t>
            </w:r>
          </w:p>
        </w:tc>
        <w:tc>
          <w:tcPr>
            <w:tcW w:w="978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项目支出</w:t>
            </w:r>
          </w:p>
        </w:tc>
        <w:tc>
          <w:tcPr>
            <w:tcW w:w="949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1334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基本支出结转</w:t>
            </w:r>
          </w:p>
        </w:tc>
        <w:tc>
          <w:tcPr>
            <w:tcW w:w="1156" w:type="dxa"/>
            <w:vMerge w:val="restart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项目支出</w:t>
            </w:r>
          </w:p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结转和结余</w:t>
            </w:r>
          </w:p>
        </w:tc>
      </w:tr>
      <w:tr w:rsidR="008A56DD" w:rsidTr="00D80278">
        <w:trPr>
          <w:trHeight w:val="468"/>
        </w:trPr>
        <w:tc>
          <w:tcPr>
            <w:tcW w:w="1016" w:type="dxa"/>
            <w:vMerge/>
          </w:tcPr>
          <w:p w:rsidR="008A56DD" w:rsidRDefault="008A56DD" w:rsidP="00D80278"/>
        </w:tc>
        <w:tc>
          <w:tcPr>
            <w:tcW w:w="986" w:type="dxa"/>
            <w:vMerge/>
          </w:tcPr>
          <w:p w:rsidR="008A56DD" w:rsidRDefault="008A56DD" w:rsidP="00D80278"/>
        </w:tc>
        <w:tc>
          <w:tcPr>
            <w:tcW w:w="629" w:type="dxa"/>
            <w:vMerge/>
          </w:tcPr>
          <w:p w:rsidR="008A56DD" w:rsidRDefault="008A56DD" w:rsidP="00D80278"/>
        </w:tc>
        <w:tc>
          <w:tcPr>
            <w:tcW w:w="1364" w:type="dxa"/>
            <w:vMerge/>
          </w:tcPr>
          <w:p w:rsidR="008A56DD" w:rsidRDefault="008A56DD" w:rsidP="00D80278"/>
        </w:tc>
        <w:tc>
          <w:tcPr>
            <w:tcW w:w="1157" w:type="dxa"/>
            <w:vMerge/>
          </w:tcPr>
          <w:p w:rsidR="008A56DD" w:rsidRDefault="008A56DD" w:rsidP="00D80278"/>
        </w:tc>
        <w:tc>
          <w:tcPr>
            <w:tcW w:w="627" w:type="dxa"/>
            <w:vMerge/>
          </w:tcPr>
          <w:p w:rsidR="008A56DD" w:rsidRDefault="008A56DD" w:rsidP="00D80278"/>
        </w:tc>
        <w:tc>
          <w:tcPr>
            <w:tcW w:w="944" w:type="dxa"/>
            <w:vMerge/>
          </w:tcPr>
          <w:p w:rsidR="008A56DD" w:rsidRDefault="008A56DD" w:rsidP="00D80278"/>
        </w:tc>
        <w:tc>
          <w:tcPr>
            <w:tcW w:w="946" w:type="dxa"/>
            <w:vMerge/>
          </w:tcPr>
          <w:p w:rsidR="008A56DD" w:rsidRDefault="008A56DD" w:rsidP="00D80278"/>
        </w:tc>
        <w:tc>
          <w:tcPr>
            <w:tcW w:w="629" w:type="dxa"/>
            <w:vMerge/>
          </w:tcPr>
          <w:p w:rsidR="008A56DD" w:rsidRDefault="008A56DD" w:rsidP="00D80278"/>
        </w:tc>
        <w:tc>
          <w:tcPr>
            <w:tcW w:w="629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小计</w:t>
            </w:r>
          </w:p>
        </w:tc>
        <w:tc>
          <w:tcPr>
            <w:tcW w:w="944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人员经费</w:t>
            </w:r>
          </w:p>
        </w:tc>
        <w:tc>
          <w:tcPr>
            <w:tcW w:w="1468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日常公用经费</w:t>
            </w:r>
          </w:p>
        </w:tc>
        <w:tc>
          <w:tcPr>
            <w:tcW w:w="978" w:type="dxa"/>
            <w:vMerge/>
          </w:tcPr>
          <w:p w:rsidR="008A56DD" w:rsidRDefault="008A56DD" w:rsidP="00D80278"/>
        </w:tc>
        <w:tc>
          <w:tcPr>
            <w:tcW w:w="949" w:type="dxa"/>
            <w:vMerge/>
          </w:tcPr>
          <w:p w:rsidR="008A56DD" w:rsidRDefault="008A56DD" w:rsidP="00D80278"/>
        </w:tc>
        <w:tc>
          <w:tcPr>
            <w:tcW w:w="1334" w:type="dxa"/>
            <w:vMerge/>
            <w:vAlign w:val="center"/>
          </w:tcPr>
          <w:p w:rsidR="008A56DD" w:rsidRDefault="008A56DD" w:rsidP="00D80278"/>
        </w:tc>
        <w:tc>
          <w:tcPr>
            <w:tcW w:w="1156" w:type="dxa"/>
            <w:vMerge/>
          </w:tcPr>
          <w:p w:rsidR="008A56DD" w:rsidRDefault="008A56DD" w:rsidP="00D80278"/>
        </w:tc>
      </w:tr>
      <w:tr w:rsidR="008A56DD" w:rsidTr="00D80278">
        <w:tc>
          <w:tcPr>
            <w:tcW w:w="1016" w:type="dxa"/>
          </w:tcPr>
          <w:p w:rsidR="008A56DD" w:rsidRPr="00F904F2" w:rsidRDefault="00F904F2" w:rsidP="00D80278">
            <w:pPr>
              <w:widowControl/>
              <w:rPr>
                <w:rFonts w:ascii="宋体"/>
                <w:bCs/>
                <w:szCs w:val="21"/>
              </w:rPr>
            </w:pPr>
            <w:r w:rsidRPr="00F904F2">
              <w:rPr>
                <w:rFonts w:ascii="宋体" w:hint="eastAsia"/>
                <w:bCs/>
                <w:szCs w:val="21"/>
              </w:rPr>
              <w:t>212</w:t>
            </w:r>
          </w:p>
        </w:tc>
        <w:tc>
          <w:tcPr>
            <w:tcW w:w="98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城乡社区支出</w:t>
            </w:r>
          </w:p>
        </w:tc>
        <w:tc>
          <w:tcPr>
            <w:tcW w:w="629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136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57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  <w:tc>
          <w:tcPr>
            <w:tcW w:w="133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5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</w:tr>
      <w:tr w:rsidR="008A56DD" w:rsidTr="00D80278">
        <w:tc>
          <w:tcPr>
            <w:tcW w:w="1016" w:type="dxa"/>
          </w:tcPr>
          <w:p w:rsidR="008A56DD" w:rsidRPr="00F904F2" w:rsidRDefault="00F904F2" w:rsidP="00D80278">
            <w:pPr>
              <w:widowControl/>
              <w:rPr>
                <w:rFonts w:ascii="宋体"/>
                <w:bCs/>
                <w:szCs w:val="21"/>
              </w:rPr>
            </w:pPr>
            <w:r w:rsidRPr="00F904F2">
              <w:rPr>
                <w:rFonts w:ascii="宋体" w:hint="eastAsia"/>
                <w:bCs/>
                <w:szCs w:val="21"/>
              </w:rPr>
              <w:t>21212</w:t>
            </w:r>
          </w:p>
        </w:tc>
        <w:tc>
          <w:tcPr>
            <w:tcW w:w="98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1"/>
                <w:szCs w:val="11"/>
              </w:rPr>
            </w:pPr>
            <w:r w:rsidRPr="00F904F2">
              <w:rPr>
                <w:rFonts w:ascii="仿宋_GB2312" w:eastAsia="仿宋_GB2312" w:hint="eastAsia"/>
                <w:sz w:val="11"/>
                <w:szCs w:val="11"/>
              </w:rPr>
              <w:t>新增建设用地土地有偿使用费及对应专项债务收入安排的支出</w:t>
            </w:r>
          </w:p>
        </w:tc>
        <w:tc>
          <w:tcPr>
            <w:tcW w:w="629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136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57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  <w:tc>
          <w:tcPr>
            <w:tcW w:w="133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5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</w:tr>
      <w:tr w:rsidR="008A56DD" w:rsidTr="00D80278">
        <w:tc>
          <w:tcPr>
            <w:tcW w:w="1016" w:type="dxa"/>
          </w:tcPr>
          <w:p w:rsidR="008A56DD" w:rsidRPr="00F904F2" w:rsidRDefault="00F904F2" w:rsidP="00D80278">
            <w:pPr>
              <w:widowControl/>
              <w:rPr>
                <w:rFonts w:ascii="宋体"/>
                <w:bCs/>
                <w:szCs w:val="21"/>
              </w:rPr>
            </w:pPr>
            <w:r w:rsidRPr="00F904F2">
              <w:rPr>
                <w:rFonts w:ascii="宋体" w:hint="eastAsia"/>
                <w:bCs/>
                <w:szCs w:val="21"/>
              </w:rPr>
              <w:t>212</w:t>
            </w:r>
            <w:r>
              <w:rPr>
                <w:rFonts w:ascii="宋体" w:hint="eastAsia"/>
                <w:bCs/>
                <w:szCs w:val="21"/>
              </w:rPr>
              <w:t>12</w:t>
            </w:r>
            <w:r w:rsidRPr="00F904F2">
              <w:rPr>
                <w:rFonts w:ascii="宋体" w:hint="eastAsia"/>
                <w:bCs/>
                <w:szCs w:val="21"/>
              </w:rPr>
              <w:t>03</w:t>
            </w:r>
          </w:p>
        </w:tc>
        <w:tc>
          <w:tcPr>
            <w:tcW w:w="98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F904F2">
              <w:rPr>
                <w:rFonts w:ascii="仿宋_GB2312" w:eastAsia="仿宋_GB2312" w:hint="eastAsia"/>
                <w:sz w:val="18"/>
                <w:szCs w:val="18"/>
              </w:rPr>
              <w:t>土地整理支出</w:t>
            </w:r>
          </w:p>
        </w:tc>
        <w:tc>
          <w:tcPr>
            <w:tcW w:w="629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136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57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  <w:tc>
          <w:tcPr>
            <w:tcW w:w="1334" w:type="dxa"/>
          </w:tcPr>
          <w:p w:rsidR="008A56DD" w:rsidRPr="00F904F2" w:rsidRDefault="008A56DD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56" w:type="dxa"/>
          </w:tcPr>
          <w:p w:rsidR="008A56DD" w:rsidRPr="00F904F2" w:rsidRDefault="00F904F2" w:rsidP="00F904F2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904F2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</w:tr>
      <w:tr w:rsidR="008A56DD" w:rsidTr="00D80278">
        <w:tc>
          <w:tcPr>
            <w:tcW w:w="101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3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  <w:tr w:rsidR="008A56DD" w:rsidTr="00D80278">
        <w:tc>
          <w:tcPr>
            <w:tcW w:w="101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3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  <w:tr w:rsidR="008A56DD" w:rsidTr="00D80278">
        <w:tc>
          <w:tcPr>
            <w:tcW w:w="101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3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  <w:tr w:rsidR="008A56DD" w:rsidTr="00D80278">
        <w:tc>
          <w:tcPr>
            <w:tcW w:w="101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3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  <w:tr w:rsidR="008A56DD" w:rsidTr="00D80278">
        <w:tc>
          <w:tcPr>
            <w:tcW w:w="101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3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  <w:tr w:rsidR="008A56DD" w:rsidTr="00D80278">
        <w:tc>
          <w:tcPr>
            <w:tcW w:w="101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8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6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7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62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46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78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949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334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  <w:tc>
          <w:tcPr>
            <w:tcW w:w="1156" w:type="dxa"/>
          </w:tcPr>
          <w:p w:rsidR="008A56DD" w:rsidRDefault="008A56DD" w:rsidP="00D80278">
            <w:pPr>
              <w:widowControl/>
              <w:rPr>
                <w:rFonts w:ascii="宋体"/>
                <w:b/>
                <w:bCs/>
                <w:sz w:val="36"/>
                <w:szCs w:val="36"/>
              </w:rPr>
            </w:pPr>
          </w:p>
        </w:tc>
      </w:tr>
    </w:tbl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（十一）</w:t>
      </w:r>
      <w:r w:rsidR="00F904F2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2016年度政府采购情况</w:t>
      </w:r>
    </w:p>
    <w:p w:rsidR="008A56DD" w:rsidRDefault="008A56DD" w:rsidP="008A56DD">
      <w:pPr>
        <w:widowControl/>
        <w:ind w:firstLineChars="4600" w:firstLine="12880"/>
        <w:jc w:val="left"/>
        <w:rPr>
          <w:rFonts w:ascii="仿宋_GB2312" w:eastAsia="仿宋_GB2312"/>
          <w:sz w:val="28"/>
          <w:szCs w:val="28"/>
        </w:rPr>
      </w:pPr>
    </w:p>
    <w:p w:rsidR="008A56DD" w:rsidRDefault="008A56DD" w:rsidP="008A56DD">
      <w:pPr>
        <w:widowControl/>
        <w:ind w:firstLineChars="4600" w:firstLine="1288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400"/>
        <w:gridCol w:w="2340"/>
        <w:gridCol w:w="2160"/>
        <w:gridCol w:w="2339"/>
        <w:gridCol w:w="2340"/>
        <w:gridCol w:w="2340"/>
      </w:tblGrid>
      <w:tr w:rsidR="008A56DD" w:rsidTr="00D80278">
        <w:trPr>
          <w:trHeight w:val="580"/>
        </w:trPr>
        <w:tc>
          <w:tcPr>
            <w:tcW w:w="1660" w:type="dxa"/>
            <w:vMerge w:val="restart"/>
            <w:vAlign w:val="center"/>
          </w:tcPr>
          <w:p w:rsidR="008A56DD" w:rsidRDefault="008A56DD" w:rsidP="00D80278">
            <w:pPr>
              <w:tabs>
                <w:tab w:val="left" w:pos="700"/>
              </w:tabs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 目</w:t>
            </w:r>
          </w:p>
        </w:tc>
        <w:tc>
          <w:tcPr>
            <w:tcW w:w="5900" w:type="dxa"/>
            <w:gridSpan w:val="3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采购预算</w:t>
            </w:r>
          </w:p>
        </w:tc>
        <w:tc>
          <w:tcPr>
            <w:tcW w:w="7019" w:type="dxa"/>
            <w:gridSpan w:val="3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采购金额</w:t>
            </w:r>
          </w:p>
        </w:tc>
      </w:tr>
      <w:tr w:rsidR="008A56DD" w:rsidTr="00D80278">
        <w:trPr>
          <w:trHeight w:val="580"/>
        </w:trPr>
        <w:tc>
          <w:tcPr>
            <w:tcW w:w="1660" w:type="dxa"/>
            <w:vMerge/>
          </w:tcPr>
          <w:p w:rsidR="008A56DD" w:rsidRDefault="008A56DD" w:rsidP="00D80278"/>
        </w:tc>
        <w:tc>
          <w:tcPr>
            <w:tcW w:w="140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234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财政性资金</w:t>
            </w:r>
          </w:p>
        </w:tc>
        <w:tc>
          <w:tcPr>
            <w:tcW w:w="216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其他资金</w:t>
            </w:r>
          </w:p>
        </w:tc>
        <w:tc>
          <w:tcPr>
            <w:tcW w:w="2339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234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财政性资金</w:t>
            </w:r>
          </w:p>
        </w:tc>
        <w:tc>
          <w:tcPr>
            <w:tcW w:w="234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其他资金</w:t>
            </w:r>
          </w:p>
        </w:tc>
      </w:tr>
      <w:tr w:rsidR="008A56DD" w:rsidTr="00D80278">
        <w:tc>
          <w:tcPr>
            <w:tcW w:w="166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00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2340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216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39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34.11</w:t>
            </w:r>
          </w:p>
        </w:tc>
        <w:tc>
          <w:tcPr>
            <w:tcW w:w="2340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34.11</w:t>
            </w: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</w:tr>
      <w:tr w:rsidR="008A56DD" w:rsidTr="00D80278">
        <w:tc>
          <w:tcPr>
            <w:tcW w:w="166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货物</w:t>
            </w:r>
          </w:p>
        </w:tc>
        <w:tc>
          <w:tcPr>
            <w:tcW w:w="1400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2340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216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39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34.11</w:t>
            </w:r>
          </w:p>
        </w:tc>
        <w:tc>
          <w:tcPr>
            <w:tcW w:w="2340" w:type="dxa"/>
          </w:tcPr>
          <w:p w:rsidR="008A56DD" w:rsidRDefault="00D80278" w:rsidP="00D80278">
            <w:pPr>
              <w:spacing w:line="580" w:lineRule="exact"/>
              <w:jc w:val="left"/>
            </w:pPr>
            <w:r>
              <w:rPr>
                <w:rFonts w:hint="eastAsia"/>
              </w:rPr>
              <w:t>34.11</w:t>
            </w: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</w:tr>
      <w:tr w:rsidR="008A56DD" w:rsidTr="00D80278">
        <w:tc>
          <w:tcPr>
            <w:tcW w:w="166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</w:t>
            </w:r>
          </w:p>
        </w:tc>
        <w:tc>
          <w:tcPr>
            <w:tcW w:w="140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  <w:rPr>
                <w:rFonts w:hint="eastAsia"/>
              </w:rPr>
            </w:pPr>
          </w:p>
        </w:tc>
        <w:tc>
          <w:tcPr>
            <w:tcW w:w="216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39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</w:tr>
      <w:tr w:rsidR="008A56DD" w:rsidTr="00D80278">
        <w:tc>
          <w:tcPr>
            <w:tcW w:w="1660" w:type="dxa"/>
            <w:vAlign w:val="center"/>
          </w:tcPr>
          <w:p w:rsidR="008A56DD" w:rsidRDefault="008A56DD" w:rsidP="00D8027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140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16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39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  <w:tc>
          <w:tcPr>
            <w:tcW w:w="2340" w:type="dxa"/>
          </w:tcPr>
          <w:p w:rsidR="008A56DD" w:rsidRDefault="008A56DD" w:rsidP="00D80278">
            <w:pPr>
              <w:spacing w:line="580" w:lineRule="exact"/>
              <w:jc w:val="left"/>
            </w:pPr>
          </w:p>
        </w:tc>
      </w:tr>
    </w:tbl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/>
          <w:b/>
          <w:bCs/>
          <w:sz w:val="36"/>
          <w:szCs w:val="36"/>
        </w:rPr>
      </w:pPr>
    </w:p>
    <w:p w:rsidR="008A56DD" w:rsidRDefault="008A56DD" w:rsidP="008A56DD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lastRenderedPageBreak/>
        <w:t>（十二）</w:t>
      </w:r>
      <w:r w:rsidR="00F904F2">
        <w:rPr>
          <w:rFonts w:ascii="宋体" w:hint="eastAsia"/>
          <w:b/>
          <w:bCs/>
          <w:sz w:val="36"/>
          <w:szCs w:val="36"/>
        </w:rPr>
        <w:t>莲湖区财政局</w:t>
      </w:r>
      <w:r>
        <w:rPr>
          <w:rFonts w:ascii="宋体" w:hint="eastAsia"/>
          <w:b/>
          <w:bCs/>
          <w:sz w:val="36"/>
          <w:szCs w:val="36"/>
        </w:rPr>
        <w:t>2016年度机关运行经费表</w:t>
      </w:r>
    </w:p>
    <w:p w:rsidR="008A56DD" w:rsidRDefault="008A56DD" w:rsidP="008A56DD">
      <w:pPr>
        <w:widowControl/>
        <w:ind w:firstLineChars="4300" w:firstLine="1204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单位：万元</w:t>
      </w:r>
    </w:p>
    <w:tbl>
      <w:tblPr>
        <w:tblW w:w="13224" w:type="dxa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3967"/>
        <w:gridCol w:w="2045"/>
        <w:gridCol w:w="1890"/>
        <w:gridCol w:w="1995"/>
        <w:gridCol w:w="1995"/>
      </w:tblGrid>
      <w:tr w:rsidR="008A56DD" w:rsidTr="00D80278">
        <w:trPr>
          <w:cantSplit/>
          <w:trHeight w:val="713"/>
        </w:trPr>
        <w:tc>
          <w:tcPr>
            <w:tcW w:w="5300" w:type="dxa"/>
            <w:gridSpan w:val="2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项           目</w:t>
            </w:r>
          </w:p>
        </w:tc>
        <w:tc>
          <w:tcPr>
            <w:tcW w:w="204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上年支出数</w:t>
            </w:r>
          </w:p>
        </w:tc>
        <w:tc>
          <w:tcPr>
            <w:tcW w:w="1890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本年支出数</w:t>
            </w:r>
          </w:p>
        </w:tc>
        <w:tc>
          <w:tcPr>
            <w:tcW w:w="199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差额</w:t>
            </w:r>
          </w:p>
        </w:tc>
        <w:tc>
          <w:tcPr>
            <w:tcW w:w="199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增减原因</w:t>
            </w:r>
          </w:p>
        </w:tc>
      </w:tr>
      <w:tr w:rsidR="008A56DD" w:rsidTr="00D80278">
        <w:trPr>
          <w:cantSplit/>
          <w:trHeight w:val="914"/>
        </w:trPr>
        <w:tc>
          <w:tcPr>
            <w:tcW w:w="5300" w:type="dxa"/>
            <w:gridSpan w:val="2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机关运行经费</w:t>
            </w:r>
          </w:p>
        </w:tc>
        <w:tc>
          <w:tcPr>
            <w:tcW w:w="204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金    额</w:t>
            </w:r>
          </w:p>
        </w:tc>
        <w:tc>
          <w:tcPr>
            <w:tcW w:w="1890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金    额</w:t>
            </w:r>
          </w:p>
        </w:tc>
        <w:tc>
          <w:tcPr>
            <w:tcW w:w="199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（增加/减少）</w:t>
            </w:r>
          </w:p>
        </w:tc>
        <w:tc>
          <w:tcPr>
            <w:tcW w:w="199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A56DD" w:rsidTr="00D80278">
        <w:trPr>
          <w:trHeight w:val="952"/>
        </w:trPr>
        <w:tc>
          <w:tcPr>
            <w:tcW w:w="1333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3967" w:type="dxa"/>
            <w:vAlign w:val="center"/>
          </w:tcPr>
          <w:p w:rsidR="008A56DD" w:rsidRDefault="008A56DD" w:rsidP="00D80278">
            <w:pPr>
              <w:widowControl/>
              <w:ind w:firstLineChars="200" w:firstLine="48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行政单位</w:t>
            </w:r>
          </w:p>
        </w:tc>
        <w:tc>
          <w:tcPr>
            <w:tcW w:w="2045" w:type="dxa"/>
            <w:vAlign w:val="center"/>
          </w:tcPr>
          <w:p w:rsidR="008A56DD" w:rsidRPr="00F904F2" w:rsidRDefault="00F904F2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F904F2">
              <w:rPr>
                <w:rFonts w:ascii="仿宋_GB2312" w:eastAsia="仿宋_GB2312" w:cs="宋体" w:hint="eastAsia"/>
                <w:kern w:val="0"/>
                <w:sz w:val="24"/>
              </w:rPr>
              <w:t>21.69</w:t>
            </w:r>
          </w:p>
        </w:tc>
        <w:tc>
          <w:tcPr>
            <w:tcW w:w="1890" w:type="dxa"/>
            <w:vAlign w:val="center"/>
          </w:tcPr>
          <w:p w:rsidR="008A56DD" w:rsidRPr="00F904F2" w:rsidRDefault="00F904F2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F904F2">
              <w:rPr>
                <w:rFonts w:ascii="仿宋_GB2312" w:eastAsia="仿宋_GB2312" w:cs="宋体" w:hint="eastAsia"/>
                <w:kern w:val="0"/>
                <w:sz w:val="24"/>
              </w:rPr>
              <w:t>98.87</w:t>
            </w:r>
          </w:p>
        </w:tc>
        <w:tc>
          <w:tcPr>
            <w:tcW w:w="1995" w:type="dxa"/>
            <w:vAlign w:val="center"/>
          </w:tcPr>
          <w:p w:rsidR="008A56DD" w:rsidRPr="00F904F2" w:rsidRDefault="00F904F2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F904F2">
              <w:rPr>
                <w:rFonts w:ascii="仿宋_GB2312" w:eastAsia="仿宋_GB2312" w:cs="宋体" w:hint="eastAsia"/>
                <w:kern w:val="0"/>
                <w:sz w:val="24"/>
              </w:rPr>
              <w:t>77.18</w:t>
            </w:r>
          </w:p>
        </w:tc>
        <w:tc>
          <w:tcPr>
            <w:tcW w:w="1995" w:type="dxa"/>
            <w:vAlign w:val="center"/>
          </w:tcPr>
          <w:p w:rsidR="008A56DD" w:rsidRPr="00F904F2" w:rsidRDefault="00F904F2" w:rsidP="00D802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F904F2">
              <w:rPr>
                <w:rFonts w:ascii="仿宋_GB2312" w:eastAsia="仿宋_GB2312" w:cs="宋体" w:hint="eastAsia"/>
                <w:kern w:val="0"/>
                <w:sz w:val="24"/>
              </w:rPr>
              <w:t>公车改革费用</w:t>
            </w:r>
          </w:p>
        </w:tc>
      </w:tr>
      <w:tr w:rsidR="008A56DD" w:rsidTr="00D80278">
        <w:trPr>
          <w:trHeight w:val="952"/>
        </w:trPr>
        <w:tc>
          <w:tcPr>
            <w:tcW w:w="1333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3967" w:type="dxa"/>
            <w:vAlign w:val="center"/>
          </w:tcPr>
          <w:p w:rsidR="008A56DD" w:rsidRDefault="008A56DD" w:rsidP="00D80278">
            <w:pPr>
              <w:widowControl/>
              <w:ind w:firstLineChars="200" w:firstLine="480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参照公务员法管理事业单位</w:t>
            </w:r>
          </w:p>
        </w:tc>
        <w:tc>
          <w:tcPr>
            <w:tcW w:w="204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8A56DD" w:rsidRDefault="008A56DD" w:rsidP="00D8027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8A56DD" w:rsidRDefault="008A56DD" w:rsidP="008A56DD">
      <w:pPr>
        <w:spacing w:line="580" w:lineRule="exact"/>
        <w:ind w:left="2108" w:hangingChars="750" w:hanging="2108"/>
        <w:jc w:val="left"/>
        <w:rPr>
          <w:rFonts w:ascii="仿宋_GB2312" w:eastAsia="仿宋_GB2312" w:cs="宋体"/>
          <w:bCs/>
          <w:kern w:val="0"/>
          <w:sz w:val="24"/>
        </w:rPr>
      </w:pPr>
      <w:r>
        <w:rPr>
          <w:rFonts w:ascii="宋体" w:cs="宋体" w:hint="eastAsia"/>
          <w:b/>
          <w:bCs/>
          <w:kern w:val="0"/>
          <w:sz w:val="28"/>
          <w:szCs w:val="28"/>
        </w:rPr>
        <w:t xml:space="preserve">                  </w:t>
      </w:r>
      <w:r>
        <w:rPr>
          <w:rFonts w:ascii="仿宋_GB2312" w:eastAsia="仿宋_GB2312" w:cs="宋体" w:hint="eastAsia"/>
          <w:bCs/>
          <w:kern w:val="0"/>
          <w:sz w:val="24"/>
        </w:rPr>
        <w:t>机关运行经费是指各部门的公用经费，包括办公及印刷费、邮电费、差旅费、会议费、福利费、日常维修费、专用材料及一般设备购置费、办公用房水电费、办公取暖费、办公用房物业管理费、公务用车运行维护以及其他费用。</w:t>
      </w:r>
    </w:p>
    <w:p w:rsidR="008A56DD" w:rsidRDefault="008A56DD" w:rsidP="008A56DD">
      <w:pPr>
        <w:spacing w:line="580" w:lineRule="exact"/>
        <w:ind w:left="-540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B04553" w:rsidRDefault="00B04553"/>
    <w:sectPr w:rsidR="00B04553" w:rsidSect="00A86805">
      <w:pgSz w:w="16840" w:h="11907" w:orient="landscape"/>
      <w:pgMar w:top="238" w:right="964" w:bottom="244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4B3" w:rsidRDefault="009864B3" w:rsidP="00A86805">
      <w:r>
        <w:separator/>
      </w:r>
    </w:p>
  </w:endnote>
  <w:endnote w:type="continuationSeparator" w:id="1">
    <w:p w:rsidR="009864B3" w:rsidRDefault="009864B3" w:rsidP="00A8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8" w:rsidRDefault="00D80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D80278" w:rsidRDefault="00D8027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8" w:rsidRDefault="00D80278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4176CF">
      <w:rPr>
        <w:rStyle w:val="a5"/>
        <w:noProof/>
        <w:sz w:val="28"/>
        <w:szCs w:val="28"/>
      </w:rPr>
      <w:t>14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D80278" w:rsidRDefault="00D8027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4B3" w:rsidRDefault="009864B3" w:rsidP="00A86805">
      <w:r>
        <w:separator/>
      </w:r>
    </w:p>
  </w:footnote>
  <w:footnote w:type="continuationSeparator" w:id="1">
    <w:p w:rsidR="009864B3" w:rsidRDefault="009864B3" w:rsidP="00A8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8" w:rsidRDefault="00D8027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4EAD8E"/>
    <w:multiLevelType w:val="hybridMultilevel"/>
    <w:tmpl w:val="00000000"/>
    <w:lvl w:ilvl="0" w:tplc="FFFFFFFF">
      <w:start w:val="1"/>
      <w:numFmt w:val="chineseCountingThousand"/>
      <w:lvlText w:val="（%1）"/>
      <w:lvlJc w:val="left"/>
      <w:pPr>
        <w:tabs>
          <w:tab w:val="num" w:pos="1580"/>
        </w:tabs>
        <w:ind w:left="1580" w:hanging="948"/>
      </w:pPr>
    </w:lvl>
    <w:lvl w:ilvl="1" w:tplc="FFFFFFFF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1">
    <w:nsid w:val="E2EB3865"/>
    <w:multiLevelType w:val="hybridMultilevel"/>
    <w:tmpl w:val="00000000"/>
    <w:lvl w:ilvl="0" w:tplc="FFFFFFFF">
      <w:start w:val="1"/>
      <w:numFmt w:val="decimal"/>
      <w:lvlText w:val="%1．"/>
      <w:lvlJc w:val="left"/>
      <w:pPr>
        <w:tabs>
          <w:tab w:val="num" w:pos="1106"/>
        </w:tabs>
        <w:ind w:left="1106" w:hanging="474"/>
      </w:pPr>
    </w:lvl>
    <w:lvl w:ilvl="1" w:tplc="FFFFFFFF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6DD"/>
    <w:rsid w:val="00106F61"/>
    <w:rsid w:val="004176CF"/>
    <w:rsid w:val="00465F61"/>
    <w:rsid w:val="008A56DD"/>
    <w:rsid w:val="009864B3"/>
    <w:rsid w:val="009B31BE"/>
    <w:rsid w:val="00A86805"/>
    <w:rsid w:val="00B04553"/>
    <w:rsid w:val="00C13D27"/>
    <w:rsid w:val="00C86324"/>
    <w:rsid w:val="00D80278"/>
    <w:rsid w:val="00D9524C"/>
    <w:rsid w:val="00F9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A56DD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8A56D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8A56D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56DD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8A56DD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8A56DD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header"/>
    <w:link w:val="Char"/>
    <w:rsid w:val="008A56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A56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next w:val="a3"/>
    <w:link w:val="Char0"/>
    <w:rsid w:val="008A56DD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A56D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8A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4EAF-2BF2-4E77-9DEF-3C0E7C83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张肖林</dc:creator>
  <cp:lastModifiedBy>张肖林</cp:lastModifiedBy>
  <cp:revision>9</cp:revision>
  <cp:lastPrinted>2017-08-22T08:44:00Z</cp:lastPrinted>
  <dcterms:created xsi:type="dcterms:W3CDTF">2017-08-22T02:58:00Z</dcterms:created>
  <dcterms:modified xsi:type="dcterms:W3CDTF">2017-08-22T09:04:00Z</dcterms:modified>
</cp:coreProperties>
</file>