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3AC6E1">
      <w:pPr>
        <w:jc w:val="both"/>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西安市莲湖区市场监管领域经营主体行政合规指导清单</w:t>
      </w:r>
    </w:p>
    <w:p w14:paraId="6E971D95">
      <w:pPr>
        <w:jc w:val="center"/>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（2025版）</w:t>
      </w:r>
    </w:p>
    <w:p w14:paraId="111A55F7">
      <w:pPr>
        <w:jc w:val="center"/>
        <w:rPr>
          <w:rFonts w:hint="eastAsia" w:ascii="方正小标宋简体" w:hAnsi="方正小标宋简体" w:eastAsia="方正小标宋简体" w:cs="方正小标宋简体"/>
          <w:sz w:val="60"/>
          <w:szCs w:val="60"/>
          <w:lang w:val="en-US" w:eastAsia="zh-CN"/>
        </w:rPr>
      </w:pPr>
    </w:p>
    <w:p w14:paraId="0C2B37B7">
      <w:pPr>
        <w:jc w:val="center"/>
        <w:rPr>
          <w:rFonts w:hint="eastAsia" w:ascii="方正小标宋简体" w:hAnsi="方正小标宋简体" w:eastAsia="方正小标宋简体" w:cs="方正小标宋简体"/>
          <w:sz w:val="60"/>
          <w:szCs w:val="60"/>
          <w:lang w:val="en-US" w:eastAsia="zh-CN"/>
        </w:rPr>
      </w:pPr>
    </w:p>
    <w:p w14:paraId="5BE0BD2A">
      <w:pPr>
        <w:jc w:val="center"/>
        <w:rPr>
          <w:rFonts w:hint="eastAsia" w:ascii="方正小标宋简体" w:hAnsi="方正小标宋简体" w:eastAsia="方正小标宋简体" w:cs="方正小标宋简体"/>
          <w:sz w:val="60"/>
          <w:szCs w:val="60"/>
          <w:lang w:val="en-US" w:eastAsia="zh-CN"/>
        </w:rPr>
      </w:pPr>
    </w:p>
    <w:p w14:paraId="22231FCE">
      <w:pPr>
        <w:jc w:val="center"/>
        <w:rPr>
          <w:rFonts w:hint="eastAsia" w:ascii="方正小标宋简体" w:hAnsi="方正小标宋简体" w:eastAsia="方正小标宋简体" w:cs="方正小标宋简体"/>
          <w:sz w:val="60"/>
          <w:szCs w:val="60"/>
          <w:lang w:val="en-US" w:eastAsia="zh-CN"/>
        </w:rPr>
      </w:pPr>
    </w:p>
    <w:p w14:paraId="6A464AEF">
      <w:pPr>
        <w:jc w:val="center"/>
        <w:rPr>
          <w:rFonts w:hint="eastAsia" w:ascii="方正小标宋简体" w:hAnsi="方正小标宋简体" w:eastAsia="方正小标宋简体" w:cs="方正小标宋简体"/>
          <w:sz w:val="60"/>
          <w:szCs w:val="60"/>
          <w:lang w:val="en-US" w:eastAsia="zh-CN"/>
        </w:rPr>
      </w:pPr>
    </w:p>
    <w:p w14:paraId="0E70FF66">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西安市莲湖区市场监督管理局</w:t>
      </w:r>
    </w:p>
    <w:p w14:paraId="296AE4C8">
      <w:pPr>
        <w:ind w:left="600" w:hanging="280" w:hangingChars="100"/>
        <w:jc w:val="center"/>
        <w:rPr>
          <w:rFonts w:hint="eastAsia" w:ascii="方正小标宋简体" w:hAnsi="方正小标宋简体" w:eastAsia="方正小标宋简体" w:cs="方正小标宋简体"/>
          <w:sz w:val="28"/>
          <w:szCs w:val="28"/>
          <w:lang w:val="en-US" w:eastAsia="zh-CN"/>
        </w:rPr>
      </w:pPr>
    </w:p>
    <w:p w14:paraId="0A86F239">
      <w:pPr>
        <w:ind w:left="600" w:hanging="280" w:hangingChars="100"/>
        <w:jc w:val="center"/>
        <w:rPr>
          <w:rFonts w:hint="eastAsia" w:ascii="方正小标宋简体" w:hAnsi="方正小标宋简体" w:eastAsia="方正小标宋简体" w:cs="方正小标宋简体"/>
          <w:sz w:val="28"/>
          <w:szCs w:val="28"/>
          <w:lang w:val="en-US" w:eastAsia="zh-CN"/>
        </w:rPr>
      </w:pPr>
    </w:p>
    <w:p w14:paraId="56EAD582">
      <w:pPr>
        <w:ind w:left="600" w:hanging="280" w:hangingChars="100"/>
        <w:jc w:val="center"/>
        <w:rPr>
          <w:rFonts w:hint="eastAsia" w:ascii="方正小标宋简体" w:hAnsi="方正小标宋简体" w:eastAsia="方正小标宋简体" w:cs="方正小标宋简体"/>
          <w:sz w:val="28"/>
          <w:szCs w:val="28"/>
          <w:lang w:val="en-US" w:eastAsia="zh-CN"/>
        </w:rPr>
      </w:pPr>
    </w:p>
    <w:p w14:paraId="054B28BF">
      <w:pPr>
        <w:ind w:left="600" w:hanging="280" w:hangingChars="100"/>
        <w:jc w:val="center"/>
        <w:rPr>
          <w:rFonts w:hint="eastAsia" w:ascii="方正小标宋简体" w:hAnsi="方正小标宋简体" w:eastAsia="方正小标宋简体" w:cs="方正小标宋简体"/>
          <w:sz w:val="28"/>
          <w:szCs w:val="28"/>
          <w:lang w:val="en-US" w:eastAsia="zh-CN"/>
        </w:rPr>
      </w:pPr>
    </w:p>
    <w:p w14:paraId="16564702">
      <w:pPr>
        <w:ind w:left="600" w:hanging="280" w:hangingChars="100"/>
        <w:jc w:val="center"/>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西安市</w:t>
      </w:r>
      <w:bookmarkStart w:id="0" w:name="_GoBack"/>
      <w:bookmarkEnd w:id="0"/>
      <w:r>
        <w:rPr>
          <w:rFonts w:hint="eastAsia" w:ascii="方正小标宋简体" w:hAnsi="方正小标宋简体" w:eastAsia="方正小标宋简体" w:cs="方正小标宋简体"/>
          <w:sz w:val="28"/>
          <w:szCs w:val="28"/>
          <w:lang w:val="en-US" w:eastAsia="zh-CN"/>
        </w:rPr>
        <w:t>莲湖区市场监管领域经营主体行政合规指导清单（2025版）</w:t>
      </w:r>
    </w:p>
    <w:p w14:paraId="473D4557">
      <w:pPr>
        <w:ind w:left="600" w:hanging="320" w:hangingChars="10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（共134项）</w:t>
      </w:r>
    </w:p>
    <w:p w14:paraId="60A626B3">
      <w:pPr>
        <w:ind w:left="600" w:hanging="320" w:hangingChars="100"/>
        <w:jc w:val="center"/>
        <w:rPr>
          <w:rFonts w:hint="eastAsia" w:ascii="方正小标宋简体" w:hAnsi="方正小标宋简体" w:eastAsia="方正小标宋简体" w:cs="方正小标宋简体"/>
          <w:sz w:val="32"/>
          <w:szCs w:val="32"/>
          <w:lang w:val="en-US" w:eastAsia="zh-CN"/>
        </w:rPr>
      </w:pPr>
    </w:p>
    <w:p w14:paraId="42151043">
      <w:pPr>
        <w:ind w:left="600" w:hanging="320" w:hangingChars="10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目录</w:t>
      </w:r>
    </w:p>
    <w:p w14:paraId="6F4E6CCE">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hint="eastAsia" w:ascii="方正书宋_GBK" w:hAnsi="方正书宋_GBK" w:eastAsia="方正书宋_GBK" w:cs="方正书宋_GBK"/>
          <w:b w:val="0"/>
          <w:bCs w:val="0"/>
          <w:color w:val="000000"/>
          <w:sz w:val="27"/>
          <w:szCs w:val="27"/>
          <w:lang w:val="en-US" w:eastAsia="zh-CN"/>
        </w:rPr>
        <w:t>一、</w:t>
      </w:r>
      <w:r>
        <w:rPr>
          <w:rFonts w:ascii="方正书宋_GBK" w:hAnsi="方正书宋_GBK" w:eastAsia="方正书宋_GBK" w:cs="方正书宋_GBK"/>
          <w:b w:val="0"/>
          <w:bCs w:val="0"/>
          <w:color w:val="000000"/>
          <w:sz w:val="27"/>
          <w:szCs w:val="27"/>
        </w:rPr>
        <w:t>经营主体登记及信息公示类行为（</w:t>
      </w:r>
      <w:r>
        <w:rPr>
          <w:rFonts w:hint="eastAsia" w:ascii="方正书宋_GBK" w:hAnsi="方正书宋_GBK" w:eastAsia="方正书宋_GBK" w:cs="方正书宋_GBK"/>
          <w:b w:val="0"/>
          <w:bCs w:val="0"/>
          <w:color w:val="000000"/>
          <w:sz w:val="27"/>
          <w:szCs w:val="27"/>
          <w:lang w:val="en-US" w:eastAsia="zh-CN"/>
        </w:rPr>
        <w:t>9</w:t>
      </w:r>
      <w:r>
        <w:rPr>
          <w:rFonts w:ascii="方正书宋_GBK" w:hAnsi="方正书宋_GBK" w:eastAsia="方正书宋_GBK" w:cs="方正书宋_GBK"/>
          <w:b w:val="0"/>
          <w:bCs w:val="0"/>
          <w:color w:val="000000"/>
          <w:sz w:val="27"/>
          <w:szCs w:val="27"/>
        </w:rPr>
        <w:t xml:space="preserve">项）………………………………01 </w:t>
      </w:r>
    </w:p>
    <w:p w14:paraId="5E157A7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二、不正当竞争类行为（</w:t>
      </w:r>
      <w:r>
        <w:rPr>
          <w:rFonts w:hint="eastAsia" w:ascii="方正书宋_GBK" w:hAnsi="方正书宋_GBK" w:eastAsia="方正书宋_GBK" w:cs="方正书宋_GBK"/>
          <w:b w:val="0"/>
          <w:bCs w:val="0"/>
          <w:color w:val="000000"/>
          <w:sz w:val="27"/>
          <w:szCs w:val="27"/>
          <w:lang w:val="en-US" w:eastAsia="zh-CN"/>
        </w:rPr>
        <w:t>7</w:t>
      </w:r>
      <w:r>
        <w:rPr>
          <w:rFonts w:ascii="方正书宋_GBK" w:hAnsi="方正书宋_GBK" w:eastAsia="方正书宋_GBK" w:cs="方正书宋_GBK"/>
          <w:b w:val="0"/>
          <w:bCs w:val="0"/>
          <w:color w:val="000000"/>
          <w:sz w:val="27"/>
          <w:szCs w:val="27"/>
        </w:rPr>
        <w:t>项）………………………………………</w:t>
      </w:r>
      <w:r>
        <w:rPr>
          <w:rFonts w:hint="eastAsia" w:ascii="方正书宋_GBK" w:hAnsi="方正书宋_GBK" w:eastAsia="方正书宋_GBK" w:cs="方正书宋_GBK"/>
          <w:b w:val="0"/>
          <w:bCs w:val="0"/>
          <w:color w:val="000000"/>
          <w:sz w:val="27"/>
          <w:szCs w:val="27"/>
          <w:lang w:val="en-US" w:eastAsia="zh-CN"/>
        </w:rPr>
        <w:t>...............</w:t>
      </w:r>
      <w:r>
        <w:rPr>
          <w:rFonts w:ascii="方正书宋_GBK" w:hAnsi="方正书宋_GBK" w:eastAsia="方正书宋_GBK" w:cs="方正书宋_GBK"/>
          <w:b w:val="0"/>
          <w:bCs w:val="0"/>
          <w:color w:val="000000"/>
          <w:sz w:val="27"/>
          <w:szCs w:val="27"/>
        </w:rPr>
        <w:t>1</w:t>
      </w:r>
      <w:r>
        <w:rPr>
          <w:rFonts w:hint="eastAsia" w:ascii="方正书宋_GBK" w:hAnsi="方正书宋_GBK" w:eastAsia="方正书宋_GBK" w:cs="方正书宋_GBK"/>
          <w:b w:val="0"/>
          <w:bCs w:val="0"/>
          <w:color w:val="000000"/>
          <w:sz w:val="27"/>
          <w:szCs w:val="27"/>
          <w:lang w:val="en-US" w:eastAsia="zh-CN"/>
        </w:rPr>
        <w:t>1</w:t>
      </w:r>
      <w:r>
        <w:rPr>
          <w:rFonts w:ascii="方正书宋_GBK" w:hAnsi="方正书宋_GBK" w:eastAsia="方正书宋_GBK" w:cs="方正书宋_GBK"/>
          <w:b w:val="0"/>
          <w:bCs w:val="0"/>
          <w:color w:val="000000"/>
          <w:sz w:val="27"/>
          <w:szCs w:val="27"/>
        </w:rPr>
        <w:t xml:space="preserve"> </w:t>
      </w:r>
    </w:p>
    <w:p w14:paraId="082CFF30">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三、价格类行为（5项）………………………………………………………</w:t>
      </w:r>
      <w:r>
        <w:rPr>
          <w:rFonts w:hint="eastAsia" w:ascii="方正书宋_GBK" w:hAnsi="方正书宋_GBK" w:eastAsia="方正书宋_GBK" w:cs="方正书宋_GBK"/>
          <w:b w:val="0"/>
          <w:bCs w:val="0"/>
          <w:color w:val="000000"/>
          <w:sz w:val="27"/>
          <w:szCs w:val="27"/>
          <w:lang w:val="en-US" w:eastAsia="zh-CN"/>
        </w:rPr>
        <w:t>.......14</w:t>
      </w:r>
      <w:r>
        <w:rPr>
          <w:rFonts w:ascii="方正书宋_GBK" w:hAnsi="方正书宋_GBK" w:eastAsia="方正书宋_GBK" w:cs="方正书宋_GBK"/>
          <w:b w:val="0"/>
          <w:bCs w:val="0"/>
          <w:color w:val="000000"/>
          <w:sz w:val="27"/>
          <w:szCs w:val="27"/>
        </w:rPr>
        <w:t xml:space="preserve"> </w:t>
      </w:r>
    </w:p>
    <w:p w14:paraId="60A2397E">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四、</w:t>
      </w:r>
      <w:r>
        <w:rPr>
          <w:rFonts w:hint="eastAsia" w:ascii="方正书宋_GBK" w:hAnsi="方正书宋_GBK" w:eastAsia="方正书宋_GBK" w:cs="方正书宋_GBK"/>
          <w:b w:val="0"/>
          <w:bCs w:val="0"/>
          <w:color w:val="000000"/>
          <w:sz w:val="27"/>
          <w:szCs w:val="27"/>
          <w:lang w:eastAsia="zh-CN"/>
        </w:rPr>
        <w:t>消费者权益保护类</w:t>
      </w:r>
      <w:r>
        <w:rPr>
          <w:rFonts w:ascii="方正书宋_GBK" w:hAnsi="方正书宋_GBK" w:eastAsia="方正书宋_GBK" w:cs="方正书宋_GBK"/>
          <w:b w:val="0"/>
          <w:bCs w:val="0"/>
          <w:color w:val="000000"/>
          <w:sz w:val="27"/>
          <w:szCs w:val="27"/>
        </w:rPr>
        <w:t>行为（</w:t>
      </w:r>
      <w:r>
        <w:rPr>
          <w:rFonts w:hint="eastAsia" w:ascii="方正书宋_GBK" w:hAnsi="方正书宋_GBK" w:eastAsia="方正书宋_GBK" w:cs="方正书宋_GBK"/>
          <w:b w:val="0"/>
          <w:bCs w:val="0"/>
          <w:color w:val="000000"/>
          <w:sz w:val="27"/>
          <w:szCs w:val="27"/>
          <w:lang w:val="en-US" w:eastAsia="zh-CN"/>
        </w:rPr>
        <w:t>2项</w:t>
      </w:r>
      <w:r>
        <w:rPr>
          <w:rFonts w:ascii="方正书宋_GBK" w:hAnsi="方正书宋_GBK" w:eastAsia="方正书宋_GBK" w:cs="方正书宋_GBK"/>
          <w:b w:val="0"/>
          <w:bCs w:val="0"/>
          <w:color w:val="000000"/>
          <w:sz w:val="27"/>
          <w:szCs w:val="27"/>
        </w:rPr>
        <w:t>）………………………………………</w:t>
      </w:r>
      <w:r>
        <w:rPr>
          <w:rFonts w:hint="eastAsia" w:ascii="方正书宋_GBK" w:hAnsi="方正书宋_GBK" w:eastAsia="方正书宋_GBK" w:cs="方正书宋_GBK"/>
          <w:b w:val="0"/>
          <w:bCs w:val="0"/>
          <w:color w:val="000000"/>
          <w:sz w:val="27"/>
          <w:szCs w:val="27"/>
          <w:lang w:val="en-US" w:eastAsia="zh-CN"/>
        </w:rPr>
        <w:t>.......</w:t>
      </w:r>
      <w:r>
        <w:rPr>
          <w:rFonts w:ascii="方正书宋_GBK" w:hAnsi="方正书宋_GBK" w:eastAsia="方正书宋_GBK" w:cs="方正书宋_GBK"/>
          <w:b w:val="0"/>
          <w:bCs w:val="0"/>
          <w:color w:val="000000"/>
          <w:sz w:val="27"/>
          <w:szCs w:val="27"/>
        </w:rPr>
        <w:t>1</w:t>
      </w:r>
      <w:r>
        <w:rPr>
          <w:rFonts w:hint="eastAsia" w:ascii="方正书宋_GBK" w:hAnsi="方正书宋_GBK" w:eastAsia="方正书宋_GBK" w:cs="方正书宋_GBK"/>
          <w:b w:val="0"/>
          <w:bCs w:val="0"/>
          <w:color w:val="000000"/>
          <w:sz w:val="27"/>
          <w:szCs w:val="27"/>
          <w:lang w:val="en-US" w:eastAsia="zh-CN"/>
        </w:rPr>
        <w:t>8</w:t>
      </w:r>
      <w:r>
        <w:rPr>
          <w:rFonts w:ascii="方正书宋_GBK" w:hAnsi="方正书宋_GBK" w:eastAsia="方正书宋_GBK" w:cs="方正书宋_GBK"/>
          <w:b w:val="0"/>
          <w:bCs w:val="0"/>
          <w:color w:val="000000"/>
          <w:sz w:val="27"/>
          <w:szCs w:val="27"/>
        </w:rPr>
        <w:t xml:space="preserve"> </w:t>
      </w:r>
    </w:p>
    <w:p w14:paraId="65512FB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五、</w:t>
      </w:r>
      <w:r>
        <w:rPr>
          <w:rFonts w:hint="eastAsia" w:ascii="方正书宋_GBK" w:hAnsi="方正书宋_GBK" w:eastAsia="方正书宋_GBK" w:cs="方正书宋_GBK"/>
          <w:b w:val="0"/>
          <w:bCs w:val="0"/>
          <w:color w:val="000000"/>
          <w:sz w:val="27"/>
          <w:szCs w:val="27"/>
          <w:lang w:eastAsia="zh-CN"/>
        </w:rPr>
        <w:t>广告</w:t>
      </w:r>
      <w:r>
        <w:rPr>
          <w:rFonts w:ascii="方正书宋_GBK" w:hAnsi="方正书宋_GBK" w:eastAsia="方正书宋_GBK" w:cs="方正书宋_GBK"/>
          <w:b w:val="0"/>
          <w:bCs w:val="0"/>
          <w:color w:val="000000"/>
          <w:sz w:val="27"/>
          <w:szCs w:val="27"/>
        </w:rPr>
        <w:t>类行为（</w:t>
      </w:r>
      <w:r>
        <w:rPr>
          <w:rFonts w:hint="eastAsia" w:ascii="方正书宋_GBK" w:hAnsi="方正书宋_GBK" w:eastAsia="方正书宋_GBK" w:cs="方正书宋_GBK"/>
          <w:b w:val="0"/>
          <w:bCs w:val="0"/>
          <w:color w:val="000000"/>
          <w:sz w:val="27"/>
          <w:szCs w:val="27"/>
          <w:lang w:val="en-US" w:eastAsia="zh-CN"/>
        </w:rPr>
        <w:t>14</w:t>
      </w:r>
      <w:r>
        <w:rPr>
          <w:rFonts w:ascii="方正书宋_GBK" w:hAnsi="方正书宋_GBK" w:eastAsia="方正书宋_GBK" w:cs="方正书宋_GBK"/>
          <w:b w:val="0"/>
          <w:bCs w:val="0"/>
          <w:color w:val="000000"/>
          <w:sz w:val="27"/>
          <w:szCs w:val="27"/>
        </w:rPr>
        <w:t>项） …………………………………………</w:t>
      </w:r>
      <w:r>
        <w:rPr>
          <w:rFonts w:hint="eastAsia" w:ascii="方正书宋_GBK" w:hAnsi="方正书宋_GBK" w:eastAsia="方正书宋_GBK" w:cs="方正书宋_GBK"/>
          <w:b w:val="0"/>
          <w:bCs w:val="0"/>
          <w:color w:val="000000"/>
          <w:sz w:val="27"/>
          <w:szCs w:val="27"/>
          <w:lang w:val="en-US" w:eastAsia="zh-CN"/>
        </w:rPr>
        <w:t>....................21</w:t>
      </w:r>
      <w:r>
        <w:rPr>
          <w:rFonts w:ascii="方正书宋_GBK" w:hAnsi="方正书宋_GBK" w:eastAsia="方正书宋_GBK" w:cs="方正书宋_GBK"/>
          <w:b w:val="0"/>
          <w:bCs w:val="0"/>
          <w:color w:val="000000"/>
          <w:sz w:val="27"/>
          <w:szCs w:val="27"/>
        </w:rPr>
        <w:t xml:space="preserve"> </w:t>
      </w:r>
    </w:p>
    <w:p w14:paraId="325A76A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六、知识产权保护类行为（5项） …………………………………………</w:t>
      </w:r>
      <w:r>
        <w:rPr>
          <w:rFonts w:hint="eastAsia" w:ascii="方正书宋_GBK" w:hAnsi="方正书宋_GBK" w:eastAsia="方正书宋_GBK" w:cs="方正书宋_GBK"/>
          <w:b w:val="0"/>
          <w:bCs w:val="0"/>
          <w:color w:val="000000"/>
          <w:sz w:val="27"/>
          <w:szCs w:val="27"/>
          <w:lang w:val="en-US" w:eastAsia="zh-CN"/>
        </w:rPr>
        <w:t>.</w:t>
      </w:r>
      <w:r>
        <w:rPr>
          <w:rFonts w:ascii="方正书宋_GBK" w:hAnsi="方正书宋_GBK" w:eastAsia="方正书宋_GBK" w:cs="方正书宋_GBK"/>
          <w:b w:val="0"/>
          <w:bCs w:val="0"/>
          <w:color w:val="000000"/>
          <w:sz w:val="27"/>
          <w:szCs w:val="27"/>
        </w:rPr>
        <w:t>…</w:t>
      </w:r>
      <w:r>
        <w:rPr>
          <w:rFonts w:hint="eastAsia" w:ascii="方正书宋_GBK" w:hAnsi="方正书宋_GBK" w:eastAsia="方正书宋_GBK" w:cs="方正书宋_GBK"/>
          <w:b w:val="0"/>
          <w:bCs w:val="0"/>
          <w:color w:val="000000"/>
          <w:sz w:val="27"/>
          <w:szCs w:val="27"/>
          <w:lang w:val="en-US" w:eastAsia="zh-CN"/>
        </w:rPr>
        <w:t>.29</w:t>
      </w:r>
      <w:r>
        <w:rPr>
          <w:rFonts w:ascii="方正书宋_GBK" w:hAnsi="方正书宋_GBK" w:eastAsia="方正书宋_GBK" w:cs="方正书宋_GBK"/>
          <w:b w:val="0"/>
          <w:bCs w:val="0"/>
          <w:color w:val="000000"/>
          <w:sz w:val="27"/>
          <w:szCs w:val="27"/>
        </w:rPr>
        <w:t xml:space="preserve"> </w:t>
      </w:r>
    </w:p>
    <w:p w14:paraId="2FBE044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七、标准化和计量类行为（</w:t>
      </w:r>
      <w:r>
        <w:rPr>
          <w:rFonts w:hint="eastAsia" w:ascii="方正书宋_GBK" w:hAnsi="方正书宋_GBK" w:eastAsia="方正书宋_GBK" w:cs="方正书宋_GBK"/>
          <w:b w:val="0"/>
          <w:bCs w:val="0"/>
          <w:color w:val="000000"/>
          <w:sz w:val="27"/>
          <w:szCs w:val="27"/>
          <w:lang w:val="en-US" w:eastAsia="zh-CN"/>
        </w:rPr>
        <w:t>4</w:t>
      </w:r>
      <w:r>
        <w:rPr>
          <w:rFonts w:ascii="方正书宋_GBK" w:hAnsi="方正书宋_GBK" w:eastAsia="方正书宋_GBK" w:cs="方正书宋_GBK"/>
          <w:b w:val="0"/>
          <w:bCs w:val="0"/>
          <w:color w:val="000000"/>
          <w:sz w:val="27"/>
          <w:szCs w:val="27"/>
        </w:rPr>
        <w:t>项） ……………………………………………</w:t>
      </w:r>
      <w:r>
        <w:rPr>
          <w:rFonts w:hint="eastAsia" w:ascii="方正书宋_GBK" w:hAnsi="方正书宋_GBK" w:eastAsia="方正书宋_GBK" w:cs="方正书宋_GBK"/>
          <w:b w:val="0"/>
          <w:bCs w:val="0"/>
          <w:color w:val="000000"/>
          <w:sz w:val="27"/>
          <w:szCs w:val="27"/>
          <w:lang w:val="en-US" w:eastAsia="zh-CN"/>
        </w:rPr>
        <w:t>..32</w:t>
      </w:r>
      <w:r>
        <w:rPr>
          <w:rFonts w:ascii="方正书宋_GBK" w:hAnsi="方正书宋_GBK" w:eastAsia="方正书宋_GBK" w:cs="方正书宋_GBK"/>
          <w:b w:val="0"/>
          <w:bCs w:val="0"/>
          <w:color w:val="000000"/>
          <w:sz w:val="27"/>
          <w:szCs w:val="27"/>
        </w:rPr>
        <w:t xml:space="preserve"> </w:t>
      </w:r>
    </w:p>
    <w:p w14:paraId="0B293BD0">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八、认证</w:t>
      </w:r>
      <w:r>
        <w:rPr>
          <w:rFonts w:hint="eastAsia" w:ascii="方正书宋_GBK" w:hAnsi="方正书宋_GBK" w:eastAsia="方正书宋_GBK" w:cs="方正书宋_GBK"/>
          <w:b w:val="0"/>
          <w:bCs w:val="0"/>
          <w:color w:val="000000"/>
          <w:sz w:val="27"/>
          <w:szCs w:val="27"/>
          <w:lang w:val="en-US" w:eastAsia="zh-CN"/>
        </w:rPr>
        <w:t>,检验检测</w:t>
      </w:r>
      <w:r>
        <w:rPr>
          <w:rFonts w:ascii="方正书宋_GBK" w:hAnsi="方正书宋_GBK" w:eastAsia="方正书宋_GBK" w:cs="方正书宋_GBK"/>
          <w:b w:val="0"/>
          <w:bCs w:val="0"/>
          <w:color w:val="000000"/>
          <w:sz w:val="27"/>
          <w:szCs w:val="27"/>
        </w:rPr>
        <w:t>类行为（</w:t>
      </w:r>
      <w:r>
        <w:rPr>
          <w:rFonts w:hint="eastAsia" w:ascii="方正书宋_GBK" w:hAnsi="方正书宋_GBK" w:eastAsia="方正书宋_GBK" w:cs="方正书宋_GBK"/>
          <w:b w:val="0"/>
          <w:bCs w:val="0"/>
          <w:color w:val="000000"/>
          <w:sz w:val="27"/>
          <w:szCs w:val="27"/>
          <w:lang w:val="en-US" w:eastAsia="zh-CN"/>
        </w:rPr>
        <w:t>6</w:t>
      </w:r>
      <w:r>
        <w:rPr>
          <w:rFonts w:ascii="方正书宋_GBK" w:hAnsi="方正书宋_GBK" w:eastAsia="方正书宋_GBK" w:cs="方正书宋_GBK"/>
          <w:b w:val="0"/>
          <w:bCs w:val="0"/>
          <w:color w:val="000000"/>
          <w:sz w:val="27"/>
          <w:szCs w:val="27"/>
        </w:rPr>
        <w:t>项）……………………………………………</w:t>
      </w:r>
      <w:r>
        <w:rPr>
          <w:rFonts w:hint="eastAsia" w:ascii="方正书宋_GBK" w:hAnsi="方正书宋_GBK" w:eastAsia="方正书宋_GBK" w:cs="方正书宋_GBK"/>
          <w:b w:val="0"/>
          <w:bCs w:val="0"/>
          <w:color w:val="000000"/>
          <w:sz w:val="27"/>
          <w:szCs w:val="27"/>
          <w:lang w:val="en-US" w:eastAsia="zh-CN"/>
        </w:rPr>
        <w:t>...</w:t>
      </w:r>
      <w:r>
        <w:rPr>
          <w:rFonts w:ascii="方正书宋_GBK" w:hAnsi="方正书宋_GBK" w:eastAsia="方正书宋_GBK" w:cs="方正书宋_GBK"/>
          <w:b w:val="0"/>
          <w:bCs w:val="0"/>
          <w:color w:val="000000"/>
          <w:sz w:val="27"/>
          <w:szCs w:val="27"/>
        </w:rPr>
        <w:t>3</w:t>
      </w:r>
      <w:r>
        <w:rPr>
          <w:rFonts w:hint="eastAsia" w:ascii="方正书宋_GBK" w:hAnsi="方正书宋_GBK" w:eastAsia="方正书宋_GBK" w:cs="方正书宋_GBK"/>
          <w:b w:val="0"/>
          <w:bCs w:val="0"/>
          <w:color w:val="000000"/>
          <w:sz w:val="27"/>
          <w:szCs w:val="27"/>
          <w:lang w:val="en-US" w:eastAsia="zh-CN"/>
        </w:rPr>
        <w:t>5</w:t>
      </w:r>
      <w:r>
        <w:rPr>
          <w:rFonts w:ascii="方正书宋_GBK" w:hAnsi="方正书宋_GBK" w:eastAsia="方正书宋_GBK" w:cs="方正书宋_GBK"/>
          <w:b w:val="0"/>
          <w:bCs w:val="0"/>
          <w:color w:val="000000"/>
          <w:sz w:val="27"/>
          <w:szCs w:val="27"/>
        </w:rPr>
        <w:t xml:space="preserve"> </w:t>
      </w:r>
    </w:p>
    <w:p w14:paraId="7737A18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九、</w:t>
      </w:r>
      <w:r>
        <w:rPr>
          <w:rFonts w:hint="eastAsia" w:ascii="方正书宋_GBK" w:hAnsi="方正书宋_GBK" w:eastAsia="方正书宋_GBK" w:cs="方正书宋_GBK"/>
          <w:b w:val="0"/>
          <w:bCs w:val="0"/>
          <w:color w:val="000000"/>
          <w:sz w:val="27"/>
          <w:szCs w:val="27"/>
          <w:lang w:eastAsia="zh-CN"/>
        </w:rPr>
        <w:t>工业产品</w:t>
      </w:r>
      <w:r>
        <w:rPr>
          <w:rFonts w:ascii="方正书宋_GBK" w:hAnsi="方正书宋_GBK" w:eastAsia="方正书宋_GBK" w:cs="方正书宋_GBK"/>
          <w:b w:val="0"/>
          <w:bCs w:val="0"/>
          <w:color w:val="000000"/>
          <w:sz w:val="27"/>
          <w:szCs w:val="27"/>
        </w:rPr>
        <w:t>生产</w:t>
      </w:r>
      <w:r>
        <w:rPr>
          <w:rFonts w:hint="eastAsia" w:ascii="方正书宋_GBK" w:hAnsi="方正书宋_GBK" w:eastAsia="方正书宋_GBK" w:cs="方正书宋_GBK"/>
          <w:b w:val="0"/>
          <w:bCs w:val="0"/>
          <w:color w:val="000000"/>
          <w:sz w:val="27"/>
          <w:szCs w:val="27"/>
          <w:lang w:eastAsia="zh-CN"/>
        </w:rPr>
        <w:t>销售</w:t>
      </w:r>
      <w:r>
        <w:rPr>
          <w:rFonts w:ascii="方正书宋_GBK" w:hAnsi="方正书宋_GBK" w:eastAsia="方正书宋_GBK" w:cs="方正书宋_GBK"/>
          <w:b w:val="0"/>
          <w:bCs w:val="0"/>
          <w:color w:val="000000"/>
          <w:sz w:val="27"/>
          <w:szCs w:val="27"/>
        </w:rPr>
        <w:t>行为 （4项）…………………………………………</w:t>
      </w:r>
      <w:r>
        <w:rPr>
          <w:rFonts w:hint="eastAsia" w:ascii="方正书宋_GBK" w:hAnsi="方正书宋_GBK" w:eastAsia="方正书宋_GBK" w:cs="方正书宋_GBK"/>
          <w:b w:val="0"/>
          <w:bCs w:val="0"/>
          <w:color w:val="000000"/>
          <w:sz w:val="27"/>
          <w:szCs w:val="27"/>
          <w:lang w:val="en-US" w:eastAsia="zh-CN"/>
        </w:rPr>
        <w:t>.38</w:t>
      </w:r>
      <w:r>
        <w:rPr>
          <w:rFonts w:ascii="方正书宋_GBK" w:hAnsi="方正书宋_GBK" w:eastAsia="方正书宋_GBK" w:cs="方正书宋_GBK"/>
          <w:b w:val="0"/>
          <w:bCs w:val="0"/>
          <w:color w:val="000000"/>
          <w:sz w:val="27"/>
          <w:szCs w:val="27"/>
        </w:rPr>
        <w:t xml:space="preserve"> </w:t>
      </w:r>
    </w:p>
    <w:p w14:paraId="23028F3F">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hint="default" w:ascii="方正书宋_GBK" w:hAnsi="方正书宋_GBK" w:eastAsia="方正书宋_GBK" w:cs="方正书宋_GBK"/>
          <w:b w:val="0"/>
          <w:bCs w:val="0"/>
          <w:color w:val="000000"/>
          <w:sz w:val="27"/>
          <w:szCs w:val="27"/>
          <w:lang w:val="en-US" w:eastAsia="zh-CN"/>
        </w:rPr>
      </w:pPr>
      <w:r>
        <w:rPr>
          <w:rFonts w:ascii="方正书宋_GBK" w:hAnsi="方正书宋_GBK" w:eastAsia="方正书宋_GBK" w:cs="方正书宋_GBK"/>
          <w:b w:val="0"/>
          <w:bCs w:val="0"/>
          <w:color w:val="000000"/>
          <w:sz w:val="27"/>
          <w:szCs w:val="27"/>
        </w:rPr>
        <w:t>十、食品</w:t>
      </w:r>
      <w:r>
        <w:rPr>
          <w:rFonts w:hint="eastAsia" w:ascii="方正书宋_GBK" w:hAnsi="方正书宋_GBK" w:eastAsia="方正书宋_GBK" w:cs="方正书宋_GBK"/>
          <w:b w:val="0"/>
          <w:bCs w:val="0"/>
          <w:color w:val="000000"/>
          <w:sz w:val="27"/>
          <w:szCs w:val="27"/>
          <w:lang w:eastAsia="zh-CN"/>
        </w:rPr>
        <w:t>生产</w:t>
      </w:r>
      <w:r>
        <w:rPr>
          <w:rFonts w:ascii="方正书宋_GBK" w:hAnsi="方正书宋_GBK" w:eastAsia="方正书宋_GBK" w:cs="方正书宋_GBK"/>
          <w:b w:val="0"/>
          <w:bCs w:val="0"/>
          <w:color w:val="000000"/>
          <w:sz w:val="27"/>
          <w:szCs w:val="27"/>
        </w:rPr>
        <w:t>行为（</w:t>
      </w:r>
      <w:r>
        <w:rPr>
          <w:rFonts w:hint="eastAsia" w:ascii="方正书宋_GBK" w:hAnsi="方正书宋_GBK" w:eastAsia="方正书宋_GBK" w:cs="方正书宋_GBK"/>
          <w:b w:val="0"/>
          <w:bCs w:val="0"/>
          <w:color w:val="000000"/>
          <w:sz w:val="27"/>
          <w:szCs w:val="27"/>
          <w:lang w:val="en-US" w:eastAsia="zh-CN"/>
        </w:rPr>
        <w:t>4</w:t>
      </w:r>
      <w:r>
        <w:rPr>
          <w:rFonts w:ascii="方正书宋_GBK" w:hAnsi="方正书宋_GBK" w:eastAsia="方正书宋_GBK" w:cs="方正书宋_GBK"/>
          <w:b w:val="0"/>
          <w:bCs w:val="0"/>
          <w:color w:val="000000"/>
          <w:sz w:val="27"/>
          <w:szCs w:val="27"/>
        </w:rPr>
        <w:t>项）…………………………………………………</w:t>
      </w:r>
      <w:r>
        <w:rPr>
          <w:rFonts w:hint="eastAsia" w:ascii="方正书宋_GBK" w:hAnsi="方正书宋_GBK" w:eastAsia="方正书宋_GBK" w:cs="方正书宋_GBK"/>
          <w:b w:val="0"/>
          <w:bCs w:val="0"/>
          <w:color w:val="000000"/>
          <w:sz w:val="27"/>
          <w:szCs w:val="27"/>
          <w:lang w:val="en-US" w:eastAsia="zh-CN"/>
        </w:rPr>
        <w:t>..........41</w:t>
      </w:r>
    </w:p>
    <w:p w14:paraId="07D284E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hint="default" w:ascii="方正书宋_GBK" w:hAnsi="方正书宋_GBK" w:eastAsia="方正书宋_GBK" w:cs="方正书宋_GBK"/>
          <w:b w:val="0"/>
          <w:bCs w:val="0"/>
          <w:color w:val="000000"/>
          <w:sz w:val="27"/>
          <w:szCs w:val="27"/>
          <w:lang w:val="en-US" w:eastAsia="zh-CN"/>
        </w:rPr>
      </w:pPr>
      <w:r>
        <w:rPr>
          <w:rFonts w:ascii="方正书宋_GBK" w:hAnsi="方正书宋_GBK" w:eastAsia="方正书宋_GBK" w:cs="方正书宋_GBK"/>
          <w:b w:val="0"/>
          <w:bCs w:val="0"/>
          <w:color w:val="000000"/>
          <w:sz w:val="27"/>
          <w:szCs w:val="27"/>
        </w:rPr>
        <w:t>十一、</w:t>
      </w:r>
      <w:r>
        <w:rPr>
          <w:rFonts w:hint="eastAsia" w:ascii="方正书宋_GBK" w:hAnsi="方正书宋_GBK" w:eastAsia="方正书宋_GBK" w:cs="方正书宋_GBK"/>
          <w:b w:val="0"/>
          <w:bCs w:val="0"/>
          <w:color w:val="000000"/>
          <w:sz w:val="27"/>
          <w:szCs w:val="27"/>
          <w:lang w:eastAsia="zh-CN"/>
        </w:rPr>
        <w:t>食品流通</w:t>
      </w:r>
      <w:r>
        <w:rPr>
          <w:rFonts w:ascii="方正书宋_GBK" w:hAnsi="方正书宋_GBK" w:eastAsia="方正书宋_GBK" w:cs="方正书宋_GBK"/>
          <w:b w:val="0"/>
          <w:bCs w:val="0"/>
          <w:color w:val="000000"/>
          <w:sz w:val="27"/>
          <w:szCs w:val="27"/>
        </w:rPr>
        <w:t>行为（1</w:t>
      </w:r>
      <w:r>
        <w:rPr>
          <w:rFonts w:hint="eastAsia" w:ascii="方正书宋_GBK" w:hAnsi="方正书宋_GBK" w:eastAsia="方正书宋_GBK" w:cs="方正书宋_GBK"/>
          <w:b w:val="0"/>
          <w:bCs w:val="0"/>
          <w:color w:val="000000"/>
          <w:sz w:val="27"/>
          <w:szCs w:val="27"/>
          <w:lang w:val="en-US" w:eastAsia="zh-CN"/>
        </w:rPr>
        <w:t>7</w:t>
      </w:r>
      <w:r>
        <w:rPr>
          <w:rFonts w:ascii="方正书宋_GBK" w:hAnsi="方正书宋_GBK" w:eastAsia="方正书宋_GBK" w:cs="方正书宋_GBK"/>
          <w:b w:val="0"/>
          <w:bCs w:val="0"/>
          <w:color w:val="000000"/>
          <w:sz w:val="27"/>
          <w:szCs w:val="27"/>
        </w:rPr>
        <w:t>项）………………………………………………</w:t>
      </w:r>
      <w:r>
        <w:rPr>
          <w:rFonts w:hint="eastAsia" w:ascii="方正书宋_GBK" w:hAnsi="方正书宋_GBK" w:eastAsia="方正书宋_GBK" w:cs="方正书宋_GBK"/>
          <w:b w:val="0"/>
          <w:bCs w:val="0"/>
          <w:color w:val="000000"/>
          <w:sz w:val="27"/>
          <w:szCs w:val="27"/>
          <w:lang w:val="en-US" w:eastAsia="zh-CN"/>
        </w:rPr>
        <w:t>.......44</w:t>
      </w:r>
    </w:p>
    <w:p w14:paraId="61316E33">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十</w:t>
      </w:r>
      <w:r>
        <w:rPr>
          <w:rFonts w:hint="eastAsia" w:ascii="方正书宋_GBK" w:hAnsi="方正书宋_GBK" w:eastAsia="方正书宋_GBK" w:cs="方正书宋_GBK"/>
          <w:b w:val="0"/>
          <w:bCs w:val="0"/>
          <w:color w:val="000000"/>
          <w:sz w:val="27"/>
          <w:szCs w:val="27"/>
          <w:lang w:eastAsia="zh-CN"/>
        </w:rPr>
        <w:t>二</w:t>
      </w:r>
      <w:r>
        <w:rPr>
          <w:rFonts w:ascii="方正书宋_GBK" w:hAnsi="方正书宋_GBK" w:eastAsia="方正书宋_GBK" w:cs="方正书宋_GBK"/>
          <w:b w:val="0"/>
          <w:bCs w:val="0"/>
          <w:color w:val="000000"/>
          <w:sz w:val="27"/>
          <w:szCs w:val="27"/>
        </w:rPr>
        <w:t>、</w:t>
      </w:r>
      <w:r>
        <w:rPr>
          <w:rFonts w:hint="eastAsia" w:ascii="方正书宋_GBK" w:hAnsi="方正书宋_GBK" w:eastAsia="方正书宋_GBK" w:cs="方正书宋_GBK"/>
          <w:b w:val="0"/>
          <w:bCs w:val="0"/>
          <w:color w:val="000000"/>
          <w:sz w:val="27"/>
          <w:szCs w:val="27"/>
          <w:lang w:eastAsia="zh-CN"/>
        </w:rPr>
        <w:t>餐饮服务</w:t>
      </w:r>
      <w:r>
        <w:rPr>
          <w:rFonts w:ascii="方正书宋_GBK" w:hAnsi="方正书宋_GBK" w:eastAsia="方正书宋_GBK" w:cs="方正书宋_GBK"/>
          <w:b w:val="0"/>
          <w:bCs w:val="0"/>
          <w:color w:val="000000"/>
          <w:sz w:val="27"/>
          <w:szCs w:val="27"/>
        </w:rPr>
        <w:t>行为（</w:t>
      </w:r>
      <w:r>
        <w:rPr>
          <w:rFonts w:hint="eastAsia" w:ascii="方正书宋_GBK" w:hAnsi="方正书宋_GBK" w:eastAsia="方正书宋_GBK" w:cs="方正书宋_GBK"/>
          <w:b w:val="0"/>
          <w:bCs w:val="0"/>
          <w:color w:val="000000"/>
          <w:sz w:val="27"/>
          <w:szCs w:val="27"/>
          <w:lang w:val="en-US" w:eastAsia="zh-CN"/>
        </w:rPr>
        <w:t>16</w:t>
      </w:r>
      <w:r>
        <w:rPr>
          <w:rFonts w:ascii="方正书宋_GBK" w:hAnsi="方正书宋_GBK" w:eastAsia="方正书宋_GBK" w:cs="方正书宋_GBK"/>
          <w:b w:val="0"/>
          <w:bCs w:val="0"/>
          <w:color w:val="000000"/>
          <w:sz w:val="27"/>
          <w:szCs w:val="27"/>
        </w:rPr>
        <w:t>项）…………………………………………………</w:t>
      </w:r>
      <w:r>
        <w:rPr>
          <w:rFonts w:hint="eastAsia" w:ascii="方正书宋_GBK" w:hAnsi="方正书宋_GBK" w:eastAsia="方正书宋_GBK" w:cs="方正书宋_GBK"/>
          <w:b w:val="0"/>
          <w:bCs w:val="0"/>
          <w:color w:val="000000"/>
          <w:sz w:val="27"/>
          <w:szCs w:val="27"/>
          <w:lang w:val="en-US" w:eastAsia="zh-CN"/>
        </w:rPr>
        <w:t>...58</w:t>
      </w:r>
      <w:r>
        <w:rPr>
          <w:rFonts w:ascii="方正书宋_GBK" w:hAnsi="方正书宋_GBK" w:eastAsia="方正书宋_GBK" w:cs="方正书宋_GBK"/>
          <w:b w:val="0"/>
          <w:bCs w:val="0"/>
          <w:color w:val="000000"/>
          <w:sz w:val="27"/>
          <w:szCs w:val="27"/>
        </w:rPr>
        <w:t xml:space="preserve"> </w:t>
      </w:r>
    </w:p>
    <w:p w14:paraId="145922D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ascii="方正书宋_GBK" w:hAnsi="方正书宋_GBK" w:eastAsia="方正书宋_GBK" w:cs="方正书宋_GBK"/>
          <w:b w:val="0"/>
          <w:bCs w:val="0"/>
          <w:color w:val="000000"/>
          <w:sz w:val="27"/>
          <w:szCs w:val="27"/>
        </w:rPr>
      </w:pPr>
      <w:r>
        <w:rPr>
          <w:rFonts w:ascii="方正书宋_GBK" w:hAnsi="方正书宋_GBK" w:eastAsia="方正书宋_GBK" w:cs="方正书宋_GBK"/>
          <w:b w:val="0"/>
          <w:bCs w:val="0"/>
          <w:color w:val="000000"/>
          <w:sz w:val="27"/>
          <w:szCs w:val="27"/>
        </w:rPr>
        <w:t>十</w:t>
      </w:r>
      <w:r>
        <w:rPr>
          <w:rFonts w:hint="eastAsia" w:ascii="方正书宋_GBK" w:hAnsi="方正书宋_GBK" w:eastAsia="方正书宋_GBK" w:cs="方正书宋_GBK"/>
          <w:b w:val="0"/>
          <w:bCs w:val="0"/>
          <w:color w:val="000000"/>
          <w:sz w:val="27"/>
          <w:szCs w:val="27"/>
          <w:lang w:eastAsia="zh-CN"/>
        </w:rPr>
        <w:t>三</w:t>
      </w:r>
      <w:r>
        <w:rPr>
          <w:rFonts w:ascii="方正书宋_GBK" w:hAnsi="方正书宋_GBK" w:eastAsia="方正书宋_GBK" w:cs="方正书宋_GBK"/>
          <w:b w:val="0"/>
          <w:bCs w:val="0"/>
          <w:color w:val="000000"/>
          <w:sz w:val="27"/>
          <w:szCs w:val="27"/>
        </w:rPr>
        <w:t>、</w:t>
      </w:r>
      <w:r>
        <w:rPr>
          <w:rFonts w:hint="eastAsia" w:ascii="方正书宋_GBK" w:hAnsi="方正书宋_GBK" w:eastAsia="方正书宋_GBK" w:cs="方正书宋_GBK"/>
          <w:b w:val="0"/>
          <w:bCs w:val="0"/>
          <w:color w:val="000000"/>
          <w:sz w:val="27"/>
          <w:szCs w:val="27"/>
          <w:lang w:eastAsia="zh-CN"/>
        </w:rPr>
        <w:t>电子商务</w:t>
      </w:r>
      <w:r>
        <w:rPr>
          <w:rFonts w:ascii="方正书宋_GBK" w:hAnsi="方正书宋_GBK" w:eastAsia="方正书宋_GBK" w:cs="方正书宋_GBK"/>
          <w:b w:val="0"/>
          <w:bCs w:val="0"/>
          <w:color w:val="000000"/>
          <w:sz w:val="27"/>
          <w:szCs w:val="27"/>
        </w:rPr>
        <w:t xml:space="preserve">经营行为 ( </w:t>
      </w:r>
      <w:r>
        <w:rPr>
          <w:rFonts w:hint="eastAsia" w:ascii="方正书宋_GBK" w:hAnsi="方正书宋_GBK" w:eastAsia="方正书宋_GBK" w:cs="方正书宋_GBK"/>
          <w:b w:val="0"/>
          <w:bCs w:val="0"/>
          <w:color w:val="000000"/>
          <w:sz w:val="27"/>
          <w:szCs w:val="27"/>
          <w:lang w:val="en-US" w:eastAsia="zh-CN"/>
        </w:rPr>
        <w:t>16</w:t>
      </w:r>
      <w:r>
        <w:rPr>
          <w:rFonts w:ascii="方正书宋_GBK" w:hAnsi="方正书宋_GBK" w:eastAsia="方正书宋_GBK" w:cs="方正书宋_GBK"/>
          <w:b w:val="0"/>
          <w:bCs w:val="0"/>
          <w:color w:val="000000"/>
          <w:sz w:val="27"/>
          <w:szCs w:val="27"/>
        </w:rPr>
        <w:t>项 )…………………………………………</w:t>
      </w:r>
      <w:r>
        <w:rPr>
          <w:rFonts w:hint="eastAsia" w:ascii="方正书宋_GBK" w:hAnsi="方正书宋_GBK" w:eastAsia="方正书宋_GBK" w:cs="方正书宋_GBK"/>
          <w:b w:val="0"/>
          <w:bCs w:val="0"/>
          <w:color w:val="000000"/>
          <w:sz w:val="27"/>
          <w:szCs w:val="27"/>
          <w:lang w:val="en-US" w:eastAsia="zh-CN"/>
        </w:rPr>
        <w:t>.....69</w:t>
      </w:r>
      <w:r>
        <w:rPr>
          <w:rFonts w:ascii="方正书宋_GBK" w:hAnsi="方正书宋_GBK" w:eastAsia="方正书宋_GBK" w:cs="方正书宋_GBK"/>
          <w:b w:val="0"/>
          <w:bCs w:val="0"/>
          <w:color w:val="000000"/>
          <w:sz w:val="27"/>
          <w:szCs w:val="27"/>
        </w:rPr>
        <w:t xml:space="preserve"> </w:t>
      </w:r>
    </w:p>
    <w:p w14:paraId="183E2DC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100"/>
        <w:jc w:val="both"/>
        <w:textAlignment w:val="auto"/>
        <w:rPr>
          <w:rFonts w:hint="default" w:ascii="方正小标宋简体" w:hAnsi="方正小标宋简体" w:eastAsia="方正小标宋简体" w:cs="方正小标宋简体"/>
          <w:sz w:val="32"/>
          <w:szCs w:val="32"/>
          <w:lang w:val="en-US" w:eastAsia="zh-CN"/>
        </w:rPr>
      </w:pPr>
      <w:r>
        <w:rPr>
          <w:rFonts w:ascii="方正书宋_GBK" w:hAnsi="方正书宋_GBK" w:eastAsia="方正书宋_GBK" w:cs="方正书宋_GBK"/>
          <w:b w:val="0"/>
          <w:bCs w:val="0"/>
          <w:color w:val="000000"/>
          <w:sz w:val="27"/>
          <w:szCs w:val="27"/>
        </w:rPr>
        <w:t>十</w:t>
      </w:r>
      <w:r>
        <w:rPr>
          <w:rFonts w:hint="eastAsia" w:ascii="方正书宋_GBK" w:hAnsi="方正书宋_GBK" w:eastAsia="方正书宋_GBK" w:cs="方正书宋_GBK"/>
          <w:b w:val="0"/>
          <w:bCs w:val="0"/>
          <w:color w:val="000000"/>
          <w:sz w:val="27"/>
          <w:szCs w:val="27"/>
          <w:lang w:eastAsia="zh-CN"/>
        </w:rPr>
        <w:t>四</w:t>
      </w:r>
      <w:r>
        <w:rPr>
          <w:rFonts w:ascii="方正书宋_GBK" w:hAnsi="方正书宋_GBK" w:eastAsia="方正书宋_GBK" w:cs="方正书宋_GBK"/>
          <w:b w:val="0"/>
          <w:bCs w:val="0"/>
          <w:color w:val="000000"/>
          <w:sz w:val="27"/>
          <w:szCs w:val="27"/>
        </w:rPr>
        <w:t>、特种设备生产、经营、使用</w:t>
      </w:r>
      <w:r>
        <w:rPr>
          <w:rFonts w:hint="eastAsia" w:ascii="方正书宋_GBK" w:hAnsi="方正书宋_GBK" w:eastAsia="方正书宋_GBK" w:cs="方正书宋_GBK"/>
          <w:b w:val="0"/>
          <w:bCs w:val="0"/>
          <w:color w:val="000000"/>
          <w:sz w:val="27"/>
          <w:szCs w:val="27"/>
          <w:lang w:eastAsia="zh-CN"/>
        </w:rPr>
        <w:t>类</w:t>
      </w:r>
      <w:r>
        <w:rPr>
          <w:rFonts w:ascii="方正书宋_GBK" w:hAnsi="方正书宋_GBK" w:eastAsia="方正书宋_GBK" w:cs="方正书宋_GBK"/>
          <w:b w:val="0"/>
          <w:bCs w:val="0"/>
          <w:color w:val="000000"/>
          <w:sz w:val="27"/>
          <w:szCs w:val="27"/>
        </w:rPr>
        <w:t>行为 ( 25项 ) ………………</w:t>
      </w:r>
      <w:r>
        <w:rPr>
          <w:rFonts w:hint="eastAsia" w:ascii="方正书宋_GBK" w:hAnsi="方正书宋_GBK" w:eastAsia="方正书宋_GBK" w:cs="方正书宋_GBK"/>
          <w:b w:val="0"/>
          <w:bCs w:val="0"/>
          <w:color w:val="000000"/>
          <w:sz w:val="27"/>
          <w:szCs w:val="27"/>
          <w:lang w:val="en-US" w:eastAsia="zh-CN"/>
        </w:rPr>
        <w:t>.</w:t>
      </w:r>
      <w:r>
        <w:rPr>
          <w:rFonts w:ascii="方正书宋_GBK" w:hAnsi="方正书宋_GBK" w:eastAsia="方正书宋_GBK" w:cs="方正书宋_GBK"/>
          <w:b w:val="0"/>
          <w:bCs w:val="0"/>
          <w:color w:val="000000"/>
          <w:sz w:val="27"/>
          <w:szCs w:val="27"/>
        </w:rPr>
        <w:t>…</w:t>
      </w:r>
      <w:r>
        <w:rPr>
          <w:rFonts w:hint="eastAsia" w:ascii="方正书宋_GBK" w:hAnsi="方正书宋_GBK" w:eastAsia="方正书宋_GBK" w:cs="方正书宋_GBK"/>
          <w:b w:val="0"/>
          <w:bCs w:val="0"/>
          <w:color w:val="000000"/>
          <w:sz w:val="27"/>
          <w:szCs w:val="27"/>
          <w:lang w:val="en-US" w:eastAsia="zh-CN"/>
        </w:rPr>
        <w:t>....77</w:t>
      </w:r>
    </w:p>
    <w:p w14:paraId="342E05D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方正小标宋简体" w:hAnsi="方正小标宋简体" w:eastAsia="方正小标宋简体" w:cs="方正小标宋简体"/>
          <w:snapToGrid w:val="0"/>
          <w:color w:val="auto"/>
          <w:kern w:val="0"/>
          <w:sz w:val="44"/>
          <w:szCs w:val="44"/>
          <w:u w:val="none"/>
          <w:lang w:val="en-US" w:eastAsia="zh-CN"/>
        </w:rPr>
      </w:pPr>
    </w:p>
    <w:p w14:paraId="2894095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方正小标宋简体" w:hAnsi="方正小标宋简体" w:eastAsia="方正小标宋简体" w:cs="方正小标宋简体"/>
          <w:snapToGrid w:val="0"/>
          <w:color w:val="auto"/>
          <w:kern w:val="0"/>
          <w:sz w:val="44"/>
          <w:szCs w:val="44"/>
          <w:u w:val="none"/>
          <w:lang w:val="en-US" w:eastAsia="zh-CN"/>
        </w:rPr>
      </w:pPr>
    </w:p>
    <w:p w14:paraId="68AE46E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方正小标宋简体" w:hAnsi="方正小标宋简体" w:eastAsia="方正小标宋简体" w:cs="方正小标宋简体"/>
          <w:snapToGrid w:val="0"/>
          <w:color w:val="auto"/>
          <w:kern w:val="0"/>
          <w:sz w:val="44"/>
          <w:szCs w:val="44"/>
          <w:u w:val="none"/>
          <w:lang w:val="en-US" w:eastAsia="zh-CN"/>
        </w:rPr>
      </w:pPr>
    </w:p>
    <w:p w14:paraId="5CB5729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方正小标宋简体" w:hAnsi="方正小标宋简体" w:eastAsia="方正小标宋简体" w:cs="方正小标宋简体"/>
          <w:snapToGrid w:val="0"/>
          <w:color w:val="auto"/>
          <w:kern w:val="0"/>
          <w:sz w:val="44"/>
          <w:szCs w:val="44"/>
          <w:lang w:eastAsia="zh-CN"/>
        </w:rPr>
      </w:pPr>
      <w:r>
        <w:rPr>
          <w:rFonts w:hint="eastAsia" w:ascii="方正小标宋简体" w:hAnsi="方正小标宋简体" w:eastAsia="方正小标宋简体" w:cs="方正小标宋简体"/>
          <w:snapToGrid w:val="0"/>
          <w:color w:val="auto"/>
          <w:kern w:val="0"/>
          <w:sz w:val="44"/>
          <w:szCs w:val="44"/>
          <w:u w:val="none"/>
          <w:lang w:val="en-US" w:eastAsia="zh-CN"/>
        </w:rPr>
        <w:t>莲湖区市场监管领域行政指导型</w:t>
      </w:r>
      <w:r>
        <w:rPr>
          <w:rFonts w:hint="eastAsia" w:ascii="方正小标宋简体" w:hAnsi="方正小标宋简体" w:eastAsia="方正小标宋简体" w:cs="方正小标宋简体"/>
          <w:snapToGrid w:val="0"/>
          <w:color w:val="auto"/>
          <w:kern w:val="0"/>
          <w:sz w:val="44"/>
          <w:szCs w:val="44"/>
          <w:lang w:val="en-US" w:eastAsia="zh-CN"/>
        </w:rPr>
        <w:t>企业</w:t>
      </w:r>
      <w:r>
        <w:rPr>
          <w:rFonts w:hint="eastAsia" w:ascii="方正小标宋简体" w:hAnsi="方正小标宋简体" w:eastAsia="方正小标宋简体" w:cs="方正小标宋简体"/>
          <w:snapToGrid w:val="0"/>
          <w:color w:val="auto"/>
          <w:kern w:val="0"/>
          <w:sz w:val="44"/>
          <w:szCs w:val="44"/>
        </w:rPr>
        <w:t>合规指导清单</w:t>
      </w:r>
      <w:r>
        <w:rPr>
          <w:rFonts w:hint="eastAsia" w:ascii="方正小标宋简体" w:hAnsi="方正小标宋简体" w:eastAsia="方正小标宋简体" w:cs="方正小标宋简体"/>
          <w:snapToGrid w:val="0"/>
          <w:color w:val="auto"/>
          <w:kern w:val="0"/>
          <w:sz w:val="44"/>
          <w:szCs w:val="44"/>
          <w:lang w:eastAsia="zh-CN"/>
        </w:rPr>
        <w:t>（</w:t>
      </w:r>
      <w:r>
        <w:rPr>
          <w:rFonts w:hint="eastAsia" w:ascii="方正小标宋简体" w:hAnsi="方正小标宋简体" w:eastAsia="方正小标宋简体" w:cs="方正小标宋简体"/>
          <w:snapToGrid w:val="0"/>
          <w:color w:val="auto"/>
          <w:kern w:val="0"/>
          <w:sz w:val="44"/>
          <w:szCs w:val="44"/>
          <w:lang w:val="en-US" w:eastAsia="zh-CN"/>
        </w:rPr>
        <w:t>2025版</w:t>
      </w:r>
      <w:r>
        <w:rPr>
          <w:rFonts w:hint="eastAsia" w:ascii="方正小标宋简体" w:hAnsi="方正小标宋简体" w:eastAsia="方正小标宋简体" w:cs="方正小标宋简体"/>
          <w:snapToGrid w:val="0"/>
          <w:color w:val="auto"/>
          <w:kern w:val="0"/>
          <w:sz w:val="44"/>
          <w:szCs w:val="44"/>
          <w:lang w:eastAsia="zh-CN"/>
        </w:rPr>
        <w:t>）</w:t>
      </w:r>
    </w:p>
    <w:p w14:paraId="422747CE">
      <w:pPr>
        <w:jc w:val="left"/>
        <w:rPr>
          <w:rFonts w:hint="eastAsia" w:ascii="Times New Roman" w:hAnsi="Times New Roman" w:eastAsia="方正小标宋_GBK" w:cs="Times New Roman"/>
          <w:snapToGrid w:val="0"/>
          <w:color w:val="auto"/>
          <w:kern w:val="0"/>
          <w:sz w:val="44"/>
          <w:szCs w:val="44"/>
          <w:lang w:eastAsia="zh-CN"/>
        </w:rPr>
      </w:pPr>
      <w:r>
        <w:rPr>
          <w:rFonts w:hint="eastAsia"/>
          <w:sz w:val="22"/>
          <w:szCs w:val="22"/>
          <w:lang w:eastAsia="zh-CN"/>
        </w:rPr>
        <w:t>经营主体登记及信息公示类行为（共</w:t>
      </w:r>
      <w:r>
        <w:rPr>
          <w:rFonts w:hint="eastAsia"/>
          <w:sz w:val="22"/>
          <w:szCs w:val="22"/>
          <w:lang w:val="en-US" w:eastAsia="zh-CN"/>
        </w:rPr>
        <w:t>9项</w:t>
      </w:r>
      <w:r>
        <w:rPr>
          <w:rFonts w:hint="eastAsia"/>
          <w:sz w:val="22"/>
          <w:szCs w:val="22"/>
          <w:lang w:eastAsia="zh-CN"/>
        </w:rPr>
        <w:t>）</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35E6B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30BB1A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689CF35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19FB7AA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22E3218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7F5D7A4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09848E8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4DEAF2F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2CB1B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BC69F1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1</w:t>
            </w:r>
          </w:p>
        </w:tc>
        <w:tc>
          <w:tcPr>
            <w:tcW w:w="1542" w:type="dxa"/>
            <w:noWrap w:val="0"/>
            <w:vAlign w:val="center"/>
          </w:tcPr>
          <w:p w14:paraId="1B0B5A0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市场主体应当按规定日期报送上一年度年度报告，并向社会公示</w:t>
            </w:r>
          </w:p>
        </w:tc>
        <w:tc>
          <w:tcPr>
            <w:tcW w:w="2251" w:type="dxa"/>
            <w:noWrap w:val="0"/>
            <w:vAlign w:val="center"/>
          </w:tcPr>
          <w:p w14:paraId="143B4A8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市场主体未在每年</w:t>
            </w:r>
            <w:r>
              <w:rPr>
                <w:rFonts w:hint="default" w:ascii="Times New Roman" w:hAnsi="Times New Roman" w:eastAsia="方正仿宋_GBK" w:cs="Times New Roman"/>
                <w:snapToGrid w:val="0"/>
                <w:color w:val="auto"/>
                <w:kern w:val="0"/>
                <w:sz w:val="18"/>
                <w:szCs w:val="18"/>
                <w:vertAlign w:val="baseline"/>
                <w:lang w:val="en-US" w:eastAsia="zh-CN"/>
              </w:rPr>
              <w:t>1</w:t>
            </w:r>
            <w:r>
              <w:rPr>
                <w:rFonts w:hint="eastAsia" w:ascii="Times New Roman" w:hAnsi="Times New Roman" w:eastAsia="方正仿宋_GBK" w:cs="Times New Roman"/>
                <w:snapToGrid w:val="0"/>
                <w:color w:val="auto"/>
                <w:kern w:val="0"/>
                <w:sz w:val="18"/>
                <w:szCs w:val="18"/>
                <w:vertAlign w:val="baseline"/>
                <w:lang w:val="en-US" w:eastAsia="zh-CN"/>
              </w:rPr>
              <w:t>月</w:t>
            </w:r>
            <w:r>
              <w:rPr>
                <w:rFonts w:hint="default" w:ascii="Times New Roman" w:hAnsi="Times New Roman" w:eastAsia="方正仿宋_GBK" w:cs="Times New Roman"/>
                <w:snapToGrid w:val="0"/>
                <w:color w:val="auto"/>
                <w:kern w:val="0"/>
                <w:sz w:val="18"/>
                <w:szCs w:val="18"/>
                <w:vertAlign w:val="baseline"/>
                <w:lang w:val="en-US" w:eastAsia="zh-CN"/>
              </w:rPr>
              <w:t>1</w:t>
            </w:r>
            <w:r>
              <w:rPr>
                <w:rFonts w:hint="eastAsia" w:ascii="Times New Roman" w:hAnsi="Times New Roman" w:eastAsia="方正仿宋_GBK" w:cs="Times New Roman"/>
                <w:snapToGrid w:val="0"/>
                <w:color w:val="auto"/>
                <w:kern w:val="0"/>
                <w:sz w:val="18"/>
                <w:szCs w:val="18"/>
                <w:vertAlign w:val="baseline"/>
                <w:lang w:val="en-US" w:eastAsia="zh-CN"/>
              </w:rPr>
              <w:t>日至</w:t>
            </w:r>
            <w:r>
              <w:rPr>
                <w:rFonts w:hint="default" w:ascii="Times New Roman" w:hAnsi="Times New Roman" w:eastAsia="方正仿宋_GBK" w:cs="Times New Roman"/>
                <w:snapToGrid w:val="0"/>
                <w:color w:val="auto"/>
                <w:kern w:val="0"/>
                <w:sz w:val="18"/>
                <w:szCs w:val="18"/>
                <w:vertAlign w:val="baseline"/>
                <w:lang w:val="en-US" w:eastAsia="zh-CN"/>
              </w:rPr>
              <w:t>6</w:t>
            </w:r>
            <w:r>
              <w:rPr>
                <w:rFonts w:hint="eastAsia" w:ascii="Times New Roman" w:hAnsi="Times New Roman" w:eastAsia="方正仿宋_GBK" w:cs="Times New Roman"/>
                <w:snapToGrid w:val="0"/>
                <w:color w:val="auto"/>
                <w:kern w:val="0"/>
                <w:sz w:val="18"/>
                <w:szCs w:val="18"/>
                <w:vertAlign w:val="baseline"/>
                <w:lang w:val="en-US" w:eastAsia="zh-CN"/>
              </w:rPr>
              <w:t>月</w:t>
            </w:r>
            <w:r>
              <w:rPr>
                <w:rFonts w:hint="default" w:ascii="Times New Roman" w:hAnsi="Times New Roman" w:eastAsia="方正仿宋_GBK" w:cs="Times New Roman"/>
                <w:snapToGrid w:val="0"/>
                <w:color w:val="auto"/>
                <w:kern w:val="0"/>
                <w:sz w:val="18"/>
                <w:szCs w:val="18"/>
                <w:vertAlign w:val="baseline"/>
                <w:lang w:val="en-US" w:eastAsia="zh-CN"/>
              </w:rPr>
              <w:t>30</w:t>
            </w:r>
            <w:r>
              <w:rPr>
                <w:rFonts w:hint="eastAsia" w:ascii="Times New Roman" w:hAnsi="Times New Roman" w:eastAsia="方正仿宋_GBK" w:cs="Times New Roman"/>
                <w:snapToGrid w:val="0"/>
                <w:color w:val="auto"/>
                <w:kern w:val="0"/>
                <w:sz w:val="18"/>
                <w:szCs w:val="18"/>
                <w:vertAlign w:val="baseline"/>
                <w:lang w:val="en-US" w:eastAsia="zh-CN"/>
              </w:rPr>
              <w:t>日，通过国家企业信用信息公示系统向市场监管部门报送上一年</w:t>
            </w:r>
          </w:p>
          <w:p w14:paraId="1183D70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度年度报告，并向社会公示。</w:t>
            </w:r>
          </w:p>
          <w:p w14:paraId="7BCC79D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p>
        </w:tc>
        <w:tc>
          <w:tcPr>
            <w:tcW w:w="3640" w:type="dxa"/>
            <w:noWrap w:val="0"/>
            <w:vAlign w:val="center"/>
          </w:tcPr>
          <w:p w14:paraId="30ADF7F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《中华人民共和国市场主体登记管理条例》</w:t>
            </w:r>
          </w:p>
          <w:p w14:paraId="4E04AB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第三十五条 市场主体应当按照国家有关规定公示年度报告和登记相关信息。</w:t>
            </w:r>
          </w:p>
          <w:p w14:paraId="1461C2D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《中华人民共和国市场主体登记管理条例实施细则》</w:t>
            </w:r>
          </w:p>
          <w:p w14:paraId="36CE19C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第六十三条 市场主体应当于每年1月1日至6月30日，通过国家企业信用信息公示系统报送上一年度年度报告，并向社会公</w:t>
            </w:r>
            <w:r>
              <w:rPr>
                <w:rFonts w:hint="eastAsia" w:ascii="Times New Roman" w:hAnsi="Times New Roman" w:eastAsia="方正仿宋_GBK" w:cs="Times New Roman"/>
                <w:snapToGrid w:val="0"/>
                <w:color w:val="auto"/>
                <w:kern w:val="0"/>
                <w:sz w:val="18"/>
                <w:szCs w:val="18"/>
                <w:vertAlign w:val="baseline"/>
                <w:lang w:val="en-US" w:eastAsia="zh-CN"/>
              </w:rPr>
              <w:t>示。</w:t>
            </w:r>
          </w:p>
          <w:p w14:paraId="0CD8F5F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个体工商户可以通过纸质方式报送年度报告，并自主选择年度报告内容是否向社会公示。</w:t>
            </w:r>
          </w:p>
          <w:p w14:paraId="58585D1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歇业的市场主体应当按时公示年度报告。</w:t>
            </w:r>
          </w:p>
          <w:p w14:paraId="1C4453E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第七十条 市场主体未按照法律、行政法规规定的期限公示或者报送年度报告的，由登记机关列入经营异常名录，可以处1万元以下的罚款。</w:t>
            </w:r>
          </w:p>
          <w:p w14:paraId="46DA8B8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《企业信息公示暂行条例》</w:t>
            </w:r>
          </w:p>
          <w:p w14:paraId="14D2450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第八条 企业应当于每年1月1日至6月30日，通过国家企业信用信息公示系统向市场监督管理部门报送上一年度年度报告，并向社会公示。</w:t>
            </w:r>
          </w:p>
          <w:p w14:paraId="44B8AE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第十八条第一款 企业未按照本条例规定的期限公示年度报告或者未按照市场监督管理部门责令的期限公示有关企业信息的，由县级以上市场监督管理部门列入经营异常名录，并依法给予行政处罚。</w:t>
            </w:r>
          </w:p>
          <w:p w14:paraId="3C3AC74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企业因连续2年未按规定报送年度报告被列入经营异常名录未改正，且通过登记的住所或者经营场所无法取得联系的，由县级以上市场监督管理部门吊销营业执照。</w:t>
            </w:r>
          </w:p>
          <w:p w14:paraId="5F556FD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《企业经营异常名录管理办法》</w:t>
            </w:r>
          </w:p>
          <w:p w14:paraId="4A1724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第六条 企业未依照《企业信息公示暂行条例》第八条规定通过企业信用信息公示系统报送上一年度年度报告并向社会公示的，市场监督管理部门应当在当年年度报告公示结束之日起10个工作日内作出将其列入经营异常名录的决定，并予以公示。</w:t>
            </w:r>
          </w:p>
          <w:p w14:paraId="34B5D97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《个体工商户年度报告办法》</w:t>
            </w:r>
          </w:p>
          <w:p w14:paraId="5FDBC5B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第三条 个体工商户应当于每年1月1日至6月30日，通过国家企业信用信息公示系统或者直接向负责其登记的市场监督管理部门报送上一年度年度报告。</w:t>
            </w:r>
          </w:p>
          <w:p w14:paraId="795A808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第十三条 个体工商户未按照本办法规定报送年度报告的，市场监督管理部门应当在当年年度报告结束之日起10个工作日内作出将其列入经营异常名录的决定，并于本年度7月1日至下一年度6月30日通过国家企业信用信息公示系统向社会公示。</w:t>
            </w:r>
          </w:p>
          <w:p w14:paraId="0396A3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《农民专业合作社年度报告公示办法》</w:t>
            </w:r>
          </w:p>
          <w:p w14:paraId="7B4968E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第四条 农民专业合作社应当于每年1月1日至6月30日，通过国家企业信用信息公示系统向市场监督管理部门报送上一年度年度报告，并向社会公示。当年设立登记的农民专业合作社，自下一年起报送并公示年度报告。</w:t>
            </w:r>
          </w:p>
          <w:p w14:paraId="3495DBF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第十条 农民专业合作社未按照本办法规定的期限报送年度报告并公示的，市场监督管理部门应当自当年年度报告公示结束之日起10个工作日内作出将其列入经营异常名录的决定，并通过国家企业信用信息公示系统向社会公示。</w:t>
            </w:r>
          </w:p>
        </w:tc>
        <w:tc>
          <w:tcPr>
            <w:tcW w:w="1140" w:type="dxa"/>
            <w:noWrap w:val="0"/>
            <w:vAlign w:val="center"/>
          </w:tcPr>
          <w:p w14:paraId="7614EE9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Times New Roman" w:hAnsi="Times New Roman" w:eastAsia="方正仿宋_GBK" w:cs="Times New Roman"/>
                <w:snapToGrid w:val="0"/>
                <w:color w:val="auto"/>
                <w:kern w:val="0"/>
                <w:sz w:val="18"/>
                <w:szCs w:val="18"/>
                <w:vertAlign w:val="baseline"/>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087FE61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1.市场主体应当于每年1月1日至6月30日，通过国家企业信用信息公示系统</w:t>
            </w:r>
            <w:r>
              <w:rPr>
                <w:rFonts w:hint="eastAsia" w:ascii="Times New Roman" w:hAnsi="Times New Roman" w:eastAsia="方正仿宋_GBK" w:cs="Times New Roman"/>
                <w:snapToGrid w:val="0"/>
                <w:color w:val="auto"/>
                <w:kern w:val="0"/>
                <w:sz w:val="18"/>
                <w:szCs w:val="18"/>
                <w:vertAlign w:val="baseline"/>
                <w:lang w:val="en-US" w:eastAsia="zh-CN"/>
              </w:rPr>
              <w:t>（陕西</w:t>
            </w:r>
            <w:r>
              <w:rPr>
                <w:rFonts w:hint="default" w:ascii="Times New Roman" w:hAnsi="Times New Roman" w:eastAsia="方正仿宋_GBK" w:cs="Times New Roman"/>
                <w:snapToGrid w:val="0"/>
                <w:color w:val="auto"/>
                <w:kern w:val="0"/>
                <w:sz w:val="18"/>
                <w:szCs w:val="18"/>
                <w:vertAlign w:val="baseline"/>
                <w:lang w:val="en-US" w:eastAsia="zh-CN"/>
              </w:rPr>
              <w:t>）向市场监管部门报送上一年度年度报告，并向社会公示。</w:t>
            </w:r>
          </w:p>
          <w:p w14:paraId="26292A5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2.当年设立登记的市场主体，自下一年起报送并公示年度报告。</w:t>
            </w:r>
          </w:p>
          <w:p w14:paraId="3E12A9B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p>
        </w:tc>
        <w:tc>
          <w:tcPr>
            <w:tcW w:w="1624" w:type="dxa"/>
            <w:noWrap w:val="0"/>
            <w:vAlign w:val="center"/>
          </w:tcPr>
          <w:p w14:paraId="677D5F2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500DE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D29059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2</w:t>
            </w:r>
          </w:p>
        </w:tc>
        <w:tc>
          <w:tcPr>
            <w:tcW w:w="1542" w:type="dxa"/>
            <w:noWrap w:val="0"/>
            <w:vAlign w:val="center"/>
          </w:tcPr>
          <w:p w14:paraId="59CBFB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企业应当自相关信息形成之日起</w:t>
            </w:r>
            <w:r>
              <w:rPr>
                <w:rFonts w:hint="default" w:ascii="Times New Roman" w:hAnsi="Times New Roman" w:eastAsia="方正仿宋_GBK" w:cs="Times New Roman"/>
                <w:snapToGrid w:val="0"/>
                <w:color w:val="auto"/>
                <w:kern w:val="0"/>
                <w:sz w:val="18"/>
                <w:szCs w:val="18"/>
                <w:vertAlign w:val="baseline"/>
                <w:lang w:val="en-US" w:eastAsia="zh-CN" w:bidi="ar-SA"/>
              </w:rPr>
              <w:t xml:space="preserve"> 20</w:t>
            </w:r>
            <w:r>
              <w:rPr>
                <w:rFonts w:hint="eastAsia" w:ascii="Times New Roman" w:hAnsi="Times New Roman" w:eastAsia="方正仿宋_GBK" w:cs="Times New Roman"/>
                <w:snapToGrid w:val="0"/>
                <w:color w:val="auto"/>
                <w:kern w:val="0"/>
                <w:sz w:val="18"/>
                <w:szCs w:val="18"/>
                <w:vertAlign w:val="baseline"/>
                <w:lang w:val="en-US" w:eastAsia="zh-CN" w:bidi="ar-SA"/>
              </w:rPr>
              <w:t>个工作日内通过企业信用信息公示系统向社会</w:t>
            </w:r>
          </w:p>
          <w:p w14:paraId="01FAC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公示</w:t>
            </w:r>
          </w:p>
          <w:p w14:paraId="7B6D155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32"/>
                <w:szCs w:val="32"/>
                <w:vertAlign w:val="baseline"/>
              </w:rPr>
            </w:pPr>
          </w:p>
        </w:tc>
        <w:tc>
          <w:tcPr>
            <w:tcW w:w="2251" w:type="dxa"/>
            <w:noWrap w:val="0"/>
            <w:vAlign w:val="center"/>
          </w:tcPr>
          <w:p w14:paraId="50F605A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tabs>
                <w:tab w:val="center" w:pos="1746"/>
              </w:tabs>
              <w:kinsoku/>
              <w:wordWrap/>
              <w:overflowPunct w:val="0"/>
              <w:topLinePunct/>
              <w:autoSpaceDE/>
              <w:autoSpaceDN/>
              <w:bidi w:val="0"/>
              <w:adjustRightInd w:val="0"/>
              <w:snapToGrid w:val="0"/>
              <w:spacing w:line="240" w:lineRule="exact"/>
              <w:jc w:val="both"/>
              <w:textAlignment w:val="baseline"/>
            </w:pPr>
            <w:r>
              <w:rPr>
                <w:rFonts w:hint="eastAsia" w:ascii="Times New Roman" w:hAnsi="Times New Roman" w:eastAsia="方正仿宋_GBK" w:cs="Times New Roman"/>
                <w:snapToGrid w:val="0"/>
                <w:color w:val="auto"/>
                <w:kern w:val="0"/>
                <w:sz w:val="18"/>
                <w:szCs w:val="18"/>
                <w:vertAlign w:val="baseline"/>
                <w:lang w:val="en-US" w:eastAsia="zh-CN"/>
              </w:rPr>
              <w:t>企业未在</w:t>
            </w:r>
            <w:r>
              <w:rPr>
                <w:rFonts w:hint="default" w:ascii="Times New Roman" w:hAnsi="Times New Roman" w:eastAsia="方正仿宋_GBK" w:cs="Times New Roman"/>
                <w:snapToGrid w:val="0"/>
                <w:color w:val="auto"/>
                <w:kern w:val="0"/>
                <w:sz w:val="18"/>
                <w:szCs w:val="18"/>
                <w:vertAlign w:val="baseline"/>
                <w:lang w:val="en-US" w:eastAsia="zh-CN"/>
              </w:rPr>
              <w:t>20</w:t>
            </w:r>
            <w:r>
              <w:rPr>
                <w:rFonts w:hint="eastAsia" w:ascii="Times New Roman" w:hAnsi="Times New Roman" w:eastAsia="方正仿宋_GBK" w:cs="Times New Roman"/>
                <w:snapToGrid w:val="0"/>
                <w:color w:val="auto"/>
                <w:kern w:val="0"/>
                <w:sz w:val="18"/>
                <w:szCs w:val="18"/>
                <w:vertAlign w:val="baseline"/>
                <w:lang w:val="en-US" w:eastAsia="zh-CN"/>
              </w:rPr>
              <w:t>个工作日内公示应当公示的即时信息。</w:t>
            </w:r>
          </w:p>
          <w:p w14:paraId="46B14C0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32"/>
                <w:szCs w:val="32"/>
                <w:vertAlign w:val="baseline"/>
              </w:rPr>
            </w:pPr>
          </w:p>
        </w:tc>
        <w:tc>
          <w:tcPr>
            <w:tcW w:w="3640" w:type="dxa"/>
            <w:noWrap w:val="0"/>
            <w:vAlign w:val="center"/>
          </w:tcPr>
          <w:p w14:paraId="5E02C2D5">
            <w:pPr>
              <w:keepNext w:val="0"/>
              <w:keepLines w:val="0"/>
              <w:pageBreakBefore w:val="0"/>
              <w:widowControl w:val="0"/>
              <w:kinsoku/>
              <w:wordWrap/>
              <w:overflowPunct/>
              <w:topLinePunct w:val="0"/>
              <w:autoSpaceDE w:val="0"/>
              <w:autoSpaceDN w:val="0"/>
              <w:bidi w:val="0"/>
              <w:adjustRightInd/>
              <w:snapToGrid/>
              <w:spacing w:before="0" w:after="0" w:line="240" w:lineRule="exact"/>
              <w:ind w:left="0" w:right="0" w:firstLine="0"/>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《企业信息公示暂行条例》</w:t>
            </w:r>
          </w:p>
          <w:p w14:paraId="0C0396CD">
            <w:pPr>
              <w:keepNext w:val="0"/>
              <w:keepLines w:val="0"/>
              <w:pageBreakBefore w:val="0"/>
              <w:widowControl/>
              <w:suppressLineNumbers w:val="0"/>
              <w:kinsoku/>
              <w:wordWrap/>
              <w:overflowPunct/>
              <w:topLinePunct w:val="0"/>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第十条第一款 企业应当自下列信息形成之日起20个工作日内通过国家企业信用信息公示系统向社会公示：</w:t>
            </w:r>
          </w:p>
          <w:p w14:paraId="3D939EBD">
            <w:pPr>
              <w:keepNext w:val="0"/>
              <w:keepLines w:val="0"/>
              <w:pageBreakBefore w:val="0"/>
              <w:widowControl/>
              <w:numPr>
                <w:ilvl w:val="0"/>
                <w:numId w:val="1"/>
              </w:numPr>
              <w:suppressLineNumbers w:val="0"/>
              <w:kinsoku/>
              <w:wordWrap/>
              <w:overflowPunct/>
              <w:topLinePunct w:val="0"/>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有限责任公司股东或者股份有限公司发起人认缴和实缴的出资额、出资时间、出资方式等信息；</w:t>
            </w:r>
          </w:p>
          <w:p w14:paraId="0B0B8C50">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有限责任公司股东股权转让等股权变更信息；</w:t>
            </w:r>
          </w:p>
          <w:p w14:paraId="50A6079D">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行政许可取得、变更、延续信息；</w:t>
            </w:r>
          </w:p>
          <w:p w14:paraId="63D2260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(四)知识产权出质登记信息；</w:t>
            </w:r>
          </w:p>
          <w:p w14:paraId="5957381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(五)受到行政处罚的信息；</w:t>
            </w:r>
          </w:p>
          <w:p w14:paraId="79193D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(六)其他依法应当公示的信息。</w:t>
            </w:r>
          </w:p>
          <w:p w14:paraId="4C958D5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《企业经营异常名录管理暂行办法》</w:t>
            </w:r>
          </w:p>
          <w:p w14:paraId="7898D9D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第七条 企业未依照《企业信息公示暂行条例》第十条规定履行公示义务的，市场监督管理部门应当书面责令其在10日内履行公示义务。企业未在责令的期限内公示信息的，工商行政管理部门应当在责令的期限届满之日起10个工作日内作出将其列入经营异常名录的决定，并予以公示。</w:t>
            </w:r>
          </w:p>
          <w:p w14:paraId="410E10AC">
            <w:pPr>
              <w:widowControl w:val="0"/>
              <w:autoSpaceDE w:val="0"/>
              <w:autoSpaceDN w:val="0"/>
              <w:spacing w:before="48" w:after="0" w:line="221" w:lineRule="exact"/>
              <w:ind w:left="0" w:right="0" w:firstLine="0"/>
              <w:jc w:val="left"/>
              <w:rPr>
                <w:rFonts w:hint="eastAsia" w:ascii="Times New Roman" w:hAnsi="Times New Roman" w:eastAsia="方正仿宋_GBK" w:cs="Times New Roman"/>
                <w:snapToGrid w:val="0"/>
                <w:color w:val="auto"/>
                <w:kern w:val="0"/>
                <w:sz w:val="18"/>
                <w:szCs w:val="18"/>
                <w:vertAlign w:val="baseline"/>
                <w:lang w:val="en-US" w:eastAsia="zh-CN" w:bidi="ar-SA"/>
              </w:rPr>
            </w:pPr>
          </w:p>
          <w:p w14:paraId="0201CEB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left"/>
              <w:rPr>
                <w:rFonts w:hint="default" w:ascii="Times New Roman" w:hAnsi="Times New Roman" w:eastAsia="方正仿宋_GBK" w:cs="Times New Roman"/>
                <w:snapToGrid w:val="0"/>
                <w:color w:val="auto"/>
                <w:kern w:val="0"/>
                <w:sz w:val="32"/>
                <w:szCs w:val="32"/>
                <w:vertAlign w:val="baseline"/>
              </w:rPr>
            </w:pPr>
          </w:p>
        </w:tc>
        <w:tc>
          <w:tcPr>
            <w:tcW w:w="1140" w:type="dxa"/>
            <w:noWrap w:val="0"/>
            <w:vAlign w:val="center"/>
          </w:tcPr>
          <w:p w14:paraId="7C694DF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32"/>
                <w:szCs w:val="32"/>
                <w:vertAlign w:val="baseline"/>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03CA92D0">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企业应当自下列信息形成之日起20个工作日内通过国家企业信用信息公示系统（陕西）向社会公示:</w:t>
            </w:r>
          </w:p>
          <w:p w14:paraId="2478952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1.有限责任公司股东或者股份有限公司发起人认缴和实缴的出资额、出资时间、出资方式等信息。</w:t>
            </w:r>
          </w:p>
          <w:p w14:paraId="7605E196">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2.有限责任公司股东股权转让股权变更信息。</w:t>
            </w:r>
          </w:p>
          <w:p w14:paraId="55D1E539">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3.</w:t>
            </w:r>
            <w:r>
              <w:rPr>
                <w:rFonts w:hint="eastAsia" w:ascii="Times New Roman" w:hAnsi="Times New Roman" w:eastAsia="方正仿宋_GBK" w:cs="Times New Roman"/>
                <w:snapToGrid w:val="0"/>
                <w:color w:val="auto"/>
                <w:kern w:val="0"/>
                <w:sz w:val="18"/>
                <w:szCs w:val="18"/>
                <w:vertAlign w:val="baseline"/>
                <w:lang w:val="en-US" w:eastAsia="zh-CN"/>
              </w:rPr>
              <w:t>行政许可取得、变更、延续信息。</w:t>
            </w:r>
          </w:p>
          <w:p w14:paraId="42BD8D0F">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4.</w:t>
            </w:r>
            <w:r>
              <w:rPr>
                <w:rFonts w:hint="eastAsia" w:ascii="Times New Roman" w:hAnsi="Times New Roman" w:eastAsia="方正仿宋_GBK" w:cs="Times New Roman"/>
                <w:snapToGrid w:val="0"/>
                <w:color w:val="auto"/>
                <w:kern w:val="0"/>
                <w:sz w:val="18"/>
                <w:szCs w:val="18"/>
                <w:vertAlign w:val="baseline"/>
                <w:lang w:val="en-US" w:eastAsia="zh-CN"/>
              </w:rPr>
              <w:t>知识产权出质登记信息。</w:t>
            </w:r>
          </w:p>
          <w:p w14:paraId="14AB1593">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color w:val="000000"/>
                <w:kern w:val="0"/>
                <w:sz w:val="22"/>
                <w:szCs w:val="22"/>
                <w:lang w:val="en-US" w:eastAsia="zh-CN" w:bidi="ar"/>
              </w:rPr>
            </w:pPr>
            <w:r>
              <w:rPr>
                <w:rFonts w:hint="default" w:ascii="Times New Roman" w:hAnsi="Times New Roman" w:eastAsia="方正仿宋_GBK" w:cs="Times New Roman"/>
                <w:snapToGrid w:val="0"/>
                <w:color w:val="auto"/>
                <w:kern w:val="0"/>
                <w:sz w:val="18"/>
                <w:szCs w:val="18"/>
                <w:vertAlign w:val="baseline"/>
                <w:lang w:val="en-US" w:eastAsia="zh-CN"/>
              </w:rPr>
              <w:t>5.</w:t>
            </w:r>
            <w:r>
              <w:rPr>
                <w:rFonts w:hint="eastAsia" w:ascii="Times New Roman" w:hAnsi="Times New Roman" w:eastAsia="方正仿宋_GBK" w:cs="Times New Roman"/>
                <w:snapToGrid w:val="0"/>
                <w:color w:val="auto"/>
                <w:kern w:val="0"/>
                <w:sz w:val="18"/>
                <w:szCs w:val="18"/>
                <w:vertAlign w:val="baseline"/>
                <w:lang w:val="en-US" w:eastAsia="zh-CN"/>
              </w:rPr>
              <w:t>受到行政处罚的信</w:t>
            </w:r>
            <w:r>
              <w:rPr>
                <w:rFonts w:hint="eastAsia" w:ascii="宋体" w:hAnsi="宋体" w:eastAsia="宋体" w:cs="宋体"/>
                <w:b w:val="0"/>
                <w:bCs w:val="0"/>
                <w:color w:val="000000"/>
                <w:kern w:val="0"/>
                <w:sz w:val="22"/>
                <w:szCs w:val="22"/>
                <w:lang w:val="en-US" w:eastAsia="zh-CN" w:bidi="ar"/>
              </w:rPr>
              <w:t>息。</w:t>
            </w:r>
          </w:p>
          <w:p w14:paraId="102D24F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6.</w:t>
            </w:r>
            <w:r>
              <w:rPr>
                <w:rFonts w:hint="eastAsia" w:ascii="Times New Roman" w:hAnsi="Times New Roman" w:eastAsia="方正仿宋_GBK" w:cs="Times New Roman"/>
                <w:snapToGrid w:val="0"/>
                <w:color w:val="auto"/>
                <w:kern w:val="0"/>
                <w:sz w:val="18"/>
                <w:szCs w:val="18"/>
                <w:vertAlign w:val="baseline"/>
                <w:lang w:val="en-US" w:eastAsia="zh-CN" w:bidi="ar-SA"/>
              </w:rPr>
              <w:t>其他依法应当公示的信息。</w:t>
            </w:r>
          </w:p>
          <w:p w14:paraId="5F446C2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color w:val="000000"/>
                <w:kern w:val="0"/>
                <w:sz w:val="22"/>
                <w:szCs w:val="22"/>
                <w:lang w:val="en-US" w:eastAsia="zh-CN" w:bidi="ar"/>
              </w:rPr>
            </w:pPr>
            <w:r>
              <w:rPr>
                <w:rFonts w:hint="eastAsia" w:ascii="Times New Roman" w:hAnsi="Times New Roman" w:eastAsia="方正仿宋_GBK" w:cs="Times New Roman"/>
                <w:snapToGrid w:val="0"/>
                <w:color w:val="auto"/>
                <w:kern w:val="0"/>
                <w:sz w:val="18"/>
                <w:szCs w:val="18"/>
                <w:vertAlign w:val="baseline"/>
                <w:lang w:val="en-US" w:eastAsia="zh-CN" w:bidi="ar-SA"/>
              </w:rPr>
              <w:t>企业未及时公示相关信息的，应当在收到市场监管部门责令改正通知之日起</w:t>
            </w:r>
            <w:r>
              <w:rPr>
                <w:rFonts w:hint="default" w:ascii="Times New Roman" w:hAnsi="Times New Roman" w:eastAsia="方正仿宋_GBK" w:cs="Times New Roman"/>
                <w:snapToGrid w:val="0"/>
                <w:color w:val="auto"/>
                <w:kern w:val="0"/>
                <w:sz w:val="18"/>
                <w:szCs w:val="18"/>
                <w:vertAlign w:val="baseline"/>
                <w:lang w:val="en-US" w:eastAsia="zh-CN" w:bidi="ar-SA"/>
              </w:rPr>
              <w:t>10</w:t>
            </w:r>
            <w:r>
              <w:rPr>
                <w:rFonts w:hint="eastAsia" w:ascii="Times New Roman" w:hAnsi="Times New Roman" w:eastAsia="方正仿宋_GBK" w:cs="Times New Roman"/>
                <w:snapToGrid w:val="0"/>
                <w:color w:val="auto"/>
                <w:kern w:val="0"/>
                <w:sz w:val="18"/>
                <w:szCs w:val="18"/>
                <w:vertAlign w:val="baseline"/>
                <w:lang w:val="en-US" w:eastAsia="zh-CN" w:bidi="ar-SA"/>
              </w:rPr>
              <w:t>日内履行公示义务。</w:t>
            </w:r>
          </w:p>
          <w:p w14:paraId="6ED4EBEA">
            <w:pPr>
              <w:widowControl w:val="0"/>
              <w:numPr>
                <w:ilvl w:val="0"/>
                <w:numId w:val="0"/>
              </w:numPr>
              <w:autoSpaceDE w:val="0"/>
              <w:autoSpaceDN w:val="0"/>
              <w:spacing w:before="0" w:after="0" w:line="245" w:lineRule="exact"/>
              <w:ind w:leftChars="0" w:right="0" w:rightChars="0"/>
              <w:jc w:val="both"/>
              <w:rPr>
                <w:rFonts w:ascii="BMHBIL+SimSun" w:hAnsi="BMHBIL+SimSun" w:cs="BMHBIL+SimSun"/>
                <w:color w:val="000000"/>
                <w:spacing w:val="1"/>
                <w:sz w:val="22"/>
                <w:highlight w:val="none"/>
              </w:rPr>
            </w:pPr>
          </w:p>
          <w:p w14:paraId="0246A906">
            <w:pPr>
              <w:widowControl w:val="0"/>
              <w:numPr>
                <w:ilvl w:val="0"/>
                <w:numId w:val="0"/>
              </w:numPr>
              <w:autoSpaceDE w:val="0"/>
              <w:autoSpaceDN w:val="0"/>
              <w:spacing w:before="0" w:after="0" w:line="221" w:lineRule="exact"/>
              <w:ind w:leftChars="0" w:right="0" w:rightChars="0"/>
              <w:jc w:val="both"/>
              <w:rPr>
                <w:rFonts w:hint="default" w:ascii="BMHBIL+SimSun" w:hAnsi="BMHBIL+SimSun" w:cs="BMHBIL+SimSun"/>
                <w:color w:val="000000"/>
                <w:spacing w:val="1"/>
                <w:sz w:val="22"/>
                <w:highlight w:val="none"/>
              </w:rPr>
            </w:pPr>
          </w:p>
        </w:tc>
        <w:tc>
          <w:tcPr>
            <w:tcW w:w="1624" w:type="dxa"/>
            <w:noWrap w:val="0"/>
            <w:vAlign w:val="center"/>
          </w:tcPr>
          <w:p w14:paraId="716455A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default" w:ascii="Times New Roman" w:hAnsi="Times New Roman" w:eastAsia="方正仿宋_GBK" w:cs="Times New Roman"/>
                <w:snapToGrid w:val="0"/>
                <w:color w:val="auto"/>
                <w:kern w:val="0"/>
                <w:sz w:val="32"/>
                <w:szCs w:val="32"/>
                <w:vertAlign w:val="baseline"/>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1490D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62AF8B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32"/>
                <w:szCs w:val="32"/>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3</w:t>
            </w:r>
          </w:p>
        </w:tc>
        <w:tc>
          <w:tcPr>
            <w:tcW w:w="1542" w:type="dxa"/>
            <w:noWrap w:val="0"/>
            <w:vAlign w:val="center"/>
          </w:tcPr>
          <w:p w14:paraId="6807D1C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default" w:ascii="Times New Roman" w:hAnsi="Times New Roman" w:eastAsia="方正仿宋_GBK" w:cs="Times New Roman"/>
                <w:snapToGrid w:val="0"/>
                <w:color w:val="auto"/>
                <w:kern w:val="0"/>
                <w:sz w:val="20"/>
                <w:szCs w:val="20"/>
                <w:vertAlign w:val="baseline"/>
              </w:rPr>
            </w:pPr>
            <w:r>
              <w:rPr>
                <w:rFonts w:hint="eastAsia" w:ascii="Times New Roman" w:hAnsi="Times New Roman" w:eastAsia="方正仿宋_GBK" w:cs="Times New Roman"/>
                <w:snapToGrid w:val="0"/>
                <w:color w:val="auto"/>
                <w:kern w:val="0"/>
                <w:sz w:val="18"/>
                <w:szCs w:val="18"/>
                <w:vertAlign w:val="baseline"/>
                <w:lang w:val="en-US" w:eastAsia="zh-CN" w:bidi="ar-SA"/>
              </w:rPr>
              <w:t>企业公示信息应当真实 、准确</w:t>
            </w:r>
          </w:p>
        </w:tc>
        <w:tc>
          <w:tcPr>
            <w:tcW w:w="2251" w:type="dxa"/>
            <w:noWrap w:val="0"/>
            <w:vAlign w:val="center"/>
          </w:tcPr>
          <w:p w14:paraId="68E6F92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default" w:ascii="Times New Roman" w:hAnsi="Times New Roman" w:eastAsia="方正仿宋_GBK" w:cs="Times New Roman"/>
                <w:snapToGrid w:val="0"/>
                <w:color w:val="auto"/>
                <w:kern w:val="0"/>
                <w:sz w:val="18"/>
                <w:szCs w:val="18"/>
                <w:vertAlign w:val="baseline"/>
              </w:rPr>
            </w:pPr>
            <w:r>
              <w:rPr>
                <w:rFonts w:hint="eastAsia" w:ascii="宋体" w:hAnsi="宋体" w:eastAsia="宋体" w:cs="宋体"/>
                <w:b w:val="0"/>
                <w:bCs w:val="0"/>
                <w:color w:val="000000"/>
                <w:sz w:val="20"/>
                <w:szCs w:val="20"/>
              </w:rPr>
              <w:t>企业公示信息隐瞒真实情况 、弄虚作假。</w:t>
            </w:r>
          </w:p>
        </w:tc>
        <w:tc>
          <w:tcPr>
            <w:tcW w:w="3640" w:type="dxa"/>
            <w:noWrap w:val="0"/>
            <w:vAlign w:val="top"/>
          </w:tcPr>
          <w:p w14:paraId="3DE5837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 xml:space="preserve">《企业信息公示暂行条例》 </w:t>
            </w:r>
          </w:p>
          <w:p w14:paraId="5AAEC54C">
            <w:pPr>
              <w:pStyle w:val="2"/>
              <w:keepNext w:val="0"/>
              <w:keepLines w:val="0"/>
              <w:pageBreakBefore w:val="0"/>
              <w:widowControl w:val="0"/>
              <w:numPr>
                <w:ilvl w:val="0"/>
                <w:numId w:val="2"/>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 xml:space="preserve">政府部门和企业分别对其公示信息的真实性、及时性负责。 </w:t>
            </w:r>
          </w:p>
          <w:p w14:paraId="48793EB6">
            <w:pPr>
              <w:pStyle w:val="2"/>
              <w:keepNext w:val="0"/>
              <w:keepLines w:val="0"/>
              <w:pageBreakBefore w:val="0"/>
              <w:widowControl w:val="0"/>
              <w:numPr>
                <w:ilvl w:val="0"/>
                <w:numId w:val="2"/>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政府部门发现其公示的信息不准确的，应当及时更正。公民、法人或者其他组织有证据证明政府部门公示的信息不准确的,有权要求该政府部门予以更正。 企业发现其公示的信息不准确的，应当及时更正；但是，企业年度报告公示信息的更正应当在每年</w:t>
            </w:r>
            <w:r>
              <w:rPr>
                <w:rFonts w:hint="default" w:ascii="Times New Roman" w:hAnsi="Times New Roman" w:eastAsia="方正仿宋_GBK" w:cs="Times New Roman"/>
                <w:snapToGrid w:val="0"/>
                <w:color w:val="auto"/>
                <w:kern w:val="0"/>
                <w:sz w:val="18"/>
                <w:szCs w:val="18"/>
                <w:vertAlign w:val="baseline"/>
                <w:lang w:val="en-US" w:eastAsia="zh-CN" w:bidi="ar-SA"/>
              </w:rPr>
              <w:t>6</w:t>
            </w:r>
            <w:r>
              <w:rPr>
                <w:rFonts w:hint="eastAsia" w:ascii="Times New Roman" w:hAnsi="Times New Roman" w:eastAsia="方正仿宋_GBK" w:cs="Times New Roman"/>
                <w:snapToGrid w:val="0"/>
                <w:color w:val="auto"/>
                <w:kern w:val="0"/>
                <w:sz w:val="18"/>
                <w:szCs w:val="18"/>
                <w:vertAlign w:val="baseline"/>
                <w:lang w:val="en-US" w:eastAsia="zh-CN" w:bidi="ar-SA"/>
              </w:rPr>
              <w:t>月</w:t>
            </w:r>
            <w:r>
              <w:rPr>
                <w:rFonts w:hint="default" w:ascii="Times New Roman" w:hAnsi="Times New Roman" w:eastAsia="方正仿宋_GBK" w:cs="Times New Roman"/>
                <w:snapToGrid w:val="0"/>
                <w:color w:val="auto"/>
                <w:kern w:val="0"/>
                <w:sz w:val="18"/>
                <w:szCs w:val="18"/>
                <w:vertAlign w:val="baseline"/>
                <w:lang w:val="en-US" w:eastAsia="zh-CN" w:bidi="ar-SA"/>
              </w:rPr>
              <w:t>30</w:t>
            </w:r>
            <w:r>
              <w:rPr>
                <w:rFonts w:hint="eastAsia" w:ascii="Times New Roman" w:hAnsi="Times New Roman" w:eastAsia="方正仿宋_GBK" w:cs="Times New Roman"/>
                <w:snapToGrid w:val="0"/>
                <w:color w:val="auto"/>
                <w:kern w:val="0"/>
                <w:sz w:val="18"/>
                <w:szCs w:val="18"/>
                <w:vertAlign w:val="baseline"/>
                <w:lang w:val="en-US" w:eastAsia="zh-CN" w:bidi="ar-SA"/>
              </w:rPr>
              <w:t>日之前完成。更正前后的信息应当同时公示。</w:t>
            </w:r>
          </w:p>
          <w:p w14:paraId="17FBD6D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Chars="0"/>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第十八条第二款</w:t>
            </w:r>
            <w:r>
              <w:rPr>
                <w:rFonts w:hint="default" w:ascii="Times New Roman" w:hAnsi="Times New Roman" w:eastAsia="方正仿宋_GBK" w:cs="Times New Roman"/>
                <w:snapToGrid w:val="0"/>
                <w:color w:val="auto"/>
                <w:kern w:val="0"/>
                <w:sz w:val="18"/>
                <w:szCs w:val="18"/>
                <w:vertAlign w:val="baseline"/>
                <w:lang w:val="en-US" w:eastAsia="zh-CN" w:bidi="ar-SA"/>
              </w:rPr>
              <w:t xml:space="preserve"> </w:t>
            </w:r>
            <w:r>
              <w:rPr>
                <w:rFonts w:hint="eastAsia" w:ascii="Times New Roman" w:hAnsi="Times New Roman" w:eastAsia="方正仿宋_GBK" w:cs="Times New Roman"/>
                <w:snapToGrid w:val="0"/>
                <w:color w:val="auto"/>
                <w:kern w:val="0"/>
                <w:sz w:val="18"/>
                <w:szCs w:val="18"/>
                <w:vertAlign w:val="baseline"/>
                <w:lang w:val="en-US" w:eastAsia="zh-CN" w:bidi="ar-SA"/>
              </w:rPr>
              <w:t>企业公示信息隐瞒真实情况、弄虚作假的，法律、行政法规有规定的，依照其规定；没有规定的，由市场监督管理部门责令改正，处</w:t>
            </w:r>
            <w:r>
              <w:rPr>
                <w:rFonts w:hint="default" w:ascii="Times New Roman" w:hAnsi="Times New Roman" w:eastAsia="方正仿宋_GBK" w:cs="Times New Roman"/>
                <w:snapToGrid w:val="0"/>
                <w:color w:val="auto"/>
                <w:kern w:val="0"/>
                <w:sz w:val="18"/>
                <w:szCs w:val="18"/>
                <w:vertAlign w:val="baseline"/>
                <w:lang w:val="en-US" w:eastAsia="zh-CN" w:bidi="ar-SA"/>
              </w:rPr>
              <w:t>1</w:t>
            </w:r>
            <w:r>
              <w:rPr>
                <w:rFonts w:hint="eastAsia" w:ascii="Times New Roman" w:hAnsi="Times New Roman" w:eastAsia="方正仿宋_GBK" w:cs="Times New Roman"/>
                <w:snapToGrid w:val="0"/>
                <w:color w:val="auto"/>
                <w:kern w:val="0"/>
                <w:sz w:val="18"/>
                <w:szCs w:val="18"/>
                <w:vertAlign w:val="baseline"/>
                <w:lang w:val="en-US" w:eastAsia="zh-CN" w:bidi="ar-SA"/>
              </w:rPr>
              <w:t>万元以上</w:t>
            </w:r>
            <w:r>
              <w:rPr>
                <w:rFonts w:hint="default" w:ascii="Times New Roman" w:hAnsi="Times New Roman" w:eastAsia="方正仿宋_GBK" w:cs="Times New Roman"/>
                <w:snapToGrid w:val="0"/>
                <w:color w:val="auto"/>
                <w:kern w:val="0"/>
                <w:sz w:val="18"/>
                <w:szCs w:val="18"/>
                <w:vertAlign w:val="baseline"/>
                <w:lang w:val="en-US" w:eastAsia="zh-CN" w:bidi="ar-SA"/>
              </w:rPr>
              <w:t>5</w:t>
            </w:r>
            <w:r>
              <w:rPr>
                <w:rFonts w:hint="eastAsia" w:ascii="Times New Roman" w:hAnsi="Times New Roman" w:eastAsia="方正仿宋_GBK" w:cs="Times New Roman"/>
                <w:snapToGrid w:val="0"/>
                <w:color w:val="auto"/>
                <w:kern w:val="0"/>
                <w:sz w:val="18"/>
                <w:szCs w:val="18"/>
                <w:vertAlign w:val="baseline"/>
                <w:lang w:val="en-US" w:eastAsia="zh-CN" w:bidi="ar-SA"/>
              </w:rPr>
              <w:t>万元以下罚款；情节严重的，处</w:t>
            </w:r>
            <w:r>
              <w:rPr>
                <w:rFonts w:hint="default" w:ascii="Times New Roman" w:hAnsi="Times New Roman" w:eastAsia="方正仿宋_GBK" w:cs="Times New Roman"/>
                <w:snapToGrid w:val="0"/>
                <w:color w:val="auto"/>
                <w:kern w:val="0"/>
                <w:sz w:val="18"/>
                <w:szCs w:val="18"/>
                <w:vertAlign w:val="baseline"/>
                <w:lang w:val="en-US" w:eastAsia="zh-CN" w:bidi="ar-SA"/>
              </w:rPr>
              <w:t>5</w:t>
            </w:r>
            <w:r>
              <w:rPr>
                <w:rFonts w:hint="eastAsia" w:ascii="Times New Roman" w:hAnsi="Times New Roman" w:eastAsia="方正仿宋_GBK" w:cs="Times New Roman"/>
                <w:snapToGrid w:val="0"/>
                <w:color w:val="auto"/>
                <w:kern w:val="0"/>
                <w:sz w:val="18"/>
                <w:szCs w:val="18"/>
                <w:vertAlign w:val="baseline"/>
                <w:lang w:val="en-US" w:eastAsia="zh-CN" w:bidi="ar-SA"/>
              </w:rPr>
              <w:t>万元以上</w:t>
            </w:r>
            <w:r>
              <w:rPr>
                <w:rFonts w:hint="default" w:ascii="Times New Roman" w:hAnsi="Times New Roman" w:eastAsia="方正仿宋_GBK" w:cs="Times New Roman"/>
                <w:snapToGrid w:val="0"/>
                <w:color w:val="auto"/>
                <w:kern w:val="0"/>
                <w:sz w:val="18"/>
                <w:szCs w:val="18"/>
                <w:vertAlign w:val="baseline"/>
                <w:lang w:val="en-US" w:eastAsia="zh-CN" w:bidi="ar-SA"/>
              </w:rPr>
              <w:t>20</w:t>
            </w:r>
            <w:r>
              <w:rPr>
                <w:rFonts w:hint="eastAsia" w:ascii="Times New Roman" w:hAnsi="Times New Roman" w:eastAsia="方正仿宋_GBK" w:cs="Times New Roman"/>
                <w:snapToGrid w:val="0"/>
                <w:color w:val="auto"/>
                <w:kern w:val="0"/>
                <w:sz w:val="18"/>
                <w:szCs w:val="18"/>
                <w:vertAlign w:val="baseline"/>
                <w:lang w:val="en-US" w:eastAsia="zh-CN" w:bidi="ar-SA"/>
              </w:rPr>
              <w:t>万元以下罚款，列入市场监督管理严重违 法失信名单，并可以吊销营业执照。被列入市场监督管理严重 违法失信名单的企业的法定代表人、负责人，</w:t>
            </w:r>
            <w:r>
              <w:rPr>
                <w:rFonts w:hint="default" w:ascii="Times New Roman" w:hAnsi="Times New Roman" w:eastAsia="方正仿宋_GBK" w:cs="Times New Roman"/>
                <w:snapToGrid w:val="0"/>
                <w:color w:val="auto"/>
                <w:kern w:val="0"/>
                <w:sz w:val="18"/>
                <w:szCs w:val="18"/>
                <w:vertAlign w:val="baseline"/>
                <w:lang w:val="en-US" w:eastAsia="zh-CN" w:bidi="ar-SA"/>
              </w:rPr>
              <w:t>3</w:t>
            </w:r>
            <w:r>
              <w:rPr>
                <w:rFonts w:hint="eastAsia" w:ascii="Times New Roman" w:hAnsi="Times New Roman" w:eastAsia="方正仿宋_GBK" w:cs="Times New Roman"/>
                <w:snapToGrid w:val="0"/>
                <w:color w:val="auto"/>
                <w:kern w:val="0"/>
                <w:sz w:val="18"/>
                <w:szCs w:val="18"/>
                <w:vertAlign w:val="baseline"/>
                <w:lang w:val="en-US" w:eastAsia="zh-CN" w:bidi="ar-SA"/>
              </w:rPr>
              <w:t>年内不得担任 其他企业的法定代表人、负责人。</w:t>
            </w:r>
          </w:p>
          <w:p w14:paraId="0F7BB1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autoSpaceDE/>
              <w:autoSpaceDN/>
              <w:bidi w:val="0"/>
              <w:spacing w:line="240" w:lineRule="exact"/>
              <w:jc w:val="left"/>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第九条 市场监督管理部门在依法履职过程中通过登记的住所或者经营场所无法与企业取得联系的，应当自查实之日起10个工作日内作出将其列入经营异常名录的决定，并予以公示。</w:t>
            </w:r>
          </w:p>
          <w:p w14:paraId="50BB751A">
            <w:pPr>
              <w:keepNext w:val="0"/>
              <w:keepLines w:val="0"/>
              <w:pageBreakBefore w:val="0"/>
              <w:kinsoku/>
              <w:wordWrap/>
              <w:autoSpaceDE/>
              <w:autoSpaceDN/>
              <w:bidi w:val="0"/>
              <w:spacing w:line="240" w:lineRule="exact"/>
              <w:textAlignment w:val="auto"/>
              <w:rPr>
                <w:rFonts w:hint="default"/>
              </w:rPr>
            </w:pPr>
          </w:p>
        </w:tc>
        <w:tc>
          <w:tcPr>
            <w:tcW w:w="1140" w:type="dxa"/>
            <w:noWrap w:val="0"/>
            <w:vAlign w:val="center"/>
          </w:tcPr>
          <w:p w14:paraId="42096EA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32"/>
                <w:szCs w:val="32"/>
                <w:vertAlign w:val="baseline"/>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1B87443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Chars="0"/>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1.真实、准确填报年度报告信息、即时公示信息。</w:t>
            </w:r>
          </w:p>
          <w:p w14:paraId="6AFE90E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Chars="0"/>
              <w:jc w:val="both"/>
              <w:textAlignment w:val="auto"/>
              <w:rPr>
                <w:rFonts w:hint="default" w:ascii="Times New Roman" w:hAnsi="Times New Roman" w:eastAsia="方正仿宋_GBK" w:cs="Times New Roman"/>
                <w:snapToGrid w:val="0"/>
                <w:color w:val="auto"/>
                <w:kern w:val="0"/>
                <w:sz w:val="32"/>
                <w:szCs w:val="32"/>
                <w:vertAlign w:val="baseline"/>
              </w:rPr>
            </w:pPr>
            <w:r>
              <w:rPr>
                <w:rFonts w:hint="eastAsia" w:ascii="Times New Roman" w:hAnsi="Times New Roman" w:eastAsia="方正仿宋_GBK" w:cs="Times New Roman"/>
                <w:snapToGrid w:val="0"/>
                <w:color w:val="auto"/>
                <w:kern w:val="0"/>
                <w:sz w:val="18"/>
                <w:szCs w:val="18"/>
                <w:vertAlign w:val="baseline"/>
                <w:lang w:val="en-US" w:eastAsia="zh-CN" w:bidi="ar-SA"/>
              </w:rPr>
              <w:t>2.企业发现已公示的信息有误的，应当及时更正。</w:t>
            </w:r>
          </w:p>
        </w:tc>
        <w:tc>
          <w:tcPr>
            <w:tcW w:w="1624" w:type="dxa"/>
            <w:noWrap w:val="0"/>
            <w:vAlign w:val="center"/>
          </w:tcPr>
          <w:p w14:paraId="245B02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default" w:ascii="Times New Roman" w:hAnsi="Times New Roman" w:eastAsia="方正仿宋_GBK" w:cs="Times New Roman"/>
                <w:snapToGrid w:val="0"/>
                <w:color w:val="auto"/>
                <w:kern w:val="0"/>
                <w:sz w:val="32"/>
                <w:szCs w:val="32"/>
                <w:vertAlign w:val="baseline"/>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175B7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24E83D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4</w:t>
            </w:r>
          </w:p>
        </w:tc>
        <w:tc>
          <w:tcPr>
            <w:tcW w:w="1542" w:type="dxa"/>
            <w:noWrap w:val="0"/>
            <w:vAlign w:val="center"/>
          </w:tcPr>
          <w:p w14:paraId="4D71027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auto"/>
              <w:rPr>
                <w:rFonts w:hint="eastAsia" w:asciiTheme="minorEastAsia" w:hAnsiTheme="minorEastAsia" w:eastAsiaTheme="minorEastAsia" w:cstheme="minorEastAsia"/>
                <w:b w:val="0"/>
                <w:bCs w:val="0"/>
                <w:snapToGrid w:val="0"/>
                <w:color w:val="auto"/>
                <w:kern w:val="0"/>
                <w:sz w:val="18"/>
                <w:szCs w:val="18"/>
                <w:vertAlign w:val="baseline"/>
                <w:lang w:val="en-US" w:eastAsia="zh-CN" w:bidi="ar-SA"/>
              </w:rPr>
            </w:pPr>
            <w:r>
              <w:rPr>
                <w:rFonts w:hint="eastAsia" w:asciiTheme="minorEastAsia" w:hAnsiTheme="minorEastAsia" w:eastAsiaTheme="minorEastAsia" w:cstheme="minorEastAsia"/>
                <w:b w:val="0"/>
                <w:bCs w:val="0"/>
                <w:color w:val="000000"/>
                <w:sz w:val="20"/>
                <w:szCs w:val="20"/>
              </w:rPr>
              <w:t>市场主体登记的住所或者经营场所应当真实</w:t>
            </w:r>
            <w:r>
              <w:rPr>
                <w:rFonts w:hint="eastAsia" w:asciiTheme="minorEastAsia" w:hAnsiTheme="minorEastAsia" w:eastAsiaTheme="minorEastAsia" w:cstheme="minorEastAsia"/>
                <w:b w:val="0"/>
                <w:bCs w:val="0"/>
                <w:color w:val="000000"/>
                <w:sz w:val="20"/>
                <w:szCs w:val="20"/>
                <w:lang w:eastAsia="zh-CN"/>
              </w:rPr>
              <w:t>、</w:t>
            </w:r>
            <w:r>
              <w:rPr>
                <w:rFonts w:hint="eastAsia" w:asciiTheme="minorEastAsia" w:hAnsiTheme="minorEastAsia" w:eastAsiaTheme="minorEastAsia" w:cstheme="minorEastAsia"/>
                <w:b w:val="0"/>
                <w:bCs w:val="0"/>
                <w:color w:val="000000"/>
                <w:sz w:val="20"/>
                <w:szCs w:val="20"/>
              </w:rPr>
              <w:t>准确。若发生变化，应当依法办理变更登记</w:t>
            </w:r>
          </w:p>
        </w:tc>
        <w:tc>
          <w:tcPr>
            <w:tcW w:w="2251" w:type="dxa"/>
            <w:noWrap w:val="0"/>
            <w:vAlign w:val="center"/>
          </w:tcPr>
          <w:p w14:paraId="1663440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1"/>
                <w:szCs w:val="21"/>
              </w:rPr>
              <w:t>通过登记的住所或者经营场所无法联系到 市场主体。</w:t>
            </w:r>
          </w:p>
        </w:tc>
        <w:tc>
          <w:tcPr>
            <w:tcW w:w="3640" w:type="dxa"/>
            <w:noWrap w:val="0"/>
            <w:vAlign w:val="top"/>
          </w:tcPr>
          <w:p w14:paraId="1141F94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《中华人民共和国市场主体登记管理条例》</w:t>
            </w:r>
          </w:p>
          <w:p w14:paraId="178040A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第二十四条第二款 市场主体变更登记事项，应当自作出变更决议、决定或者法定变更事项发生之日起</w:t>
            </w:r>
            <w:r>
              <w:rPr>
                <w:rFonts w:hint="default" w:ascii="Times New Roman" w:hAnsi="Times New Roman" w:eastAsia="宋体" w:cs="Times New Roman"/>
                <w:b w:val="0"/>
                <w:bCs w:val="0"/>
                <w:color w:val="000000"/>
                <w:sz w:val="20"/>
                <w:szCs w:val="20"/>
              </w:rPr>
              <w:t>30</w:t>
            </w:r>
            <w:r>
              <w:rPr>
                <w:rFonts w:hint="eastAsia" w:ascii="宋体" w:hAnsi="宋体" w:eastAsia="宋体" w:cs="宋体"/>
                <w:b w:val="0"/>
                <w:bCs w:val="0"/>
                <w:color w:val="000000"/>
                <w:sz w:val="20"/>
                <w:szCs w:val="20"/>
              </w:rPr>
              <w:t xml:space="preserve">日内向登记机关申请变更登记。 </w:t>
            </w:r>
          </w:p>
          <w:p w14:paraId="1C033FC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第四十六条</w:t>
            </w:r>
            <w:r>
              <w:rPr>
                <w:rFonts w:hint="default" w:ascii="Times New Roman" w:hAnsi="Times New Roman" w:eastAsia="宋体" w:cs="Times New Roman"/>
                <w:b w:val="0"/>
                <w:bCs w:val="0"/>
                <w:color w:val="000000"/>
                <w:sz w:val="20"/>
                <w:szCs w:val="20"/>
              </w:rPr>
              <w:t xml:space="preserve"> </w:t>
            </w:r>
            <w:r>
              <w:rPr>
                <w:rFonts w:hint="eastAsia" w:ascii="宋体" w:hAnsi="宋体" w:eastAsia="宋体" w:cs="宋体"/>
                <w:b w:val="0"/>
                <w:bCs w:val="0"/>
                <w:color w:val="000000"/>
                <w:sz w:val="20"/>
                <w:szCs w:val="20"/>
              </w:rPr>
              <w:t>市场主体未依照本条例办理变更登记的，由登记机关责令改正；拒不改正的，处</w:t>
            </w:r>
            <w:r>
              <w:rPr>
                <w:rFonts w:hint="default" w:ascii="Times New Roman" w:hAnsi="Times New Roman" w:eastAsia="宋体" w:cs="Times New Roman"/>
                <w:b w:val="0"/>
                <w:bCs w:val="0"/>
                <w:color w:val="000000"/>
                <w:sz w:val="20"/>
                <w:szCs w:val="20"/>
              </w:rPr>
              <w:t>1</w:t>
            </w:r>
            <w:r>
              <w:rPr>
                <w:rFonts w:hint="eastAsia" w:ascii="宋体" w:hAnsi="宋体" w:eastAsia="宋体" w:cs="宋体"/>
                <w:b w:val="0"/>
                <w:bCs w:val="0"/>
                <w:color w:val="000000"/>
                <w:sz w:val="20"/>
                <w:szCs w:val="20"/>
              </w:rPr>
              <w:t>万元以上</w:t>
            </w:r>
            <w:r>
              <w:rPr>
                <w:rFonts w:hint="default" w:ascii="Times New Roman" w:hAnsi="Times New Roman" w:eastAsia="宋体" w:cs="Times New Roman"/>
                <w:b w:val="0"/>
                <w:bCs w:val="0"/>
                <w:color w:val="000000"/>
                <w:sz w:val="20"/>
                <w:szCs w:val="20"/>
              </w:rPr>
              <w:t>10</w:t>
            </w:r>
            <w:r>
              <w:rPr>
                <w:rFonts w:hint="eastAsia" w:ascii="宋体" w:hAnsi="宋体" w:eastAsia="宋体" w:cs="宋体"/>
                <w:b w:val="0"/>
                <w:bCs w:val="0"/>
                <w:color w:val="000000"/>
                <w:sz w:val="20"/>
                <w:szCs w:val="20"/>
              </w:rPr>
              <w:t xml:space="preserve">万元以下的罚款；情节严重的，吊销营业执照。 </w:t>
            </w:r>
          </w:p>
          <w:p w14:paraId="4CC04E1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 xml:space="preserve">《中华人民共和国市场主体登记管理条例实施细则》 </w:t>
            </w:r>
          </w:p>
          <w:p w14:paraId="3006616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第三十一条</w:t>
            </w:r>
            <w:r>
              <w:rPr>
                <w:rFonts w:hint="default" w:ascii="Times New Roman" w:hAnsi="Times New Roman" w:eastAsia="宋体" w:cs="Times New Roman"/>
                <w:b w:val="0"/>
                <w:bCs w:val="0"/>
                <w:color w:val="000000"/>
                <w:sz w:val="20"/>
                <w:szCs w:val="20"/>
              </w:rPr>
              <w:t xml:space="preserve"> </w:t>
            </w:r>
            <w:r>
              <w:rPr>
                <w:rFonts w:hint="eastAsia" w:ascii="宋体" w:hAnsi="宋体" w:eastAsia="宋体" w:cs="宋体"/>
                <w:b w:val="0"/>
                <w:bCs w:val="0"/>
                <w:color w:val="000000"/>
                <w:sz w:val="20"/>
                <w:szCs w:val="20"/>
              </w:rPr>
              <w:t>市场主体变更登记事项，应当自作出变更决议、决定或者法定变更事项发生之日起</w:t>
            </w:r>
            <w:r>
              <w:rPr>
                <w:rFonts w:hint="default" w:ascii="Times New Roman" w:hAnsi="Times New Roman" w:eastAsia="宋体" w:cs="Times New Roman"/>
                <w:b w:val="0"/>
                <w:bCs w:val="0"/>
                <w:color w:val="000000"/>
                <w:sz w:val="20"/>
                <w:szCs w:val="20"/>
              </w:rPr>
              <w:t>30</w:t>
            </w:r>
            <w:r>
              <w:rPr>
                <w:rFonts w:hint="eastAsia" w:ascii="宋体" w:hAnsi="宋体" w:eastAsia="宋体" w:cs="宋体"/>
                <w:b w:val="0"/>
                <w:bCs w:val="0"/>
                <w:color w:val="000000"/>
                <w:sz w:val="20"/>
                <w:szCs w:val="20"/>
              </w:rPr>
              <w:t>日内申请办理变更登记。 市场主体登记事项变更涉及分支机构登记事项变更的，应当自市场主体登记事项变更登记之日起</w:t>
            </w:r>
            <w:r>
              <w:rPr>
                <w:rFonts w:hint="default" w:ascii="Times New Roman" w:hAnsi="Times New Roman" w:eastAsia="宋体" w:cs="Times New Roman"/>
                <w:b w:val="0"/>
                <w:bCs w:val="0"/>
                <w:color w:val="000000"/>
                <w:sz w:val="20"/>
                <w:szCs w:val="20"/>
              </w:rPr>
              <w:t>30</w:t>
            </w:r>
            <w:r>
              <w:rPr>
                <w:rFonts w:hint="eastAsia" w:ascii="宋体" w:hAnsi="宋体" w:eastAsia="宋体" w:cs="宋体"/>
                <w:b w:val="0"/>
                <w:bCs w:val="0"/>
                <w:color w:val="000000"/>
                <w:sz w:val="20"/>
                <w:szCs w:val="20"/>
              </w:rPr>
              <w:t xml:space="preserve">日内申请办理分支机构变更登记。 </w:t>
            </w:r>
          </w:p>
          <w:p w14:paraId="3866716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第七十二条</w:t>
            </w:r>
            <w:r>
              <w:rPr>
                <w:rFonts w:hint="default" w:ascii="Times New Roman" w:hAnsi="Times New Roman" w:eastAsia="宋体" w:cs="Times New Roman"/>
                <w:b w:val="0"/>
                <w:bCs w:val="0"/>
                <w:color w:val="000000"/>
                <w:sz w:val="20"/>
                <w:szCs w:val="20"/>
              </w:rPr>
              <w:t xml:space="preserve"> </w:t>
            </w:r>
            <w:r>
              <w:rPr>
                <w:rFonts w:hint="eastAsia" w:ascii="宋体" w:hAnsi="宋体" w:eastAsia="宋体" w:cs="宋体"/>
                <w:b w:val="0"/>
                <w:bCs w:val="0"/>
                <w:color w:val="000000"/>
                <w:sz w:val="20"/>
                <w:szCs w:val="20"/>
              </w:rPr>
              <w:t>市场主体未按规定办理变更登记的，由登记机关责令改正；拒不改正的，处</w:t>
            </w:r>
            <w:r>
              <w:rPr>
                <w:rFonts w:hint="default" w:ascii="Times New Roman" w:hAnsi="Times New Roman" w:eastAsia="宋体" w:cs="Times New Roman"/>
                <w:b w:val="0"/>
                <w:bCs w:val="0"/>
                <w:color w:val="000000"/>
                <w:sz w:val="20"/>
                <w:szCs w:val="20"/>
              </w:rPr>
              <w:t>1</w:t>
            </w:r>
            <w:r>
              <w:rPr>
                <w:rFonts w:hint="eastAsia" w:ascii="宋体" w:hAnsi="宋体" w:eastAsia="宋体" w:cs="宋体"/>
                <w:b w:val="0"/>
                <w:bCs w:val="0"/>
                <w:color w:val="000000"/>
                <w:sz w:val="20"/>
                <w:szCs w:val="20"/>
              </w:rPr>
              <w:t>万元以上</w:t>
            </w:r>
            <w:r>
              <w:rPr>
                <w:rFonts w:hint="default" w:ascii="Times New Roman" w:hAnsi="Times New Roman" w:eastAsia="宋体" w:cs="Times New Roman"/>
                <w:b w:val="0"/>
                <w:bCs w:val="0"/>
                <w:color w:val="000000"/>
                <w:sz w:val="20"/>
                <w:szCs w:val="20"/>
              </w:rPr>
              <w:t>10</w:t>
            </w:r>
            <w:r>
              <w:rPr>
                <w:rFonts w:hint="eastAsia" w:ascii="宋体" w:hAnsi="宋体" w:eastAsia="宋体" w:cs="宋体"/>
                <w:b w:val="0"/>
                <w:bCs w:val="0"/>
                <w:color w:val="000000"/>
                <w:sz w:val="20"/>
                <w:szCs w:val="20"/>
              </w:rPr>
              <w:t xml:space="preserve">万元以下的罚款；情节严重的，吊销营业执照。 </w:t>
            </w:r>
          </w:p>
          <w:p w14:paraId="4401E9B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第七十七条</w:t>
            </w:r>
            <w:r>
              <w:rPr>
                <w:rFonts w:hint="default" w:ascii="Times New Roman" w:hAnsi="Times New Roman" w:eastAsia="宋体" w:cs="Times New Roman"/>
                <w:b w:val="0"/>
                <w:bCs w:val="0"/>
                <w:color w:val="000000"/>
                <w:sz w:val="20"/>
                <w:szCs w:val="20"/>
              </w:rPr>
              <w:t xml:space="preserve"> </w:t>
            </w:r>
            <w:r>
              <w:rPr>
                <w:rFonts w:hint="eastAsia" w:ascii="宋体" w:hAnsi="宋体" w:eastAsia="宋体" w:cs="宋体"/>
                <w:b w:val="0"/>
                <w:bCs w:val="0"/>
                <w:color w:val="000000"/>
                <w:sz w:val="20"/>
                <w:szCs w:val="20"/>
              </w:rPr>
              <w:t xml:space="preserve">违反本实施细则规定，登记机关确定罚款幅度时，应当综合考虑市场主体的类型、规模、违法情节等因素。 情节轻微并及时改正，没有造成危害后果的，依法不予行政处罚。初次违法且危害后果轻微并及时改正的，可以不予行政处罚。当事人有证据足以证明没有主观过错的，不予行政处罚。 </w:t>
            </w:r>
          </w:p>
          <w:p w14:paraId="1696844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0"/>
                <w:szCs w:val="20"/>
              </w:rPr>
              <w:t>《企业经营异常名录管理暂行办法》 第九条</w:t>
            </w:r>
            <w:r>
              <w:rPr>
                <w:rFonts w:hint="default" w:ascii="Times New Roman" w:hAnsi="Times New Roman" w:eastAsia="宋体" w:cs="Times New Roman"/>
                <w:b w:val="0"/>
                <w:bCs w:val="0"/>
                <w:color w:val="000000"/>
                <w:sz w:val="20"/>
                <w:szCs w:val="20"/>
              </w:rPr>
              <w:t xml:space="preserve"> </w:t>
            </w:r>
            <w:r>
              <w:rPr>
                <w:rFonts w:hint="eastAsia" w:ascii="宋体" w:hAnsi="宋体" w:eastAsia="宋体" w:cs="宋体"/>
                <w:b w:val="0"/>
                <w:bCs w:val="0"/>
                <w:color w:val="000000"/>
                <w:sz w:val="20"/>
                <w:szCs w:val="20"/>
              </w:rPr>
              <w:t>工商行政管理部门在依法履职过程中通过登记的住所或者经营场所无法与企业取得联系的，应当自查实之日起</w:t>
            </w:r>
            <w:r>
              <w:rPr>
                <w:rFonts w:hint="default" w:ascii="Times New Roman" w:hAnsi="Times New Roman" w:eastAsia="宋体" w:cs="Times New Roman"/>
                <w:b w:val="0"/>
                <w:bCs w:val="0"/>
                <w:color w:val="000000"/>
                <w:sz w:val="20"/>
                <w:szCs w:val="20"/>
              </w:rPr>
              <w:t>10</w:t>
            </w:r>
            <w:r>
              <w:rPr>
                <w:rFonts w:hint="eastAsia" w:ascii="宋体" w:hAnsi="宋体" w:eastAsia="宋体" w:cs="宋体"/>
                <w:b w:val="0"/>
                <w:bCs w:val="0"/>
                <w:color w:val="000000"/>
                <w:sz w:val="20"/>
                <w:szCs w:val="20"/>
              </w:rPr>
              <w:t>个工作日内作出将其列入经营异常名录的决定，并予以公示。工商行政管理部门可以通过邮寄专用信函的方式与企业联系。经向企业登记的住所或者经营场所两次邮寄无人签收的，视为 通过登记的住所或者经营场所无法取得联系。两次邮寄间隔时间不得少于</w:t>
            </w:r>
            <w:r>
              <w:rPr>
                <w:rFonts w:hint="default" w:ascii="Times New Roman" w:hAnsi="Times New Roman" w:eastAsia="宋体" w:cs="Times New Roman"/>
                <w:b w:val="0"/>
                <w:bCs w:val="0"/>
                <w:color w:val="000000"/>
                <w:sz w:val="20"/>
                <w:szCs w:val="20"/>
              </w:rPr>
              <w:t>15</w:t>
            </w:r>
            <w:r>
              <w:rPr>
                <w:rFonts w:hint="eastAsia" w:ascii="宋体" w:hAnsi="宋体" w:eastAsia="宋体" w:cs="宋体"/>
                <w:b w:val="0"/>
                <w:bCs w:val="0"/>
                <w:color w:val="000000"/>
                <w:sz w:val="20"/>
                <w:szCs w:val="20"/>
              </w:rPr>
              <w:t>日，不得超过</w:t>
            </w:r>
            <w:r>
              <w:rPr>
                <w:rFonts w:hint="default" w:ascii="Times New Roman" w:hAnsi="Times New Roman" w:eastAsia="宋体" w:cs="Times New Roman"/>
                <w:b w:val="0"/>
                <w:bCs w:val="0"/>
                <w:color w:val="000000"/>
                <w:sz w:val="20"/>
                <w:szCs w:val="20"/>
              </w:rPr>
              <w:t>30</w:t>
            </w:r>
            <w:r>
              <w:rPr>
                <w:rFonts w:hint="eastAsia" w:ascii="宋体" w:hAnsi="宋体" w:eastAsia="宋体" w:cs="宋体"/>
                <w:b w:val="0"/>
                <w:bCs w:val="0"/>
                <w:color w:val="000000"/>
                <w:sz w:val="20"/>
                <w:szCs w:val="20"/>
              </w:rPr>
              <w:t>日</w:t>
            </w:r>
            <w:r>
              <w:rPr>
                <w:rFonts w:hint="eastAsia" w:ascii="宋体" w:hAnsi="宋体" w:eastAsia="宋体" w:cs="宋体"/>
                <w:b w:val="0"/>
                <w:bCs w:val="0"/>
                <w:color w:val="000000"/>
                <w:sz w:val="21"/>
                <w:szCs w:val="21"/>
              </w:rPr>
              <w:t>。</w:t>
            </w:r>
          </w:p>
          <w:p w14:paraId="5E8F270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0"/>
                <w:szCs w:val="20"/>
                <w:lang w:eastAsia="zh-CN"/>
              </w:rPr>
            </w:pPr>
            <w:r>
              <w:rPr>
                <w:rFonts w:hint="eastAsia" w:ascii="宋体" w:hAnsi="宋体" w:eastAsia="宋体" w:cs="宋体"/>
                <w:b w:val="0"/>
                <w:bCs w:val="0"/>
                <w:color w:val="000000"/>
                <w:sz w:val="20"/>
                <w:szCs w:val="20"/>
                <w:lang w:eastAsia="zh-CN"/>
              </w:rPr>
              <w:t>《个体工商户年度报告办法》</w:t>
            </w:r>
          </w:p>
          <w:p w14:paraId="50F102D6">
            <w:pPr>
              <w:widowControl w:val="0"/>
              <w:numPr>
                <w:ilvl w:val="0"/>
                <w:numId w:val="3"/>
              </w:numPr>
              <w:autoSpaceDE w:val="0"/>
              <w:autoSpaceDN w:val="0"/>
              <w:spacing w:before="0" w:after="0" w:line="221" w:lineRule="exact"/>
              <w:ind w:left="0" w:right="0" w:firstLine="0"/>
              <w:jc w:val="left"/>
              <w:rPr>
                <w:rFonts w:ascii="BMHBIL+SimSun" w:hAnsi="BMHBIL+SimSun" w:cs="BMHBIL+SimSun"/>
                <w:color w:val="000000"/>
                <w:spacing w:val="1"/>
                <w:sz w:val="20"/>
                <w:szCs w:val="20"/>
                <w:highlight w:val="none"/>
              </w:rPr>
            </w:pPr>
            <w:r>
              <w:rPr>
                <w:sz w:val="20"/>
                <w:szCs w:val="20"/>
                <w:highlight w:val="none"/>
              </w:rPr>
              <w:t>市场监督管理部门</w:t>
            </w:r>
            <w:r>
              <w:rPr>
                <w:rFonts w:ascii="BMHBIL+SimSun" w:hAnsi="BMHBIL+SimSun" w:cs="BMHBIL+SimSun"/>
                <w:color w:val="000000"/>
                <w:spacing w:val="1"/>
                <w:sz w:val="20"/>
                <w:szCs w:val="20"/>
                <w:highlight w:val="none"/>
              </w:rPr>
              <w:t>在依法履职过程中通过登记的经营场所或者经营者住所无法与个体工商户取得联系的，应当自查实之日起</w:t>
            </w:r>
            <w:r>
              <w:rPr>
                <w:rFonts w:ascii="Times New Roman"/>
                <w:color w:val="000000"/>
                <w:spacing w:val="0"/>
                <w:sz w:val="20"/>
                <w:szCs w:val="20"/>
                <w:highlight w:val="none"/>
              </w:rPr>
              <w:t>10</w:t>
            </w:r>
            <w:r>
              <w:rPr>
                <w:rFonts w:ascii="BMHBIL+SimSun" w:hAnsi="BMHBIL+SimSun" w:cs="BMHBIL+SimSun"/>
                <w:color w:val="000000"/>
                <w:spacing w:val="1"/>
                <w:sz w:val="20"/>
                <w:szCs w:val="20"/>
                <w:highlight w:val="none"/>
              </w:rPr>
              <w:t>个工作日内将其标记为经营异常状态，并通过</w:t>
            </w:r>
            <w:r>
              <w:rPr>
                <w:sz w:val="20"/>
                <w:szCs w:val="20"/>
                <w:highlight w:val="none"/>
              </w:rPr>
              <w:t>国家企业信用信息公示系统</w:t>
            </w:r>
            <w:r>
              <w:rPr>
                <w:rFonts w:ascii="BMHBIL+SimSun" w:hAnsi="BMHBIL+SimSun" w:cs="BMHBIL+SimSun"/>
                <w:color w:val="000000"/>
                <w:spacing w:val="1"/>
                <w:sz w:val="20"/>
                <w:szCs w:val="20"/>
                <w:highlight w:val="none"/>
              </w:rPr>
              <w:t>向社会公示。</w:t>
            </w:r>
          </w:p>
          <w:p w14:paraId="7FC3FDD6">
            <w:pPr>
              <w:widowControl w:val="0"/>
              <w:autoSpaceDE w:val="0"/>
              <w:autoSpaceDN w:val="0"/>
              <w:spacing w:before="0" w:after="0" w:line="221" w:lineRule="exact"/>
              <w:ind w:left="0" w:right="0" w:firstLine="0"/>
              <w:jc w:val="left"/>
              <w:rPr>
                <w:rFonts w:ascii="BMHBIL+SimSun"/>
                <w:color w:val="000000"/>
                <w:spacing w:val="0"/>
                <w:sz w:val="20"/>
                <w:szCs w:val="20"/>
                <w:highlight w:val="none"/>
              </w:rPr>
            </w:pPr>
            <w:r>
              <w:rPr>
                <w:rFonts w:ascii="BMHBIL+SimSun" w:hAnsi="BMHBIL+SimSun" w:cs="BMHBIL+SimSun"/>
                <w:color w:val="000000"/>
                <w:spacing w:val="1"/>
                <w:sz w:val="20"/>
                <w:szCs w:val="20"/>
                <w:highlight w:val="none"/>
              </w:rPr>
              <w:t>《</w:t>
            </w:r>
            <w:r>
              <w:rPr>
                <w:rFonts w:hint="eastAsia" w:ascii="宋体" w:hAnsi="宋体" w:eastAsia="宋体" w:cs="宋体"/>
                <w:sz w:val="20"/>
                <w:szCs w:val="20"/>
                <w:highlight w:val="none"/>
              </w:rPr>
              <w:t>农民专业合作社年度报告公示办法</w:t>
            </w:r>
            <w:r>
              <w:rPr>
                <w:rFonts w:ascii="BMHBIL+SimSun" w:hAnsi="BMHBIL+SimSun" w:cs="BMHBIL+SimSun"/>
                <w:color w:val="000000"/>
                <w:spacing w:val="1"/>
                <w:sz w:val="20"/>
                <w:szCs w:val="20"/>
                <w:highlight w:val="none"/>
              </w:rPr>
              <w:t>》</w:t>
            </w:r>
          </w:p>
          <w:p w14:paraId="1C2B547C">
            <w:pPr>
              <w:widowControl w:val="0"/>
              <w:autoSpaceDE w:val="0"/>
              <w:autoSpaceDN w:val="0"/>
              <w:spacing w:before="0" w:after="0" w:line="221" w:lineRule="exact"/>
              <w:ind w:left="0" w:right="0" w:firstLine="0"/>
              <w:jc w:val="left"/>
              <w:rPr>
                <w:rFonts w:ascii="BMHBIL+SimSun"/>
                <w:color w:val="000000"/>
                <w:spacing w:val="0"/>
                <w:sz w:val="20"/>
                <w:szCs w:val="20"/>
                <w:highlight w:val="none"/>
              </w:rPr>
            </w:pPr>
            <w:r>
              <w:rPr>
                <w:rFonts w:ascii="BMHBIL+SimSun" w:hAnsi="BMHBIL+SimSun" w:cs="BMHBIL+SimSun"/>
                <w:color w:val="000000"/>
                <w:spacing w:val="1"/>
                <w:sz w:val="20"/>
                <w:szCs w:val="20"/>
                <w:highlight w:val="none"/>
              </w:rPr>
              <w:t>第十二条</w:t>
            </w:r>
            <w:r>
              <w:rPr>
                <w:rFonts w:ascii="BMHBIL+SimSun"/>
                <w:color w:val="000000"/>
                <w:spacing w:val="6"/>
                <w:sz w:val="20"/>
                <w:szCs w:val="20"/>
                <w:highlight w:val="none"/>
              </w:rPr>
              <w:t xml:space="preserve"> </w:t>
            </w:r>
            <w:r>
              <w:rPr>
                <w:sz w:val="20"/>
                <w:szCs w:val="20"/>
                <w:highlight w:val="none"/>
              </w:rPr>
              <w:t>市场监督管理部门</w:t>
            </w:r>
            <w:r>
              <w:rPr>
                <w:rFonts w:ascii="BMHBIL+SimSun" w:hAnsi="BMHBIL+SimSun" w:cs="BMHBIL+SimSun"/>
                <w:color w:val="000000"/>
                <w:spacing w:val="1"/>
                <w:sz w:val="20"/>
                <w:szCs w:val="20"/>
                <w:highlight w:val="none"/>
              </w:rPr>
              <w:t>在依法履职过程中通过登记的住所无法与农民专业合作社取得联系的，应当自查实之日起</w:t>
            </w:r>
            <w:r>
              <w:rPr>
                <w:rFonts w:ascii="Times New Roman"/>
                <w:color w:val="000000"/>
                <w:spacing w:val="1"/>
                <w:sz w:val="20"/>
                <w:szCs w:val="20"/>
                <w:highlight w:val="none"/>
              </w:rPr>
              <w:t>10</w:t>
            </w:r>
            <w:r>
              <w:rPr>
                <w:rFonts w:ascii="BMHBIL+SimSun" w:hAnsi="BMHBIL+SimSun" w:cs="BMHBIL+SimSun"/>
                <w:color w:val="000000"/>
                <w:spacing w:val="0"/>
                <w:sz w:val="20"/>
                <w:szCs w:val="20"/>
                <w:highlight w:val="none"/>
              </w:rPr>
              <w:t>个</w:t>
            </w:r>
            <w:r>
              <w:rPr>
                <w:rFonts w:ascii="BMHBIL+SimSun" w:hAnsi="BMHBIL+SimSun" w:cs="BMHBIL+SimSun"/>
                <w:color w:val="000000"/>
                <w:spacing w:val="1"/>
                <w:sz w:val="20"/>
                <w:szCs w:val="20"/>
                <w:highlight w:val="none"/>
              </w:rPr>
              <w:t>工作日内作出将其列入经营异常名录的决定，并通过</w:t>
            </w:r>
            <w:r>
              <w:rPr>
                <w:sz w:val="20"/>
                <w:szCs w:val="20"/>
                <w:highlight w:val="none"/>
              </w:rPr>
              <w:t>国家企业信用信息公示系统</w:t>
            </w:r>
            <w:r>
              <w:rPr>
                <w:rFonts w:ascii="BMHBIL+SimSun" w:hAnsi="BMHBIL+SimSun" w:cs="BMHBIL+SimSun"/>
                <w:color w:val="000000"/>
                <w:spacing w:val="1"/>
                <w:sz w:val="20"/>
                <w:szCs w:val="20"/>
                <w:highlight w:val="none"/>
              </w:rPr>
              <w:t>向社会公示。</w:t>
            </w:r>
          </w:p>
          <w:p w14:paraId="1F95EA9A">
            <w:pPr>
              <w:widowControl w:val="0"/>
              <w:numPr>
                <w:ilvl w:val="0"/>
                <w:numId w:val="0"/>
              </w:numPr>
              <w:autoSpaceDE w:val="0"/>
              <w:autoSpaceDN w:val="0"/>
              <w:spacing w:before="0" w:after="0" w:line="221" w:lineRule="exact"/>
              <w:ind w:leftChars="0" w:right="0" w:rightChars="0"/>
              <w:jc w:val="left"/>
              <w:rPr>
                <w:rFonts w:ascii="BMHBIL+SimSun" w:hAnsi="BMHBIL+SimSun" w:cs="BMHBIL+SimSun"/>
                <w:color w:val="000000"/>
                <w:spacing w:val="1"/>
                <w:sz w:val="22"/>
                <w:highlight w:val="none"/>
              </w:rPr>
            </w:pPr>
          </w:p>
          <w:p w14:paraId="5D8EED0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sz w:val="21"/>
                <w:szCs w:val="21"/>
                <w:lang w:eastAsia="zh-CN"/>
              </w:rPr>
            </w:pPr>
          </w:p>
        </w:tc>
        <w:tc>
          <w:tcPr>
            <w:tcW w:w="1140" w:type="dxa"/>
            <w:noWrap w:val="0"/>
            <w:vAlign w:val="center"/>
          </w:tcPr>
          <w:p w14:paraId="2EB9AA7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29728219">
            <w:pPr>
              <w:keepNext w:val="0"/>
              <w:keepLines w:val="0"/>
              <w:pageBreakBefore w:val="0"/>
              <w:widowControl w:val="0"/>
              <w:numPr>
                <w:ilvl w:val="0"/>
                <w:numId w:val="0"/>
              </w:numPr>
              <w:kinsoku/>
              <w:wordWrap/>
              <w:overflowPunct/>
              <w:topLinePunct w:val="0"/>
              <w:autoSpaceDE w:val="0"/>
              <w:autoSpaceDN w:val="0"/>
              <w:bidi w:val="0"/>
              <w:adjustRightInd/>
              <w:snapToGrid/>
              <w:spacing w:before="41" w:after="0" w:line="240" w:lineRule="exact"/>
              <w:ind w:leftChars="0" w:right="0" w:rightChars="0"/>
              <w:jc w:val="lef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lang w:val="en-US" w:eastAsia="zh-CN"/>
              </w:rPr>
              <w:t>1.</w:t>
            </w:r>
            <w:r>
              <w:rPr>
                <w:rFonts w:hint="eastAsia" w:ascii="宋体" w:hAnsi="宋体" w:eastAsia="宋体" w:cs="宋体"/>
                <w:b w:val="0"/>
                <w:bCs w:val="0"/>
                <w:color w:val="000000"/>
                <w:sz w:val="20"/>
                <w:szCs w:val="20"/>
              </w:rPr>
              <w:t xml:space="preserve">市场主体应当确保通过 登记的住所或者经营场所 可以取得联系。 </w:t>
            </w:r>
          </w:p>
          <w:p w14:paraId="50079099">
            <w:pPr>
              <w:keepNext w:val="0"/>
              <w:keepLines w:val="0"/>
              <w:pageBreakBefore w:val="0"/>
              <w:widowControl w:val="0"/>
              <w:numPr>
                <w:ilvl w:val="0"/>
                <w:numId w:val="0"/>
              </w:numPr>
              <w:kinsoku/>
              <w:wordWrap/>
              <w:overflowPunct/>
              <w:topLinePunct w:val="0"/>
              <w:autoSpaceDE w:val="0"/>
              <w:autoSpaceDN w:val="0"/>
              <w:bidi w:val="0"/>
              <w:adjustRightInd/>
              <w:snapToGrid/>
              <w:spacing w:before="41" w:after="0" w:line="240" w:lineRule="exact"/>
              <w:ind w:leftChars="0" w:right="0" w:rightChars="0"/>
              <w:jc w:val="left"/>
              <w:textAlignment w:val="auto"/>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lang w:val="en-US" w:eastAsia="zh-CN"/>
              </w:rPr>
              <w:t>2.</w:t>
            </w:r>
            <w:r>
              <w:rPr>
                <w:rFonts w:hint="eastAsia" w:ascii="宋体" w:hAnsi="宋体" w:eastAsia="宋体" w:cs="宋体"/>
                <w:b w:val="0"/>
                <w:bCs w:val="0"/>
                <w:color w:val="000000"/>
                <w:sz w:val="20"/>
                <w:szCs w:val="20"/>
              </w:rPr>
              <w:t>市场主体登记的住所或者经营场所发生变更时，应当自作出变更决议、决定或者法定变更事项发生之日起</w:t>
            </w:r>
            <w:r>
              <w:rPr>
                <w:rFonts w:hint="default" w:ascii="Times New Roman" w:hAnsi="Times New Roman" w:eastAsia="宋体" w:cs="Times New Roman"/>
                <w:b w:val="0"/>
                <w:bCs w:val="0"/>
                <w:color w:val="000000"/>
                <w:sz w:val="20"/>
                <w:szCs w:val="20"/>
              </w:rPr>
              <w:t>30</w:t>
            </w:r>
            <w:r>
              <w:rPr>
                <w:rFonts w:hint="eastAsia" w:ascii="宋体" w:hAnsi="宋体" w:eastAsia="宋体" w:cs="宋体"/>
                <w:b w:val="0"/>
                <w:bCs w:val="0"/>
                <w:color w:val="000000"/>
                <w:sz w:val="20"/>
                <w:szCs w:val="20"/>
              </w:rPr>
              <w:t xml:space="preserve">日内向登记机关申请变更登记。 </w:t>
            </w:r>
          </w:p>
          <w:p w14:paraId="745E18D4">
            <w:pPr>
              <w:keepNext w:val="0"/>
              <w:keepLines w:val="0"/>
              <w:pageBreakBefore w:val="0"/>
              <w:widowControl w:val="0"/>
              <w:numPr>
                <w:ilvl w:val="0"/>
                <w:numId w:val="0"/>
              </w:numPr>
              <w:kinsoku/>
              <w:wordWrap/>
              <w:overflowPunct/>
              <w:topLinePunct w:val="0"/>
              <w:autoSpaceDE w:val="0"/>
              <w:autoSpaceDN w:val="0"/>
              <w:bidi w:val="0"/>
              <w:adjustRightInd/>
              <w:snapToGrid/>
              <w:spacing w:before="41" w:after="0" w:line="240" w:lineRule="exact"/>
              <w:ind w:leftChars="0" w:right="0" w:rightChars="0"/>
              <w:jc w:val="left"/>
              <w:textAlignment w:val="auto"/>
              <w:rPr>
                <w:rFonts w:ascii="Times New Roman"/>
                <w:color w:val="000000"/>
                <w:spacing w:val="1"/>
                <w:sz w:val="21"/>
                <w:szCs w:val="22"/>
                <w:highlight w:val="none"/>
              </w:rPr>
            </w:pPr>
            <w:r>
              <w:rPr>
                <w:rFonts w:hint="default" w:ascii="Times New Roman" w:hAnsi="Times New Roman" w:eastAsia="宋体" w:cs="Times New Roman"/>
                <w:b w:val="0"/>
                <w:bCs w:val="0"/>
                <w:color w:val="000000"/>
                <w:sz w:val="20"/>
                <w:szCs w:val="20"/>
              </w:rPr>
              <w:t>3.</w:t>
            </w:r>
            <w:r>
              <w:rPr>
                <w:rFonts w:hint="eastAsia" w:ascii="宋体" w:hAnsi="宋体" w:eastAsia="宋体" w:cs="宋体"/>
                <w:b w:val="0"/>
                <w:bCs w:val="0"/>
                <w:color w:val="000000"/>
                <w:sz w:val="20"/>
                <w:szCs w:val="20"/>
              </w:rPr>
              <w:t>市场主体变更住所或者 主要经营场所跨登记机关辖区的，应当在迁入新的住所或者主要经营场所前，向迁入地登记机关申请变更登记。</w:t>
            </w:r>
          </w:p>
        </w:tc>
        <w:tc>
          <w:tcPr>
            <w:tcW w:w="1624" w:type="dxa"/>
            <w:noWrap w:val="0"/>
            <w:vAlign w:val="center"/>
          </w:tcPr>
          <w:p w14:paraId="15772E8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5C2B3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A300D7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5</w:t>
            </w:r>
          </w:p>
        </w:tc>
        <w:tc>
          <w:tcPr>
            <w:tcW w:w="1542" w:type="dxa"/>
            <w:noWrap w:val="0"/>
            <w:vAlign w:val="center"/>
          </w:tcPr>
          <w:p w14:paraId="1EB05932">
            <w:pPr>
              <w:widowControl w:val="0"/>
              <w:autoSpaceDE w:val="0"/>
              <w:autoSpaceDN w:val="0"/>
              <w:spacing w:before="0" w:after="0" w:line="221" w:lineRule="exact"/>
              <w:ind w:left="0" w:right="0" w:firstLine="0"/>
              <w:jc w:val="left"/>
              <w:rPr>
                <w:rFonts w:hint="eastAsia" w:asciiTheme="minorEastAsia" w:hAnsiTheme="minorEastAsia" w:eastAsiaTheme="minorEastAsia" w:cstheme="minorEastAsia"/>
                <w:b w:val="0"/>
                <w:bCs w:val="0"/>
                <w:snapToGrid w:val="0"/>
                <w:color w:val="auto"/>
                <w:kern w:val="0"/>
                <w:sz w:val="18"/>
                <w:szCs w:val="18"/>
                <w:vertAlign w:val="baseline"/>
                <w:lang w:val="en-US" w:eastAsia="zh-CN" w:bidi="ar-SA"/>
              </w:rPr>
            </w:pPr>
            <w:r>
              <w:rPr>
                <w:rFonts w:hint="eastAsia" w:ascii="宋体" w:hAnsi="宋体" w:eastAsia="宋体" w:cs="宋体"/>
                <w:b w:val="0"/>
                <w:bCs w:val="0"/>
                <w:color w:val="000000"/>
                <w:sz w:val="22"/>
                <w:szCs w:val="22"/>
              </w:rPr>
              <w:t>市场主体领 取营业执照 后方可从事 一般项目的 经营活动</w:t>
            </w:r>
          </w:p>
        </w:tc>
        <w:tc>
          <w:tcPr>
            <w:tcW w:w="2251" w:type="dxa"/>
            <w:noWrap w:val="0"/>
            <w:vAlign w:val="center"/>
          </w:tcPr>
          <w:p w14:paraId="180B28B0">
            <w:pPr>
              <w:widowControl w:val="0"/>
              <w:autoSpaceDE w:val="0"/>
              <w:autoSpaceDN w:val="0"/>
              <w:spacing w:before="0" w:after="0" w:line="221" w:lineRule="exact"/>
              <w:ind w:left="0" w:right="0" w:firstLine="0"/>
              <w:jc w:val="left"/>
              <w:rPr>
                <w:rFonts w:hint="eastAsia" w:ascii="宋体" w:hAnsi="宋体" w:eastAsia="宋体" w:cs="宋体"/>
                <w:b w:val="0"/>
                <w:bCs w:val="0"/>
                <w:color w:val="000000"/>
                <w:sz w:val="20"/>
                <w:szCs w:val="20"/>
              </w:rPr>
            </w:pPr>
            <w:r>
              <w:rPr>
                <w:rFonts w:hint="eastAsia"/>
                <w:sz w:val="20"/>
                <w:szCs w:val="20"/>
                <w:highlight w:val="none"/>
                <w:lang w:val="en-US" w:eastAsia="zh-CN"/>
              </w:rPr>
              <w:t>市场主体在未领取营业执照的情况下从事一般项目的经营活动。</w:t>
            </w:r>
          </w:p>
        </w:tc>
        <w:tc>
          <w:tcPr>
            <w:tcW w:w="3640" w:type="dxa"/>
            <w:noWrap w:val="0"/>
            <w:vAlign w:val="top"/>
          </w:tcPr>
          <w:p w14:paraId="34D39983">
            <w:pPr>
              <w:widowControl w:val="0"/>
              <w:numPr>
                <w:ilvl w:val="0"/>
                <w:numId w:val="0"/>
              </w:numPr>
              <w:autoSpaceDE w:val="0"/>
              <w:autoSpaceDN w:val="0"/>
              <w:spacing w:before="0" w:after="0" w:line="221" w:lineRule="exact"/>
              <w:ind w:leftChars="0" w:right="0" w:rightChars="0"/>
              <w:jc w:val="left"/>
              <w:rPr>
                <w:rFonts w:hint="eastAsia"/>
                <w:sz w:val="20"/>
                <w:szCs w:val="20"/>
                <w:highlight w:val="none"/>
                <w:lang w:val="en-US" w:eastAsia="zh-CN"/>
              </w:rPr>
            </w:pPr>
            <w:r>
              <w:rPr>
                <w:rFonts w:hint="eastAsia"/>
                <w:sz w:val="20"/>
                <w:szCs w:val="20"/>
                <w:highlight w:val="none"/>
                <w:lang w:val="en-US" w:eastAsia="zh-CN"/>
              </w:rPr>
              <w:t xml:space="preserve">《中华人民共和国市场主体登记管理条例》 </w:t>
            </w:r>
          </w:p>
          <w:p w14:paraId="58A92B3A">
            <w:pPr>
              <w:widowControl w:val="0"/>
              <w:numPr>
                <w:ilvl w:val="0"/>
                <w:numId w:val="0"/>
              </w:numPr>
              <w:autoSpaceDE w:val="0"/>
              <w:autoSpaceDN w:val="0"/>
              <w:spacing w:before="0" w:after="0" w:line="221" w:lineRule="exact"/>
              <w:ind w:leftChars="0" w:right="0" w:rightChars="0"/>
              <w:jc w:val="left"/>
              <w:rPr>
                <w:rFonts w:hint="eastAsia"/>
                <w:sz w:val="20"/>
                <w:szCs w:val="20"/>
                <w:highlight w:val="none"/>
                <w:lang w:val="en-US" w:eastAsia="zh-CN"/>
              </w:rPr>
            </w:pPr>
            <w:r>
              <w:rPr>
                <w:rFonts w:hint="eastAsia"/>
                <w:sz w:val="20"/>
                <w:szCs w:val="20"/>
                <w:highlight w:val="none"/>
                <w:lang w:val="en-US" w:eastAsia="zh-CN"/>
              </w:rPr>
              <w:t>第二条 本条例所称市场主体，是指在中华人民共和国境内以营利为目的从事经营活动的下列自然人、法人及非法人组织：（一）公司、非公司企业法人及其分支机构；（二）个人独资企业、合伙企业及其分支机构； （三）农民专业合作社（联合社）及其分支机构；（四）个体工商户；（五）外国公司分支机构；（六）法律、行政法规规定的其他市场主体。</w:t>
            </w:r>
          </w:p>
          <w:p w14:paraId="44B1B6A9">
            <w:pPr>
              <w:widowControl w:val="0"/>
              <w:numPr>
                <w:ilvl w:val="0"/>
                <w:numId w:val="0"/>
              </w:numPr>
              <w:autoSpaceDE w:val="0"/>
              <w:autoSpaceDN w:val="0"/>
              <w:spacing w:before="0" w:after="0" w:line="221" w:lineRule="exact"/>
              <w:ind w:leftChars="0" w:right="0" w:rightChars="0"/>
              <w:jc w:val="left"/>
              <w:rPr>
                <w:rFonts w:hint="eastAsia"/>
                <w:sz w:val="20"/>
                <w:szCs w:val="20"/>
                <w:highlight w:val="none"/>
              </w:rPr>
            </w:pPr>
            <w:r>
              <w:rPr>
                <w:rFonts w:hint="eastAsia"/>
                <w:sz w:val="20"/>
                <w:szCs w:val="20"/>
                <w:highlight w:val="none"/>
              </w:rPr>
              <w:t>第三条</w:t>
            </w:r>
            <w:r>
              <w:rPr>
                <w:rFonts w:hint="default"/>
                <w:sz w:val="20"/>
                <w:szCs w:val="20"/>
                <w:highlight w:val="none"/>
              </w:rPr>
              <w:t xml:space="preserve"> </w:t>
            </w:r>
            <w:r>
              <w:rPr>
                <w:rFonts w:hint="eastAsia"/>
                <w:sz w:val="20"/>
                <w:szCs w:val="20"/>
                <w:highlight w:val="none"/>
              </w:rPr>
              <w:t>市场主体应当依照本条例办理登记。未经登记，不得以市场主体名义从事经营活动。法律、行政法规规定无需办理登记的除外。 市场主体登记包括设立登记、变更登记和注销登记。</w:t>
            </w:r>
          </w:p>
          <w:p w14:paraId="1E43A2E1">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第四十三条</w:t>
            </w:r>
            <w:r>
              <w:rPr>
                <w:rFonts w:hint="default" w:ascii="BMHBIL+SimSun" w:hAnsi="BMHBIL+SimSun" w:cs="BMHBIL+SimSun"/>
                <w:color w:val="000000"/>
                <w:spacing w:val="1"/>
                <w:sz w:val="20"/>
                <w:szCs w:val="20"/>
                <w:highlight w:val="none"/>
              </w:rPr>
              <w:t xml:space="preserve"> </w:t>
            </w:r>
            <w:r>
              <w:rPr>
                <w:rFonts w:hint="eastAsia" w:ascii="BMHBIL+SimSun" w:hAnsi="BMHBIL+SimSun" w:cs="BMHBIL+SimSun"/>
                <w:color w:val="000000"/>
                <w:spacing w:val="1"/>
                <w:sz w:val="20"/>
                <w:szCs w:val="20"/>
                <w:highlight w:val="none"/>
              </w:rPr>
              <w:t>未经设立登记从事经营活动的，由登记机关责令改正，没收违法所得；拒不改正的，处</w:t>
            </w:r>
            <w:r>
              <w:rPr>
                <w:rFonts w:hint="default" w:ascii="BMHBIL+SimSun" w:hAnsi="BMHBIL+SimSun" w:cs="BMHBIL+SimSun"/>
                <w:color w:val="000000"/>
                <w:spacing w:val="1"/>
                <w:sz w:val="20"/>
                <w:szCs w:val="20"/>
                <w:highlight w:val="none"/>
              </w:rPr>
              <w:t>1</w:t>
            </w:r>
            <w:r>
              <w:rPr>
                <w:rFonts w:hint="eastAsia" w:ascii="BMHBIL+SimSun" w:hAnsi="BMHBIL+SimSun" w:cs="BMHBIL+SimSun"/>
                <w:color w:val="000000"/>
                <w:spacing w:val="1"/>
                <w:sz w:val="20"/>
                <w:szCs w:val="20"/>
                <w:highlight w:val="none"/>
              </w:rPr>
              <w:t>万元以上</w:t>
            </w:r>
            <w:r>
              <w:rPr>
                <w:rFonts w:hint="default" w:ascii="BMHBIL+SimSun" w:hAnsi="BMHBIL+SimSun" w:cs="BMHBIL+SimSun"/>
                <w:color w:val="000000"/>
                <w:spacing w:val="1"/>
                <w:sz w:val="20"/>
                <w:szCs w:val="20"/>
                <w:highlight w:val="none"/>
              </w:rPr>
              <w:t>10</w:t>
            </w:r>
            <w:r>
              <w:rPr>
                <w:rFonts w:hint="eastAsia" w:ascii="BMHBIL+SimSun" w:hAnsi="BMHBIL+SimSun" w:cs="BMHBIL+SimSun"/>
                <w:color w:val="000000"/>
                <w:spacing w:val="1"/>
                <w:sz w:val="20"/>
                <w:szCs w:val="20"/>
                <w:highlight w:val="none"/>
              </w:rPr>
              <w:t>万元以下的罚款</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情节严重的，依法责令关闭停业，并处</w:t>
            </w:r>
            <w:r>
              <w:rPr>
                <w:rFonts w:hint="default" w:ascii="BMHBIL+SimSun" w:hAnsi="BMHBIL+SimSun" w:cs="BMHBIL+SimSun"/>
                <w:color w:val="000000"/>
                <w:spacing w:val="1"/>
                <w:sz w:val="20"/>
                <w:szCs w:val="20"/>
                <w:highlight w:val="none"/>
              </w:rPr>
              <w:t>10</w:t>
            </w:r>
            <w:r>
              <w:rPr>
                <w:rFonts w:hint="eastAsia" w:ascii="BMHBIL+SimSun" w:hAnsi="BMHBIL+SimSun" w:cs="BMHBIL+SimSun"/>
                <w:color w:val="000000"/>
                <w:spacing w:val="1"/>
                <w:sz w:val="20"/>
                <w:szCs w:val="20"/>
                <w:highlight w:val="none"/>
              </w:rPr>
              <w:t>万元以上</w:t>
            </w:r>
            <w:r>
              <w:rPr>
                <w:rFonts w:hint="default" w:ascii="BMHBIL+SimSun" w:hAnsi="BMHBIL+SimSun" w:cs="BMHBIL+SimSun"/>
                <w:color w:val="000000"/>
                <w:spacing w:val="1"/>
                <w:sz w:val="20"/>
                <w:szCs w:val="20"/>
                <w:highlight w:val="none"/>
              </w:rPr>
              <w:t>50</w:t>
            </w:r>
            <w:r>
              <w:rPr>
                <w:rFonts w:hint="eastAsia" w:ascii="BMHBIL+SimSun" w:hAnsi="BMHBIL+SimSun" w:cs="BMHBIL+SimSun"/>
                <w:color w:val="000000"/>
                <w:spacing w:val="1"/>
                <w:sz w:val="20"/>
                <w:szCs w:val="20"/>
                <w:highlight w:val="none"/>
              </w:rPr>
              <w:t>万元以下的罚款。</w:t>
            </w:r>
          </w:p>
          <w:p w14:paraId="5E8B12BC">
            <w:pPr>
              <w:widowControl w:val="0"/>
              <w:autoSpaceDE w:val="0"/>
              <w:autoSpaceDN w:val="0"/>
              <w:spacing w:before="0" w:after="0" w:line="221" w:lineRule="exact"/>
              <w:ind w:left="0" w:right="0" w:firstLine="0"/>
              <w:jc w:val="left"/>
              <w:rPr>
                <w:rFonts w:ascii="BMHBIL+SimSun" w:hAnsi="BMHBIL+SimSun" w:cs="BMHBIL+SimSun"/>
                <w:color w:val="000000"/>
                <w:spacing w:val="1"/>
                <w:sz w:val="20"/>
                <w:szCs w:val="20"/>
                <w:highlight w:val="none"/>
              </w:rPr>
            </w:pPr>
            <w:r>
              <w:rPr>
                <w:rFonts w:ascii="BMHBIL+SimSun" w:hAnsi="BMHBIL+SimSun" w:cs="BMHBIL+SimSun"/>
                <w:color w:val="000000"/>
                <w:spacing w:val="1"/>
                <w:sz w:val="20"/>
                <w:szCs w:val="20"/>
                <w:highlight w:val="none"/>
              </w:rPr>
              <w:t>《中华人民共和国公司法》</w:t>
            </w:r>
          </w:p>
          <w:p w14:paraId="60258380">
            <w:pPr>
              <w:widowControl w:val="0"/>
              <w:autoSpaceDE w:val="0"/>
              <w:autoSpaceDN w:val="0"/>
              <w:spacing w:before="0" w:after="0" w:line="221" w:lineRule="exact"/>
              <w:ind w:left="0" w:right="0" w:firstLine="0"/>
              <w:jc w:val="left"/>
              <w:rPr>
                <w:rFonts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第二百五十九条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14:paraId="7064F55A">
            <w:pPr>
              <w:widowControl w:val="0"/>
              <w:autoSpaceDE w:val="0"/>
              <w:autoSpaceDN w:val="0"/>
              <w:spacing w:before="0" w:after="0" w:line="221" w:lineRule="exact"/>
              <w:ind w:left="0" w:right="0" w:firstLine="0"/>
              <w:jc w:val="left"/>
              <w:rPr>
                <w:rFonts w:ascii="BMHBIL+SimSun" w:hAnsi="BMHBIL+SimSun" w:cs="BMHBIL+SimSun"/>
                <w:color w:val="000000"/>
                <w:spacing w:val="1"/>
                <w:sz w:val="20"/>
                <w:szCs w:val="20"/>
                <w:highlight w:val="none"/>
              </w:rPr>
            </w:pPr>
            <w:r>
              <w:rPr>
                <w:rFonts w:ascii="BMHBIL+SimSun" w:hAnsi="BMHBIL+SimSun" w:cs="BMHBIL+SimSun"/>
                <w:color w:val="000000"/>
                <w:spacing w:val="1"/>
                <w:sz w:val="20"/>
                <w:szCs w:val="20"/>
                <w:highlight w:val="none"/>
              </w:rPr>
              <w:t>《中华人民共和国个人独资企业法》</w:t>
            </w:r>
          </w:p>
          <w:p w14:paraId="7CF4690E">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第三十七条第一款 违反本法规定，未领取营业执照，以个人独资企业名义从事经营活动的，责令停止经营活动，处以三千元以下的罚款。</w:t>
            </w:r>
          </w:p>
          <w:p w14:paraId="2CADCB4F">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《中华人民共和国合伙企业法》</w:t>
            </w:r>
          </w:p>
          <w:p w14:paraId="766FD0BF">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第九十五条第一款 违反本法规定，未领取营业执照，而以合伙企业或者合伙企业分支机构名义从事合伙业务的，由企业登记机关责令停止，处以五千元以上五万元以下的罚款。</w:t>
            </w:r>
          </w:p>
          <w:p w14:paraId="084AAE0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《中华人民共和国市场主体登记管理条例实施细则》</w:t>
            </w:r>
          </w:p>
          <w:p w14:paraId="5EC3AE8F">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第六十八条 未经设立登记从事一般经营活动的，由登记机关责令改正，没收违法所得；拒不改正的，处1万元以上10万元以下的罚款；情节严重的，依法责令关闭停业，并处10万元以上50万元以下的罚款。</w:t>
            </w:r>
          </w:p>
          <w:p w14:paraId="64FD65A2">
            <w:pPr>
              <w:widowControl w:val="0"/>
              <w:autoSpaceDE w:val="0"/>
              <w:autoSpaceDN w:val="0"/>
              <w:spacing w:before="0" w:after="0" w:line="221" w:lineRule="exact"/>
              <w:ind w:left="0" w:right="0" w:firstLine="0"/>
              <w:jc w:val="left"/>
              <w:rPr>
                <w:rFonts w:hint="default" w:ascii="宋体" w:hAnsi="宋体" w:eastAsia="宋体" w:cs="宋体"/>
                <w:b w:val="0"/>
                <w:bCs w:val="0"/>
                <w:color w:val="000000"/>
                <w:sz w:val="22"/>
                <w:szCs w:val="22"/>
              </w:rPr>
            </w:pPr>
            <w:r>
              <w:rPr>
                <w:rFonts w:hint="eastAsia" w:ascii="BMHBIL+SimSun" w:hAnsi="BMHBIL+SimSun" w:cs="BMHBIL+SimSun"/>
                <w:color w:val="000000"/>
                <w:spacing w:val="1"/>
                <w:sz w:val="20"/>
                <w:szCs w:val="20"/>
                <w:highlight w:val="none"/>
              </w:rPr>
              <w:t>第七十七条 违反本实施细则规定，登记机关确定罚款幅度时，应当综合考虑市场主体的类型、规模、违法情节等因素。情节轻微并及时改正，没有造成危害后果的，依法不予行政处罚。初次违法且危害后果轻微并及时改正的，可以不予行政处罚。当事人有证据足以证明没有主观过错的，不予行政处罚。</w:t>
            </w:r>
          </w:p>
        </w:tc>
        <w:tc>
          <w:tcPr>
            <w:tcW w:w="1140" w:type="dxa"/>
            <w:noWrap w:val="0"/>
            <w:vAlign w:val="center"/>
          </w:tcPr>
          <w:p w14:paraId="3EB1C4B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31AC3AEE">
            <w:pPr>
              <w:widowControl w:val="0"/>
              <w:numPr>
                <w:ilvl w:val="0"/>
                <w:numId w:val="0"/>
              </w:numPr>
              <w:autoSpaceDE w:val="0"/>
              <w:autoSpaceDN w:val="0"/>
              <w:spacing w:before="0" w:after="0" w:line="221" w:lineRule="exact"/>
              <w:ind w:leftChars="0" w:right="0" w:rightChars="0"/>
              <w:jc w:val="left"/>
              <w:rPr>
                <w:rFonts w:hint="eastAsia"/>
                <w:sz w:val="20"/>
                <w:szCs w:val="20"/>
                <w:highlight w:val="none"/>
                <w:lang w:val="en-US" w:eastAsia="zh-CN"/>
              </w:rPr>
            </w:pPr>
            <w:r>
              <w:rPr>
                <w:rFonts w:hint="eastAsia"/>
                <w:sz w:val="20"/>
                <w:szCs w:val="20"/>
                <w:highlight w:val="none"/>
                <w:lang w:val="en-US" w:eastAsia="zh-CN"/>
              </w:rPr>
              <w:t>市场主体从事经营活动前，应主动向登记机关办理设立登记。未经登记，不得以市场主体名义从事经营活动。法律、行政法规规定无需办理登记的除外。</w:t>
            </w:r>
          </w:p>
          <w:p w14:paraId="4D0586C7">
            <w:pPr>
              <w:widowControl w:val="0"/>
              <w:autoSpaceDE w:val="0"/>
              <w:autoSpaceDN w:val="0"/>
              <w:spacing w:before="0" w:after="0" w:line="221" w:lineRule="exact"/>
              <w:ind w:left="0" w:right="0" w:firstLine="0"/>
              <w:jc w:val="left"/>
              <w:rPr>
                <w:rFonts w:ascii="Times New Roman"/>
                <w:color w:val="000000"/>
                <w:spacing w:val="1"/>
                <w:sz w:val="21"/>
                <w:szCs w:val="22"/>
                <w:highlight w:val="none"/>
              </w:rPr>
            </w:pPr>
          </w:p>
        </w:tc>
        <w:tc>
          <w:tcPr>
            <w:tcW w:w="1624" w:type="dxa"/>
            <w:noWrap w:val="0"/>
            <w:vAlign w:val="center"/>
          </w:tcPr>
          <w:p w14:paraId="3E1AAFB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39920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D2946C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6</w:t>
            </w:r>
          </w:p>
        </w:tc>
        <w:tc>
          <w:tcPr>
            <w:tcW w:w="1542" w:type="dxa"/>
            <w:noWrap w:val="0"/>
            <w:vAlign w:val="center"/>
          </w:tcPr>
          <w:p w14:paraId="4066C56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领取营业执照后正常开展生产经营活动</w:t>
            </w:r>
          </w:p>
          <w:p w14:paraId="1327242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p>
        </w:tc>
        <w:tc>
          <w:tcPr>
            <w:tcW w:w="2251" w:type="dxa"/>
            <w:noWrap w:val="0"/>
            <w:vAlign w:val="center"/>
          </w:tcPr>
          <w:p w14:paraId="2995E16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left"/>
              <w:textAlignment w:val="auto"/>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 xml:space="preserve">1.公司、个人独资企业领取 营业执照后无 正当理由超过六个月未开业 。 </w:t>
            </w:r>
          </w:p>
          <w:p w14:paraId="227EE97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left"/>
              <w:textAlignment w:val="auto"/>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2.公司、个人独资企业开业 后自行停业连续六个月以上。</w:t>
            </w:r>
          </w:p>
          <w:p w14:paraId="66666AC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Chars="0"/>
              <w:jc w:val="left"/>
              <w:textAlignment w:val="auto"/>
              <w:rPr>
                <w:rFonts w:hint="eastAsia" w:ascii="宋体" w:hAnsi="宋体" w:eastAsia="宋体" w:cs="宋体"/>
                <w:b w:val="0"/>
                <w:bCs w:val="0"/>
                <w:color w:val="000000"/>
                <w:sz w:val="20"/>
                <w:szCs w:val="20"/>
              </w:rPr>
            </w:pPr>
            <w:r>
              <w:rPr>
                <w:rFonts w:hint="default" w:ascii="BMHBIL+SimSun" w:hAnsi="BMHBIL+SimSun" w:cs="BMHBIL+SimSun" w:eastAsiaTheme="minorEastAsia"/>
                <w:color w:val="000000"/>
                <w:spacing w:val="1"/>
                <w:kern w:val="2"/>
                <w:sz w:val="20"/>
                <w:szCs w:val="20"/>
                <w:highlight w:val="none"/>
                <w:lang w:val="en-US" w:eastAsia="zh-CN" w:bidi="ar-SA"/>
              </w:rPr>
              <w:t xml:space="preserve">3. </w:t>
            </w:r>
            <w:r>
              <w:rPr>
                <w:rFonts w:hint="eastAsia" w:ascii="BMHBIL+SimSun" w:hAnsi="BMHBIL+SimSun" w:cs="BMHBIL+SimSun" w:eastAsiaTheme="minorEastAsia"/>
                <w:color w:val="000000"/>
                <w:spacing w:val="1"/>
                <w:kern w:val="2"/>
                <w:sz w:val="20"/>
                <w:szCs w:val="20"/>
                <w:highlight w:val="none"/>
                <w:lang w:val="en-US" w:eastAsia="zh-CN" w:bidi="ar-SA"/>
              </w:rPr>
              <w:t>农民专业合作社连续两年未从事经营活 动。</w:t>
            </w:r>
          </w:p>
        </w:tc>
        <w:tc>
          <w:tcPr>
            <w:tcW w:w="3640" w:type="dxa"/>
            <w:noWrap w:val="0"/>
            <w:vAlign w:val="center"/>
          </w:tcPr>
          <w:p w14:paraId="75B9B52B">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《中华人民共和国公司法》</w:t>
            </w:r>
          </w:p>
          <w:p w14:paraId="6B171FED">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第二百一十一条第一款</w:t>
            </w:r>
            <w:r>
              <w:rPr>
                <w:rFonts w:hint="default" w:ascii="BMHBIL+SimSun" w:hAnsi="BMHBIL+SimSun" w:cs="BMHBIL+SimSun"/>
                <w:color w:val="000000"/>
                <w:spacing w:val="1"/>
                <w:sz w:val="20"/>
                <w:szCs w:val="20"/>
                <w:highlight w:val="none"/>
              </w:rPr>
              <w:t xml:space="preserve"> </w:t>
            </w:r>
            <w:r>
              <w:rPr>
                <w:rFonts w:hint="eastAsia" w:ascii="BMHBIL+SimSun" w:hAnsi="BMHBIL+SimSun" w:cs="BMHBIL+SimSun"/>
                <w:color w:val="000000"/>
                <w:spacing w:val="1"/>
                <w:sz w:val="20"/>
                <w:szCs w:val="20"/>
                <w:highlight w:val="none"/>
              </w:rPr>
              <w:t>公司成立后无正当理由超过六个月未开业的，或者开业后自行停业连续六个月以上的，可以由公司登记机关吊销营业执照。</w:t>
            </w:r>
          </w:p>
          <w:p w14:paraId="574FBBE1">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《中华人民共和国个人独资企业法》 第三十六条</w:t>
            </w:r>
            <w:r>
              <w:rPr>
                <w:rFonts w:hint="default" w:ascii="BMHBIL+SimSun" w:hAnsi="BMHBIL+SimSun" w:cs="BMHBIL+SimSun"/>
                <w:color w:val="000000"/>
                <w:spacing w:val="1"/>
                <w:sz w:val="20"/>
                <w:szCs w:val="20"/>
                <w:highlight w:val="none"/>
              </w:rPr>
              <w:t xml:space="preserve"> </w:t>
            </w:r>
            <w:r>
              <w:rPr>
                <w:rFonts w:hint="eastAsia" w:ascii="BMHBIL+SimSun" w:hAnsi="BMHBIL+SimSun" w:cs="BMHBIL+SimSun"/>
                <w:color w:val="000000"/>
                <w:spacing w:val="1"/>
                <w:sz w:val="20"/>
                <w:szCs w:val="20"/>
                <w:highlight w:val="none"/>
              </w:rPr>
              <w:t>个人独资企业成立后无正当理由超过六个月未开业的，或者开业后自行停业连续六个月以上的，吊销营业执照 。</w:t>
            </w:r>
          </w:p>
          <w:p w14:paraId="5F6B54E1">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《中华人民共和国农民专业合作社法》</w:t>
            </w:r>
          </w:p>
          <w:p w14:paraId="555A5CBE">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18"/>
                <w:szCs w:val="18"/>
                <w:lang w:eastAsia="zh-CN"/>
              </w:rPr>
            </w:pPr>
            <w:r>
              <w:rPr>
                <w:rFonts w:hint="eastAsia" w:ascii="BMHBIL+SimSun" w:hAnsi="BMHBIL+SimSun" w:cs="BMHBIL+SimSun"/>
                <w:color w:val="000000"/>
                <w:spacing w:val="1"/>
                <w:sz w:val="20"/>
                <w:szCs w:val="20"/>
                <w:highlight w:val="none"/>
              </w:rPr>
              <w:t>第七十一条</w:t>
            </w:r>
            <w:r>
              <w:rPr>
                <w:rFonts w:hint="default" w:ascii="BMHBIL+SimSun" w:hAnsi="BMHBIL+SimSun" w:cs="BMHBIL+SimSun"/>
                <w:color w:val="000000"/>
                <w:spacing w:val="1"/>
                <w:sz w:val="20"/>
                <w:szCs w:val="20"/>
                <w:highlight w:val="none"/>
              </w:rPr>
              <w:t xml:space="preserve"> </w:t>
            </w:r>
            <w:r>
              <w:rPr>
                <w:rFonts w:hint="eastAsia" w:ascii="BMHBIL+SimSun" w:hAnsi="BMHBIL+SimSun" w:cs="BMHBIL+SimSun"/>
                <w:color w:val="000000"/>
                <w:spacing w:val="1"/>
                <w:sz w:val="20"/>
                <w:szCs w:val="20"/>
                <w:highlight w:val="none"/>
              </w:rPr>
              <w:t>农民专业合作社连续两年未从事经营活动的，吊销其营业执照。</w:t>
            </w:r>
          </w:p>
        </w:tc>
        <w:tc>
          <w:tcPr>
            <w:tcW w:w="1140" w:type="dxa"/>
            <w:noWrap w:val="0"/>
            <w:vAlign w:val="center"/>
          </w:tcPr>
          <w:p w14:paraId="47BA4A4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2A2BC1DE">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1.市场主体领取营业执照后应正常开展生产经营活动，按规定报送上一年度年度报告，并向社会公示。</w:t>
            </w:r>
          </w:p>
          <w:p w14:paraId="536D77F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lang w:val="en-US" w:eastAsia="zh-CN"/>
              </w:rPr>
              <w:t>2.</w:t>
            </w:r>
            <w:r>
              <w:rPr>
                <w:rFonts w:hint="eastAsia" w:ascii="BMHBIL+SimSun" w:hAnsi="BMHBIL+SimSun" w:cs="BMHBIL+SimSun"/>
                <w:color w:val="000000"/>
                <w:spacing w:val="1"/>
                <w:sz w:val="20"/>
                <w:szCs w:val="20"/>
                <w:highlight w:val="none"/>
              </w:rPr>
              <w:t>市场主体终止经营的，应向登记机关申请办理注销登记；注销依法须经批准的，应当经批准后向登记机关申请注销登记。</w:t>
            </w:r>
          </w:p>
          <w:p w14:paraId="739251F4">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3.市场主体决定歇业的，应在歇业前向登记机关办理备案，歇业期限最长不得超过3年，歇业期间需正常进行年报。</w:t>
            </w:r>
          </w:p>
          <w:p w14:paraId="50152A52">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4.市场主体办理歇业备案后，自主决定开展或者已实际开展经营活动的，应当于30日内在国家企业信用信息公示系统上公示终止歇业。</w:t>
            </w:r>
          </w:p>
          <w:p w14:paraId="15391637">
            <w:pPr>
              <w:widowControl w:val="0"/>
              <w:autoSpaceDE w:val="0"/>
              <w:autoSpaceDN w:val="0"/>
              <w:spacing w:before="0" w:after="0" w:line="221" w:lineRule="exact"/>
              <w:ind w:left="0" w:right="0" w:firstLine="0"/>
              <w:jc w:val="left"/>
              <w:rPr>
                <w:rFonts w:ascii="BMHBIL+SimSun" w:hAnsi="BMHBIL+SimSun" w:cs="BMHBIL+SimSun"/>
                <w:color w:val="000000"/>
                <w:spacing w:val="1"/>
                <w:sz w:val="22"/>
              </w:rPr>
            </w:pPr>
          </w:p>
          <w:p w14:paraId="059D1E59">
            <w:pPr>
              <w:widowControl w:val="0"/>
              <w:numPr>
                <w:ilvl w:val="0"/>
                <w:numId w:val="0"/>
              </w:numPr>
              <w:autoSpaceDE w:val="0"/>
              <w:autoSpaceDN w:val="0"/>
              <w:spacing w:before="0" w:after="0" w:line="245" w:lineRule="exact"/>
              <w:ind w:leftChars="0" w:right="0" w:rightChars="0"/>
              <w:jc w:val="left"/>
              <w:rPr>
                <w:rFonts w:ascii="BMHBIL+SimSun" w:hAnsi="BMHBIL+SimSun" w:cs="BMHBIL+SimSun"/>
                <w:color w:val="000000"/>
                <w:spacing w:val="1"/>
                <w:sz w:val="22"/>
              </w:rPr>
            </w:pPr>
          </w:p>
          <w:p w14:paraId="6CD422F9">
            <w:pPr>
              <w:widowControl w:val="0"/>
              <w:autoSpaceDE w:val="0"/>
              <w:autoSpaceDN w:val="0"/>
              <w:spacing w:before="48" w:after="0" w:line="221" w:lineRule="exact"/>
              <w:ind w:left="0" w:right="0" w:firstLine="0"/>
              <w:jc w:val="left"/>
              <w:rPr>
                <w:rFonts w:ascii="BMHBIL+SimSun" w:hAnsi="BMHBIL+SimSun" w:cs="BMHBIL+SimSun"/>
                <w:color w:val="000000"/>
                <w:spacing w:val="0"/>
                <w:sz w:val="22"/>
              </w:rPr>
            </w:pPr>
          </w:p>
          <w:p w14:paraId="08E07BA9">
            <w:pPr>
              <w:widowControl w:val="0"/>
              <w:autoSpaceDE w:val="0"/>
              <w:autoSpaceDN w:val="0"/>
              <w:spacing w:before="41" w:after="0" w:line="245" w:lineRule="exact"/>
              <w:ind w:left="0" w:right="0" w:firstLine="0"/>
              <w:jc w:val="left"/>
              <w:rPr>
                <w:rFonts w:ascii="Times New Roman"/>
                <w:color w:val="000000"/>
                <w:spacing w:val="1"/>
                <w:sz w:val="21"/>
                <w:szCs w:val="22"/>
                <w:highlight w:val="none"/>
              </w:rPr>
            </w:pPr>
          </w:p>
        </w:tc>
        <w:tc>
          <w:tcPr>
            <w:tcW w:w="1624" w:type="dxa"/>
            <w:noWrap w:val="0"/>
            <w:vAlign w:val="center"/>
          </w:tcPr>
          <w:p w14:paraId="6F4B2E7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3807B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346CCB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7</w:t>
            </w:r>
          </w:p>
        </w:tc>
        <w:tc>
          <w:tcPr>
            <w:tcW w:w="1542" w:type="dxa"/>
            <w:noWrap w:val="0"/>
            <w:vAlign w:val="center"/>
          </w:tcPr>
          <w:p w14:paraId="430478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宋体" w:hAnsi="宋体" w:eastAsia="宋体" w:cs="宋体"/>
                <w:b w:val="0"/>
                <w:bCs w:val="0"/>
                <w:color w:val="000000"/>
                <w:sz w:val="22"/>
                <w:szCs w:val="22"/>
              </w:rPr>
              <w:t>未按规定办 理登记事项 变更</w:t>
            </w:r>
          </w:p>
        </w:tc>
        <w:tc>
          <w:tcPr>
            <w:tcW w:w="2251" w:type="dxa"/>
            <w:noWrap w:val="0"/>
            <w:vAlign w:val="center"/>
          </w:tcPr>
          <w:p w14:paraId="60745E7D">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lang w:val="en-US" w:eastAsia="zh-CN"/>
              </w:rPr>
              <w:t>1.</w:t>
            </w:r>
            <w:r>
              <w:rPr>
                <w:rFonts w:hint="eastAsia" w:ascii="BMHBIL+SimSun" w:hAnsi="BMHBIL+SimSun" w:cs="BMHBIL+SimSun"/>
                <w:color w:val="000000"/>
                <w:spacing w:val="1"/>
                <w:sz w:val="20"/>
                <w:szCs w:val="20"/>
                <w:highlight w:val="none"/>
              </w:rPr>
              <w:t>公司的名称</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类型、经营范围、住所、注册资本、法定代表人姓名、有限责任公司股东或者股份有限公司发起人姓名或者名称发生变动却未办理变更登记。</w:t>
            </w:r>
          </w:p>
          <w:p w14:paraId="5299397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lang w:val="en-US" w:eastAsia="zh-CN"/>
              </w:rPr>
              <w:t>2.</w:t>
            </w:r>
            <w:r>
              <w:rPr>
                <w:rFonts w:hint="eastAsia" w:ascii="BMHBIL+SimSun" w:hAnsi="BMHBIL+SimSun" w:cs="BMHBIL+SimSun"/>
                <w:color w:val="000000"/>
                <w:spacing w:val="1"/>
                <w:sz w:val="20"/>
                <w:szCs w:val="20"/>
                <w:highlight w:val="none"/>
              </w:rPr>
              <w:t>非公司企业法人</w:t>
            </w:r>
            <w:r>
              <w:rPr>
                <w:rFonts w:hint="eastAsia" w:ascii="BMHBIL+SimSun" w:hAnsi="BMHBIL+SimSun" w:cs="BMHBIL+SimSun"/>
                <w:color w:val="000000"/>
                <w:spacing w:val="1"/>
                <w:sz w:val="20"/>
                <w:szCs w:val="20"/>
                <w:highlight w:val="none"/>
                <w:lang w:eastAsia="zh-CN"/>
              </w:rPr>
              <w:t>的</w:t>
            </w:r>
            <w:r>
              <w:rPr>
                <w:rFonts w:hint="eastAsia" w:ascii="BMHBIL+SimSun" w:hAnsi="BMHBIL+SimSun" w:cs="BMHBIL+SimSun"/>
                <w:color w:val="000000"/>
                <w:spacing w:val="1"/>
                <w:sz w:val="20"/>
                <w:szCs w:val="20"/>
                <w:highlight w:val="none"/>
              </w:rPr>
              <w:t>名称、类型、经营范 围、住所、出资额、法定代表人姓名、出 资人（主管部门）名称发生变动却未办理变更登记。</w:t>
            </w:r>
          </w:p>
          <w:p w14:paraId="3F247EE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3.个人独资企业：名称、类型、经营范围、住所、出资额、投资人姓名及居所方式发生变动却未办理变更登记。</w:t>
            </w:r>
          </w:p>
          <w:p w14:paraId="1FC73203">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4.合伙企业的名称、类型、经营范围、主要经营场所、出资额、执行事务合伙人名称或者姓名，合伙人名称或者姓名、住所、承担责任方式发生变动却未办理变更登记。执行事务合伙人是法人或者其他组织</w:t>
            </w:r>
          </w:p>
          <w:p w14:paraId="74DFD76F">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的，登记事项还应当包括其委派的代表姓名。</w:t>
            </w:r>
          </w:p>
          <w:p w14:paraId="525BAC00">
            <w:pPr>
              <w:widowControl w:val="0"/>
              <w:autoSpaceDE w:val="0"/>
              <w:autoSpaceDN w:val="0"/>
              <w:spacing w:before="0" w:after="0" w:line="221" w:lineRule="exact"/>
              <w:ind w:left="0" w:right="0" w:firstLine="0"/>
              <w:jc w:val="left"/>
              <w:rPr>
                <w:rFonts w:hint="eastAsia" w:ascii="BMHBIL+SimSun" w:hAnsi="BMHBIL+SimSun" w:cs="BMHBIL+SimSun" w:eastAsiaTheme="minorEastAsia"/>
                <w:color w:val="000000"/>
                <w:spacing w:val="1"/>
                <w:sz w:val="20"/>
                <w:szCs w:val="20"/>
                <w:highlight w:val="none"/>
                <w:lang w:eastAsia="zh-CN"/>
              </w:rPr>
            </w:pPr>
            <w:r>
              <w:rPr>
                <w:rFonts w:hint="default" w:ascii="BMHBIL+SimSun" w:hAnsi="BMHBIL+SimSun" w:cs="BMHBIL+SimSun"/>
                <w:color w:val="000000"/>
                <w:spacing w:val="1"/>
                <w:sz w:val="20"/>
                <w:szCs w:val="20"/>
                <w:highlight w:val="none"/>
              </w:rPr>
              <w:t>5 .</w:t>
            </w:r>
            <w:r>
              <w:rPr>
                <w:rFonts w:hint="eastAsia" w:ascii="BMHBIL+SimSun" w:hAnsi="BMHBIL+SimSun" w:cs="BMHBIL+SimSun"/>
                <w:color w:val="000000"/>
                <w:spacing w:val="1"/>
                <w:sz w:val="20"/>
                <w:szCs w:val="20"/>
                <w:highlight w:val="none"/>
              </w:rPr>
              <w:t>农民专业合作</w:t>
            </w:r>
            <w:r>
              <w:rPr>
                <w:rFonts w:hint="eastAsia" w:ascii="BMHBIL+SimSun" w:hAnsi="BMHBIL+SimSun" w:cs="BMHBIL+SimSun"/>
                <w:color w:val="000000"/>
                <w:spacing w:val="1"/>
                <w:sz w:val="20"/>
                <w:szCs w:val="20"/>
                <w:highlight w:val="none"/>
                <w:lang w:eastAsia="zh-CN"/>
              </w:rPr>
              <w:t>社</w:t>
            </w:r>
            <w:r>
              <w:rPr>
                <w:rFonts w:hint="eastAsia" w:ascii="BMHBIL+SimSun" w:hAnsi="BMHBIL+SimSun" w:cs="BMHBIL+SimSun"/>
                <w:color w:val="000000"/>
                <w:spacing w:val="1"/>
                <w:sz w:val="20"/>
                <w:szCs w:val="20"/>
                <w:highlight w:val="none"/>
              </w:rPr>
              <w:t>（联合社）：名称、类型、经营范围</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住 所、出资额、法定代表人姓名发生变动却未办理变更登记</w:t>
            </w:r>
            <w:r>
              <w:rPr>
                <w:rFonts w:hint="eastAsia" w:ascii="BMHBIL+SimSun" w:hAnsi="BMHBIL+SimSun" w:cs="BMHBIL+SimSun"/>
                <w:color w:val="000000"/>
                <w:spacing w:val="1"/>
                <w:sz w:val="20"/>
                <w:szCs w:val="20"/>
                <w:highlight w:val="none"/>
                <w:lang w:eastAsia="zh-CN"/>
              </w:rPr>
              <w:t>。</w:t>
            </w:r>
          </w:p>
          <w:p w14:paraId="1E388121">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default" w:ascii="BMHBIL+SimSun" w:hAnsi="BMHBIL+SimSun" w:cs="BMHBIL+SimSun"/>
                <w:color w:val="000000"/>
                <w:spacing w:val="1"/>
                <w:sz w:val="20"/>
                <w:szCs w:val="20"/>
                <w:highlight w:val="none"/>
              </w:rPr>
              <w:t>6 .</w:t>
            </w:r>
            <w:r>
              <w:rPr>
                <w:rFonts w:hint="eastAsia" w:ascii="BMHBIL+SimSun" w:hAnsi="BMHBIL+SimSun" w:cs="BMHBIL+SimSun"/>
                <w:color w:val="000000"/>
                <w:spacing w:val="1"/>
                <w:sz w:val="20"/>
                <w:szCs w:val="20"/>
                <w:highlight w:val="none"/>
              </w:rPr>
              <w:t>分支机构的</w:t>
            </w:r>
            <w:r>
              <w:rPr>
                <w:rFonts w:hint="eastAsia" w:ascii="BMHBIL+SimSun" w:hAnsi="BMHBIL+SimSun" w:cs="BMHBIL+SimSun"/>
                <w:color w:val="000000"/>
                <w:spacing w:val="1"/>
                <w:sz w:val="20"/>
                <w:szCs w:val="20"/>
                <w:highlight w:val="none"/>
                <w:lang w:eastAsia="zh-CN"/>
              </w:rPr>
              <w:t>名</w:t>
            </w:r>
            <w:r>
              <w:rPr>
                <w:rFonts w:hint="eastAsia" w:ascii="BMHBIL+SimSun" w:hAnsi="BMHBIL+SimSun" w:cs="BMHBIL+SimSun"/>
                <w:color w:val="000000"/>
                <w:spacing w:val="1"/>
                <w:sz w:val="20"/>
                <w:szCs w:val="20"/>
                <w:highlight w:val="none"/>
              </w:rPr>
              <w:t xml:space="preserve">称、类型、经营范围、经营场所、负责人姓名发生变动却未办理变更登记。 </w:t>
            </w:r>
          </w:p>
          <w:p w14:paraId="3FAA05A9">
            <w:pPr>
              <w:widowControl w:val="0"/>
              <w:autoSpaceDE w:val="0"/>
              <w:autoSpaceDN w:val="0"/>
              <w:spacing w:before="0" w:after="0" w:line="221" w:lineRule="exact"/>
              <w:ind w:left="0" w:right="0" w:firstLine="0"/>
              <w:jc w:val="left"/>
              <w:rPr>
                <w:rFonts w:hint="default"/>
                <w:lang w:val="en-US" w:eastAsia="zh-CN"/>
              </w:rPr>
            </w:pPr>
            <w:r>
              <w:rPr>
                <w:rFonts w:hint="default" w:ascii="BMHBIL+SimSun" w:hAnsi="BMHBIL+SimSun" w:cs="BMHBIL+SimSun"/>
                <w:color w:val="000000"/>
                <w:spacing w:val="1"/>
                <w:sz w:val="20"/>
                <w:szCs w:val="20"/>
                <w:highlight w:val="none"/>
              </w:rPr>
              <w:t>7.</w:t>
            </w:r>
            <w:r>
              <w:rPr>
                <w:rFonts w:hint="eastAsia" w:ascii="BMHBIL+SimSun" w:hAnsi="BMHBIL+SimSun" w:cs="BMHBIL+SimSun"/>
                <w:color w:val="000000"/>
                <w:spacing w:val="1"/>
                <w:sz w:val="20"/>
                <w:szCs w:val="20"/>
                <w:highlight w:val="none"/>
              </w:rPr>
              <w:t>个体工商户的</w:t>
            </w:r>
            <w:r>
              <w:rPr>
                <w:rFonts w:hint="eastAsia" w:ascii="BMHBIL+SimSun" w:hAnsi="BMHBIL+SimSun" w:cs="BMHBIL+SimSun"/>
                <w:color w:val="000000"/>
                <w:spacing w:val="1"/>
                <w:sz w:val="20"/>
                <w:szCs w:val="20"/>
                <w:highlight w:val="none"/>
                <w:lang w:eastAsia="zh-CN"/>
              </w:rPr>
              <w:t>组</w:t>
            </w:r>
            <w:r>
              <w:rPr>
                <w:rFonts w:hint="eastAsia" w:ascii="BMHBIL+SimSun" w:hAnsi="BMHBIL+SimSun" w:cs="BMHBIL+SimSun"/>
                <w:color w:val="000000"/>
                <w:spacing w:val="1"/>
                <w:sz w:val="20"/>
                <w:szCs w:val="20"/>
                <w:highlight w:val="none"/>
              </w:rPr>
              <w:t>成形式</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经营范围、经营场所，经营者姓名</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住所发生变动却未办理变更登记。个体工商户使用名</w:t>
            </w:r>
            <w:r>
              <w:rPr>
                <w:rFonts w:hint="eastAsia" w:ascii="BMHBIL+SimSun" w:hAnsi="BMHBIL+SimSun" w:cs="BMHBIL+SimSun"/>
                <w:color w:val="000000"/>
                <w:spacing w:val="1"/>
                <w:sz w:val="20"/>
                <w:szCs w:val="20"/>
                <w:highlight w:val="none"/>
                <w:lang w:eastAsia="zh-CN"/>
              </w:rPr>
              <w:t>称</w:t>
            </w:r>
            <w:r>
              <w:rPr>
                <w:rFonts w:hint="eastAsia" w:ascii="BMHBIL+SimSun" w:hAnsi="BMHBIL+SimSun" w:cs="BMHBIL+SimSun"/>
                <w:color w:val="000000"/>
                <w:spacing w:val="1"/>
                <w:sz w:val="20"/>
                <w:szCs w:val="20"/>
                <w:highlight w:val="none"/>
              </w:rPr>
              <w:t>的</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登记事项还应当包括名称。</w:t>
            </w:r>
          </w:p>
        </w:tc>
        <w:tc>
          <w:tcPr>
            <w:tcW w:w="3640" w:type="dxa"/>
            <w:noWrap w:val="0"/>
            <w:vAlign w:val="center"/>
          </w:tcPr>
          <w:p w14:paraId="333F41C1">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中华人民共和国公司法》</w:t>
            </w:r>
          </w:p>
          <w:p w14:paraId="6AA16449">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第二百六十条第二款 公司登记事项发生变更时，未依照本法规定办理有关变更登记的，由公司登记机关责令限期登记；逾期不登记的，处以一万元以上十万元以下的罚款。</w:t>
            </w:r>
          </w:p>
          <w:p w14:paraId="51814175">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《中华人民共和国合伙企业法》</w:t>
            </w:r>
          </w:p>
          <w:p w14:paraId="75C7BC45">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第九十五条第二款</w:t>
            </w:r>
            <w:r>
              <w:rPr>
                <w:rFonts w:hint="eastAsia" w:ascii="BMHBIL+SimSun" w:hAnsi="BMHBIL+SimSun" w:cs="BMHBIL+SimSun"/>
                <w:color w:val="000000"/>
                <w:spacing w:val="1"/>
                <w:sz w:val="20"/>
                <w:szCs w:val="20"/>
                <w:highlight w:val="none"/>
                <w:lang w:val="en-US" w:eastAsia="zh-CN"/>
              </w:rPr>
              <w:t xml:space="preserve"> </w:t>
            </w:r>
            <w:r>
              <w:rPr>
                <w:rFonts w:hint="eastAsia" w:ascii="BMHBIL+SimSun" w:hAnsi="BMHBIL+SimSun" w:cs="BMHBIL+SimSun"/>
                <w:color w:val="000000"/>
                <w:spacing w:val="1"/>
                <w:sz w:val="20"/>
                <w:szCs w:val="20"/>
                <w:highlight w:val="none"/>
              </w:rPr>
              <w:t>合伙企业登记事项发生变更时，未依照本法规定办理变更登记的，由企业登记机关责令限期登记;逾期不登记的，处以二千元以上二万元以下的罚款。</w:t>
            </w:r>
          </w:p>
          <w:p w14:paraId="0BCCA664">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《中华人民共和国个人独资企业法》</w:t>
            </w:r>
          </w:p>
          <w:p w14:paraId="0647C7F3">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第三十七条第二款 个人独资企业登记事项发生变更时，未按本法规定办理有关变更登记的，责令限期办理变更登记;逾期不办理的，处以二千元以下的罚款。</w:t>
            </w:r>
          </w:p>
          <w:p w14:paraId="26F9D73C">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《市场主体登记管理条例》</w:t>
            </w:r>
          </w:p>
          <w:p w14:paraId="1A05BAA4">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第四十六条 市场主体未依照本条例办理变更登记的，由登记机关责令改正；拒不改正的，处1万元以上10万元以下的罚款；情节严重的，吊销营业执照。</w:t>
            </w:r>
          </w:p>
          <w:p w14:paraId="046FCC19">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p>
        </w:tc>
        <w:tc>
          <w:tcPr>
            <w:tcW w:w="1140" w:type="dxa"/>
            <w:noWrap w:val="0"/>
            <w:vAlign w:val="center"/>
          </w:tcPr>
          <w:p w14:paraId="775F6A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仿宋_GB2312" w:cs="Times New Roman"/>
                <w:color w:val="auto"/>
                <w:sz w:val="18"/>
                <w:szCs w:val="18"/>
                <w:lang w:val="en-US" w:eastAsia="zh-CN"/>
              </w:rPr>
            </w:pPr>
            <w:r>
              <w:rPr>
                <w:rFonts w:ascii="BMHBIL+SimSun" w:hAnsi="BMHBIL+SimSun" w:cs="BMHBIL+SimSun"/>
                <w:color w:val="000000"/>
                <w:spacing w:val="1"/>
                <w:sz w:val="22"/>
              </w:rPr>
              <w:t>★★★</w:t>
            </w:r>
          </w:p>
        </w:tc>
        <w:tc>
          <w:tcPr>
            <w:tcW w:w="2145" w:type="dxa"/>
            <w:noWrap w:val="0"/>
            <w:vAlign w:val="center"/>
          </w:tcPr>
          <w:p w14:paraId="3D0E0654">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1.市场主体按照类型的登记事项分别为：（一）公司：名称、类型、经营范围、住所、注册资本、法定代表人姓名、有限责任公司股东或者股份有限公司发起人姓名或者名称。</w:t>
            </w:r>
          </w:p>
          <w:p w14:paraId="2DC7CC7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（二）非公司企业法人：名称、类型、经营范围、住所、出资额、法定代表人姓名、出资人（主管部门）名称。（三）个人独资企业：名称、</w:t>
            </w:r>
            <w:r>
              <w:rPr>
                <w:rFonts w:ascii="BMHBIL+SimSun" w:hAnsi="BMHBIL+SimSun" w:cs="BMHBIL+SimSun"/>
                <w:color w:val="000000"/>
                <w:spacing w:val="1"/>
                <w:sz w:val="22"/>
              </w:rPr>
              <w:t>类型、经营范围、住所、出资额、投资人姓名及居所。</w:t>
            </w:r>
            <w:r>
              <w:rPr>
                <w:rFonts w:hint="eastAsia" w:ascii="BMHBIL+SimSun" w:hAnsi="BMHBIL+SimSun" w:cs="BMHBIL+SimSun"/>
                <w:color w:val="000000"/>
                <w:spacing w:val="1"/>
                <w:sz w:val="20"/>
                <w:szCs w:val="20"/>
                <w:highlight w:val="none"/>
              </w:rPr>
              <w:t>（四）合伙企业：名称、类型、经营范围、主要经营场所、出资额、执行事务合伙人名称或者姓名，合伙人名称或者姓名、住所、承担责任方式。执行事务合伙人是法人或者其他组织的，登记事项还应</w:t>
            </w:r>
          </w:p>
          <w:p w14:paraId="663D7536">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当包括其委派的代表姓名。（五）农民专业合作社（联合社）：名称、类型、经营范围、住所、出资额、法定代表人姓名。（六）分支机构：名称、类型、经营范围、经营场所、负责人姓名。（七）个体工商户：组成形式、经营范围、经营场所，经营者姓名、住所。个体工商户使用名称的，登记事项还应当包括名称。</w:t>
            </w:r>
          </w:p>
          <w:p w14:paraId="1B55C360">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lang w:val="en-US" w:eastAsia="zh-CN"/>
              </w:rPr>
              <w:t>2.</w:t>
            </w:r>
            <w:r>
              <w:rPr>
                <w:rFonts w:hint="eastAsia" w:ascii="BMHBIL+SimSun" w:hAnsi="BMHBIL+SimSun" w:cs="BMHBIL+SimSun"/>
                <w:color w:val="000000"/>
                <w:spacing w:val="1"/>
                <w:sz w:val="20"/>
                <w:szCs w:val="20"/>
                <w:highlight w:val="none"/>
              </w:rPr>
              <w:t>市场主体变更登记事项，应当自作出变更决议、决定或者法定变更事项发生之日起30日内申请办理变更登记。</w:t>
            </w:r>
          </w:p>
          <w:p w14:paraId="660DDB83">
            <w:pPr>
              <w:widowControl w:val="0"/>
              <w:autoSpaceDE w:val="0"/>
              <w:autoSpaceDN w:val="0"/>
              <w:spacing w:before="0" w:after="0" w:line="221" w:lineRule="exact"/>
              <w:ind w:left="0" w:right="0" w:firstLine="0"/>
              <w:jc w:val="left"/>
              <w:rPr>
                <w:rFonts w:ascii="Times New Roman"/>
                <w:color w:val="000000"/>
                <w:spacing w:val="1"/>
                <w:sz w:val="21"/>
                <w:szCs w:val="22"/>
                <w:highlight w:val="none"/>
              </w:rPr>
            </w:pPr>
            <w:r>
              <w:rPr>
                <w:rFonts w:hint="eastAsia" w:ascii="BMHBIL+SimSun" w:hAnsi="BMHBIL+SimSun" w:cs="BMHBIL+SimSun"/>
                <w:color w:val="000000"/>
                <w:spacing w:val="1"/>
                <w:sz w:val="20"/>
                <w:szCs w:val="20"/>
                <w:highlight w:val="none"/>
              </w:rPr>
              <w:t>3.市场主体登记事项变更涉及分支机构登记事项变更的，应当自市场主体登记事项变更登记之日起30日内申请办理分支机构变更登记。</w:t>
            </w:r>
          </w:p>
        </w:tc>
        <w:tc>
          <w:tcPr>
            <w:tcW w:w="1624" w:type="dxa"/>
            <w:noWrap w:val="0"/>
            <w:vAlign w:val="center"/>
          </w:tcPr>
          <w:p w14:paraId="6A72882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738E3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A000C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8</w:t>
            </w:r>
          </w:p>
        </w:tc>
        <w:tc>
          <w:tcPr>
            <w:tcW w:w="1542" w:type="dxa"/>
            <w:noWrap w:val="0"/>
            <w:vAlign w:val="center"/>
          </w:tcPr>
          <w:p w14:paraId="6809CBB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ascii="BMHBIL+SimSun" w:hAnsi="BMHBIL+SimSun" w:cs="BMHBIL+SimSun"/>
                <w:color w:val="000000"/>
                <w:spacing w:val="1"/>
                <w:sz w:val="22"/>
                <w:highlight w:val="none"/>
              </w:rPr>
              <w:t>未按规定办理有关备案</w:t>
            </w:r>
          </w:p>
        </w:tc>
        <w:tc>
          <w:tcPr>
            <w:tcW w:w="2251" w:type="dxa"/>
            <w:noWrap w:val="0"/>
            <w:vAlign w:val="center"/>
          </w:tcPr>
          <w:p w14:paraId="059A1AC6">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1.公司的章程、经营期限、有限责任公司股东或者股份有限公司发起人认缴的出资数额、董事、监事、高级管理人员、登记联络员、外商投资公司法律文件送达接受人发生变动却未办理备案。</w:t>
            </w:r>
          </w:p>
          <w:p w14:paraId="436F0050">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lang w:val="en-US" w:eastAsia="zh-CN"/>
              </w:rPr>
              <w:t>2.</w:t>
            </w:r>
            <w:r>
              <w:rPr>
                <w:rFonts w:hint="eastAsia" w:ascii="BMHBIL+SimSun" w:hAnsi="BMHBIL+SimSun" w:cs="BMHBIL+SimSun"/>
                <w:color w:val="000000"/>
                <w:spacing w:val="1"/>
                <w:sz w:val="20"/>
                <w:szCs w:val="20"/>
                <w:highlight w:val="none"/>
              </w:rPr>
              <w:t>非公司企业法人的章程、经营期限、登记联络员发生变动却未办理备案。</w:t>
            </w:r>
          </w:p>
          <w:p w14:paraId="71A3D4EC">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3.个人独资企业的登记联络员发生变动却未办理备案。</w:t>
            </w:r>
          </w:p>
          <w:p w14:paraId="2102E089">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4.合伙企业的合伙协议</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合伙期限、合伙</w:t>
            </w:r>
          </w:p>
          <w:p w14:paraId="388073B2">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人认缴或者实际缴付的出资数额、缴付期限和出资方式</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登记联络员、外商投资合伙企业法律文件送达接受人发生变动却未办理备案。</w:t>
            </w:r>
          </w:p>
          <w:p w14:paraId="0C875A97">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5.农民专业合作社（联合社）的章程</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成员、登记联络员发生变动却未办理备案。</w:t>
            </w:r>
          </w:p>
          <w:p w14:paraId="5875253E">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6.分支机构的登记联络员发生变动却未办理备案。</w:t>
            </w:r>
          </w:p>
          <w:p w14:paraId="7705A88F">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7.个体工商户的家庭参加经营的家庭成员姓名、登记联络员发生变动却未办理备案。</w:t>
            </w:r>
          </w:p>
          <w:p w14:paraId="01D4D11A">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8.公司、合伙企业等市场主体受益所有人相关信息发生变动却未办理备案。</w:t>
            </w:r>
          </w:p>
          <w:p w14:paraId="6A8D2AB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2"/>
                <w:highlight w:val="none"/>
                <w:lang w:val="en-US" w:eastAsia="zh-CN"/>
              </w:rPr>
            </w:pPr>
            <w:r>
              <w:rPr>
                <w:rFonts w:hint="eastAsia" w:ascii="BMHBIL+SimSun" w:hAnsi="BMHBIL+SimSun" w:cs="BMHBIL+SimSun"/>
                <w:color w:val="000000"/>
                <w:spacing w:val="1"/>
                <w:sz w:val="20"/>
                <w:szCs w:val="20"/>
                <w:highlight w:val="none"/>
              </w:rPr>
              <w:t>9.法律、行政法规规定的其他事项。</w:t>
            </w:r>
          </w:p>
        </w:tc>
        <w:tc>
          <w:tcPr>
            <w:tcW w:w="3640" w:type="dxa"/>
            <w:noWrap w:val="0"/>
            <w:vAlign w:val="center"/>
          </w:tcPr>
          <w:p w14:paraId="10C010F2">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《市场主体登记管理条例》</w:t>
            </w:r>
          </w:p>
          <w:p w14:paraId="3E030AD2">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第二十九条</w:t>
            </w:r>
            <w:r>
              <w:rPr>
                <w:rFonts w:hint="default" w:ascii="BMHBIL+SimSun" w:hAnsi="BMHBIL+SimSun" w:cs="BMHBIL+SimSun"/>
                <w:color w:val="000000"/>
                <w:spacing w:val="1"/>
                <w:sz w:val="20"/>
                <w:szCs w:val="20"/>
                <w:highlight w:val="none"/>
              </w:rPr>
              <w:t xml:space="preserve"> </w:t>
            </w:r>
            <w:r>
              <w:rPr>
                <w:rFonts w:hint="eastAsia" w:ascii="BMHBIL+SimSun" w:hAnsi="BMHBIL+SimSun" w:cs="BMHBIL+SimSun"/>
                <w:color w:val="000000"/>
                <w:spacing w:val="1"/>
                <w:sz w:val="20"/>
                <w:szCs w:val="20"/>
                <w:highlight w:val="none"/>
              </w:rPr>
              <w:t>市场主体变更本条例第 九条规定的备案事项的，应当自作出变更决议、决定或者法定 变更事项发生之日起</w:t>
            </w:r>
            <w:r>
              <w:rPr>
                <w:rFonts w:hint="default" w:ascii="BMHBIL+SimSun" w:hAnsi="BMHBIL+SimSun" w:cs="BMHBIL+SimSun"/>
                <w:color w:val="000000"/>
                <w:spacing w:val="1"/>
                <w:sz w:val="20"/>
                <w:szCs w:val="20"/>
                <w:highlight w:val="none"/>
              </w:rPr>
              <w:t>30</w:t>
            </w:r>
            <w:r>
              <w:rPr>
                <w:rFonts w:hint="eastAsia" w:ascii="BMHBIL+SimSun" w:hAnsi="BMHBIL+SimSun" w:cs="BMHBIL+SimSun"/>
                <w:color w:val="000000"/>
                <w:spacing w:val="1"/>
                <w:sz w:val="20"/>
                <w:szCs w:val="20"/>
                <w:highlight w:val="none"/>
              </w:rPr>
              <w:t>日内向登记机关办理备案。农民专业合 作社（联合社）成员发生变更的，应当自本会计年度终了之日 起</w:t>
            </w:r>
            <w:r>
              <w:rPr>
                <w:rFonts w:hint="default" w:ascii="BMHBIL+SimSun" w:hAnsi="BMHBIL+SimSun" w:cs="BMHBIL+SimSun"/>
                <w:color w:val="000000"/>
                <w:spacing w:val="1"/>
                <w:sz w:val="20"/>
                <w:szCs w:val="20"/>
                <w:highlight w:val="none"/>
              </w:rPr>
              <w:t>90</w:t>
            </w:r>
            <w:r>
              <w:rPr>
                <w:rFonts w:hint="eastAsia" w:ascii="BMHBIL+SimSun" w:hAnsi="BMHBIL+SimSun" w:cs="BMHBIL+SimSun"/>
                <w:color w:val="000000"/>
                <w:spacing w:val="1"/>
                <w:sz w:val="20"/>
                <w:szCs w:val="20"/>
                <w:highlight w:val="none"/>
              </w:rPr>
              <w:t>日内向登记机关办理备案。第四十七条</w:t>
            </w:r>
            <w:r>
              <w:rPr>
                <w:rFonts w:hint="default" w:ascii="BMHBIL+SimSun" w:hAnsi="BMHBIL+SimSun" w:cs="BMHBIL+SimSun"/>
                <w:color w:val="000000"/>
                <w:spacing w:val="1"/>
                <w:sz w:val="20"/>
                <w:szCs w:val="20"/>
                <w:highlight w:val="none"/>
              </w:rPr>
              <w:t xml:space="preserve"> </w:t>
            </w:r>
            <w:r>
              <w:rPr>
                <w:rFonts w:hint="eastAsia" w:ascii="BMHBIL+SimSun" w:hAnsi="BMHBIL+SimSun" w:cs="BMHBIL+SimSun"/>
                <w:color w:val="000000"/>
                <w:spacing w:val="1"/>
                <w:sz w:val="20"/>
                <w:szCs w:val="20"/>
                <w:highlight w:val="none"/>
              </w:rPr>
              <w:t>市场主体未依照本条例办理备案的，由登记机关责令改正；拒不改正的，处</w:t>
            </w:r>
            <w:r>
              <w:rPr>
                <w:rFonts w:hint="default" w:ascii="BMHBIL+SimSun" w:hAnsi="BMHBIL+SimSun" w:cs="BMHBIL+SimSun"/>
                <w:color w:val="000000"/>
                <w:spacing w:val="1"/>
                <w:sz w:val="20"/>
                <w:szCs w:val="20"/>
                <w:highlight w:val="none"/>
              </w:rPr>
              <w:t>5</w:t>
            </w:r>
            <w:r>
              <w:rPr>
                <w:rFonts w:hint="eastAsia" w:ascii="BMHBIL+SimSun" w:hAnsi="BMHBIL+SimSun" w:cs="BMHBIL+SimSun"/>
                <w:color w:val="000000"/>
                <w:spacing w:val="1"/>
                <w:sz w:val="20"/>
                <w:szCs w:val="20"/>
                <w:highlight w:val="none"/>
              </w:rPr>
              <w:t>万 元以下的罚款。</w:t>
            </w:r>
          </w:p>
        </w:tc>
        <w:tc>
          <w:tcPr>
            <w:tcW w:w="1140" w:type="dxa"/>
            <w:noWrap w:val="0"/>
            <w:vAlign w:val="center"/>
          </w:tcPr>
          <w:p w14:paraId="4966D718">
            <w:pPr>
              <w:widowControl w:val="0"/>
              <w:autoSpaceDE w:val="0"/>
              <w:autoSpaceDN w:val="0"/>
              <w:spacing w:before="0" w:after="0" w:line="221" w:lineRule="exact"/>
              <w:ind w:left="0" w:right="0" w:firstLine="0"/>
              <w:jc w:val="center"/>
              <w:rPr>
                <w:rFonts w:ascii="BMHBIL+SimSun" w:hAnsi="BMHBIL+SimSun" w:cs="BMHBIL+SimSun"/>
                <w:color w:val="000000"/>
                <w:spacing w:val="1"/>
                <w:sz w:val="22"/>
                <w:highlight w:val="none"/>
              </w:rPr>
            </w:pPr>
          </w:p>
          <w:p w14:paraId="5530F55B">
            <w:pPr>
              <w:widowControl w:val="0"/>
              <w:autoSpaceDE w:val="0"/>
              <w:autoSpaceDN w:val="0"/>
              <w:spacing w:before="0" w:after="0" w:line="221" w:lineRule="exact"/>
              <w:ind w:left="0" w:right="0" w:firstLine="0"/>
              <w:jc w:val="center"/>
              <w:rPr>
                <w:rFonts w:ascii="BMHBIL+SimSun" w:hAnsi="BMHBIL+SimSun" w:cs="BMHBIL+SimSun"/>
                <w:color w:val="000000"/>
                <w:spacing w:val="1"/>
                <w:sz w:val="22"/>
                <w:highlight w:val="none"/>
              </w:rPr>
            </w:pPr>
          </w:p>
          <w:p w14:paraId="55C3F8AB">
            <w:pPr>
              <w:widowControl w:val="0"/>
              <w:autoSpaceDE w:val="0"/>
              <w:autoSpaceDN w:val="0"/>
              <w:spacing w:before="0" w:after="0" w:line="221" w:lineRule="exact"/>
              <w:ind w:left="0" w:right="0" w:firstLine="0"/>
              <w:jc w:val="center"/>
              <w:rPr>
                <w:rFonts w:ascii="BMHBIL+SimSun"/>
                <w:color w:val="000000"/>
                <w:spacing w:val="0"/>
                <w:sz w:val="22"/>
                <w:highlight w:val="none"/>
              </w:rPr>
            </w:pPr>
            <w:r>
              <w:rPr>
                <w:rFonts w:ascii="BMHBIL+SimSun" w:hAnsi="BMHBIL+SimSun" w:cs="BMHBIL+SimSun"/>
                <w:color w:val="000000"/>
                <w:spacing w:val="1"/>
                <w:sz w:val="22"/>
                <w:highlight w:val="none"/>
              </w:rPr>
              <w:t>★★★</w:t>
            </w:r>
          </w:p>
          <w:p w14:paraId="612573D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仿宋_GB2312" w:cs="Times New Roman"/>
                <w:color w:val="auto"/>
                <w:sz w:val="18"/>
                <w:szCs w:val="18"/>
                <w:lang w:val="en-US" w:eastAsia="zh-CN"/>
              </w:rPr>
            </w:pPr>
          </w:p>
        </w:tc>
        <w:tc>
          <w:tcPr>
            <w:tcW w:w="2145" w:type="dxa"/>
            <w:noWrap w:val="0"/>
            <w:vAlign w:val="center"/>
          </w:tcPr>
          <w:p w14:paraId="7EB5674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市场主体应当按照类型依法备案下列事项：（一）公司：章程、经营期限、有限责任公司股东或者股份有限公司发起人认缴的出资数额、董事、监事、高级管理人员、登记联络员、外商投资公司法律文件送达接受人</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（二）非公司企业法人：章程、经营期限、登记联络员。（三）个人独资企业：登记联络员</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（四）合伙企业：合伙协议、合伙期限、合伙人认缴或者实际缴</w:t>
            </w:r>
            <w:r>
              <w:rPr>
                <w:rFonts w:hint="eastAsia" w:ascii="BMHBIL+SimSun" w:hAnsi="BMHBIL+SimSun" w:cs="BMHBIL+SimSun"/>
                <w:color w:val="000000"/>
                <w:spacing w:val="1"/>
                <w:sz w:val="20"/>
                <w:szCs w:val="20"/>
                <w:highlight w:val="none"/>
                <w:lang w:eastAsia="zh-CN"/>
              </w:rPr>
              <w:t>付</w:t>
            </w:r>
            <w:r>
              <w:rPr>
                <w:rFonts w:hint="eastAsia" w:ascii="BMHBIL+SimSun" w:hAnsi="BMHBIL+SimSun" w:cs="BMHBIL+SimSun"/>
                <w:color w:val="000000"/>
                <w:spacing w:val="1"/>
                <w:sz w:val="20"/>
                <w:szCs w:val="20"/>
                <w:highlight w:val="none"/>
              </w:rPr>
              <w:t>的出资数额、缴付期限和出资方式、登记联络员、外商投资合伙企业法律文件送达接受人。（五）农民专业合作社（联合社）：章程、成员、登记联络员。（六）分支机构：登记联络员。（七）个体工商户：家庭参加经营的家庭成员姓名、登记联络员</w:t>
            </w:r>
            <w:r>
              <w:rPr>
                <w:rFonts w:hint="eastAsia" w:ascii="BMHBIL+SimSun" w:hAnsi="BMHBIL+SimSun" w:cs="BMHBIL+SimSun"/>
                <w:color w:val="000000"/>
                <w:spacing w:val="1"/>
                <w:sz w:val="20"/>
                <w:szCs w:val="20"/>
                <w:highlight w:val="none"/>
                <w:lang w:eastAsia="zh-CN"/>
              </w:rPr>
              <w:t>。</w:t>
            </w:r>
            <w:r>
              <w:rPr>
                <w:rFonts w:hint="eastAsia" w:ascii="BMHBIL+SimSun" w:hAnsi="BMHBIL+SimSun" w:cs="BMHBIL+SimSun"/>
                <w:color w:val="000000"/>
                <w:spacing w:val="1"/>
                <w:sz w:val="20"/>
                <w:szCs w:val="20"/>
                <w:highlight w:val="none"/>
              </w:rPr>
              <w:t>（八）公司、合伙企业等市场主体受益所有人相关信息。（九）法律、行政法规规定的其他事项。</w:t>
            </w:r>
          </w:p>
          <w:p w14:paraId="48A92E32">
            <w:pPr>
              <w:widowControl w:val="0"/>
              <w:autoSpaceDE w:val="0"/>
              <w:autoSpaceDN w:val="0"/>
              <w:spacing w:before="41" w:after="0" w:line="245" w:lineRule="exact"/>
              <w:ind w:left="0" w:right="0" w:firstLine="0"/>
              <w:jc w:val="left"/>
              <w:rPr>
                <w:rFonts w:ascii="Times New Roman"/>
                <w:color w:val="000000"/>
                <w:spacing w:val="1"/>
                <w:sz w:val="21"/>
                <w:szCs w:val="22"/>
                <w:highlight w:val="none"/>
              </w:rPr>
            </w:pPr>
          </w:p>
        </w:tc>
        <w:tc>
          <w:tcPr>
            <w:tcW w:w="1624" w:type="dxa"/>
            <w:noWrap w:val="0"/>
            <w:vAlign w:val="center"/>
          </w:tcPr>
          <w:p w14:paraId="763A2EA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r w14:paraId="4C7B2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77FC34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9</w:t>
            </w:r>
          </w:p>
        </w:tc>
        <w:tc>
          <w:tcPr>
            <w:tcW w:w="1542" w:type="dxa"/>
            <w:noWrap w:val="0"/>
            <w:vAlign w:val="center"/>
          </w:tcPr>
          <w:p w14:paraId="50F14E8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宋体" w:hAnsi="宋体" w:eastAsia="宋体" w:cs="宋体"/>
                <w:b w:val="0"/>
                <w:bCs w:val="0"/>
                <w:color w:val="000000"/>
                <w:sz w:val="22"/>
                <w:szCs w:val="22"/>
              </w:rPr>
              <w:t>虚假登记</w:t>
            </w:r>
          </w:p>
        </w:tc>
        <w:tc>
          <w:tcPr>
            <w:tcW w:w="2251" w:type="dxa"/>
            <w:noWrap w:val="0"/>
            <w:vAlign w:val="center"/>
          </w:tcPr>
          <w:p w14:paraId="6390645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Chars="0"/>
              <w:jc w:val="left"/>
              <w:textAlignment w:val="auto"/>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宋体" w:hAnsi="宋体" w:eastAsia="宋体" w:cs="宋体"/>
                <w:b w:val="0"/>
                <w:bCs w:val="0"/>
                <w:color w:val="000000"/>
                <w:sz w:val="22"/>
                <w:szCs w:val="22"/>
              </w:rPr>
              <w:t>提交虚假材料或者采取其他欺诈手段隐瞒重要事实取得市场主体登记</w:t>
            </w:r>
          </w:p>
        </w:tc>
        <w:tc>
          <w:tcPr>
            <w:tcW w:w="3640" w:type="dxa"/>
            <w:noWrap w:val="0"/>
            <w:vAlign w:val="center"/>
          </w:tcPr>
          <w:p w14:paraId="1FA9C279">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《中华人民共和国公司法》</w:t>
            </w:r>
          </w:p>
          <w:p w14:paraId="25CABCA0">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第二百五十条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p w14:paraId="4E19923C">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《中华人民共和国合伙企业法》</w:t>
            </w:r>
          </w:p>
          <w:p w14:paraId="799469AD">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第九十三条 违反本法规定，提交虚假文件或者采取其他欺骗手段，取得合伙企业登记的，由企业登记机关责令改正，处以五千元以上五万元以下的罚款;情节严重的，撤销企业登记，并处以五万元以上二十万元以下的罚款。</w:t>
            </w:r>
          </w:p>
          <w:p w14:paraId="4A8E1357">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《中华人民共和国农民专业合作社法》</w:t>
            </w:r>
          </w:p>
          <w:p w14:paraId="69F9A2B1">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第七十条</w:t>
            </w:r>
            <w:r>
              <w:rPr>
                <w:rFonts w:hint="eastAsia" w:ascii="BMHBIL+SimSun" w:hAnsi="BMHBIL+SimSun" w:cs="BMHBIL+SimSun"/>
                <w:color w:val="000000"/>
                <w:spacing w:val="1"/>
                <w:sz w:val="20"/>
                <w:szCs w:val="20"/>
                <w:highlight w:val="none"/>
                <w:lang w:val="en-US" w:eastAsia="zh-CN"/>
              </w:rPr>
              <w:t xml:space="preserve"> </w:t>
            </w:r>
            <w:r>
              <w:rPr>
                <w:rFonts w:hint="eastAsia" w:ascii="BMHBIL+SimSun" w:hAnsi="BMHBIL+SimSun" w:cs="BMHBIL+SimSun"/>
                <w:color w:val="000000"/>
                <w:spacing w:val="1"/>
                <w:sz w:val="20"/>
                <w:szCs w:val="20"/>
                <w:highlight w:val="none"/>
              </w:rPr>
              <w:t xml:space="preserve"> 农民专业合作社向登记机关提供虚假登记材料或者采取其他欺诈手段取得登记的，由登记机关责令改正，可以处五千元以下罚款；情节严重的，撤销登记或者吊销营业执照。</w:t>
            </w:r>
          </w:p>
          <w:p w14:paraId="13B3676A">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《中华人民共和国个人独资企业法》</w:t>
            </w:r>
          </w:p>
          <w:p w14:paraId="501B72BF">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第三十三条 违反本法规定，提交虚假文件或采取其他欺骗手段，取得企业登记的，责令改正，处以五千元以下的罚款;情节严重的，并处吊销营业执照。</w:t>
            </w:r>
          </w:p>
          <w:p w14:paraId="5522CA41">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《市场主体登记管理条例》</w:t>
            </w:r>
          </w:p>
          <w:p w14:paraId="0B021B06">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rPr>
            </w:pPr>
            <w:r>
              <w:rPr>
                <w:rFonts w:hint="eastAsia" w:ascii="BMHBIL+SimSun" w:hAnsi="BMHBIL+SimSun" w:cs="BMHBIL+SimSun"/>
                <w:color w:val="000000"/>
                <w:spacing w:val="1"/>
                <w:sz w:val="20"/>
                <w:szCs w:val="20"/>
                <w:highlight w:val="none"/>
              </w:rPr>
              <w:t>第四十四条 提交虚假材料或者采取</w:t>
            </w:r>
          </w:p>
          <w:p w14:paraId="59E1104B">
            <w:pPr>
              <w:widowControl w:val="0"/>
              <w:autoSpaceDE w:val="0"/>
              <w:autoSpaceDN w:val="0"/>
              <w:spacing w:before="0" w:after="0" w:line="221" w:lineRule="exact"/>
              <w:ind w:left="0" w:right="0" w:firstLine="0"/>
              <w:jc w:val="left"/>
              <w:rPr>
                <w:rFonts w:hint="eastAsia" w:ascii="BMHBIL+SimSun" w:hAnsi="BMHBIL+SimSun" w:cs="BMHBIL+SimSun"/>
                <w:color w:val="000000"/>
                <w:spacing w:val="1"/>
                <w:sz w:val="20"/>
                <w:szCs w:val="20"/>
                <w:highlight w:val="none"/>
                <w:lang w:eastAsia="zh-CN"/>
              </w:rPr>
            </w:pPr>
            <w:r>
              <w:rPr>
                <w:rFonts w:hint="eastAsia" w:ascii="BMHBIL+SimSun" w:hAnsi="BMHBIL+SimSun" w:cs="BMHBIL+SimSun"/>
                <w:color w:val="000000"/>
                <w:spacing w:val="1"/>
                <w:sz w:val="20"/>
                <w:szCs w:val="20"/>
                <w:highlight w:val="none"/>
              </w:rPr>
              <w:t>其他欺诈手段隐瞒重要事实取得市场主体登记的，由登记机关责令改正，没收违法所得，并处5万元以上20万元以下的罚款；情节严重的，处20万元以上100万元以下的罚款，吊销营业执照。</w:t>
            </w:r>
          </w:p>
        </w:tc>
        <w:tc>
          <w:tcPr>
            <w:tcW w:w="1140" w:type="dxa"/>
            <w:noWrap w:val="0"/>
            <w:vAlign w:val="center"/>
          </w:tcPr>
          <w:p w14:paraId="21DBB56D">
            <w:pPr>
              <w:widowControl w:val="0"/>
              <w:autoSpaceDE w:val="0"/>
              <w:autoSpaceDN w:val="0"/>
              <w:spacing w:before="0" w:after="0" w:line="221" w:lineRule="exact"/>
              <w:ind w:left="0" w:right="0" w:firstLine="0"/>
              <w:jc w:val="center"/>
              <w:rPr>
                <w:rFonts w:ascii="BMHBIL+SimSun"/>
                <w:color w:val="000000"/>
                <w:spacing w:val="0"/>
                <w:sz w:val="22"/>
              </w:rPr>
            </w:pPr>
            <w:r>
              <w:rPr>
                <w:rFonts w:ascii="BMHBIL+SimSun" w:hAnsi="BMHBIL+SimSun" w:cs="BMHBIL+SimSun"/>
                <w:color w:val="000000"/>
                <w:spacing w:val="1"/>
                <w:sz w:val="22"/>
              </w:rPr>
              <w:t>★★★</w:t>
            </w:r>
          </w:p>
          <w:p w14:paraId="0FEFF7B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仿宋_GB2312" w:cs="Times New Roman"/>
                <w:color w:val="auto"/>
                <w:sz w:val="18"/>
                <w:szCs w:val="18"/>
                <w:lang w:val="en-US" w:eastAsia="zh-CN"/>
              </w:rPr>
            </w:pPr>
          </w:p>
        </w:tc>
        <w:tc>
          <w:tcPr>
            <w:tcW w:w="2145" w:type="dxa"/>
            <w:noWrap w:val="0"/>
            <w:vAlign w:val="center"/>
          </w:tcPr>
          <w:p w14:paraId="0BC407D7">
            <w:pPr>
              <w:widowControl w:val="0"/>
              <w:autoSpaceDE w:val="0"/>
              <w:autoSpaceDN w:val="0"/>
              <w:spacing w:before="0" w:after="0" w:line="221" w:lineRule="exact"/>
              <w:ind w:left="0" w:right="0" w:firstLine="0"/>
              <w:jc w:val="left"/>
              <w:rPr>
                <w:rFonts w:ascii="BMHBIL+SimSun"/>
                <w:color w:val="000000"/>
                <w:spacing w:val="0"/>
                <w:sz w:val="21"/>
                <w:szCs w:val="22"/>
              </w:rPr>
            </w:pPr>
            <w:r>
              <w:rPr>
                <w:rFonts w:ascii="BMHBIL+SimSun" w:hAnsi="BMHBIL+SimSun" w:cs="BMHBIL+SimSun"/>
                <w:color w:val="000000"/>
                <w:spacing w:val="1"/>
                <w:sz w:val="21"/>
                <w:szCs w:val="22"/>
              </w:rPr>
              <w:t>经营者在办理登记手续时，应依照规定，提交真实、合法、有效的申请材料。</w:t>
            </w:r>
          </w:p>
          <w:p w14:paraId="0BA33DA1">
            <w:pPr>
              <w:widowControl w:val="0"/>
              <w:autoSpaceDE w:val="0"/>
              <w:autoSpaceDN w:val="0"/>
              <w:spacing w:before="41" w:after="0" w:line="245" w:lineRule="exact"/>
              <w:ind w:left="0" w:right="0" w:firstLine="0"/>
              <w:jc w:val="left"/>
              <w:rPr>
                <w:rFonts w:ascii="Times New Roman"/>
                <w:color w:val="000000"/>
                <w:spacing w:val="1"/>
                <w:sz w:val="21"/>
                <w:szCs w:val="22"/>
                <w:highlight w:val="none"/>
              </w:rPr>
            </w:pPr>
          </w:p>
        </w:tc>
        <w:tc>
          <w:tcPr>
            <w:tcW w:w="1624" w:type="dxa"/>
            <w:noWrap w:val="0"/>
            <w:vAlign w:val="center"/>
          </w:tcPr>
          <w:p w14:paraId="79FB2B9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auto"/>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莲湖区</w:t>
            </w:r>
            <w:r>
              <w:rPr>
                <w:rFonts w:hint="default" w:ascii="Times New Roman" w:hAnsi="Times New Roman" w:eastAsia="方正仿宋_GBK" w:cs="Times New Roman"/>
                <w:snapToGrid w:val="0"/>
                <w:color w:val="auto"/>
                <w:kern w:val="0"/>
                <w:sz w:val="18"/>
                <w:szCs w:val="18"/>
                <w:vertAlign w:val="baseline"/>
                <w:lang w:val="en-US" w:eastAsia="zh-CN"/>
              </w:rPr>
              <w:t>市场监督管理局</w:t>
            </w:r>
            <w:r>
              <w:rPr>
                <w:rFonts w:hint="eastAsia" w:ascii="Times New Roman" w:hAnsi="Times New Roman" w:eastAsia="方正仿宋_GBK" w:cs="Times New Roman"/>
                <w:snapToGrid w:val="0"/>
                <w:color w:val="auto"/>
                <w:kern w:val="0"/>
                <w:sz w:val="18"/>
                <w:szCs w:val="18"/>
                <w:vertAlign w:val="baseline"/>
                <w:lang w:val="en-US" w:eastAsia="zh-CN"/>
              </w:rPr>
              <w:t>信用监管科</w:t>
            </w:r>
            <w:r>
              <w:rPr>
                <w:rFonts w:hint="default" w:ascii="Times New Roman" w:hAnsi="Times New Roman" w:eastAsia="方正仿宋_GBK" w:cs="Times New Roman"/>
                <w:snapToGrid w:val="0"/>
                <w:color w:val="auto"/>
                <w:kern w:val="0"/>
                <w:sz w:val="18"/>
                <w:szCs w:val="18"/>
                <w:vertAlign w:val="baseline"/>
                <w:lang w:val="en-US" w:eastAsia="zh-CN"/>
              </w:rPr>
              <w:t>：</w:t>
            </w:r>
            <w:r>
              <w:rPr>
                <w:rFonts w:hint="eastAsia" w:ascii="Times New Roman" w:hAnsi="Times New Roman" w:eastAsia="方正仿宋_GBK" w:cs="Times New Roman"/>
                <w:snapToGrid w:val="0"/>
                <w:color w:val="auto"/>
                <w:kern w:val="0"/>
                <w:sz w:val="18"/>
                <w:szCs w:val="18"/>
                <w:vertAlign w:val="baseline"/>
                <w:lang w:val="en-US" w:eastAsia="zh-CN"/>
              </w:rPr>
              <w:t>88629642</w:t>
            </w:r>
          </w:p>
        </w:tc>
      </w:tr>
    </w:tbl>
    <w:p w14:paraId="0A84C838">
      <w:pPr>
        <w:widowControl w:val="0"/>
        <w:autoSpaceDE w:val="0"/>
        <w:autoSpaceDN w:val="0"/>
        <w:spacing w:before="0" w:after="0" w:line="202" w:lineRule="exact"/>
        <w:ind w:left="0" w:right="0" w:firstLine="0"/>
        <w:jc w:val="left"/>
        <w:rPr>
          <w:rFonts w:ascii="BMHBIL+SimSun"/>
          <w:color w:val="000000"/>
          <w:spacing w:val="0"/>
          <w:sz w:val="20"/>
        </w:rPr>
      </w:pPr>
      <w:r>
        <w:rPr>
          <w:rFonts w:ascii="BMHBIL+SimSun" w:hAnsi="BMHBIL+SimSun" w:cs="BMHBIL+SimSun"/>
          <w:color w:val="000000"/>
          <w:spacing w:val="2"/>
          <w:sz w:val="20"/>
        </w:rPr>
        <w:t>备注：</w:t>
      </w:r>
    </w:p>
    <w:p w14:paraId="23B70E11">
      <w:pPr>
        <w:jc w:val="left"/>
        <w:rPr>
          <w:rFonts w:ascii="Times New Roman"/>
          <w:color w:val="000000"/>
          <w:spacing w:val="2"/>
          <w:sz w:val="20"/>
        </w:rPr>
      </w:pPr>
      <w:r>
        <w:rPr>
          <w:rFonts w:ascii="Times New Roman"/>
          <w:color w:val="000000"/>
          <w:spacing w:val="2"/>
          <w:sz w:val="20"/>
        </w:rPr>
        <w:t>1.</w:t>
      </w:r>
      <w:r>
        <w:rPr>
          <w:rFonts w:hint="eastAsia" w:ascii="Times New Roman"/>
          <w:color w:val="000000"/>
          <w:spacing w:val="2"/>
          <w:sz w:val="20"/>
          <w:lang w:eastAsia="zh-CN"/>
        </w:rPr>
        <w:t>合规清单适用对象：</w:t>
      </w:r>
      <w:r>
        <w:rPr>
          <w:rFonts w:ascii="BMHBIL+SimSun" w:hAnsi="BMHBIL+SimSun" w:cs="BMHBIL+SimSun"/>
          <w:color w:val="000000"/>
          <w:spacing w:val="2"/>
          <w:sz w:val="20"/>
        </w:rPr>
        <w:t>适用</w:t>
      </w:r>
      <w:r>
        <w:rPr>
          <w:rFonts w:hint="eastAsia" w:ascii="BMHBIL+SimSun" w:hAnsi="BMHBIL+SimSun" w:cs="BMHBIL+SimSun"/>
          <w:color w:val="000000"/>
          <w:spacing w:val="2"/>
          <w:sz w:val="20"/>
          <w:lang w:eastAsia="zh-CN"/>
        </w:rPr>
        <w:t>本行政区域内市场</w:t>
      </w:r>
      <w:r>
        <w:rPr>
          <w:rFonts w:ascii="BMHBIL+SimSun" w:hAnsi="BMHBIL+SimSun" w:cs="BMHBIL+SimSun"/>
          <w:color w:val="000000"/>
          <w:spacing w:val="2"/>
          <w:sz w:val="20"/>
        </w:rPr>
        <w:t>主体。</w:t>
      </w:r>
    </w:p>
    <w:p w14:paraId="74701410">
      <w:pPr>
        <w:jc w:val="left"/>
        <w:rPr>
          <w:rFonts w:ascii="BMHBIL+SimSun" w:hAnsi="BMHBIL+SimSun" w:cs="BMHBIL+SimSun"/>
          <w:color w:val="000000"/>
          <w:spacing w:val="2"/>
          <w:sz w:val="20"/>
        </w:rPr>
      </w:pPr>
      <w:r>
        <w:rPr>
          <w:rFonts w:ascii="Times New Roman"/>
          <w:color w:val="000000"/>
          <w:spacing w:val="2"/>
          <w:sz w:val="20"/>
        </w:rPr>
        <w:t>2.</w:t>
      </w:r>
      <w:r>
        <w:rPr>
          <w:rFonts w:ascii="BMHBIL+SimSun" w:hAnsi="BMHBIL+SimSun" w:cs="BMHBIL+SimSun"/>
          <w:color w:val="000000"/>
          <w:spacing w:val="2"/>
          <w:sz w:val="20"/>
        </w:rPr>
        <w:t>清单并未涵盖所有市场主体登记、信息公示类违法行为。</w:t>
      </w:r>
    </w:p>
    <w:p w14:paraId="34B40361">
      <w:pPr>
        <w:jc w:val="left"/>
        <w:rPr>
          <w:rFonts w:ascii="BMHBIL+SimSun"/>
          <w:color w:val="000000"/>
          <w:spacing w:val="0"/>
          <w:sz w:val="20"/>
        </w:rPr>
      </w:pPr>
      <w:r>
        <w:rPr>
          <w:rFonts w:ascii="Times New Roman"/>
          <w:color w:val="000000"/>
          <w:spacing w:val="2"/>
          <w:sz w:val="20"/>
        </w:rPr>
        <w:t>3.</w:t>
      </w:r>
      <w:r>
        <w:rPr>
          <w:rFonts w:ascii="BMHBIL+SimSun" w:hAnsi="BMHBIL+SimSun" w:cs="BMHBIL+SimSun"/>
          <w:color w:val="000000"/>
          <w:spacing w:val="2"/>
          <w:sz w:val="20"/>
        </w:rPr>
        <w:t>因</w:t>
      </w:r>
      <w:r>
        <w:rPr>
          <w:rFonts w:ascii="Times New Roman" w:hAnsi="Times New Roman" w:cs="Times New Roman"/>
          <w:color w:val="000000"/>
          <w:spacing w:val="-2"/>
          <w:sz w:val="20"/>
        </w:rPr>
        <w:t>“</w:t>
      </w:r>
      <w:r>
        <w:rPr>
          <w:rFonts w:ascii="BMHBIL+SimSun" w:hAnsi="BMHBIL+SimSun" w:cs="BMHBIL+SimSun"/>
          <w:color w:val="000000"/>
          <w:spacing w:val="2"/>
          <w:sz w:val="20"/>
        </w:rPr>
        <w:t>未依照规定的期限公示年度报告</w:t>
      </w:r>
      <w:r>
        <w:rPr>
          <w:rFonts w:ascii="Times New Roman" w:hAnsi="Times New Roman" w:cs="Times New Roman"/>
          <w:color w:val="000000"/>
          <w:spacing w:val="2"/>
          <w:sz w:val="20"/>
        </w:rPr>
        <w:t>”</w:t>
      </w:r>
      <w:r>
        <w:rPr>
          <w:rFonts w:ascii="BMHBIL+SimSun" w:hAnsi="BMHBIL+SimSun" w:cs="BMHBIL+SimSun"/>
          <w:color w:val="000000"/>
          <w:spacing w:val="2"/>
          <w:sz w:val="20"/>
        </w:rPr>
        <w:t>被列入经营异常名录或标记为经营异常状态的企业，可在补报年报后申请移出经营异常名录或恢复正常记载状态。因</w:t>
      </w:r>
      <w:r>
        <w:rPr>
          <w:rFonts w:ascii="Times New Roman" w:hAnsi="Times New Roman" w:cs="Times New Roman"/>
          <w:color w:val="000000"/>
          <w:spacing w:val="-2"/>
          <w:sz w:val="20"/>
        </w:rPr>
        <w:t>“</w:t>
      </w:r>
      <w:r>
        <w:rPr>
          <w:rFonts w:ascii="BMHBIL+SimSun" w:hAnsi="BMHBIL+SimSun" w:cs="BMHBIL+SimSun"/>
          <w:color w:val="000000"/>
          <w:spacing w:val="2"/>
          <w:sz w:val="20"/>
        </w:rPr>
        <w:t>通过登记的住所或经营场所无法联系</w:t>
      </w:r>
      <w:r>
        <w:rPr>
          <w:rFonts w:ascii="Times New Roman" w:hAnsi="Times New Roman" w:cs="Times New Roman"/>
          <w:color w:val="000000"/>
          <w:spacing w:val="2"/>
          <w:sz w:val="20"/>
        </w:rPr>
        <w:t>”</w:t>
      </w:r>
      <w:r>
        <w:rPr>
          <w:rFonts w:ascii="BMHBIL+SimSun" w:hAnsi="BMHBIL+SimSun" w:cs="BMHBIL+SimSun"/>
          <w:color w:val="000000"/>
          <w:spacing w:val="2"/>
          <w:sz w:val="20"/>
        </w:rPr>
        <w:t>被列入经营异常名录或标记为经营异常状态的企业，可在依法办理住所或经营场所变更登记，或者当事人提出通过登记的住所或经营场所可以重新取得联系后，可申请移出经营异常名录或恢复正常记载状态。</w:t>
      </w:r>
    </w:p>
    <w:p w14:paraId="2364352E">
      <w:pPr>
        <w:widowControl w:val="0"/>
        <w:numPr>
          <w:ilvl w:val="0"/>
          <w:numId w:val="0"/>
        </w:numPr>
        <w:autoSpaceDE w:val="0"/>
        <w:autoSpaceDN w:val="0"/>
        <w:spacing w:before="52" w:after="0" w:line="202" w:lineRule="exact"/>
        <w:ind w:left="0" w:leftChars="0" w:right="0" w:rightChars="0" w:firstLine="0" w:firstLineChars="0"/>
        <w:jc w:val="left"/>
        <w:rPr>
          <w:rFonts w:ascii="BMHBIL+SimSun"/>
          <w:color w:val="000000"/>
          <w:spacing w:val="0"/>
          <w:sz w:val="20"/>
        </w:rPr>
      </w:pPr>
      <w:r>
        <w:rPr>
          <w:rFonts w:hint="eastAsia" w:ascii="BMHBIL+SimSun" w:hAnsi="BMHBIL+SimSun" w:cs="BMHBIL+SimSun"/>
          <w:color w:val="000000"/>
          <w:spacing w:val="2"/>
          <w:sz w:val="20"/>
          <w:lang w:val="en-US" w:eastAsia="zh-CN"/>
        </w:rPr>
        <w:t>4.</w:t>
      </w:r>
      <w:r>
        <w:rPr>
          <w:rFonts w:ascii="BMHBIL+SimSun" w:hAnsi="BMHBIL+SimSun" w:cs="BMHBIL+SimSun"/>
          <w:color w:val="000000"/>
          <w:spacing w:val="2"/>
          <w:sz w:val="20"/>
        </w:rPr>
        <w:t>发生频率较高的为★★★，发生频率一般的为★★，发生频率较少的为★。</w:t>
      </w:r>
    </w:p>
    <w:p w14:paraId="10E3466D">
      <w:pPr>
        <w:jc w:val="left"/>
        <w:rPr>
          <w:rFonts w:hint="eastAsia"/>
          <w:sz w:val="22"/>
          <w:szCs w:val="22"/>
          <w:lang w:eastAsia="zh-CN"/>
        </w:rPr>
      </w:pPr>
    </w:p>
    <w:p w14:paraId="4FBFE500">
      <w:pPr>
        <w:rPr>
          <w:rFonts w:hint="eastAsia" w:ascii="Times New Roman" w:hAnsi="Times New Roman" w:eastAsia="方正小标宋_GBK" w:cs="Times New Roman"/>
          <w:snapToGrid w:val="0"/>
          <w:color w:val="auto"/>
          <w:kern w:val="0"/>
          <w:sz w:val="24"/>
          <w:szCs w:val="24"/>
          <w:lang w:eastAsia="zh-CN"/>
        </w:rPr>
      </w:pPr>
    </w:p>
    <w:p w14:paraId="1632B2F5">
      <w:pPr>
        <w:rPr>
          <w:rFonts w:hint="eastAsia" w:ascii="Times New Roman" w:hAnsi="Times New Roman" w:eastAsia="方正小标宋_GBK" w:cs="Times New Roman"/>
          <w:snapToGrid w:val="0"/>
          <w:color w:val="auto"/>
          <w:kern w:val="0"/>
          <w:sz w:val="24"/>
          <w:szCs w:val="24"/>
          <w:lang w:eastAsia="zh-CN"/>
        </w:rPr>
      </w:pPr>
      <w:r>
        <w:rPr>
          <w:rFonts w:hint="eastAsia" w:ascii="Times New Roman" w:hAnsi="Times New Roman" w:eastAsia="方正小标宋_GBK" w:cs="Times New Roman"/>
          <w:snapToGrid w:val="0"/>
          <w:color w:val="auto"/>
          <w:kern w:val="0"/>
          <w:sz w:val="24"/>
          <w:szCs w:val="24"/>
          <w:lang w:eastAsia="zh-CN"/>
        </w:rPr>
        <w:t>不正当竞争类行为（共</w:t>
      </w:r>
      <w:r>
        <w:rPr>
          <w:rFonts w:hint="eastAsia" w:ascii="Times New Roman" w:hAnsi="Times New Roman" w:eastAsia="方正小标宋_GBK" w:cs="Times New Roman"/>
          <w:snapToGrid w:val="0"/>
          <w:color w:val="auto"/>
          <w:kern w:val="0"/>
          <w:sz w:val="24"/>
          <w:szCs w:val="24"/>
          <w:lang w:val="en-US" w:eastAsia="zh-CN"/>
        </w:rPr>
        <w:t>7项</w:t>
      </w:r>
      <w:r>
        <w:rPr>
          <w:rFonts w:hint="eastAsia" w:ascii="Times New Roman" w:hAnsi="Times New Roman" w:eastAsia="方正小标宋_GBK" w:cs="Times New Roman"/>
          <w:snapToGrid w:val="0"/>
          <w:color w:val="auto"/>
          <w:kern w:val="0"/>
          <w:sz w:val="24"/>
          <w:szCs w:val="24"/>
          <w:lang w:eastAsia="zh-CN"/>
        </w:rPr>
        <w:t>）</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3165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B866D4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78477A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542E88D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262ABC3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5CD10CA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5AB75DD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51D0198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3D41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60506E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bidi="ar-SA"/>
              </w:rPr>
              <w:t>1</w:t>
            </w:r>
          </w:p>
        </w:tc>
        <w:tc>
          <w:tcPr>
            <w:tcW w:w="1542" w:type="dxa"/>
            <w:noWrap w:val="0"/>
            <w:vAlign w:val="center"/>
          </w:tcPr>
          <w:p w14:paraId="7E731D6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w:t>
            </w:r>
            <w:r>
              <w:rPr>
                <w:rFonts w:hint="eastAsia" w:ascii="BMHBIL+SimSun" w:hAnsi="BMHBIL+SimSun" w:cs="BMHBIL+SimSun"/>
                <w:color w:val="000000"/>
                <w:spacing w:val="1"/>
                <w:sz w:val="20"/>
                <w:szCs w:val="20"/>
                <w:highlight w:val="none"/>
                <w:lang w:val="en-US" w:eastAsia="zh-CN"/>
              </w:rPr>
              <w:t>实施混淆行为，引人误认为是他人商品或者与他人存在特定联系。</w:t>
            </w:r>
          </w:p>
          <w:p w14:paraId="6046788A">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p>
        </w:tc>
        <w:tc>
          <w:tcPr>
            <w:tcW w:w="2251" w:type="dxa"/>
            <w:noWrap w:val="0"/>
            <w:vAlign w:val="top"/>
          </w:tcPr>
          <w:p w14:paraId="7B5AAF8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经营者擅自使用与他人有一定影响的商品名称、包装、装潢等相同或者近似的标识</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包括商品标识、服务标识，包括明确列举的商品名称、包装、装潢及未明确列举的他人商标、商品形状等</w:t>
            </w:r>
            <w:r>
              <w:rPr>
                <w:rFonts w:hint="eastAsia" w:ascii="BMHBIL+SimSun" w:hAnsi="BMHBIL+SimSun" w:cs="BMHBIL+SimSun"/>
                <w:color w:val="000000"/>
                <w:spacing w:val="1"/>
                <w:sz w:val="20"/>
                <w:szCs w:val="20"/>
                <w:highlight w:val="none"/>
                <w:lang w:val="en-US" w:eastAsia="zh-CN"/>
              </w:rPr>
              <w:t>。</w:t>
            </w:r>
          </w:p>
          <w:p w14:paraId="5B527E9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经营者擅自使用他人有一定影响的企业名称（包括简称、字号等）、社会组织名称（包括简称等）、姓名（包括笔名、艺名、译名等）</w:t>
            </w:r>
            <w:r>
              <w:rPr>
                <w:rFonts w:hint="eastAsia" w:ascii="BMHBIL+SimSun" w:hAnsi="BMHBIL+SimSun" w:cs="BMHBIL+SimSun"/>
                <w:color w:val="000000"/>
                <w:spacing w:val="1"/>
                <w:sz w:val="20"/>
                <w:szCs w:val="20"/>
                <w:highlight w:val="none"/>
                <w:lang w:val="en-US" w:eastAsia="zh-CN"/>
              </w:rPr>
              <w:t>。</w:t>
            </w:r>
          </w:p>
          <w:p w14:paraId="302BC2A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经营者</w:t>
            </w:r>
            <w:r>
              <w:rPr>
                <w:rFonts w:hint="default" w:ascii="BMHBIL+SimSun" w:hAnsi="BMHBIL+SimSun" w:cs="BMHBIL+SimSun"/>
                <w:color w:val="000000"/>
                <w:spacing w:val="1"/>
                <w:sz w:val="20"/>
                <w:szCs w:val="20"/>
                <w:highlight w:val="none"/>
                <w:lang w:val="en-US" w:eastAsia="zh-CN"/>
              </w:rPr>
              <w:t>擅自使用他人有一定影响的域名主体部分、网站名称、网页等</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如，在权利人已是知名企业的情况下，未经许可，擅自注册与权利人域名主体部分相同的域名，且在该网站上使用了权利人网站的文章、案例等文字内容，并通过电商平台对外销售商品，引人误认为是</w:t>
            </w:r>
          </w:p>
          <w:p w14:paraId="47D0D086">
            <w:pPr>
              <w:widowControl w:val="0"/>
              <w:autoSpaceDE w:val="0"/>
              <w:autoSpaceDN w:val="0"/>
              <w:spacing w:before="0" w:after="0" w:line="221" w:lineRule="exact"/>
              <w:ind w:left="0" w:right="0" w:firstLine="0"/>
              <w:jc w:val="left"/>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BMHBIL+SimSun" w:hAnsi="BMHBIL+SimSun" w:cs="BMHBIL+SimSun"/>
                <w:color w:val="000000"/>
                <w:spacing w:val="1"/>
                <w:sz w:val="20"/>
                <w:szCs w:val="20"/>
                <w:highlight w:val="none"/>
                <w:lang w:val="en-US" w:eastAsia="zh-CN"/>
              </w:rPr>
              <w:t>权利人的商品，或者与权利人存在特定联系，</w:t>
            </w:r>
            <w:r>
              <w:rPr>
                <w:rFonts w:hint="default" w:ascii="Times New Roman" w:hAnsi="Times New Roman" w:eastAsia="方正仿宋_GBK" w:cs="Times New Roman"/>
                <w:snapToGrid w:val="0"/>
                <w:color w:val="auto"/>
                <w:kern w:val="0"/>
                <w:sz w:val="18"/>
                <w:szCs w:val="18"/>
                <w:vertAlign w:val="baseline"/>
                <w:lang w:val="en-US" w:eastAsia="zh-CN" w:bidi="ar-SA"/>
              </w:rPr>
              <w:t>误导公众</w:t>
            </w:r>
            <w:r>
              <w:rPr>
                <w:rFonts w:hint="eastAsia" w:ascii="Times New Roman" w:hAnsi="Times New Roman" w:eastAsia="方正仿宋_GBK" w:cs="Times New Roman"/>
                <w:snapToGrid w:val="0"/>
                <w:color w:val="auto"/>
                <w:kern w:val="0"/>
                <w:sz w:val="18"/>
                <w:szCs w:val="18"/>
                <w:vertAlign w:val="baseline"/>
                <w:lang w:val="en-US" w:eastAsia="zh-CN" w:bidi="ar-SA"/>
              </w:rPr>
              <w:t>。</w:t>
            </w:r>
          </w:p>
        </w:tc>
        <w:tc>
          <w:tcPr>
            <w:tcW w:w="3640" w:type="dxa"/>
            <w:noWrap w:val="0"/>
            <w:vAlign w:val="top"/>
          </w:tcPr>
          <w:p w14:paraId="2FFA4CD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《中华人民共和国反不正当竞争法》 </w:t>
            </w:r>
          </w:p>
          <w:p w14:paraId="23719CD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第六条第一项 经营者不得实施混淆行为，引人误认为是他人商品或者与他人存在特定联系：</w:t>
            </w:r>
          </w:p>
          <w:p w14:paraId="10BA61F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（一）擅自使用与他人有一定影响的商品名称、包装、装潢等相同或者近似的标识。（二）擅自使用他人有一定影响的企业名称（包括简称、字号等）、社会组织名称（包括简称等）、姓名（包括笔名、艺名 、译名等）。（</w:t>
            </w:r>
            <w:r>
              <w:rPr>
                <w:rFonts w:hint="eastAsia" w:ascii="BMHBIL+SimSun" w:hAnsi="BMHBIL+SimSun" w:cs="BMHBIL+SimSun"/>
                <w:color w:val="000000"/>
                <w:spacing w:val="1"/>
                <w:sz w:val="20"/>
                <w:szCs w:val="20"/>
                <w:highlight w:val="none"/>
                <w:lang w:val="en-US" w:eastAsia="zh-CN"/>
              </w:rPr>
              <w:t>三</w:t>
            </w:r>
            <w:r>
              <w:rPr>
                <w:rFonts w:hint="default" w:ascii="BMHBIL+SimSun" w:hAnsi="BMHBIL+SimSun" w:cs="BMHBIL+SimSun"/>
                <w:color w:val="000000"/>
                <w:spacing w:val="1"/>
                <w:sz w:val="20"/>
                <w:szCs w:val="20"/>
                <w:highlight w:val="none"/>
                <w:lang w:val="en-US" w:eastAsia="zh-CN"/>
              </w:rPr>
              <w:t>）擅自使用他人有一定影响的域名主体部分、网站名称、网页等。</w:t>
            </w:r>
            <w:r>
              <w:rPr>
                <w:rFonts w:hint="eastAsia" w:ascii="BMHBIL+SimSun" w:hAnsi="BMHBIL+SimSun" w:cs="BMHBIL+SimSun"/>
                <w:color w:val="000000"/>
                <w:spacing w:val="1"/>
                <w:sz w:val="20"/>
                <w:szCs w:val="20"/>
                <w:highlight w:val="none"/>
                <w:lang w:val="en-US" w:eastAsia="zh-CN"/>
              </w:rPr>
              <w:t>（四）实施其他足以引人误认为是他人商品或者与他人存在特定联系的混淆行为。</w:t>
            </w:r>
          </w:p>
          <w:p w14:paraId="20299B6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第十八条</w:t>
            </w:r>
            <w:r>
              <w:rPr>
                <w:rFonts w:hint="eastAsia" w:ascii="BMHBIL+SimSun" w:hAnsi="BMHBIL+SimSun" w:cs="BMHBIL+SimSun"/>
                <w:color w:val="000000"/>
                <w:spacing w:val="1"/>
                <w:sz w:val="20"/>
                <w:szCs w:val="20"/>
                <w:highlight w:val="none"/>
                <w:lang w:val="en-US" w:eastAsia="zh-CN"/>
              </w:rPr>
              <w:t>第一款</w:t>
            </w:r>
            <w:r>
              <w:rPr>
                <w:rFonts w:hint="default" w:ascii="BMHBIL+SimSun" w:hAnsi="BMHBIL+SimSun" w:cs="BMHBIL+SimSun"/>
                <w:color w:val="000000"/>
                <w:spacing w:val="1"/>
                <w:sz w:val="20"/>
                <w:szCs w:val="20"/>
                <w:highlight w:val="none"/>
                <w:lang w:val="en-US" w:eastAsia="zh-CN"/>
              </w:rPr>
              <w:t xml:space="preserve"> 经营者违反本法第六条规定实施混淆行为的，由监督检查部门责令停止违法行为，没收违法商品 。违法经营额五万元以上的，可以并处违法经营额五倍以下的罚款；没有违法经营额或者违法经营额不足五万元的，可以并处二十五万元以下的罚款。情节严重的，吊销营业执照。</w:t>
            </w:r>
          </w:p>
          <w:p w14:paraId="0BC99A34">
            <w:pPr>
              <w:widowControl w:val="0"/>
              <w:autoSpaceDE w:val="0"/>
              <w:autoSpaceDN w:val="0"/>
              <w:spacing w:before="0" w:after="0" w:line="221" w:lineRule="exact"/>
              <w:ind w:left="0" w:right="0" w:firstLine="0"/>
              <w:jc w:val="left"/>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BMHBIL+SimSun" w:hAnsi="BMHBIL+SimSun" w:cs="BMHBIL+SimSun"/>
                <w:color w:val="000000"/>
                <w:spacing w:val="1"/>
                <w:sz w:val="20"/>
                <w:szCs w:val="20"/>
                <w:highlight w:val="none"/>
                <w:lang w:val="en-US" w:eastAsia="zh-CN"/>
              </w:rPr>
              <w:t xml:space="preserve">第十八条第二款 </w:t>
            </w:r>
            <w:r>
              <w:rPr>
                <w:rFonts w:hint="default" w:ascii="BMHBIL+SimSun" w:hAnsi="BMHBIL+SimSun" w:cs="BMHBIL+SimSun"/>
                <w:color w:val="000000"/>
                <w:spacing w:val="1"/>
                <w:sz w:val="20"/>
                <w:szCs w:val="20"/>
                <w:highlight w:val="none"/>
                <w:lang w:val="en-US" w:eastAsia="zh-CN"/>
              </w:rPr>
              <w:t>经营者登记的企业名称违反本法第六条规定的，应当及时办理名称变更登记；名称变更前，由原企业登记机关以统一社会信用代码代替其名称。</w:t>
            </w:r>
          </w:p>
        </w:tc>
        <w:tc>
          <w:tcPr>
            <w:tcW w:w="1140" w:type="dxa"/>
            <w:noWrap w:val="0"/>
            <w:vAlign w:val="center"/>
          </w:tcPr>
          <w:p w14:paraId="3E5A73AE">
            <w:pPr>
              <w:keepNext w:val="0"/>
              <w:keepLines w:val="0"/>
              <w:widowControl/>
              <w:suppressLineNumbers w:val="0"/>
              <w:jc w:val="center"/>
            </w:pPr>
            <w:r>
              <w:rPr>
                <w:rFonts w:ascii="瀹嬩綋" w:hAnsi="瀹嬩綋" w:eastAsia="瀹嬩綋" w:cs="瀹嬩綋"/>
                <w:color w:val="000000"/>
                <w:kern w:val="0"/>
                <w:sz w:val="22"/>
                <w:szCs w:val="22"/>
                <w:lang w:val="en-US" w:eastAsia="zh-CN" w:bidi="ar"/>
              </w:rPr>
              <w:t>★</w:t>
            </w:r>
          </w:p>
          <w:p w14:paraId="6831F080">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p>
        </w:tc>
        <w:tc>
          <w:tcPr>
            <w:tcW w:w="2145" w:type="dxa"/>
            <w:noWrap w:val="0"/>
            <w:vAlign w:val="top"/>
          </w:tcPr>
          <w:p w14:paraId="28971CFC">
            <w:pPr>
              <w:widowControl w:val="0"/>
              <w:autoSpaceDE w:val="0"/>
              <w:autoSpaceDN w:val="0"/>
              <w:spacing w:before="0" w:after="0" w:line="221" w:lineRule="exact"/>
              <w:ind w:left="0" w:right="0" w:firstLine="0"/>
              <w:jc w:val="left"/>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BMHBIL+SimSun" w:hAnsi="BMHBIL+SimSun" w:cs="BMHBIL+SimSun"/>
                <w:color w:val="000000"/>
                <w:spacing w:val="1"/>
                <w:sz w:val="20"/>
                <w:szCs w:val="20"/>
                <w:highlight w:val="none"/>
                <w:lang w:val="en-US" w:eastAsia="zh-CN"/>
              </w:rPr>
              <w:t>经营者不得实施擅自使用与他人有一定影响的商品名称、包装、装潢等相同或者近似的标识的混淆行为</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不得实施擅自使用他人有一定影响的企业名称（包括简称、字号等）、社会组织名称 （包括简称等）、姓名（包括笔名、艺名、译名等）的混淆行为</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不得实施擅自使用他人有一定影响的域名主体部分、网站名称、网页等的混淆行为，包括公益网站</w:t>
            </w:r>
            <w:r>
              <w:rPr>
                <w:rFonts w:hint="eastAsia" w:ascii="BMHBIL+SimSun" w:hAnsi="BMHBIL+SimSun" w:cs="BMHBIL+SimSun"/>
                <w:color w:val="000000"/>
                <w:spacing w:val="1"/>
                <w:sz w:val="20"/>
                <w:szCs w:val="20"/>
                <w:highlight w:val="none"/>
                <w:lang w:val="en-US" w:eastAsia="zh-CN"/>
              </w:rPr>
              <w:t>等；</w:t>
            </w:r>
            <w:r>
              <w:rPr>
                <w:rFonts w:hint="default" w:ascii="BMHBIL+SimSun" w:hAnsi="BMHBIL+SimSun" w:cs="BMHBIL+SimSun"/>
                <w:color w:val="000000"/>
                <w:spacing w:val="1"/>
                <w:sz w:val="20"/>
                <w:szCs w:val="20"/>
                <w:highlight w:val="none"/>
                <w:lang w:val="en-US" w:eastAsia="zh-CN"/>
              </w:rPr>
              <w:t>不得</w:t>
            </w:r>
            <w:r>
              <w:rPr>
                <w:rFonts w:hint="eastAsia" w:ascii="BMHBIL+SimSun" w:hAnsi="BMHBIL+SimSun" w:cs="BMHBIL+SimSun"/>
                <w:color w:val="000000"/>
                <w:spacing w:val="1"/>
                <w:sz w:val="20"/>
                <w:szCs w:val="20"/>
                <w:highlight w:val="none"/>
                <w:lang w:val="en-US" w:eastAsia="zh-CN"/>
              </w:rPr>
              <w:t>实施</w:t>
            </w:r>
            <w:r>
              <w:rPr>
                <w:rFonts w:hint="default" w:ascii="BMHBIL+SimSun" w:hAnsi="BMHBIL+SimSun" w:cs="BMHBIL+SimSun"/>
                <w:color w:val="000000"/>
                <w:spacing w:val="1"/>
                <w:sz w:val="20"/>
                <w:szCs w:val="20"/>
                <w:highlight w:val="none"/>
                <w:lang w:val="en-US" w:eastAsia="zh-CN"/>
              </w:rPr>
              <w:t>擅自使用与他人有一定影响的商品独特形状、节目栏目名称、企业标志、网店名称、自媒体名称或者标志、应用软件名称或者图标等相同或者近似的标识等</w:t>
            </w:r>
            <w:r>
              <w:rPr>
                <w:rFonts w:hint="eastAsia" w:ascii="BMHBIL+SimSun" w:hAnsi="BMHBIL+SimSun" w:cs="BMHBIL+SimSun"/>
                <w:color w:val="000000"/>
                <w:spacing w:val="1"/>
                <w:sz w:val="20"/>
                <w:szCs w:val="20"/>
                <w:highlight w:val="none"/>
                <w:lang w:val="en-US" w:eastAsia="zh-CN"/>
              </w:rPr>
              <w:t>的混淆行为，</w:t>
            </w:r>
            <w:r>
              <w:rPr>
                <w:rFonts w:hint="default" w:ascii="BMHBIL+SimSun" w:hAnsi="BMHBIL+SimSun" w:cs="BMHBIL+SimSun"/>
                <w:color w:val="000000"/>
                <w:spacing w:val="1"/>
                <w:sz w:val="20"/>
                <w:szCs w:val="20"/>
                <w:highlight w:val="none"/>
                <w:lang w:val="en-US" w:eastAsia="zh-CN"/>
              </w:rPr>
              <w:t>引人误认为是他人商品或者与他人存在特定联系。</w:t>
            </w:r>
          </w:p>
          <w:p w14:paraId="222CCF6A">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default" w:ascii="Times New Roman" w:hAnsi="Times New Roman" w:eastAsia="方正黑体_GBK" w:cs="Times New Roman"/>
                <w:snapToGrid w:val="0"/>
                <w:color w:val="auto"/>
                <w:kern w:val="0"/>
                <w:sz w:val="21"/>
                <w:szCs w:val="21"/>
                <w:vertAlign w:val="baseline"/>
                <w:lang w:val="en-US" w:eastAsia="zh-CN"/>
              </w:rPr>
            </w:pPr>
          </w:p>
        </w:tc>
        <w:tc>
          <w:tcPr>
            <w:tcW w:w="1624" w:type="dxa"/>
            <w:noWrap w:val="0"/>
            <w:vAlign w:val="center"/>
          </w:tcPr>
          <w:p w14:paraId="742B42B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5FAE52BF">
            <w:pPr>
              <w:widowControl w:val="0"/>
              <w:autoSpaceDE w:val="0"/>
              <w:autoSpaceDN w:val="0"/>
              <w:spacing w:before="0" w:after="0" w:line="221" w:lineRule="exact"/>
              <w:ind w:left="0" w:right="0" w:firstLine="0"/>
              <w:jc w:val="left"/>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p w14:paraId="3A7EDC50">
            <w:pPr>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p>
        </w:tc>
      </w:tr>
      <w:tr w14:paraId="28F1B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B6A330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bidi="ar-SA"/>
              </w:rPr>
              <w:t>2</w:t>
            </w:r>
          </w:p>
        </w:tc>
        <w:tc>
          <w:tcPr>
            <w:tcW w:w="1542" w:type="dxa"/>
            <w:noWrap w:val="0"/>
            <w:vAlign w:val="center"/>
          </w:tcPr>
          <w:p w14:paraId="2B5C0126">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经营者不得作虚假或者引人误解的商业宣传</w:t>
            </w:r>
          </w:p>
          <w:p w14:paraId="01E77826">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46BD4BB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经营者对其商品的性能、功能 、质量、销售状况、用户评价曾获荣誉等作虚假或者引人误解的商业宣传，具体表现为：</w:t>
            </w:r>
          </w:p>
          <w:p w14:paraId="61084E6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内容虚假，与实际情况不符；</w:t>
            </w:r>
          </w:p>
          <w:p w14:paraId="3E3A31D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使用含糊不清有多重语义的表述；</w:t>
            </w:r>
          </w:p>
          <w:p w14:paraId="001C5F9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3.仅陈述部分事实，让人引发错误联系。如，将提供服务的普通工人宣传为国家高级技师，刷单炒信、虚假评价、假排队，宣传商品含有珍贵物质但实际含量极低不足以产生所宣称益处等。</w:t>
            </w:r>
          </w:p>
          <w:p w14:paraId="4F85E56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640" w:type="dxa"/>
            <w:noWrap w:val="0"/>
            <w:vAlign w:val="center"/>
          </w:tcPr>
          <w:p w14:paraId="64C8AD7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《中华人民共和国反不正当竞争法》 </w:t>
            </w:r>
          </w:p>
          <w:p w14:paraId="6171369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第八条第一款 经营者不得对其商品的性能、功能、质量、销售状况、用户评价、曾获荣誉等作虚假或者引人误解的商业宣传，欺骗、误导消费者。</w:t>
            </w:r>
          </w:p>
          <w:p w14:paraId="3B83E32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第二十条第一款 经营者违反本法第八条规定对其商品作虚假或者引人误解的商业宣传，或者通过组织虚假交易等方式帮助其他经营者进行虚假或者引人误解的商业宣传的，由监督检查部门责令停止违法行为，处二十万元以上一百万元以下的罚款；情节严重的，处一百万元以上二百万元以下的罚款，可以吊销营业执照。</w:t>
            </w:r>
          </w:p>
          <w:p w14:paraId="7EF8520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140" w:type="dxa"/>
            <w:noWrap w:val="0"/>
            <w:vAlign w:val="center"/>
          </w:tcPr>
          <w:p w14:paraId="1DBC860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13D40A9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145" w:type="dxa"/>
            <w:noWrap w:val="0"/>
            <w:vAlign w:val="center"/>
          </w:tcPr>
          <w:p w14:paraId="1784926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场所内对商品进行演示、说明，上门推销，召开宣传会、推介会等形式，对其商品的性能、功能、质量、销售状况、用户评价、曾获荣誉等进行虚假或者引人误解的商业宣传，欺骗、误导消费者。商品或服务的相关信息包括关于商品或服务的自然属性的信息（如商品的性能、功能、产地、用途、质量、成分、有效期限等，服务的标准、质量、时</w:t>
            </w:r>
          </w:p>
          <w:p w14:paraId="2BA22F6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间、地点等），商品的生产者、经营者、服务提供者的信息（如资质、资产规模、曾获荣誉，与知名企业、知</w:t>
            </w:r>
          </w:p>
          <w:p w14:paraId="2FF1DC6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名人士的关系等），商品的市场信息（如价格、销售状况、用户评价等）。</w:t>
            </w:r>
          </w:p>
        </w:tc>
        <w:tc>
          <w:tcPr>
            <w:tcW w:w="1624" w:type="dxa"/>
            <w:noWrap w:val="0"/>
            <w:vAlign w:val="center"/>
          </w:tcPr>
          <w:p w14:paraId="6910589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4B7215BC">
            <w:pPr>
              <w:widowControl w:val="0"/>
              <w:autoSpaceDE w:val="0"/>
              <w:autoSpaceDN w:val="0"/>
              <w:spacing w:before="0" w:after="0" w:line="221" w:lineRule="exact"/>
              <w:ind w:left="0" w:right="0" w:firstLine="0"/>
              <w:jc w:val="left"/>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p w14:paraId="71B10949">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p>
        </w:tc>
      </w:tr>
      <w:tr w14:paraId="7ACCD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5992D7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bidi="ar-SA"/>
              </w:rPr>
              <w:t>3</w:t>
            </w:r>
          </w:p>
        </w:tc>
        <w:tc>
          <w:tcPr>
            <w:tcW w:w="1542" w:type="dxa"/>
            <w:noWrap w:val="0"/>
            <w:vAlign w:val="center"/>
          </w:tcPr>
          <w:p w14:paraId="146A073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w:t>
            </w:r>
            <w:r>
              <w:rPr>
                <w:rFonts w:hint="eastAsia" w:ascii="BMHBIL+SimSun" w:hAnsi="BMHBIL+SimSun" w:cs="BMHBIL+SimSun"/>
                <w:color w:val="000000"/>
                <w:spacing w:val="1"/>
                <w:sz w:val="20"/>
                <w:szCs w:val="20"/>
                <w:highlight w:val="none"/>
                <w:lang w:val="en-US" w:eastAsia="zh-CN"/>
              </w:rPr>
              <w:t>帮助其他经营者进行虚假或者引人误解的商业宣传，不得</w:t>
            </w:r>
            <w:r>
              <w:rPr>
                <w:rFonts w:hint="default" w:ascii="BMHBIL+SimSun" w:hAnsi="BMHBIL+SimSun" w:cs="BMHBIL+SimSun"/>
                <w:color w:val="000000"/>
                <w:spacing w:val="1"/>
                <w:sz w:val="20"/>
                <w:szCs w:val="20"/>
                <w:highlight w:val="none"/>
                <w:lang w:val="en-US" w:eastAsia="zh-CN"/>
              </w:rPr>
              <w:t>编造、传播虚假信息或者误导性信息，损害</w:t>
            </w:r>
          </w:p>
          <w:p w14:paraId="54BE10F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竞争对手的商业信誉、商品声誉</w:t>
            </w:r>
            <w:r>
              <w:rPr>
                <w:rFonts w:hint="eastAsia" w:ascii="BMHBIL+SimSun" w:hAnsi="BMHBIL+SimSun" w:cs="BMHBIL+SimSun"/>
                <w:color w:val="000000"/>
                <w:spacing w:val="1"/>
                <w:sz w:val="20"/>
                <w:szCs w:val="20"/>
                <w:highlight w:val="none"/>
                <w:lang w:val="en-US" w:eastAsia="zh-CN"/>
              </w:rPr>
              <w:t>。</w:t>
            </w:r>
          </w:p>
          <w:p w14:paraId="71AB916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p w14:paraId="6A0779D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top"/>
          </w:tcPr>
          <w:p w14:paraId="166204A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经营者通过组织虚假交易等方式，如组织刷单炒信等， 帮助其他经营者进行虚假或者引人误解的商业宣传。</w:t>
            </w:r>
          </w:p>
          <w:p w14:paraId="2665B75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编造、传播虚假信息或者事实虽然真实，但仅陈述部分事实，容易引发错误联想的误导性信息，对竞争对手的商业信誉、商品声誉进行恶意的诋毁、贬低，以削弱其市场竞争能力，并为自己谋取不正当利益。如</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无中生有地宣称竞争对手商品存在质量问题、服务人员不具备相应资质；宣称竞争对手提供产品含有有毒有害物质，呼吁消费者不要购买，但实际含量极少对人体健康没有危害。</w:t>
            </w:r>
          </w:p>
        </w:tc>
        <w:tc>
          <w:tcPr>
            <w:tcW w:w="3640" w:type="dxa"/>
            <w:noWrap w:val="0"/>
            <w:vAlign w:val="top"/>
          </w:tcPr>
          <w:p w14:paraId="3497D2C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《中华人民共和国反不正当竞争法》</w:t>
            </w:r>
          </w:p>
          <w:p w14:paraId="6EF3CFD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第八条第二款 经营者不得通过组织虚假交易等方式，帮助其他经营者进行虚假或者引人误解的商业宣传。</w:t>
            </w:r>
          </w:p>
          <w:p w14:paraId="04220F7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第二十条第一款 经营者违反本法第八条规定对其商品作虚假或者引人误解的商业宣传，或者通过组织虚假交易等方式帮助其他经营者进行虚假或者引人误解的商业宣传的，由监督检查部门责令停止违法行为，处二十万元以上一百万元以下的罚款；情节严重的，处一百万元以上二百万元以下的罚款， 可以吊销营业执照</w:t>
            </w:r>
            <w:r>
              <w:rPr>
                <w:rFonts w:hint="eastAsia" w:ascii="BMHBIL+SimSun" w:hAnsi="BMHBIL+SimSun" w:cs="BMHBIL+SimSun"/>
                <w:color w:val="000000"/>
                <w:spacing w:val="1"/>
                <w:sz w:val="20"/>
                <w:szCs w:val="20"/>
                <w:highlight w:val="none"/>
                <w:lang w:val="en-US" w:eastAsia="zh-CN"/>
              </w:rPr>
              <w:t>。</w:t>
            </w:r>
          </w:p>
          <w:p w14:paraId="35B9B8B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第十一条</w:t>
            </w:r>
            <w:r>
              <w:rPr>
                <w:rFonts w:hint="eastAsia" w:ascii="BMHBIL+SimSun" w:hAnsi="BMHBIL+SimSun" w:cs="BMHBIL+SimSun"/>
                <w:color w:val="000000"/>
                <w:spacing w:val="1"/>
                <w:sz w:val="20"/>
                <w:szCs w:val="20"/>
                <w:highlight w:val="none"/>
                <w:lang w:val="en-US" w:eastAsia="zh-CN"/>
              </w:rPr>
              <w:t xml:space="preserve"> </w:t>
            </w:r>
            <w:r>
              <w:rPr>
                <w:rFonts w:hint="default" w:ascii="BMHBIL+SimSun" w:hAnsi="BMHBIL+SimSun" w:cs="BMHBIL+SimSun"/>
                <w:color w:val="000000"/>
                <w:spacing w:val="1"/>
                <w:sz w:val="20"/>
                <w:szCs w:val="20"/>
                <w:highlight w:val="none"/>
                <w:lang w:val="en-US" w:eastAsia="zh-CN"/>
              </w:rPr>
              <w:t>经营者不得编造、传播虚假信息或者误导性信息，损害竞争对手的商业信誉、商品声誉。</w:t>
            </w:r>
          </w:p>
          <w:p w14:paraId="123BF22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第二十三条 经营者违反本法第十一条规定损害竞争对手商业信誉、商品声誉的，由监督检查部门责令停止违法行为、消除影响，处十万元以上五十万元以下的罚款；情节严重的，处五十万元以上三百万元以下的罚款。</w:t>
            </w:r>
          </w:p>
          <w:p w14:paraId="1726288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140" w:type="dxa"/>
            <w:noWrap w:val="0"/>
            <w:vAlign w:val="center"/>
          </w:tcPr>
          <w:p w14:paraId="4BF35915">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540BF8D9">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p>
        </w:tc>
        <w:tc>
          <w:tcPr>
            <w:tcW w:w="2145" w:type="dxa"/>
            <w:noWrap w:val="0"/>
            <w:vAlign w:val="top"/>
          </w:tcPr>
          <w:p w14:paraId="091A22E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经营者不得通过组织虚假交易等方式，帮助其他经营者进行虚假或者引人误解的商业宣传。</w:t>
            </w:r>
          </w:p>
          <w:p w14:paraId="06D702D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经营者不得编造、传播虚假信息或者误导性信息，损害竞争对手的商业信誉、商品声誉。</w:t>
            </w:r>
          </w:p>
          <w:p w14:paraId="50E7CCF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 经营者包括从事商品生产 、经营或者提供服务的自然人、法人、非法人组织。</w:t>
            </w:r>
          </w:p>
          <w:p w14:paraId="3C57B82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2．竞争对手为生产、销售、提供相同或相似、具备相似功能、可以相互替代的商品或服务经营者，或者存在</w:t>
            </w:r>
          </w:p>
          <w:p w14:paraId="2DB1205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争夺消费者注意力、购买力等商业利益冲突的经营者。</w:t>
            </w:r>
          </w:p>
          <w:p w14:paraId="6B4CEA4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4D187B7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6E9382D4">
            <w:pPr>
              <w:widowControl w:val="0"/>
              <w:autoSpaceDE w:val="0"/>
              <w:autoSpaceDN w:val="0"/>
              <w:spacing w:before="0" w:after="0" w:line="221" w:lineRule="exact"/>
              <w:ind w:left="0" w:right="0" w:firstLine="0"/>
              <w:jc w:val="left"/>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p w14:paraId="1836703A">
            <w:pPr>
              <w:keepNext w:val="0"/>
              <w:keepLines w:val="0"/>
              <w:widowControl/>
              <w:suppressLineNumbers w:val="0"/>
              <w:jc w:val="center"/>
              <w:rPr>
                <w:rFonts w:hint="default" w:ascii="Times New Roman" w:hAnsi="Times New Roman" w:eastAsia="方正黑体_GBK" w:cs="Times New Roman"/>
                <w:snapToGrid w:val="0"/>
                <w:color w:val="auto"/>
                <w:kern w:val="0"/>
                <w:sz w:val="21"/>
                <w:szCs w:val="21"/>
                <w:vertAlign w:val="baseline"/>
                <w:lang w:val="en-US" w:eastAsia="zh-CN"/>
              </w:rPr>
            </w:pPr>
          </w:p>
        </w:tc>
      </w:tr>
      <w:tr w14:paraId="56509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14E110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bidi="ar-SA"/>
              </w:rPr>
              <w:t>4</w:t>
            </w:r>
          </w:p>
        </w:tc>
        <w:tc>
          <w:tcPr>
            <w:tcW w:w="1542" w:type="dxa"/>
            <w:noWrap w:val="0"/>
            <w:vAlign w:val="center"/>
          </w:tcPr>
          <w:p w14:paraId="7E3DF03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经营者不得采</w:t>
            </w:r>
          </w:p>
          <w:p w14:paraId="2134BE2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用财物或者其</w:t>
            </w:r>
          </w:p>
          <w:p w14:paraId="6A42BB3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他手段贿赂相</w:t>
            </w:r>
          </w:p>
          <w:p w14:paraId="734EF0B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关单位或者个</w:t>
            </w:r>
          </w:p>
          <w:p w14:paraId="1409317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人</w:t>
            </w:r>
          </w:p>
          <w:p w14:paraId="3C7504A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top"/>
          </w:tcPr>
          <w:p w14:paraId="185C697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经营者采用财物或者其他手段贿赂下列单位或者个人，以谋取交易机会或者竞争优势：</w:t>
            </w:r>
          </w:p>
          <w:p w14:paraId="2A73110E">
            <w:pPr>
              <w:widowControl w:val="0"/>
              <w:numPr>
                <w:ilvl w:val="0"/>
                <w:numId w:val="4"/>
              </w:numPr>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交易相对方的工作人员；</w:t>
            </w:r>
          </w:p>
          <w:p w14:paraId="2776861F">
            <w:pPr>
              <w:widowControl w:val="0"/>
              <w:numPr>
                <w:ilvl w:val="0"/>
                <w:numId w:val="4"/>
              </w:numPr>
              <w:autoSpaceDE w:val="0"/>
              <w:autoSpaceDN w:val="0"/>
              <w:spacing w:before="0" w:after="0" w:line="221" w:lineRule="exact"/>
              <w:ind w:left="0" w:leftChars="0" w:right="0" w:rightChars="0" w:firstLine="0" w:firstLineChars="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受交易相对方委托办理相关事务的单位或者个人；</w:t>
            </w:r>
          </w:p>
          <w:p w14:paraId="41038A74">
            <w:pPr>
              <w:widowControl w:val="0"/>
              <w:numPr>
                <w:ilvl w:val="0"/>
                <w:numId w:val="0"/>
              </w:numPr>
              <w:autoSpaceDE w:val="0"/>
              <w:autoSpaceDN w:val="0"/>
              <w:spacing w:before="0" w:after="0" w:line="221" w:lineRule="exact"/>
              <w:ind w:leftChars="0" w:right="0" w:rightChars="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3.利用职权或者影响力影响交易的单位或者个人。如：某药品经营企业为向某医院销售药品，暗中给予该医院药品采购人员销售回扣。</w:t>
            </w:r>
          </w:p>
          <w:p w14:paraId="3761B7F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640" w:type="dxa"/>
            <w:noWrap w:val="0"/>
            <w:vAlign w:val="center"/>
          </w:tcPr>
          <w:p w14:paraId="6BA32EF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《中华人民共和国反不正当竞争法》</w:t>
            </w:r>
          </w:p>
          <w:p w14:paraId="559EB67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第十九条</w:t>
            </w:r>
            <w:r>
              <w:rPr>
                <w:rFonts w:hint="eastAsia" w:ascii="BMHBIL+SimSun" w:hAnsi="BMHBIL+SimSun" w:cs="BMHBIL+SimSun"/>
                <w:color w:val="000000"/>
                <w:spacing w:val="1"/>
                <w:sz w:val="20"/>
                <w:szCs w:val="20"/>
                <w:highlight w:val="none"/>
                <w:lang w:val="en-US" w:eastAsia="zh-CN"/>
              </w:rPr>
              <w:t xml:space="preserve"> </w:t>
            </w:r>
            <w:r>
              <w:rPr>
                <w:rFonts w:hint="default" w:ascii="BMHBIL+SimSun" w:hAnsi="BMHBIL+SimSun" w:cs="BMHBIL+SimSun"/>
                <w:color w:val="000000"/>
                <w:spacing w:val="1"/>
                <w:sz w:val="20"/>
                <w:szCs w:val="20"/>
                <w:highlight w:val="none"/>
                <w:lang w:val="en-US" w:eastAsia="zh-CN"/>
              </w:rPr>
              <w:t>经营者违反本法第七条规定贿赂他人的，由监督检查部门没收违法所得，处十万元以上三百万元以下的罚款。情节严重的，吊销营业执照</w:t>
            </w:r>
          </w:p>
          <w:p w14:paraId="01B00FA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140" w:type="dxa"/>
            <w:noWrap w:val="0"/>
            <w:vAlign w:val="center"/>
          </w:tcPr>
          <w:p w14:paraId="2C330042">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010B4616">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p>
        </w:tc>
        <w:tc>
          <w:tcPr>
            <w:tcW w:w="2145" w:type="dxa"/>
            <w:noWrap w:val="0"/>
            <w:vAlign w:val="top"/>
          </w:tcPr>
          <w:p w14:paraId="6015999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 建立反商业贿赂的内部规章制度。</w:t>
            </w:r>
          </w:p>
          <w:p w14:paraId="30BA30D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 设立反商业贿赂部门，配备专职合规人员。</w:t>
            </w:r>
          </w:p>
          <w:p w14:paraId="5732B5A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 严格且有效执行内部财务制度、会计制度和审计制度。</w:t>
            </w:r>
          </w:p>
          <w:p w14:paraId="5E8F87F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4. 针对各层级工作人员开展反商业贿赂培训。</w:t>
            </w:r>
          </w:p>
          <w:p w14:paraId="3FD49EA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5. 建立重点岗位监督和风控机制。</w:t>
            </w:r>
          </w:p>
          <w:p w14:paraId="498FB29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6. 可聘请专业人员介入合规审查、违规人员处理等。</w:t>
            </w:r>
          </w:p>
        </w:tc>
        <w:tc>
          <w:tcPr>
            <w:tcW w:w="1624" w:type="dxa"/>
            <w:noWrap w:val="0"/>
            <w:vAlign w:val="center"/>
          </w:tcPr>
          <w:p w14:paraId="083E80D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740DA354">
            <w:pPr>
              <w:keepNext w:val="0"/>
              <w:keepLines w:val="0"/>
              <w:widowControl/>
              <w:suppressLineNumbers w:val="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59413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B851A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黑体_GBK" w:cs="Times New Roman"/>
                <w:snapToGrid w:val="0"/>
                <w:color w:val="auto"/>
                <w:kern w:val="0"/>
                <w:sz w:val="21"/>
                <w:szCs w:val="21"/>
                <w:vertAlign w:val="baseline"/>
                <w:lang w:val="en-US" w:eastAsia="zh-CN"/>
              </w:rPr>
              <w:t>5</w:t>
            </w:r>
          </w:p>
        </w:tc>
        <w:tc>
          <w:tcPr>
            <w:tcW w:w="1542" w:type="dxa"/>
            <w:noWrap w:val="0"/>
            <w:vAlign w:val="center"/>
          </w:tcPr>
          <w:p w14:paraId="4DA2959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经营者不得实</w:t>
            </w:r>
          </w:p>
          <w:p w14:paraId="6488A4E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施侵犯商业秘</w:t>
            </w:r>
          </w:p>
          <w:p w14:paraId="0992BAE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密的行为</w:t>
            </w:r>
          </w:p>
          <w:p w14:paraId="46478D8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top"/>
          </w:tcPr>
          <w:p w14:paraId="5ACCAC4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经营者实施下列行为属于侵犯商业秘密：</w:t>
            </w:r>
          </w:p>
          <w:p w14:paraId="200B8E3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1.以盗窃、贿赂、欺诈、胁迫、电子侵入或者其他不正当手段获取权利人的商业秘密；</w:t>
            </w:r>
          </w:p>
          <w:p w14:paraId="3651C2E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2.披露、使用或者允许他人使用以第1条所列手段获取的权利人的商业秘密；</w:t>
            </w:r>
          </w:p>
          <w:p w14:paraId="7B000E5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 违反保密义务或者违反权利人有关保守商业秘密的要求</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披露、使用或者允许他人使用其所掌握的商业秘密；</w:t>
            </w:r>
          </w:p>
          <w:p w14:paraId="2C01FD0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4.教唆、引诱、帮助他人违反保密义务或者违反权利人有关保守商业秘密的要求，获取、披露、使用或者允许他人使用权利人的商业秘密。如：某企业高管违反保密义务，携带原公司的商业秘密资料到新任职的公司，通过商业秘密资料为新任职的公司谋取利益。</w:t>
            </w:r>
          </w:p>
        </w:tc>
        <w:tc>
          <w:tcPr>
            <w:tcW w:w="3640" w:type="dxa"/>
            <w:noWrap w:val="0"/>
            <w:vAlign w:val="center"/>
          </w:tcPr>
          <w:p w14:paraId="00419E0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《中华人民共和国反不正当竞争法》</w:t>
            </w:r>
          </w:p>
          <w:p w14:paraId="00DE477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第二十一条 经营者以及其他自然人、 法人和非法人组织违反本法第九条规定侵犯商业秘密的，由监督检查部门责令停止违法行为，没收违法所得，处十万元以上一百万元以下的罚款；情节严重的，处五十万元以上五百万元以下的罚款。</w:t>
            </w:r>
          </w:p>
          <w:p w14:paraId="7DA79E3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140" w:type="dxa"/>
            <w:noWrap w:val="0"/>
            <w:vAlign w:val="center"/>
          </w:tcPr>
          <w:p w14:paraId="715E9AD8">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772ECE3B">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p>
        </w:tc>
        <w:tc>
          <w:tcPr>
            <w:tcW w:w="2145" w:type="dxa"/>
            <w:noWrap w:val="0"/>
            <w:vAlign w:val="center"/>
          </w:tcPr>
          <w:p w14:paraId="35A9AC66">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 严格遵守保密义务或者权利人有关保守商业秘密的要求。</w:t>
            </w:r>
          </w:p>
          <w:p w14:paraId="4D534DCB">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 不得侵犯他人商业秘密。在员工招聘环节尽到审慎注意义务，尤其是“跳槽”员工，是否已与原单位解除劳</w:t>
            </w:r>
          </w:p>
          <w:p w14:paraId="42F2A28D">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动合同关系，是否负有竞业限制义务和商业秘密保密义务，并签订承诺书；在进行反向工程时，保证被反向工</w:t>
            </w:r>
          </w:p>
          <w:p w14:paraId="7E73CEAA">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程的产品是合法取得的，反向工程过程中实施“净室”技术并保存证据。</w:t>
            </w:r>
          </w:p>
          <w:p w14:paraId="645BF70A">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p>
        </w:tc>
        <w:tc>
          <w:tcPr>
            <w:tcW w:w="1624" w:type="dxa"/>
            <w:shd w:val="clear" w:color="auto" w:fill="auto"/>
            <w:noWrap w:val="0"/>
            <w:vAlign w:val="center"/>
          </w:tcPr>
          <w:p w14:paraId="53E0B59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63F852D0">
            <w:pPr>
              <w:keepNext w:val="0"/>
              <w:keepLines w:val="0"/>
              <w:widowControl/>
              <w:suppressLineNumbers w:val="0"/>
              <w:jc w:val="center"/>
              <w:rPr>
                <w:rFonts w:hint="default" w:ascii="Times New Roman" w:hAnsi="Times New Roman" w:eastAsia="方正黑体_GBK" w:cs="Times New Roman"/>
                <w:snapToGrid w:val="0"/>
                <w:color w:val="auto"/>
                <w:kern w:val="0"/>
                <w:sz w:val="21"/>
                <w:szCs w:val="21"/>
                <w:vertAlign w:val="baseline"/>
                <w:lang w:val="en-US" w:eastAsia="zh-CN" w:bidi="ar-SA"/>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01ED0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FB1EA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bidi="ar-SA"/>
              </w:rPr>
              <w:t>6</w:t>
            </w:r>
          </w:p>
        </w:tc>
        <w:tc>
          <w:tcPr>
            <w:tcW w:w="1542" w:type="dxa"/>
            <w:noWrap w:val="0"/>
            <w:vAlign w:val="center"/>
          </w:tcPr>
          <w:p w14:paraId="1D40121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经营者不得进行违法有奖销售行为</w:t>
            </w:r>
            <w:r>
              <w:rPr>
                <w:rFonts w:hint="eastAsia" w:ascii="BMHBIL+SimSun" w:hAnsi="BMHBIL+SimSun" w:cs="BMHBIL+SimSun"/>
                <w:color w:val="000000"/>
                <w:spacing w:val="1"/>
                <w:sz w:val="20"/>
                <w:szCs w:val="20"/>
                <w:highlight w:val="none"/>
                <w:lang w:val="en-US" w:eastAsia="zh-CN"/>
              </w:rPr>
              <w:t>。</w:t>
            </w:r>
          </w:p>
          <w:p w14:paraId="530DCBD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6F90A2B2">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经营者进行有奖销售存在下列情形：</w:t>
            </w:r>
          </w:p>
          <w:p w14:paraId="62367AB8">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1.有奖销售所设奖的种类、兑奖条件、奖金金额或者奖品等有奖销售信息不明确，影响兑奖；</w:t>
            </w:r>
          </w:p>
          <w:p w14:paraId="462F1B21">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 经营者采用谎称有奖或者故意让内定人员中奖的欺骗方式进行有奖销售；</w:t>
            </w:r>
          </w:p>
          <w:p w14:paraId="083933FE">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3.抽奖式的有奖销售，最高奖的金额超过五万元。</w:t>
            </w:r>
          </w:p>
          <w:p w14:paraId="61C63392">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如：某新开的购物广场为了提高人气，举行有奖销售活动， 一等奖奖品为一款热门电动汽车，该有奖销售的最高奖超过五万元。</w:t>
            </w:r>
          </w:p>
          <w:p w14:paraId="6ACFB8C0">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p>
        </w:tc>
        <w:tc>
          <w:tcPr>
            <w:tcW w:w="3640" w:type="dxa"/>
            <w:noWrap w:val="0"/>
            <w:vAlign w:val="center"/>
          </w:tcPr>
          <w:p w14:paraId="2442BBF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《中华人民共和国反不正当竞争法》</w:t>
            </w:r>
          </w:p>
          <w:p w14:paraId="4F21516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第二十二条</w:t>
            </w:r>
            <w:r>
              <w:rPr>
                <w:rFonts w:hint="eastAsia" w:ascii="BMHBIL+SimSun" w:hAnsi="BMHBIL+SimSun" w:cs="BMHBIL+SimSun"/>
                <w:color w:val="000000"/>
                <w:spacing w:val="1"/>
                <w:sz w:val="20"/>
                <w:szCs w:val="20"/>
                <w:highlight w:val="none"/>
                <w:lang w:val="en-US" w:eastAsia="zh-CN"/>
              </w:rPr>
              <w:t xml:space="preserve"> </w:t>
            </w:r>
            <w:r>
              <w:rPr>
                <w:rFonts w:hint="default" w:ascii="BMHBIL+SimSun" w:hAnsi="BMHBIL+SimSun" w:cs="BMHBIL+SimSun"/>
                <w:color w:val="000000"/>
                <w:spacing w:val="1"/>
                <w:sz w:val="20"/>
                <w:szCs w:val="20"/>
                <w:highlight w:val="none"/>
                <w:lang w:val="en-US" w:eastAsia="zh-CN"/>
              </w:rPr>
              <w:t>经营者违反本法第十条规定进行有奖销售的，由监督检查部门责令停止违法行为，处五万元以上五十万元以下的罚款。</w:t>
            </w:r>
          </w:p>
          <w:p w14:paraId="7CF6821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140" w:type="dxa"/>
            <w:noWrap w:val="0"/>
            <w:vAlign w:val="center"/>
          </w:tcPr>
          <w:p w14:paraId="68C25808">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7A0D8599">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p>
        </w:tc>
        <w:tc>
          <w:tcPr>
            <w:tcW w:w="2145" w:type="dxa"/>
            <w:noWrap w:val="0"/>
            <w:vAlign w:val="top"/>
          </w:tcPr>
          <w:p w14:paraId="6140CA9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1.保证奖品、赠品符合法律规定。</w:t>
            </w:r>
          </w:p>
          <w:p w14:paraId="14BBDF2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2.所设奖的种类、兑奖条件、奖金金额或者奖品等有奖销售信息公布要明确。</w:t>
            </w:r>
          </w:p>
          <w:p w14:paraId="7CD2189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3.不得擅自对已公布的有奖销售信息做不利于消费者的变更。</w:t>
            </w:r>
          </w:p>
          <w:p w14:paraId="30F38AC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4. 禁止谎称有奖或人为干预中奖。</w:t>
            </w:r>
          </w:p>
          <w:p w14:paraId="089D8AE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5. 抽奖式有奖销售最高奖金额不得超过五万元。</w:t>
            </w:r>
          </w:p>
          <w:p w14:paraId="60694C5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6. 经营者在促销活动中提供的奖品或者赠品必须符合国家有关规定，不得以侵权或者不合格产品、国家明令淘汰并停止销售的商品等作为奖品或者赠品</w:t>
            </w:r>
          </w:p>
        </w:tc>
        <w:tc>
          <w:tcPr>
            <w:tcW w:w="1624" w:type="dxa"/>
            <w:noWrap w:val="0"/>
            <w:vAlign w:val="center"/>
          </w:tcPr>
          <w:p w14:paraId="728B1F3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5932BD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38252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3AB156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7</w:t>
            </w:r>
          </w:p>
        </w:tc>
        <w:tc>
          <w:tcPr>
            <w:tcW w:w="1542" w:type="dxa"/>
            <w:noWrap w:val="0"/>
            <w:vAlign w:val="top"/>
          </w:tcPr>
          <w:p w14:paraId="012883E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经营者不得利用技术手段，通过影响用户选择或者其他方式，实施妨碍、破坏其他经营者合法提供的网络产品或者服务正常运行的行为</w:t>
            </w:r>
            <w:r>
              <w:rPr>
                <w:rFonts w:hint="eastAsia" w:ascii="BMHBIL+SimSun" w:hAnsi="BMHBIL+SimSun" w:cs="BMHBIL+SimSun"/>
                <w:color w:val="000000"/>
                <w:spacing w:val="1"/>
                <w:sz w:val="20"/>
                <w:szCs w:val="20"/>
                <w:highlight w:val="none"/>
                <w:lang w:val="en-US" w:eastAsia="zh-CN"/>
              </w:rPr>
              <w:t>。</w:t>
            </w:r>
          </w:p>
        </w:tc>
        <w:tc>
          <w:tcPr>
            <w:tcW w:w="2251" w:type="dxa"/>
            <w:noWrap w:val="0"/>
            <w:vAlign w:val="center"/>
          </w:tcPr>
          <w:p w14:paraId="1DDE4C9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经营者利用技术手段，通过影响用户选择或者其他方式，实施下列妨碍、破坏其他经营者合法提供的网络产品或者服务正常运行的行为：</w:t>
            </w:r>
          </w:p>
          <w:p w14:paraId="14D59E3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640" w:type="dxa"/>
            <w:noWrap w:val="0"/>
            <w:vAlign w:val="center"/>
          </w:tcPr>
          <w:p w14:paraId="5F46F6B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《中华人民共和国反不正当竞争法》</w:t>
            </w:r>
          </w:p>
          <w:p w14:paraId="1C55F2C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第二十四条 经营者违反本法第十二条规定妨碍、破坏其他经营者合法提供的网络产品或者服务正常运行的，由监督检查部门责令停止违法行为，处十万元以上五十万元以下的罚款：情节严重的，处五十万元以上三百万元以下的罚款。</w:t>
            </w:r>
          </w:p>
          <w:p w14:paraId="763EE58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140" w:type="dxa"/>
            <w:noWrap w:val="0"/>
            <w:vAlign w:val="center"/>
          </w:tcPr>
          <w:p w14:paraId="0E5DBE1E">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7C9B2C94">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p>
        </w:tc>
        <w:tc>
          <w:tcPr>
            <w:tcW w:w="2145" w:type="dxa"/>
            <w:noWrap w:val="0"/>
            <w:vAlign w:val="center"/>
          </w:tcPr>
          <w:p w14:paraId="6DC6C4E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经营者不得利用技术手段，通过影响用户选择或者其他方式，未经其他经营者同意，在其合法提供的网络产品或者服务中，插入链接强制进行目标跳转。</w:t>
            </w:r>
          </w:p>
          <w:p w14:paraId="17E97C4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535548C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206735E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bl>
    <w:p w14:paraId="2EB7B5B2">
      <w:pPr>
        <w:rPr>
          <w:rFonts w:hint="eastAsia"/>
          <w:lang w:eastAsia="zh-CN"/>
        </w:rPr>
      </w:pPr>
      <w:r>
        <w:rPr>
          <w:rFonts w:hint="eastAsia"/>
          <w:lang w:eastAsia="zh-CN"/>
        </w:rPr>
        <w:t>价格类行为（共</w:t>
      </w:r>
      <w:r>
        <w:rPr>
          <w:rFonts w:hint="eastAsia"/>
          <w:lang w:val="en-US" w:eastAsia="zh-CN"/>
        </w:rPr>
        <w:t>5</w:t>
      </w:r>
      <w:r>
        <w:rPr>
          <w:rFonts w:hint="eastAsia"/>
          <w:lang w:eastAsia="zh-CN"/>
        </w:rPr>
        <w:t>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346"/>
        <w:gridCol w:w="1187"/>
        <w:gridCol w:w="2392"/>
        <w:gridCol w:w="1624"/>
      </w:tblGrid>
      <w:tr w14:paraId="72D5C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7A610D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435B106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08E6BB1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346" w:type="dxa"/>
            <w:noWrap w:val="0"/>
            <w:vAlign w:val="center"/>
          </w:tcPr>
          <w:p w14:paraId="218D99A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87" w:type="dxa"/>
            <w:noWrap w:val="0"/>
            <w:vAlign w:val="center"/>
          </w:tcPr>
          <w:p w14:paraId="20F67E4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392" w:type="dxa"/>
            <w:noWrap w:val="0"/>
            <w:vAlign w:val="center"/>
          </w:tcPr>
          <w:p w14:paraId="4A9983A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48E6C65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5D284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379F99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1</w:t>
            </w:r>
          </w:p>
        </w:tc>
        <w:tc>
          <w:tcPr>
            <w:tcW w:w="1542" w:type="dxa"/>
            <w:noWrap w:val="0"/>
            <w:vAlign w:val="center"/>
          </w:tcPr>
          <w:p w14:paraId="5FCFD73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经营者应当在经营场所公示商品价格或服务价格等信息。提供服务的经营者应当在经营场所或缴费地点的醒目位</w:t>
            </w:r>
          </w:p>
          <w:p w14:paraId="2034AA1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置公布服务项目、服务内容、等级或规格、服务价格等。</w:t>
            </w:r>
          </w:p>
          <w:p w14:paraId="51CF02D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39C31F5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1.不标明价格的；</w:t>
            </w:r>
          </w:p>
          <w:p w14:paraId="13207FA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2.不按照规定的内容和方式明码标价的；</w:t>
            </w:r>
          </w:p>
          <w:p w14:paraId="094B33B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3.在标价之外加价出售</w:t>
            </w:r>
          </w:p>
          <w:p w14:paraId="0E17814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商品或者收取未标明的费用的；</w:t>
            </w:r>
          </w:p>
          <w:p w14:paraId="52E165B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4.违反明码标价规定的其他行为。</w:t>
            </w:r>
          </w:p>
          <w:p w14:paraId="15E89CA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4994ABC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《中华人民共和国价格法》</w:t>
            </w:r>
          </w:p>
          <w:p w14:paraId="1AEF86D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第四十二条 经营者违反明码标价规定的，责令改正，没收违法所得，可以并处五千元以下的罚款。</w:t>
            </w:r>
          </w:p>
          <w:p w14:paraId="371DABA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《价格违法行为行政处罚规定》</w:t>
            </w:r>
          </w:p>
          <w:p w14:paraId="10B9441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第十三条 经营者违反明码标价规定，有下列行为之一的，责令改正，没收违法所得，可以并处 5000元以下的罚款：（一）不标明价格的；（二）不按照规定的内容和方式明码标价的；（三）在标价之外加价出售商品或者收取未标明的费用的</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（四）违反明码标价规定的其他行为。</w:t>
            </w:r>
          </w:p>
        </w:tc>
        <w:tc>
          <w:tcPr>
            <w:tcW w:w="1187" w:type="dxa"/>
            <w:noWrap w:val="0"/>
            <w:vAlign w:val="center"/>
          </w:tcPr>
          <w:p w14:paraId="3FD9EB33">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4953C3AF">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p>
          <w:p w14:paraId="73D6EE8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392" w:type="dxa"/>
            <w:noWrap w:val="0"/>
            <w:vAlign w:val="center"/>
          </w:tcPr>
          <w:p w14:paraId="49348B8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经营者应遵守《中华人民共和国价格法》《价格违法行为行政处罚规定》《明码标价和禁止价格欺诈规定》等法律法规规章出售商品或提供有偿服务时应当进行明码标价</w:t>
            </w:r>
            <w:r>
              <w:rPr>
                <w:rFonts w:hint="eastAsia" w:ascii="BMHBIL+SimSun" w:hAnsi="BMHBIL+SimSun" w:cs="BMHBIL+SimSun"/>
                <w:color w:val="000000"/>
                <w:spacing w:val="1"/>
                <w:sz w:val="20"/>
                <w:szCs w:val="20"/>
                <w:highlight w:val="none"/>
                <w:lang w:val="en-US" w:eastAsia="zh-CN"/>
              </w:rPr>
              <w:t>。</w:t>
            </w:r>
          </w:p>
          <w:p w14:paraId="064D4E0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1BA0D51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6AA1EB66">
            <w:pPr>
              <w:keepNext w:val="0"/>
              <w:keepLines w:val="0"/>
              <w:widowControl/>
              <w:suppressLineNumbers w:val="0"/>
              <w:jc w:val="left"/>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33AE6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C0414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left"/>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2</w:t>
            </w:r>
          </w:p>
        </w:tc>
        <w:tc>
          <w:tcPr>
            <w:tcW w:w="1542" w:type="dxa"/>
            <w:noWrap w:val="0"/>
            <w:vAlign w:val="center"/>
          </w:tcPr>
          <w:p w14:paraId="10A9844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经营者出售商品或提供服务，不得价格欺诈</w:t>
            </w:r>
          </w:p>
          <w:p w14:paraId="1C12B6E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5A28FC8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经营者不得实施下列价格欺诈行为：</w:t>
            </w:r>
          </w:p>
          <w:p w14:paraId="648B390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谎称商品和服务价格为政府定价或者政府指导价；以低价诱骗消费者或者其他经营者，以高价进行结算；通过虚假折价、减价或者价格比较等方式销售商品或者提供服务；销售商品或者提供服务时，使用欺骗性、误导性的语言、文字、数字、图片或者视频等标示价格以及其他价格信息；无正当理由拒绝履行或者不完全履行价格承诺；不标示或者显著弱化标示对消费者或者其他经营者不利的价格条件，诱骗消费者或者其他经营者与其进行交易；通过积分、礼券、兑换券、代金券等折抵价款时，拒不按约定折抵价款；其他价格欺诈行为。</w:t>
            </w:r>
          </w:p>
          <w:p w14:paraId="7F60228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p w14:paraId="09D9B0D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3BC0725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《中华人民共和国价格法》</w:t>
            </w:r>
          </w:p>
          <w:p w14:paraId="0797FDC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第十四条第四项 经营者不得有下列不正当价格行为：（四）利用虚假的或者使人误解的价格手段，诱骗消费者或者其他经营者与其进行交易。</w:t>
            </w:r>
          </w:p>
          <w:p w14:paraId="49A8FD5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第四十条第一款 经营者有本法第十四条所列行为之一的，责令改正，没收违法所得，可以并处违法所得五倍以下的罚款；没有违法所得的，予以警告，可以并处罚款；情节严重的，责令停业整顿，或者由工商行政管理机关吊销营业执照。有关法律对本法第十四条所列行为的处罚及处罚机关另有规定的，可以依照有关法律的规定执行。</w:t>
            </w:r>
          </w:p>
          <w:p w14:paraId="375A86B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《价格违法行为行政处罚规定》</w:t>
            </w:r>
          </w:p>
          <w:p w14:paraId="0245743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第七条 经营者违反价格法第十四条的规定，利用虚假的或者使人误解的价格手段，诱骗消费者或者其他经营者与其进行交易的，责令改正，没收违法所得，并处违法所得5 倍以下的罚款；没有违法所得的， 处5万元以上50万元以下的罚款；情节严重的，责令停业整顿，或者由工商行政管理机关吊销营业执照。</w:t>
            </w:r>
          </w:p>
          <w:p w14:paraId="3FC69A3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《明码标价和禁止价格欺诈规定》</w:t>
            </w:r>
          </w:p>
          <w:p w14:paraId="360FD49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第十九条 经营者不得实施下列价格欺诈行为</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（一）谎称商品和服务价格为政府定价或者政府指导价；（二）以低价诱骗消费者或者其他经营者，以高价进行结算；</w:t>
            </w:r>
          </w:p>
          <w:p w14:paraId="691AB08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三）通过虚假折价、减价或者价格比较等方式销售商品或者提供服务；（四）销售商品或者提供服务时，使用欺骗性、误导性的语言、文字、数字、图片或者视频等标示价格以及其他价格信息；（五）无正当理由拒绝履行或者不完全履行价格承诺；（六）不标示或者显著弱化标示对消费者或者其他经营者不利的价格条件，诱骗消费者或者其他经营者与其进行交易；（七）通过积分、礼券、兑换券、代金券等折抵价款时，拒不按约定折抵价款；（八）其他价格欺诈行为。</w:t>
            </w:r>
          </w:p>
        </w:tc>
        <w:tc>
          <w:tcPr>
            <w:tcW w:w="1187" w:type="dxa"/>
            <w:noWrap w:val="0"/>
            <w:vAlign w:val="center"/>
          </w:tcPr>
          <w:p w14:paraId="386701A3">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tc>
        <w:tc>
          <w:tcPr>
            <w:tcW w:w="2392" w:type="dxa"/>
            <w:noWrap w:val="0"/>
            <w:vAlign w:val="center"/>
          </w:tcPr>
          <w:p w14:paraId="1DA74C6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经营者应遵守《中华人民共和国价格法》《价格违法行为行政处罚规定》《明码标价和禁止价格欺诈规定》等法律法规规章出售商品或提供服务时应明码标价，禁止出现价格欺诈行为。</w:t>
            </w:r>
          </w:p>
          <w:p w14:paraId="65FE752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23C0773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1E092CB5">
            <w:pPr>
              <w:keepNext w:val="0"/>
              <w:keepLines w:val="0"/>
              <w:widowControl/>
              <w:suppressLineNumbers w:val="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1FC38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0DDF37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3</w:t>
            </w:r>
          </w:p>
        </w:tc>
        <w:tc>
          <w:tcPr>
            <w:tcW w:w="1542" w:type="dxa"/>
            <w:noWrap w:val="0"/>
            <w:vAlign w:val="center"/>
          </w:tcPr>
          <w:p w14:paraId="3C1CE1E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经营者应执行政府定价、政府指导价。</w:t>
            </w:r>
          </w:p>
          <w:p w14:paraId="21628CB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0FB668E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1.超出政府指导价浮动幅度制定价格的；</w:t>
            </w:r>
          </w:p>
          <w:p w14:paraId="653B3DB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2.高于或者低于政府定价制定价格的；</w:t>
            </w:r>
          </w:p>
          <w:p w14:paraId="4BC807B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3.擅自制定属于政府指 导价、政府定价范围内的商品或者服务价格的；</w:t>
            </w:r>
          </w:p>
          <w:p w14:paraId="113532A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4.提前或者推迟执行政府指导价、政府定价的；</w:t>
            </w:r>
          </w:p>
          <w:p w14:paraId="593CA9E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5.自立收费项目或者自定标准收费的；</w:t>
            </w:r>
          </w:p>
          <w:p w14:paraId="306087A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6.采取分解收费项目、重复收费、扩大收费范围等方式变相提高收费标准的；</w:t>
            </w:r>
          </w:p>
          <w:p w14:paraId="6D5C707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7.对政府明令取消的收</w:t>
            </w:r>
          </w:p>
          <w:p w14:paraId="39EC93B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费项目继续收费的；</w:t>
            </w:r>
          </w:p>
          <w:p w14:paraId="1053F8C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8.违反规定以保证金、抵押金等形式变相收费的；</w:t>
            </w:r>
          </w:p>
          <w:p w14:paraId="6A4BCBD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9.强制或者变相强制服务并收费的；</w:t>
            </w:r>
          </w:p>
          <w:p w14:paraId="1D93DC3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10. 不按照规定提供服务而收取费用的；</w:t>
            </w:r>
          </w:p>
          <w:p w14:paraId="529F0D5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11. 不执行政府指导价、政府定价的其他行为。</w:t>
            </w:r>
          </w:p>
          <w:p w14:paraId="109DCFD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7AA0FB4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《中华人民共和国价格法》</w:t>
            </w:r>
          </w:p>
          <w:p w14:paraId="737EBD8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第三十九条 经营者不执行政府指导价、政府定价以及法定的价格干预措施、紧急措施的，责令改正，没收违法所得，可以并处违法所得五倍以下的罚款；没有违法所得的，可以处以罚款；情节严重的，责令停业整顿。</w:t>
            </w:r>
          </w:p>
          <w:p w14:paraId="3C25099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《价格违法行为行政处罚规定》</w:t>
            </w:r>
          </w:p>
          <w:p w14:paraId="08167FC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第九条 经营者不执行政府指导价、政府定价，有下列行为之一的，责令改正，没收违法所得，并处违法所得5倍以下的罚款；没有违法所得的，处5万元以上50万元以下的罚款，情节较重的处50万元以上200万元以下的罚款；情节严重的，责令停业整顿：（一）超出政府指导价浮动幅度制定价格的；（二）高于或者低于政府定价制定价格的</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（三）擅自制定属于政府指导价、政府定价范围内的商品或者服务价格的；（四）提前或者推迟执行政府指导价、政府定价的；（五）自立收费项目或者自定标准收费的；</w:t>
            </w:r>
          </w:p>
          <w:p w14:paraId="4CC9006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六）采取分解收费项目、重复收费、扩大收费范围等方式变相提高收费标准的；（七）对政府明令取消的收费项目继续收费的；（八）违反规定以保证金、抵押金等形式变相收费的；（九）强制或者变相强制服务并收费的；（十）不按照规定提供服务而收取费用的；（十一）不执行政府指导价、政府定价的其他行为。</w:t>
            </w:r>
          </w:p>
        </w:tc>
        <w:tc>
          <w:tcPr>
            <w:tcW w:w="1187" w:type="dxa"/>
            <w:noWrap w:val="0"/>
            <w:vAlign w:val="center"/>
          </w:tcPr>
          <w:p w14:paraId="2759888F">
            <w:pPr>
              <w:keepNext w:val="0"/>
              <w:keepLines w:val="0"/>
              <w:widowControl/>
              <w:suppressLineNumbers w:val="0"/>
              <w:jc w:val="center"/>
            </w:pPr>
            <w:r>
              <w:rPr>
                <w:rFonts w:ascii="瀹嬩綋" w:hAnsi="瀹嬩綋" w:eastAsia="瀹嬩綋" w:cs="瀹嬩綋"/>
                <w:color w:val="000000"/>
                <w:kern w:val="0"/>
                <w:sz w:val="22"/>
                <w:szCs w:val="22"/>
                <w:lang w:val="en-US" w:eastAsia="zh-CN" w:bidi="ar"/>
              </w:rPr>
              <w:t>★★</w:t>
            </w:r>
          </w:p>
          <w:p w14:paraId="006B81B9">
            <w:pPr>
              <w:keepNext w:val="0"/>
              <w:keepLines w:val="0"/>
              <w:widowControl/>
              <w:suppressLineNumbers w:val="0"/>
              <w:jc w:val="center"/>
              <w:rPr>
                <w:rFonts w:hint="default" w:ascii="BMHBIL+SimSun" w:hAnsi="BMHBIL+SimSun" w:cs="BMHBIL+SimSun"/>
                <w:color w:val="000000"/>
                <w:spacing w:val="1"/>
                <w:sz w:val="20"/>
                <w:szCs w:val="20"/>
                <w:highlight w:val="none"/>
                <w:lang w:val="en-US" w:eastAsia="zh-CN"/>
              </w:rPr>
            </w:pPr>
          </w:p>
        </w:tc>
        <w:tc>
          <w:tcPr>
            <w:tcW w:w="2392" w:type="dxa"/>
            <w:noWrap w:val="0"/>
            <w:vAlign w:val="center"/>
          </w:tcPr>
          <w:p w14:paraId="409FF46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经营者应遵守《中华人民共和国价格法》《价格违法行为行政处罚规定》《明码标价和禁止价格欺诈规定》等法律法规规章，按照标准收费并公示。</w:t>
            </w:r>
          </w:p>
          <w:p w14:paraId="363CC11C">
            <w:pPr>
              <w:keepNext w:val="0"/>
              <w:keepLines w:val="0"/>
              <w:widowControl/>
              <w:suppressLineNumbers w:val="0"/>
              <w:jc w:val="center"/>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5A659BC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775BCD03">
            <w:pPr>
              <w:keepNext w:val="0"/>
              <w:keepLines w:val="0"/>
              <w:widowControl/>
              <w:suppressLineNumbers w:val="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645F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37F25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4</w:t>
            </w:r>
          </w:p>
        </w:tc>
        <w:tc>
          <w:tcPr>
            <w:tcW w:w="1542" w:type="dxa"/>
            <w:noWrap w:val="0"/>
            <w:vAlign w:val="center"/>
          </w:tcPr>
          <w:p w14:paraId="55A6409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经营者不得哄抬价格</w:t>
            </w:r>
          </w:p>
          <w:p w14:paraId="4223E91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4C5F429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经营者捏造、散布涨价信息，哄抬价格，推动商品价格过快、 过高上涨。</w:t>
            </w:r>
          </w:p>
          <w:p w14:paraId="6FAD140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21AB06B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《中华人民共和国价格法》</w:t>
            </w:r>
          </w:p>
          <w:p w14:paraId="6D10E73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第十四条第三项 经营者不得有下列不正当价格行为：（三）捏造、散布涨价信息，哄抬价格，推动商品价格过高上涨的。</w:t>
            </w:r>
          </w:p>
          <w:p w14:paraId="396C0A2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第四十条 经营者有本法第十四条所列行为之一的， 责令改正，没收违法所得，可以并处违法所得五倍以下的罚款；没有违法所得的，予以警告，可以并处罚款；情节严重的，责令停业整顿，或者由工商行政管理机关吊销营业执照。有关法律对本法第十四条所列行为的处罚及处罚机关另有规定的，可以依照有关法律的规定执行。</w:t>
            </w:r>
          </w:p>
          <w:p w14:paraId="6967291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《价格违法行为行政处罚规定》</w:t>
            </w:r>
          </w:p>
          <w:p w14:paraId="210A179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第六条第一款 经营者违反价格法第十四条的规定， 有下列推动商品价格过快、过高上涨行为之一的，责令改正，没收违法所得，并处违法所得 5倍以下的罚款；没有违法所得的，处5万元以上50万元以下的罚款，情节较重的处50万元以上300万元以下的罚款；情节严重的，责令停业整顿，或者由工商行政管理机关吊销营业执照：（一）捏造、散布涨价信息，扰乱市场价格秩序的；（二）除生产自用外，超出正常的存储数量或者存储周期，大量囤积市场供应紧张、价格发生异常波动的商品，经价格主管部门告诫仍继续囤积的；（三）利用其他手段哄抬价格，推动商品价格过快、过高上涨的。</w:t>
            </w:r>
          </w:p>
        </w:tc>
        <w:tc>
          <w:tcPr>
            <w:tcW w:w="1187" w:type="dxa"/>
            <w:noWrap w:val="0"/>
            <w:vAlign w:val="center"/>
          </w:tcPr>
          <w:p w14:paraId="52BA7F81">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3B29607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392" w:type="dxa"/>
            <w:noWrap w:val="0"/>
            <w:vAlign w:val="center"/>
          </w:tcPr>
          <w:p w14:paraId="61F42741">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1.经营者应诚信守法经营，不得以任何形式发布不实价格信息。 </w:t>
            </w:r>
          </w:p>
          <w:p w14:paraId="13C3EA7C">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2.国家市场监管总局《关于查处哄抬价格违法行为的指导意见》（国市监竞争发〔2022〕60 号）对“哄抬价格违法行为认定 ”、“法律适用”有详细规定，建议认真 </w:t>
            </w:r>
          </w:p>
          <w:p w14:paraId="00C7287E">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学习。</w:t>
            </w:r>
          </w:p>
          <w:p w14:paraId="06AF5C2B">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64DA700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5C90D31A">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6BBFE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1E38D8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5</w:t>
            </w:r>
          </w:p>
        </w:tc>
        <w:tc>
          <w:tcPr>
            <w:tcW w:w="1542" w:type="dxa"/>
            <w:noWrap w:val="0"/>
            <w:vAlign w:val="center"/>
          </w:tcPr>
          <w:p w14:paraId="70364C4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行业协会或者其他单位应当遵守价格法律规定</w:t>
            </w:r>
          </w:p>
          <w:p w14:paraId="4A01FED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485FE5F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1.行业协会组织经营者相互串通，操纵市场价格。</w:t>
            </w:r>
          </w:p>
          <w:p w14:paraId="7F4AE1C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2.行业协会或者为商品交易提供服务的单位哄抬价格，推动商品价格过快、过高上涨。 如：某市电动自行车行业协会组织本市电动车经销商固定商品价格。</w:t>
            </w:r>
          </w:p>
          <w:p w14:paraId="230BE83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1722F21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《价格违法行为行政处罚规定》</w:t>
            </w:r>
          </w:p>
          <w:p w14:paraId="532CB0C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第五条第一款 经营者违反价格法第十四条的规定， 相互串通，操纵市场价格，造成商品价格较大幅度上涨的，责令改正，没收违法所得，并处违法所得5倍以下的罚款；没有违法所得的，处10万元以上100万元以下的罚款，情节较重的处100万元以上500万元以下的罚款；情节严重的，责令停业整顿，或者由工商行政管理机关吊销营业执照。</w:t>
            </w:r>
          </w:p>
          <w:p w14:paraId="6B848FD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第五条第三款 行业协会或者其他单位组织经营者相互串通，操纵市场价格的，对经营者依照前两款的规定处罚；对行业协会或者其他单位，可以处50万元以下的罚款，情节严重的，由登记管理机关依法撤销登记、吊销执照。</w:t>
            </w:r>
          </w:p>
          <w:p w14:paraId="539A8B9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第六条 经营者违反价格法第十四条的规定，有下列推动商品价格过快、过高上涨行为之一的，责令改正，没收违法所得，并处违法所得5倍以下的罚款；没有违法所得的，处5万元以上50万元以下的罚款， 情节较重的处50万元以上300万元以下的罚款；情节严重的，责令停业整顿，或者由工商行政管理机关吊销营业执照</w:t>
            </w:r>
            <w:r>
              <w:rPr>
                <w:rFonts w:hint="eastAsia" w:ascii="BMHBIL+SimSun" w:hAnsi="BMHBIL+SimSun" w:cs="BMHBIL+SimSun"/>
                <w:color w:val="000000"/>
                <w:spacing w:val="1"/>
                <w:sz w:val="20"/>
                <w:szCs w:val="20"/>
                <w:highlight w:val="none"/>
                <w:lang w:val="en-US" w:eastAsia="zh-CN"/>
              </w:rPr>
              <w:t>。</w:t>
            </w:r>
          </w:p>
        </w:tc>
        <w:tc>
          <w:tcPr>
            <w:tcW w:w="1187" w:type="dxa"/>
            <w:noWrap w:val="0"/>
            <w:vAlign w:val="center"/>
          </w:tcPr>
          <w:p w14:paraId="324BE2D5">
            <w:pPr>
              <w:keepNext w:val="0"/>
              <w:keepLines w:val="0"/>
              <w:widowControl/>
              <w:suppressLineNumbers w:val="0"/>
              <w:jc w:val="center"/>
              <w:rPr>
                <w:rFonts w:hint="default" w:ascii="瀹嬩綋" w:hAnsi="瀹嬩綋" w:eastAsia="瀹嬩綋" w:cs="瀹嬩綋"/>
                <w:color w:val="000000"/>
                <w:kern w:val="0"/>
                <w:sz w:val="22"/>
                <w:szCs w:val="22"/>
                <w:lang w:val="en-US" w:eastAsia="zh-CN" w:bidi="ar"/>
              </w:rPr>
            </w:pPr>
            <w:r>
              <w:rPr>
                <w:rFonts w:hint="default" w:ascii="瀹嬩綋" w:hAnsi="瀹嬩綋" w:eastAsia="瀹嬩綋" w:cs="瀹嬩綋"/>
                <w:color w:val="000000"/>
                <w:kern w:val="0"/>
                <w:sz w:val="22"/>
                <w:szCs w:val="22"/>
                <w:lang w:val="en-US" w:eastAsia="zh-CN" w:bidi="ar"/>
              </w:rPr>
              <w:t>★★</w:t>
            </w:r>
          </w:p>
          <w:p w14:paraId="0A3CA450">
            <w:pPr>
              <w:keepNext w:val="0"/>
              <w:keepLines w:val="0"/>
              <w:widowControl/>
              <w:suppressLineNumbers w:val="0"/>
              <w:jc w:val="center"/>
              <w:rPr>
                <w:rFonts w:hint="default" w:ascii="BMHBIL+SimSun" w:hAnsi="BMHBIL+SimSun" w:cs="BMHBIL+SimSun"/>
                <w:color w:val="000000"/>
                <w:spacing w:val="1"/>
                <w:sz w:val="20"/>
                <w:szCs w:val="20"/>
                <w:highlight w:val="none"/>
                <w:lang w:val="en-US" w:eastAsia="zh-CN"/>
              </w:rPr>
            </w:pPr>
          </w:p>
        </w:tc>
        <w:tc>
          <w:tcPr>
            <w:tcW w:w="2392" w:type="dxa"/>
            <w:noWrap w:val="0"/>
            <w:vAlign w:val="center"/>
          </w:tcPr>
          <w:p w14:paraId="4068908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行业协会或者其他单位组织应遵守价格法律规定，不得组织经营者相互串通、操纵市场价格，不得哄抬价格，推动商品价格过快、过高上涨。</w:t>
            </w:r>
          </w:p>
          <w:p w14:paraId="2A5B3CC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624" w:type="dxa"/>
            <w:noWrap w:val="0"/>
            <w:vAlign w:val="top"/>
          </w:tcPr>
          <w:p w14:paraId="573506C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r>
    </w:tbl>
    <w:p w14:paraId="0400DE05">
      <w:pPr>
        <w:jc w:val="both"/>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消费者权益保护（2项）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346"/>
        <w:gridCol w:w="1187"/>
        <w:gridCol w:w="2392"/>
        <w:gridCol w:w="1624"/>
      </w:tblGrid>
      <w:tr w14:paraId="4346C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A1B0AC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30A768C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5533350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346" w:type="dxa"/>
            <w:noWrap w:val="0"/>
            <w:vAlign w:val="center"/>
          </w:tcPr>
          <w:p w14:paraId="49F829B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87" w:type="dxa"/>
            <w:noWrap w:val="0"/>
            <w:vAlign w:val="center"/>
          </w:tcPr>
          <w:p w14:paraId="40DF704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392" w:type="dxa"/>
            <w:noWrap w:val="0"/>
            <w:vAlign w:val="center"/>
          </w:tcPr>
          <w:p w14:paraId="0E47E7A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652E968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52722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EF0011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eastAsia" w:ascii="Times New Roman" w:hAnsi="Times New Roman" w:eastAsia="方正仿宋_GBK" w:cs="Times New Roman"/>
                <w:snapToGrid w:val="0"/>
                <w:color w:val="auto"/>
                <w:kern w:val="0"/>
                <w:sz w:val="18"/>
                <w:szCs w:val="18"/>
                <w:vertAlign w:val="baseline"/>
                <w:lang w:val="en-US" w:eastAsia="zh-CN" w:bidi="ar-SA"/>
              </w:rPr>
              <w:t>1</w:t>
            </w:r>
          </w:p>
        </w:tc>
        <w:tc>
          <w:tcPr>
            <w:tcW w:w="1542" w:type="dxa"/>
            <w:noWrap w:val="0"/>
            <w:vAlign w:val="center"/>
          </w:tcPr>
          <w:p w14:paraId="790D256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经营者向消费 者提供商品或 者服务使用格 式条款、通知</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声明、店堂告示等的，应当以显著方式提请消费者注意与消费者有重大利害关系的内容，并按照消费者的要求予以说明</w:t>
            </w:r>
            <w:r>
              <w:rPr>
                <w:rFonts w:hint="eastAsia" w:ascii="BMHBIL+SimSun" w:hAnsi="BMHBIL+SimSun" w:cs="BMHBIL+SimSun"/>
                <w:color w:val="000000"/>
                <w:spacing w:val="1"/>
                <w:sz w:val="20"/>
                <w:szCs w:val="20"/>
                <w:highlight w:val="none"/>
                <w:lang w:val="en-US" w:eastAsia="zh-CN"/>
              </w:rPr>
              <w:t>。</w:t>
            </w:r>
          </w:p>
          <w:p w14:paraId="2C73E00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3128D9A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1.免除或者部分免除经营者对其所提供的商品或者服务应当承担的修理、重作、更换、退货 、补足商品数量、退还货款和服务费用、赔偿损失等责任； </w:t>
            </w:r>
          </w:p>
          <w:p w14:paraId="5FBA65F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2.排除或者限制消费者提出修理、更换、退货、赔偿损失以及获得违 约金和其他合理赔偿的权利； </w:t>
            </w:r>
          </w:p>
          <w:p w14:paraId="435280E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3.排除或者限制消费者依法投诉、举报、提起诉讼的权利； </w:t>
            </w:r>
          </w:p>
          <w:p w14:paraId="641ABE5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4.强制或者变相强制消费者购买和使用其提供的或者其指定的经营者提供的商品或者服务， 对不接受其不合理条件的消费者拒绝提供相应商品或者服 务，或者提高收费标准； </w:t>
            </w:r>
          </w:p>
          <w:p w14:paraId="5B0D5EA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5.规定经营者有权任意变更或者解除合同，限制消费者依法变更或者解除合同权利； </w:t>
            </w:r>
          </w:p>
          <w:p w14:paraId="492A525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6.规定经营者单方享有解释权或者最终解释权； </w:t>
            </w:r>
          </w:p>
          <w:p w14:paraId="70C9693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7.其他对消费者不公平、不合理的规定。</w:t>
            </w:r>
          </w:p>
          <w:p w14:paraId="01EF645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p w14:paraId="53CCA84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32CE744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《侵害消费者权益行为处罚办法》 </w:t>
            </w:r>
          </w:p>
          <w:p w14:paraId="4A58AD3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第十二条 经营者向消费者提供商品或者服务使用格式条款、通知、声明、店堂告示等的，应当以显著方式提请消费者注意与消费者有重大利害关系的内容，并按照消费者的要求予以说明，不得作出含有下列内容的规定： </w:t>
            </w:r>
          </w:p>
          <w:p w14:paraId="08D9296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（一）免除或者部分免除经营者对其所提供的商品或者服务应当承担的修理、重作、更换、退货、补足商品数量、退还货款和服务费用、赔偿损失等责任； </w:t>
            </w:r>
          </w:p>
          <w:p w14:paraId="37E9B97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（二）排除或者限制消费者提出修理、更换、退货、 赔偿损失以及获得违约金和其他合理赔偿的权利； </w:t>
            </w:r>
          </w:p>
          <w:p w14:paraId="0DE10AD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（三）排除或者限制消费者依法投诉、举报、提起诉讼的权利； </w:t>
            </w:r>
          </w:p>
          <w:p w14:paraId="0E3C68F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（四）强制或者变相强制消费者购买和使用其提供的或者其指定的经营者提供的商品或者服务，对不接受其不合理条件的消费者拒绝提供相应商品或者服务， 或者提高收费标准； </w:t>
            </w:r>
          </w:p>
          <w:p w14:paraId="5950E94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（五）规定经营者有权任意变更或者解除合同，限制消费者依法变更或者解除合同权利； </w:t>
            </w:r>
          </w:p>
          <w:p w14:paraId="26D7D79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（六）规定经营者单方享有解释权或者最终解释权； </w:t>
            </w:r>
          </w:p>
          <w:p w14:paraId="35E2D16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（七）其他对消费者不公平、不合理的规定。 </w:t>
            </w:r>
          </w:p>
          <w:p w14:paraId="4BD3CC4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第十五条 经营者违反本办法第十二条、第十三条规定，其他法律、法规有规定的，依照法律、法规的规定执行；法律、法规未作规定的，由市场监督管理部门责令改正，可以单处或者并处警告，违法所得三倍以下、但最高不超过三万元的罚款，没有违法所得的，处以一万元以下的罚款。</w:t>
            </w:r>
          </w:p>
        </w:tc>
        <w:tc>
          <w:tcPr>
            <w:tcW w:w="1187" w:type="dxa"/>
            <w:noWrap w:val="0"/>
            <w:vAlign w:val="center"/>
          </w:tcPr>
          <w:p w14:paraId="475B72D5">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w:t>
            </w:r>
          </w:p>
          <w:p w14:paraId="18E16CB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392" w:type="dxa"/>
            <w:noWrap w:val="0"/>
            <w:vAlign w:val="center"/>
          </w:tcPr>
          <w:p w14:paraId="26C44A4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经营者向消费者提供商品或者服务使用格式条款 、通知、声明、店堂告示等的，应当以显著方式提请消费者注意与消费者有重大利害关系的内容，并按照消费者的要求予以说明。</w:t>
            </w:r>
          </w:p>
          <w:p w14:paraId="67AA089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1624" w:type="dxa"/>
            <w:noWrap w:val="0"/>
            <w:vAlign w:val="center"/>
          </w:tcPr>
          <w:p w14:paraId="347C5D0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莲湖区</w:t>
            </w:r>
            <w:r>
              <w:rPr>
                <w:rFonts w:hint="default" w:ascii="BMHBIL+SimSun" w:hAnsi="BMHBIL+SimSun" w:cs="BMHBIL+SimSun"/>
                <w:color w:val="000000"/>
                <w:spacing w:val="1"/>
                <w:sz w:val="20"/>
                <w:szCs w:val="20"/>
                <w:highlight w:val="none"/>
                <w:lang w:val="en-US" w:eastAsia="zh-CN"/>
              </w:rPr>
              <w:t>市场监管局价格监督检查与反不正当竞争科</w:t>
            </w:r>
          </w:p>
          <w:p w14:paraId="6099C9C2">
            <w:pPr>
              <w:keepNext w:val="0"/>
              <w:keepLines w:val="0"/>
              <w:widowControl/>
              <w:suppressLineNumbers w:val="0"/>
              <w:jc w:val="both"/>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BMHBIL+SimSun" w:hAnsi="BMHBIL+SimSun" w:cs="BMHBIL+SimSun"/>
                <w:color w:val="000000"/>
                <w:spacing w:val="1"/>
                <w:sz w:val="20"/>
                <w:szCs w:val="20"/>
                <w:highlight w:val="none"/>
                <w:lang w:val="en-US" w:eastAsia="zh-CN"/>
              </w:rPr>
              <w:t>电话</w:t>
            </w:r>
            <w:r>
              <w:rPr>
                <w:rFonts w:hint="eastAsia" w:ascii="BMHBIL+SimSun" w:hAnsi="BMHBIL+SimSun" w:cs="BMHBIL+SimSun"/>
                <w:color w:val="000000"/>
                <w:spacing w:val="1"/>
                <w:sz w:val="20"/>
                <w:szCs w:val="20"/>
                <w:highlight w:val="none"/>
                <w:lang w:val="en-US" w:eastAsia="zh-CN"/>
              </w:rPr>
              <w:t>:88629639</w:t>
            </w:r>
          </w:p>
        </w:tc>
      </w:tr>
      <w:tr w14:paraId="761E9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046C5A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w:t>
            </w:r>
          </w:p>
        </w:tc>
        <w:tc>
          <w:tcPr>
            <w:tcW w:w="1542" w:type="dxa"/>
            <w:noWrap w:val="0"/>
            <w:vAlign w:val="center"/>
          </w:tcPr>
          <w:p w14:paraId="4CEC70E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经营者应当遵 守诚实信用原 则</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不得欺诈消费者</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损害消费者权益</w:t>
            </w:r>
            <w:r>
              <w:rPr>
                <w:rFonts w:hint="eastAsia" w:ascii="BMHBIL+SimSun" w:hAnsi="BMHBIL+SimSun" w:cs="BMHBIL+SimSun"/>
                <w:color w:val="000000"/>
                <w:spacing w:val="1"/>
                <w:sz w:val="20"/>
                <w:szCs w:val="20"/>
                <w:highlight w:val="none"/>
                <w:lang w:val="en-US" w:eastAsia="zh-CN"/>
              </w:rPr>
              <w:t>。</w:t>
            </w:r>
          </w:p>
          <w:p w14:paraId="5A09E81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2251" w:type="dxa"/>
            <w:noWrap w:val="0"/>
            <w:vAlign w:val="center"/>
          </w:tcPr>
          <w:p w14:paraId="08F30FE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1.销售的商品或者提供的服务不符合保障人身、财产安全要求； </w:t>
            </w:r>
          </w:p>
          <w:p w14:paraId="0AFBEAE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2.销售失效、变质的商品； </w:t>
            </w:r>
          </w:p>
          <w:p w14:paraId="009EF88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3.销售伪造产地、伪造或者冒用他人的厂名、厂址、篡改生产日期的商品； </w:t>
            </w:r>
          </w:p>
          <w:p w14:paraId="30FBAA0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4.销售伪造或者冒用认证标志等质量标志的商品； </w:t>
            </w:r>
          </w:p>
          <w:p w14:paraId="03C2193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5.销售的商品或者提供的服务侵犯他人注册商标专用权； </w:t>
            </w:r>
          </w:p>
          <w:p w14:paraId="5F79424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6.销售伪造或者冒用知名商品特有的名称、包装、装潢的商品； </w:t>
            </w:r>
          </w:p>
          <w:p w14:paraId="2EBE5AE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7.在销售的商品中掺 杂、掺假，以假充真，以次充好，以不合格商品冒充合格商品； </w:t>
            </w:r>
          </w:p>
          <w:p w14:paraId="7535B89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8.销售国家明令淘汰并停止销售的商品； </w:t>
            </w:r>
          </w:p>
          <w:p w14:paraId="01D70D1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9.提供商品或者服务中故意使用不合格的计量器具或者破坏计量器具准确度； </w:t>
            </w:r>
          </w:p>
          <w:p w14:paraId="78FAEBE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10.骗取消费者价款或者费用而不提供或者不按照约定提供商品或者服务； </w:t>
            </w:r>
          </w:p>
          <w:p w14:paraId="487B3B3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11.不以真实名称和标记提供商品或者服务；</w:t>
            </w:r>
          </w:p>
          <w:p w14:paraId="722C845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12.以虚假或者引人误解的商品说明、商品标准、实物样品等方式销售商品或者服务； </w:t>
            </w:r>
          </w:p>
          <w:p w14:paraId="132E9AE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13.作虚假或者引人误解的现场说明和演示； </w:t>
            </w:r>
          </w:p>
          <w:p w14:paraId="214DA1F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14.采用虚构交易、虚标成交量 、虚假评论或者雇佣他人等方式进行 欺骗性销售诱导； </w:t>
            </w:r>
          </w:p>
          <w:p w14:paraId="2DC4149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15.以虚假的“清仓价”、“甩卖价”、“最低价”、“优惠价”或者其他欺 骗性价格表示销售商品或者服务； </w:t>
            </w:r>
          </w:p>
          <w:p w14:paraId="73A53FF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16.以虚假的“有奖销售”、“ 还本销售”、 “体验销售”等方式销售商品或者服务； </w:t>
            </w:r>
          </w:p>
          <w:p w14:paraId="712152E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17.谎称正品销售“处理品”、“残次品”、“等外品”等商品； </w:t>
            </w:r>
          </w:p>
          <w:p w14:paraId="0CC1452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18.夸大或隐瞒所提供的商品或者服务的数量、质量、性能等与消费者有重大利害关系的信息误导消费者； </w:t>
            </w:r>
          </w:p>
          <w:p w14:paraId="27A716D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19.以其他虚假或者引人误解的宣传方式误导消费者； </w:t>
            </w:r>
          </w:p>
          <w:p w14:paraId="2B38899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20.从事为消费者提供修理、加工、安装等服务的经营者谎报用工用料，故意损坏、偷换零部件或材料，使用不符合国家质量标准或者与约定不相符的零部件或材料，更换不需要更换的零部件，或者偷工减料、加收费用，损害消费者权益的；</w:t>
            </w:r>
          </w:p>
          <w:p w14:paraId="406A767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p w14:paraId="5660FAC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p w14:paraId="68BCD41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p>
        </w:tc>
        <w:tc>
          <w:tcPr>
            <w:tcW w:w="3346" w:type="dxa"/>
            <w:noWrap w:val="0"/>
            <w:vAlign w:val="center"/>
          </w:tcPr>
          <w:p w14:paraId="4F034A6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《侵害消费者权益行为处罚办法》 </w:t>
            </w:r>
          </w:p>
          <w:p w14:paraId="5B824E5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第五条 经营者提供商品或者服务不得有下列行为： </w:t>
            </w:r>
          </w:p>
          <w:p w14:paraId="2D56FB7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（一）销售的商品或者提供的服务不符合保障人身、 财产安全要求； </w:t>
            </w:r>
          </w:p>
          <w:p w14:paraId="342FAA0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（二）销售失效、变质的商品； </w:t>
            </w:r>
          </w:p>
          <w:p w14:paraId="01AA7DE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（三）销售伪造产地、伪造或者冒用他人的厂名、厂址、篡改生产日期的商品； </w:t>
            </w:r>
          </w:p>
          <w:p w14:paraId="072BC68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（四）销售伪造或者冒用认证标志等质量标志的商品； </w:t>
            </w:r>
          </w:p>
          <w:p w14:paraId="6DDBEB7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（五）销售的商品或者提供的服务侵犯他人注册商标专用权； </w:t>
            </w:r>
          </w:p>
          <w:p w14:paraId="28919ABD">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（六）销售伪造或者冒用知名商品特有的名称、包装 、装潢的商品； </w:t>
            </w:r>
          </w:p>
          <w:p w14:paraId="63259D9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（七）在销售的商品中掺杂、掺假，以假充真，以次充好，以不合格商品冒充合格商品； </w:t>
            </w:r>
          </w:p>
          <w:p w14:paraId="1F2DAAE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（八）销售国家明令淘汰并停止销售的商品； </w:t>
            </w:r>
          </w:p>
          <w:p w14:paraId="7F9375B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（九）提供商品或者服务中故意使用不合格的计量器具或者破坏计量器具准确度； </w:t>
            </w:r>
          </w:p>
          <w:p w14:paraId="356C803A">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（十）骗取消费者价款或者费用而不提供或者不按照约定提供商品或者服务。 </w:t>
            </w:r>
          </w:p>
          <w:p w14:paraId="310F2CE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第六条 经营者向消费者提供有关商品或者服务的信息应当真实、全面、准确，不得有下列虚假或者引人误解的宣传行为： </w:t>
            </w:r>
          </w:p>
          <w:p w14:paraId="11DAF65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（一）不以真实名称和标记提供商品或者服务； </w:t>
            </w:r>
          </w:p>
          <w:p w14:paraId="6BFBB42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（二）以虚假或者引人误解的商品说明、商品标准、实物样品等方式销售商品或者服务； </w:t>
            </w:r>
          </w:p>
          <w:p w14:paraId="5450DF42">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（三）作虚假或者引人误解的现场说明和演示；</w:t>
            </w:r>
          </w:p>
          <w:p w14:paraId="337FBA93">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（四）采用虚构交易、虚标成交量、虚假评论或者雇佣他人等方式进行欺骗性销售诱导； </w:t>
            </w:r>
          </w:p>
          <w:p w14:paraId="7F7CFEC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（五）以虚假的“清仓价”、“甩卖价”、“最低价 ”、“优惠价”或者其他欺骗性价格表示销售商品或者服务； </w:t>
            </w:r>
          </w:p>
          <w:p w14:paraId="1DF3CF45">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（六）以虚假的“有奖销售”、“还本销售”、 “体验销售”等方式销售商品或者服务； </w:t>
            </w:r>
          </w:p>
          <w:p w14:paraId="13370116">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（七）谎称正品销售“处理品”、“残次品”、 “ 等外品”等商品； </w:t>
            </w:r>
          </w:p>
          <w:p w14:paraId="187FCEB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（八）夸大或隐瞒所提供的商品或者服务的数量、质量、性能等与消费者有重大利害关系的信息误导消费者； </w:t>
            </w:r>
          </w:p>
          <w:p w14:paraId="35B7ECA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（九）以其他虚假或者引人误解的宣传方式误导消费者。 </w:t>
            </w:r>
          </w:p>
          <w:p w14:paraId="1C5E6F6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第十三条 从事服务业的经营者不得有下列行为： </w:t>
            </w:r>
          </w:p>
          <w:p w14:paraId="1513B22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（一）从事为消费者提供修理、加工、安装、装饰装修等服务的经营者谎报用工用料，故意损坏、偷换零部件或材料，使用不符合国家质量标准或者与约定不 </w:t>
            </w:r>
          </w:p>
          <w:p w14:paraId="467FE19C">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相符的零部件或材料，更换不需要更换的零部件，或者偷工减料、加收费用，损害消费者权益的； </w:t>
            </w:r>
          </w:p>
          <w:p w14:paraId="0469EC5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（二）从事房屋租赁、家政服务等中介服务的经营者提供虚假信息或者采取欺骗、恶意串通等手段损害消费者权益的。 </w:t>
            </w:r>
          </w:p>
          <w:p w14:paraId="2F86F6A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第十六条 经营者有本办法第五条（一）项至第 （六）项规定行为之一且不能证明自己并非欺骗、误导消费者而实施此种行为的，属于欺诈行为。 经营者有本办法第五条第（七）项至第（十）项、第六条和第十三条规定行为之一的，属于欺诈行为。</w:t>
            </w:r>
          </w:p>
          <w:p w14:paraId="0F7E172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 第十五条 经营者违反本办法第十二条、第十三条规定，其他法律、法规有规定的，依照法律、法规的规定执行；法律、法规未作规定的，由市场监督管理部门责令改正，可以单处或者并处警告，违法所得三倍以下、但最高不超过三万元的罚款，没有违法所得的，处以一万元以下的罚款。</w:t>
            </w:r>
          </w:p>
          <w:p w14:paraId="75CD28DB">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 xml:space="preserve">《中华人民共和国消费者权益保护法》 </w:t>
            </w:r>
          </w:p>
          <w:p w14:paraId="1922E4A0">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第五十五条第一款 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w:t>
            </w:r>
          </w:p>
        </w:tc>
        <w:tc>
          <w:tcPr>
            <w:tcW w:w="1187" w:type="dxa"/>
            <w:noWrap w:val="0"/>
            <w:vAlign w:val="center"/>
          </w:tcPr>
          <w:p w14:paraId="0F3EAF3E">
            <w:pPr>
              <w:keepNext w:val="0"/>
              <w:keepLines w:val="0"/>
              <w:widowControl/>
              <w:suppressLineNumbers w:val="0"/>
              <w:jc w:val="center"/>
              <w:rPr>
                <w:rFonts w:hint="default" w:ascii="BMHBIL+SimSun" w:hAnsi="BMHBIL+SimSun" w:cs="BMHBIL+SimSun"/>
                <w:color w:val="000000"/>
                <w:spacing w:val="1"/>
                <w:sz w:val="20"/>
                <w:szCs w:val="20"/>
                <w:highlight w:val="none"/>
                <w:lang w:val="en-US" w:eastAsia="zh-CN"/>
              </w:rPr>
            </w:pPr>
            <w:r>
              <w:rPr>
                <w:rFonts w:hint="default" w:ascii="瀹嬩綋" w:hAnsi="瀹嬩綋" w:eastAsia="瀹嬩綋" w:cs="瀹嬩綋"/>
                <w:color w:val="000000"/>
                <w:kern w:val="0"/>
                <w:sz w:val="22"/>
                <w:szCs w:val="22"/>
                <w:lang w:val="en-US" w:eastAsia="zh-CN" w:bidi="ar"/>
              </w:rPr>
              <w:t>★★★</w:t>
            </w:r>
          </w:p>
        </w:tc>
        <w:tc>
          <w:tcPr>
            <w:tcW w:w="2392" w:type="dxa"/>
            <w:noWrap w:val="0"/>
            <w:vAlign w:val="center"/>
          </w:tcPr>
          <w:p w14:paraId="05868147">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default" w:ascii="BMHBIL+SimSun" w:hAnsi="BMHBIL+SimSun" w:cs="BMHBIL+SimSun"/>
                <w:color w:val="000000"/>
                <w:spacing w:val="1"/>
                <w:sz w:val="20"/>
                <w:szCs w:val="20"/>
                <w:highlight w:val="none"/>
                <w:lang w:val="en-US" w:eastAsia="zh-CN"/>
              </w:rPr>
              <w:t>经营者应当遵守诚实信用原则， 不得欺诈消费者</w:t>
            </w:r>
            <w:r>
              <w:rPr>
                <w:rFonts w:hint="eastAsia" w:ascii="BMHBIL+SimSun" w:hAnsi="BMHBIL+SimSun" w:cs="BMHBIL+SimSun"/>
                <w:color w:val="000000"/>
                <w:spacing w:val="1"/>
                <w:sz w:val="20"/>
                <w:szCs w:val="20"/>
                <w:highlight w:val="none"/>
                <w:lang w:val="en-US" w:eastAsia="zh-CN"/>
              </w:rPr>
              <w:t>。</w:t>
            </w:r>
            <w:r>
              <w:rPr>
                <w:rFonts w:hint="default" w:ascii="BMHBIL+SimSun" w:hAnsi="BMHBIL+SimSun" w:cs="BMHBIL+SimSun"/>
                <w:color w:val="000000"/>
                <w:spacing w:val="1"/>
                <w:sz w:val="20"/>
                <w:szCs w:val="20"/>
                <w:highlight w:val="none"/>
                <w:lang w:val="en-US" w:eastAsia="zh-CN"/>
              </w:rPr>
              <w:t>从事为消费者提供 修理、加工、安装等服务的经营者不得谎报用工用料，故意损坏、偷换零部件或材料和使用不符合国家质量标准或者与约定不相符的零部件或 材料，更换不需要更换的零部件，或者偷工减料、加收费用，损害消费者权益</w:t>
            </w:r>
            <w:r>
              <w:rPr>
                <w:rFonts w:hint="eastAsia" w:ascii="BMHBIL+SimSun" w:hAnsi="BMHBIL+SimSun" w:cs="BMHBIL+SimSun"/>
                <w:color w:val="000000"/>
                <w:spacing w:val="1"/>
                <w:sz w:val="20"/>
                <w:szCs w:val="20"/>
                <w:highlight w:val="none"/>
                <w:lang w:val="en-US" w:eastAsia="zh-CN"/>
              </w:rPr>
              <w:t>。</w:t>
            </w:r>
          </w:p>
          <w:p w14:paraId="662B8842">
            <w:pPr>
              <w:keepNext w:val="0"/>
              <w:keepLines w:val="0"/>
              <w:widowControl/>
              <w:suppressLineNumbers w:val="0"/>
              <w:jc w:val="center"/>
              <w:rPr>
                <w:rFonts w:hint="default" w:ascii="BMHBIL+SimSun" w:hAnsi="BMHBIL+SimSun" w:cs="BMHBIL+SimSun"/>
                <w:color w:val="000000"/>
                <w:spacing w:val="1"/>
                <w:sz w:val="20"/>
                <w:szCs w:val="20"/>
                <w:highlight w:val="none"/>
                <w:lang w:val="en-US" w:eastAsia="zh-CN"/>
              </w:rPr>
            </w:pPr>
          </w:p>
        </w:tc>
        <w:tc>
          <w:tcPr>
            <w:tcW w:w="1624" w:type="dxa"/>
            <w:noWrap w:val="0"/>
            <w:vAlign w:val="top"/>
          </w:tcPr>
          <w:p w14:paraId="43B9AF5E">
            <w:pPr>
              <w:keepNext w:val="0"/>
              <w:keepLines w:val="0"/>
              <w:widowControl/>
              <w:suppressLineNumbers w:val="0"/>
              <w:jc w:val="both"/>
              <w:rPr>
                <w:rFonts w:hint="default" w:ascii="BMHBIL+SimSun" w:hAnsi="BMHBIL+SimSun" w:cs="BMHBIL+SimSun"/>
                <w:color w:val="000000"/>
                <w:spacing w:val="1"/>
                <w:sz w:val="20"/>
                <w:szCs w:val="20"/>
                <w:highlight w:val="none"/>
                <w:lang w:val="en-US" w:eastAsia="zh-CN"/>
              </w:rPr>
            </w:pPr>
          </w:p>
        </w:tc>
      </w:tr>
    </w:tbl>
    <w:p w14:paraId="0AFA4314">
      <w:pP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备注：1. 合规清单适用对象：本行政区域内从事商品生产、经营或者提供服务（以下所称商品包括服务）的自然人、法人和非法人组织。</w:t>
      </w:r>
    </w:p>
    <w:p w14:paraId="039BB8D1">
      <w:pP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 xml:space="preserve">    </w:t>
      </w:r>
      <w:r>
        <w:rPr>
          <w:rFonts w:hint="eastAsia" w:ascii="Times New Roman" w:hAnsi="Times New Roman" w:eastAsia="方正仿宋_GBK" w:cs="Times New Roman"/>
          <w:color w:val="auto"/>
          <w:sz w:val="21"/>
          <w:szCs w:val="21"/>
          <w:lang w:val="en-US" w:eastAsia="zh-CN"/>
        </w:rPr>
        <w:t xml:space="preserve">  </w:t>
      </w:r>
      <w:r>
        <w:rPr>
          <w:rFonts w:hint="default" w:ascii="Times New Roman" w:hAnsi="Times New Roman" w:eastAsia="方正仿宋_GBK" w:cs="Times New Roman"/>
          <w:color w:val="auto"/>
          <w:sz w:val="21"/>
          <w:szCs w:val="21"/>
          <w:lang w:val="en-US" w:eastAsia="zh-CN"/>
        </w:rPr>
        <w:t>2.该清单并未涵盖所有消费者权益保护类违法行为。</w:t>
      </w:r>
    </w:p>
    <w:p w14:paraId="37DAF8E1">
      <w:pPr>
        <w:ind w:firstLine="630" w:firstLineChars="300"/>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3.发生频率较高的为★★★，发生频率一般的为★★，发生频率较少的为★。</w:t>
      </w:r>
    </w:p>
    <w:p w14:paraId="3231B336">
      <w:pPr>
        <w:rPr>
          <w:rFonts w:hint="eastAsia"/>
          <w:lang w:eastAsia="zh-CN"/>
        </w:rPr>
      </w:pPr>
      <w:r>
        <w:rPr>
          <w:rFonts w:hint="eastAsia"/>
          <w:lang w:eastAsia="zh-CN"/>
        </w:rPr>
        <w:t>广告类行为（共</w:t>
      </w:r>
      <w:r>
        <w:rPr>
          <w:rFonts w:hint="eastAsia"/>
          <w:lang w:val="en-US" w:eastAsia="zh-CN"/>
        </w:rPr>
        <w:t>14项</w:t>
      </w:r>
      <w:r>
        <w:rPr>
          <w:rFonts w:hint="eastAsia"/>
          <w:lang w:eastAsia="zh-CN"/>
        </w:rPr>
        <w:t>）</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39072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8BF58D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4BC8B52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6A39970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6055050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577D07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791E7E9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20AFAD4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2EE75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53B29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w:t>
            </w:r>
          </w:p>
        </w:tc>
        <w:tc>
          <w:tcPr>
            <w:tcW w:w="1542" w:type="dxa"/>
            <w:noWrap w:val="0"/>
            <w:vAlign w:val="center"/>
          </w:tcPr>
          <w:p w14:paraId="36798D57">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广告禁止含有不良导向内容</w:t>
            </w:r>
          </w:p>
        </w:tc>
        <w:tc>
          <w:tcPr>
            <w:tcW w:w="2251" w:type="dxa"/>
            <w:noWrap w:val="0"/>
            <w:vAlign w:val="center"/>
          </w:tcPr>
          <w:p w14:paraId="36643BF1">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广告含有下列内容的：</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1.使用或变相国家机关或国家机关工作人员名义或形象作证明；</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2.使用或变相使用国旗、国徽、军旗、军歌 、党旗、党徽等；</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3.使用不规范中国地图损害国家尊严或者利益的；</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4.广告内容低俗、庸俗 、媚俗等违背社会良好风尚的；</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5.广告含有淫秽、色情、赌博、迷信、恐怖、暴力的；</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6.损害未成年人和残疾人身心健康的。</w:t>
            </w:r>
          </w:p>
        </w:tc>
        <w:tc>
          <w:tcPr>
            <w:tcW w:w="3640" w:type="dxa"/>
            <w:noWrap w:val="0"/>
            <w:vAlign w:val="center"/>
          </w:tcPr>
          <w:p w14:paraId="751CF211">
            <w:pPr>
              <w:widowControl w:val="0"/>
              <w:autoSpaceDE w:val="0"/>
              <w:autoSpaceDN w:val="0"/>
              <w:spacing w:before="0" w:after="0" w:line="221" w:lineRule="exact"/>
              <w:ind w:left="0" w:right="0" w:firstLine="0"/>
              <w:jc w:val="both"/>
              <w:rPr>
                <w:rFonts w:hint="eastAsia"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 xml:space="preserve">《中华人民共和国广告法》   </w:t>
            </w:r>
          </w:p>
          <w:p w14:paraId="4B3A442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color w:val="000000"/>
                <w:spacing w:val="1"/>
                <w:sz w:val="20"/>
                <w:szCs w:val="20"/>
                <w:highlight w:val="none"/>
                <w:lang w:val="en-US" w:eastAsia="zh-CN"/>
              </w:rPr>
              <w:t>第九条广告不得有下列情形：</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（一）使用或者变相使用中华人民共和国的国旗、国歌、国徽，军旗、军歌、军徽；（二）使用或者变相使用国家机关、国家机关工作人员的名义或者形象；（三）使用“ 国家级 ”“ 最高级”“最佳”等用语；（四）损害国家的尊严或者利益，泄露国家秘密；（五）妨碍社会安定，损害社会公共利益；（六）危害人身、财产安全，泄露个人隐私；</w:t>
            </w:r>
            <w:r>
              <w:rPr>
                <w:rFonts w:hint="eastAsia" w:ascii="BMHBIL+SimSun" w:hAnsi="BMHBIL+SimSun" w:cs="BMHBIL+SimSun" w:eastAsiaTheme="minorEastAsia"/>
                <w:color w:val="000000"/>
                <w:spacing w:val="1"/>
                <w:kern w:val="2"/>
                <w:sz w:val="20"/>
                <w:szCs w:val="20"/>
                <w:highlight w:val="none"/>
                <w:lang w:val="en-US" w:eastAsia="zh-CN" w:bidi="ar-SA"/>
              </w:rPr>
              <w:t>（七）妨碍社会公共秩序或者违背社会良好风尚；（八）含有淫秽 、色情</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赌博、迷信、恐怖、暴力的内容；</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（九）含有民族</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种族、宗教、性别歧视的内容；（十）妨碍环境 、 自然资源或者文化遗产保护；（十一）法律 、行政法规规定禁止的其他情形。</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第五十七条第一项   有下列行为之一的，由市场监督管理部门责令停止发布广告，对广告主处二十万元以上一百万元以下的罚款，情节严重的，并可以吊销营业执照，由广告审查机关撤销广告审查批准文件、一年内不受理其广告 审查申请；对广告经营者、广告发布者， 由市 场监督管理部门没收广告费用，处二十万元以上一百万元以下的罚款，情节严重的，并可以吊销营业执照：</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（一）发布有本法第九条、第十条规定的禁止情形的广告的；</w:t>
            </w:r>
          </w:p>
        </w:tc>
        <w:tc>
          <w:tcPr>
            <w:tcW w:w="1140" w:type="dxa"/>
            <w:noWrap w:val="0"/>
            <w:vAlign w:val="center"/>
          </w:tcPr>
          <w:p w14:paraId="02BBE8C2">
            <w:pPr>
              <w:keepNext w:val="0"/>
              <w:keepLines w:val="0"/>
              <w:widowControl/>
              <w:suppressLineNumbers w:val="0"/>
              <w:jc w:val="center"/>
              <w:textAlignment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445DD96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《中华人民共和国广告法》</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第九条、第十条是禁止性内容，是关乎广告导向的重要条款，造成社会危害后果严重，所有商业广告都不得含有上述内容。广告审查首先 要看广告内容的导向是否正确，进一步增强识别导向 广告的能力。</w:t>
            </w:r>
          </w:p>
        </w:tc>
        <w:tc>
          <w:tcPr>
            <w:tcW w:w="1624" w:type="dxa"/>
            <w:noWrap w:val="0"/>
            <w:vAlign w:val="center"/>
          </w:tcPr>
          <w:p w14:paraId="2171D528">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知识产权保护与广告监督管理科</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029-88629642</w:t>
            </w:r>
          </w:p>
        </w:tc>
      </w:tr>
      <w:tr w14:paraId="5D249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DFBD2C8">
            <w:pPr>
              <w:widowControl w:val="0"/>
              <w:autoSpaceDE w:val="0"/>
              <w:autoSpaceDN w:val="0"/>
              <w:spacing w:before="0" w:after="0" w:line="221" w:lineRule="exact"/>
              <w:ind w:left="0" w:right="0" w:firstLine="0"/>
              <w:jc w:val="center"/>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2</w:t>
            </w:r>
          </w:p>
        </w:tc>
        <w:tc>
          <w:tcPr>
            <w:tcW w:w="1542" w:type="dxa"/>
            <w:noWrap w:val="0"/>
            <w:vAlign w:val="center"/>
          </w:tcPr>
          <w:p w14:paraId="4C5ED24E">
            <w:pPr>
              <w:widowControl w:val="0"/>
              <w:autoSpaceDE w:val="0"/>
              <w:autoSpaceDN w:val="0"/>
              <w:spacing w:before="0" w:after="0" w:line="221" w:lineRule="exact"/>
              <w:ind w:left="0" w:right="0" w:firstLine="0"/>
              <w:jc w:val="both"/>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广告不得使用虚构、伪造、无法验证的信息作证明材料</w:t>
            </w:r>
          </w:p>
        </w:tc>
        <w:tc>
          <w:tcPr>
            <w:tcW w:w="2251" w:type="dxa"/>
            <w:noWrap w:val="0"/>
            <w:vAlign w:val="center"/>
          </w:tcPr>
          <w:p w14:paraId="66BEE339">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广告中使用虚构、伪造或者无法验证的科研成果、统计资料、调查结 果、文摘、引用语等信息作为证明材料</w:t>
            </w:r>
          </w:p>
        </w:tc>
        <w:tc>
          <w:tcPr>
            <w:tcW w:w="3640" w:type="dxa"/>
            <w:noWrap w:val="0"/>
            <w:vAlign w:val="center"/>
          </w:tcPr>
          <w:p w14:paraId="48FCD88E">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《中华人民共和国广告法》</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第二十八条第二款第三项广告有下列情形之一的，为虚假广告：</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（三）使用虚构、伪造或者无法验证的科 研成果、统计资料、调查结果、文摘、引用语等信息作证明材料；</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第五十五条第一款  违反本法规定，发布虚假广告的，由市场监督管理部门责令停止发布广告，责令广告主在相应范围内消除影响，处广告费用三倍以上五倍以下的罚款，广告费用无法计算或者明显偏低的，处二十万元以上一百万元  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tc>
        <w:tc>
          <w:tcPr>
            <w:tcW w:w="1140" w:type="dxa"/>
            <w:noWrap w:val="0"/>
            <w:vAlign w:val="center"/>
          </w:tcPr>
          <w:p w14:paraId="22A35AB1">
            <w:pPr>
              <w:keepNext w:val="0"/>
              <w:keepLines w:val="0"/>
              <w:widowControl/>
              <w:suppressLineNumbers w:val="0"/>
              <w:jc w:val="left"/>
              <w:textAlignment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295DE314">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1. 广告活动必须符合法律的规定，真实、客观地宣传有关商品或者服务；</w:t>
            </w:r>
            <w:r>
              <w:rPr>
                <w:rFonts w:hint="eastAsia" w:ascii="BMHBIL+SimSun" w:hAnsi="BMHBIL+SimSun" w:cs="BMHBIL+SimSun"/>
                <w:color w:val="000000"/>
                <w:spacing w:val="1"/>
                <w:sz w:val="20"/>
                <w:szCs w:val="20"/>
                <w:highlight w:val="none"/>
                <w:lang w:val="en-US" w:eastAsia="zh-CN"/>
              </w:rPr>
              <w:br w:type="textWrapping"/>
            </w:r>
            <w:r>
              <w:rPr>
                <w:rFonts w:hint="eastAsia" w:ascii="BMHBIL+SimSun" w:hAnsi="BMHBIL+SimSun" w:cs="BMHBIL+SimSun"/>
                <w:color w:val="000000"/>
                <w:spacing w:val="1"/>
                <w:sz w:val="20"/>
                <w:szCs w:val="20"/>
                <w:highlight w:val="none"/>
                <w:lang w:val="en-US" w:eastAsia="zh-CN"/>
              </w:rPr>
              <w:t>2.广告中不得使用虚构、伪造或者无法验证的科研成果、统计资料、调查结果、文摘、引用语等信息作证明材料，不得欺骗、误导消费者。</w:t>
            </w:r>
          </w:p>
        </w:tc>
        <w:tc>
          <w:tcPr>
            <w:tcW w:w="1624" w:type="dxa"/>
            <w:noWrap w:val="0"/>
            <w:vAlign w:val="center"/>
          </w:tcPr>
          <w:p w14:paraId="0746EA7F">
            <w:pPr>
              <w:widowControl w:val="0"/>
              <w:autoSpaceDE w:val="0"/>
              <w:autoSpaceDN w:val="0"/>
              <w:spacing w:before="0" w:after="0" w:line="221" w:lineRule="exact"/>
              <w:ind w:left="0" w:right="0" w:firstLine="0"/>
              <w:jc w:val="left"/>
              <w:rPr>
                <w:rFonts w:hint="default" w:ascii="BMHBIL+SimSun" w:hAnsi="BMHBIL+SimSun" w:cs="BMHBIL+SimSun"/>
                <w:color w:val="000000"/>
                <w:spacing w:val="1"/>
                <w:sz w:val="20"/>
                <w:szCs w:val="20"/>
                <w:highlight w:val="none"/>
                <w:lang w:val="en-US" w:eastAsia="zh-CN"/>
              </w:rPr>
            </w:pPr>
            <w:r>
              <w:rPr>
                <w:rFonts w:hint="eastAsia" w:ascii="BMHBIL+SimSun" w:hAnsi="BMHBIL+SimSun" w:cs="BMHBIL+SimSun"/>
                <w:color w:val="000000"/>
                <w:spacing w:val="1"/>
                <w:sz w:val="20"/>
                <w:szCs w:val="20"/>
                <w:highlight w:val="none"/>
                <w:lang w:val="en-US" w:eastAsia="zh-CN"/>
              </w:rPr>
              <w:t>知识产权保护与广告监督管理科029-88629643</w:t>
            </w:r>
          </w:p>
        </w:tc>
      </w:tr>
      <w:tr w14:paraId="49275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73A929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3</w:t>
            </w:r>
          </w:p>
        </w:tc>
        <w:tc>
          <w:tcPr>
            <w:tcW w:w="1542" w:type="dxa"/>
            <w:noWrap w:val="0"/>
            <w:vAlign w:val="center"/>
          </w:tcPr>
          <w:p w14:paraId="4346402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广告不得含有商品或者服务 与实际情况不 符的虚假内容</w:t>
            </w:r>
          </w:p>
        </w:tc>
        <w:tc>
          <w:tcPr>
            <w:tcW w:w="2251" w:type="dxa"/>
            <w:noWrap w:val="0"/>
            <w:vAlign w:val="center"/>
          </w:tcPr>
          <w:p w14:paraId="2C5267F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对商品或者服务内容进行编造，与实际情况明显不符，欺骗、误导消</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费者，影响其选择。</w:t>
            </w:r>
          </w:p>
        </w:tc>
        <w:tc>
          <w:tcPr>
            <w:tcW w:w="3640" w:type="dxa"/>
            <w:noWrap w:val="0"/>
            <w:vAlign w:val="center"/>
          </w:tcPr>
          <w:p w14:paraId="3F2C8C9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第四条第一款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广告不得含有虚假或者引人误解的内容</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不得欺骗、误导消费者。</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第二十八条第二款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广告有下列情形之一的，为虚假广告：（二）商品的性能、功能、产地、用途、质量、规格、成分、价格、生产者、有效期限、销售状况、曾获荣誉等信息，或者服务的内容、提供者、形式、质量、价格、销售状况、曾获荣誉等信息，以及与商品  或者服务有关的允诺等信息与实际情况不符，对购买行为有实质性影响的；</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第五十五条第一款  违反本法规定，发布虚假广告的，由市场监督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 用无法计算或者明显偏低的，处一百万元以 上二百万元以下的罚款，可以吊销营业执照，并由广告审查机关撤销广告审查批准文件、一年内不受理其广告审查申请。</w:t>
            </w:r>
          </w:p>
        </w:tc>
        <w:tc>
          <w:tcPr>
            <w:tcW w:w="1140" w:type="dxa"/>
            <w:noWrap w:val="0"/>
            <w:vAlign w:val="center"/>
          </w:tcPr>
          <w:p w14:paraId="5406BD20">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70E5B7A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1.广告活动必须符合法律的规定，真实、客观地宣传有关商品或者服务，不得含有商品或者服务虚假或者引人误解的内容，不得欺骗、误导消费者；</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2.广告中的商品性能、功能、产地、用途、质量、规格、成分、价格、生产者、有效期限、销售状况、曾获荣誉等信息不得与实际情况不 符；</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3.广告中的服务内容、提供者、形式、质量、价格、销售状况、曾获荣誉等信息不得与实际情况不符；</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5.广告中的商品或者服务有关的允诺等信息不得与实际情况不符。</w:t>
            </w:r>
          </w:p>
        </w:tc>
        <w:tc>
          <w:tcPr>
            <w:tcW w:w="1624" w:type="dxa"/>
            <w:noWrap w:val="0"/>
            <w:vAlign w:val="center"/>
          </w:tcPr>
          <w:p w14:paraId="3EF2C43B">
            <w:pPr>
              <w:widowControl w:val="0"/>
              <w:autoSpaceDE w:val="0"/>
              <w:autoSpaceDN w:val="0"/>
              <w:spacing w:before="0" w:after="0" w:line="221" w:lineRule="exact"/>
              <w:ind w:left="0" w:right="0" w:firstLine="0"/>
              <w:jc w:val="left"/>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知识产权保护与广告监督管理科029-88629644</w:t>
            </w:r>
          </w:p>
        </w:tc>
      </w:tr>
      <w:tr w14:paraId="5CAE4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695508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4</w:t>
            </w:r>
          </w:p>
        </w:tc>
        <w:tc>
          <w:tcPr>
            <w:tcW w:w="1542" w:type="dxa"/>
            <w:noWrap w:val="0"/>
            <w:vAlign w:val="center"/>
          </w:tcPr>
          <w:p w14:paraId="69D9717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广告经营者、 广告发布者明知或者应知广告虚假不得设计、制作、代理、发布</w:t>
            </w:r>
          </w:p>
        </w:tc>
        <w:tc>
          <w:tcPr>
            <w:tcW w:w="2251" w:type="dxa"/>
            <w:noWrap w:val="0"/>
            <w:vAlign w:val="center"/>
          </w:tcPr>
          <w:p w14:paraId="37E253B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广告经营者 、广告发布者存在主观过错，明知或者应知广告虚假仍设 计、制作、代理、发布。</w:t>
            </w:r>
          </w:p>
        </w:tc>
        <w:tc>
          <w:tcPr>
            <w:tcW w:w="3640" w:type="dxa"/>
            <w:noWrap w:val="0"/>
            <w:vAlign w:val="center"/>
          </w:tcPr>
          <w:p w14:paraId="15EAF86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第五十五条第三款   广告经营者、广告发布者明知或者应知广告虚假仍设计、制作、代理、发布的，由市场监督管理部门没收广告费用，并处广告费用三倍以上五倍以下的罚款，广告费用无法计算或者明显偏低的，处二十万元以上一百万元以下的罚款；两年内 有三次以上违法行为或者有其他严重情节 的 ，处广告费用五倍以上十倍以下的罚款，广告费用无法计算或者明显偏低的，处一百万元以上二百万元以下的罚款，并可以由有关部门暂停广告发布业务、 吊销营业执照。</w:t>
            </w:r>
          </w:p>
        </w:tc>
        <w:tc>
          <w:tcPr>
            <w:tcW w:w="1140" w:type="dxa"/>
            <w:noWrap w:val="0"/>
            <w:vAlign w:val="center"/>
          </w:tcPr>
          <w:p w14:paraId="49415A23">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0536378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广告经营者（接受委托提供广告设计、制作、代理服务的自然人、法人或者其他组织）、广告发布者（为广告主或者广告主委托的广告经 营者发布广告的自然人、法人或者其他组织） 明知或者应知广告虚假，不得设计、 制作、代理、发布。</w:t>
            </w:r>
          </w:p>
        </w:tc>
        <w:tc>
          <w:tcPr>
            <w:tcW w:w="1624" w:type="dxa"/>
            <w:noWrap w:val="0"/>
            <w:vAlign w:val="center"/>
          </w:tcPr>
          <w:p w14:paraId="0D3193C4">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57355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C6B470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5</w:t>
            </w:r>
          </w:p>
        </w:tc>
        <w:tc>
          <w:tcPr>
            <w:tcW w:w="1542" w:type="dxa"/>
            <w:noWrap w:val="0"/>
            <w:vAlign w:val="center"/>
          </w:tcPr>
          <w:p w14:paraId="3E52202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广告不得使用绝对化用语</w:t>
            </w:r>
          </w:p>
        </w:tc>
        <w:tc>
          <w:tcPr>
            <w:tcW w:w="2251" w:type="dxa"/>
            <w:noWrap w:val="0"/>
            <w:vAlign w:val="center"/>
          </w:tcPr>
          <w:p w14:paraId="1310744E">
            <w:pPr>
              <w:widowControl w:val="0"/>
              <w:autoSpaceDE w:val="0"/>
              <w:autoSpaceDN w:val="0"/>
              <w:spacing w:before="0" w:after="0" w:line="221" w:lineRule="exact"/>
              <w:ind w:left="0" w:right="0" w:firstLine="0"/>
              <w:jc w:val="left"/>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广告中使用：</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1.最高级的形容词</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如“最好”“最强”</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最佳</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“最</w:t>
            </w:r>
            <w:r>
              <w:rPr>
                <w:rFonts w:hint="eastAsia" w:ascii="BMHBIL+SimSun" w:hAnsi="BMHBIL+SimSun" w:cs="BMHBIL+SimSun"/>
                <w:color w:val="000000"/>
                <w:spacing w:val="1"/>
                <w:kern w:val="2"/>
                <w:sz w:val="20"/>
                <w:szCs w:val="20"/>
                <w:highlight w:val="none"/>
                <w:lang w:val="en-US" w:eastAsia="zh-CN" w:bidi="ar-SA"/>
              </w:rPr>
              <w:t>宜</w:t>
            </w:r>
            <w:r>
              <w:rPr>
                <w:rFonts w:hint="eastAsia" w:ascii="BMHBIL+SimSun" w:hAnsi="BMHBIL+SimSun" w:cs="BMHBIL+SimSun" w:eastAsiaTheme="minorEastAsia"/>
                <w:color w:val="000000"/>
                <w:spacing w:val="1"/>
                <w:kern w:val="2"/>
                <w:sz w:val="20"/>
                <w:szCs w:val="20"/>
                <w:highlight w:val="none"/>
                <w:lang w:val="en-US" w:eastAsia="zh-CN" w:bidi="ar-SA"/>
              </w:rPr>
              <w:t>”等</w:t>
            </w:r>
            <w:r>
              <w:rPr>
                <w:rFonts w:hint="eastAsia" w:ascii="BMHBIL+SimSun" w:hAnsi="BMHBIL+SimSun" w:cs="BMHBIL+SimSun"/>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2.以一定的地域、整体作为形容词，如“国家级”“世界级”等；</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3.效果等同于最高级的，如“顶级”“极品”“消费者首选品牌” 等。</w:t>
            </w:r>
          </w:p>
        </w:tc>
        <w:tc>
          <w:tcPr>
            <w:tcW w:w="3640" w:type="dxa"/>
            <w:noWrap w:val="0"/>
            <w:vAlign w:val="center"/>
          </w:tcPr>
          <w:p w14:paraId="182E7A5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第九条第三项 广告不得有下列情形：  （三）使用“国家级”“最高级”“最佳”等用语；</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第五十七条第一项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有下列行为之一的，由市场监督管理部门责令停止发布广告，对广告主处二十万元以上一百万元以下的罚款，情节严重的，并可以吊销营业执照，由广告审查机关撤销广告审查批准文件、一年内不受理其广告审查申请；对广告经营者、广告发布者， 由市场监督管理部门没收广告费用，处二十万元以上一百万元以下的罚款，情节严重的 ， 并可以吊销营业执照：</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（一）发布有本法第九条、第十条规定的禁止情形的广告的。</w:t>
            </w:r>
          </w:p>
        </w:tc>
        <w:tc>
          <w:tcPr>
            <w:tcW w:w="1140" w:type="dxa"/>
            <w:noWrap w:val="0"/>
            <w:vAlign w:val="center"/>
          </w:tcPr>
          <w:p w14:paraId="31310BA6">
            <w:pPr>
              <w:keepNext w:val="0"/>
              <w:keepLines w:val="0"/>
              <w:widowControl/>
              <w:suppressLineNumbers w:val="0"/>
              <w:jc w:val="left"/>
              <w:textAlignment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47DB834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广告在介绍商品和服务时可以使用一般地描述商品和服务情况的用语，但不能使用“国家级”“最高级”“最佳”等绝对化用语。</w:t>
            </w:r>
          </w:p>
        </w:tc>
        <w:tc>
          <w:tcPr>
            <w:tcW w:w="1624" w:type="dxa"/>
            <w:noWrap w:val="0"/>
            <w:vAlign w:val="center"/>
          </w:tcPr>
          <w:p w14:paraId="14EA4FD0">
            <w:pPr>
              <w:keepNext w:val="0"/>
              <w:keepLines w:val="0"/>
              <w:widowControl/>
              <w:suppressLineNumbers w:val="0"/>
              <w:jc w:val="left"/>
              <w:textAlignment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宋体" w:hAnsi="宋体" w:eastAsia="宋体" w:cs="宋体"/>
                <w:i w:val="0"/>
                <w:iCs w:val="0"/>
                <w:color w:val="000000"/>
                <w:kern w:val="0"/>
                <w:sz w:val="18"/>
                <w:szCs w:val="18"/>
                <w:u w:val="none"/>
                <w:lang w:val="en-US" w:eastAsia="zh-CN" w:bidi="ar"/>
              </w:rPr>
              <w:t>知识产权保护与广告监督管理科，联系电话：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029-88629644</w:t>
            </w:r>
          </w:p>
        </w:tc>
      </w:tr>
      <w:tr w14:paraId="034D0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CC6B78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6</w:t>
            </w:r>
          </w:p>
        </w:tc>
        <w:tc>
          <w:tcPr>
            <w:tcW w:w="1542" w:type="dxa"/>
            <w:noWrap w:val="0"/>
            <w:vAlign w:val="center"/>
          </w:tcPr>
          <w:p w14:paraId="4DBE7DA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医疗、药品、医疗器械广告不得含有法律禁止性 宣传用语</w:t>
            </w:r>
          </w:p>
        </w:tc>
        <w:tc>
          <w:tcPr>
            <w:tcW w:w="2251" w:type="dxa"/>
            <w:noWrap w:val="0"/>
            <w:vAlign w:val="center"/>
          </w:tcPr>
          <w:p w14:paraId="0D207C8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 医疗、药品、医疗器械广告含有表示功效、安全性的断言或者保证；</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 医疗、药品、医疗器械广告宣传治愈率、有效率；</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 与其他药品、医疗器械的功效和安全性或其他医疗机构作比较；</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4.利用广告代言人作推荐证明</w:t>
            </w:r>
          </w:p>
        </w:tc>
        <w:tc>
          <w:tcPr>
            <w:tcW w:w="3640" w:type="dxa"/>
            <w:noWrap w:val="0"/>
            <w:vAlign w:val="center"/>
          </w:tcPr>
          <w:p w14:paraId="158901C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十六条第一款医疗、药品、医疗器械广告不得含有下列内容：（一）表示功效、安全性的断言或者保证；（二）说明治愈率或者有效率；（三）与其他药品、医疗器械的功效和安全性或其他医疗机构比较；（四）利用广告代言人作推荐、证明；（五）法律 、行政法规规定禁止的其他内容。</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第五十八条第一款第一项 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 ，广告费用无法计算或者明显偏低的，处二十万元以上一百万元以下的罚款，可以吊销营业执照，并由广告审查机关撤销广告审查批准文件、一年内不受理其广告审查申请：（一）违反本法第十六条规定发布医疗、药品、医疗器械广告的；</w:t>
            </w:r>
          </w:p>
        </w:tc>
        <w:tc>
          <w:tcPr>
            <w:tcW w:w="1140" w:type="dxa"/>
            <w:noWrap w:val="0"/>
            <w:vAlign w:val="center"/>
          </w:tcPr>
          <w:p w14:paraId="09CBC20B">
            <w:pPr>
              <w:keepNext w:val="0"/>
              <w:keepLines w:val="0"/>
              <w:widowControl/>
              <w:suppressLineNumbers w:val="0"/>
              <w:jc w:val="center"/>
              <w:textAlignment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4B2B66E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BMHBIL+SimSun" w:hAnsi="BMHBIL+SimSun" w:cs="BMHBIL+SimSun" w:eastAsiaTheme="minorEastAsia"/>
                <w:color w:val="000000"/>
                <w:spacing w:val="1"/>
                <w:kern w:val="2"/>
                <w:sz w:val="20"/>
                <w:szCs w:val="20"/>
                <w:highlight w:val="none"/>
                <w:lang w:val="en-US" w:eastAsia="zh-CN" w:bidi="ar-SA"/>
              </w:rPr>
              <w:t>1. 医疗广告合规建议：（1）医疗机构发布医疗广告，应在发布前向卫生行政部门申请医疗广告审查。未取得《医疗广告审查证明》，不得发布医疗广告；（2）医疗广告内容应与医疗广告审查成品样件保持一致。</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药品、医疗器械广告合规建议：（1）药品、医疗器械广告未经审查不得发布；（2）广告主应当对药品、医疗器械广告真实性和合法性负责；（3）处方药不得在大众传播媒介发布，非处方药广告还应显著标明非处方药标识（OTC）和“请按药品说明书或者在药师指导下购买和使用”。</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3.医疗、药品、医疗器械广告内容不得出现公众人物或医生、患者、专家等名义和形象作推荐证明。</w:t>
            </w:r>
          </w:p>
        </w:tc>
        <w:tc>
          <w:tcPr>
            <w:tcW w:w="1624" w:type="dxa"/>
            <w:noWrap w:val="0"/>
            <w:vAlign w:val="center"/>
          </w:tcPr>
          <w:p w14:paraId="2F3766DC">
            <w:pPr>
              <w:keepNext w:val="0"/>
              <w:keepLines w:val="0"/>
              <w:widowControl/>
              <w:suppressLineNumbers w:val="0"/>
              <w:jc w:val="left"/>
              <w:textAlignment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知识产权保护与广告监督管理科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029-88629644</w:t>
            </w:r>
          </w:p>
        </w:tc>
      </w:tr>
      <w:tr w14:paraId="4B06E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85175E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15"/>
                <w:szCs w:val="15"/>
                <w:vertAlign w:val="baseline"/>
                <w:lang w:val="en-US" w:eastAsia="zh-CN"/>
              </w:rPr>
            </w:pPr>
            <w:r>
              <w:rPr>
                <w:rFonts w:hint="eastAsia" w:ascii="Times New Roman" w:hAnsi="Times New Roman" w:eastAsia="方正仿宋_GBK" w:cs="Times New Roman"/>
                <w:snapToGrid w:val="0"/>
                <w:color w:val="auto"/>
                <w:kern w:val="0"/>
                <w:sz w:val="21"/>
                <w:szCs w:val="21"/>
                <w:vertAlign w:val="baseline"/>
                <w:lang w:val="en-US" w:eastAsia="zh-CN"/>
              </w:rPr>
              <w:t>7</w:t>
            </w:r>
          </w:p>
        </w:tc>
        <w:tc>
          <w:tcPr>
            <w:tcW w:w="1542" w:type="dxa"/>
            <w:noWrap w:val="0"/>
            <w:vAlign w:val="center"/>
          </w:tcPr>
          <w:p w14:paraId="46C1543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禁止在非医疗、药品、医疗器械 广告中涉及疾病 治疗功能和使用医疗用语</w:t>
            </w:r>
          </w:p>
        </w:tc>
        <w:tc>
          <w:tcPr>
            <w:tcW w:w="2251" w:type="dxa"/>
            <w:noWrap w:val="0"/>
            <w:vAlign w:val="center"/>
          </w:tcPr>
          <w:p w14:paraId="52F1A01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1.普通食品、保健食品、保健用品、消毒产品、化妆品、美容美体服务等非医疗、药品、医疗器械广告涉及疾病治疗功能；</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2.普通食品、保健用品、消毒产品、化妆品、美容美体服务等非医疗、药品、 医疗器械广告使用医疗用语或者与药品相混淆的用语。</w:t>
            </w:r>
          </w:p>
        </w:tc>
        <w:tc>
          <w:tcPr>
            <w:tcW w:w="3640" w:type="dxa"/>
            <w:noWrap w:val="0"/>
            <w:vAlign w:val="center"/>
          </w:tcPr>
          <w:p w14:paraId="259BC6F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第十七条  除医疗、药品、医疗器械广告外，禁止其他任何广告涉及疾病治疗功能，并不得使用医疗用语或者易使推销的商品与药品、医疗器械相混淆的用语。</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第五十八条第一款第二项   有下列行为之一的，由市场监督管理部门责令停止发布广告，责令广告主在相应范围内消除影响，处广告费用一倍以上三倍以下的罚款，广告费用无法计算或者明显偏低的，处十万元以上二十万元以下的罚款；情节严重的， 处广告费用三倍以上五倍以下的罚款，广告费用无法计算或者明显偏低的，处二十万元以上一百万元以下的罚款，可以吊销营业执照，并由广告审查机关撤销广告审查批准文件、一年内不受理其广告审查申请：（二）违反本法第十七条规定，在广告中涉及疾病治疗功能，以及使用医疗用语或者易使推销的商品与药品、医疗器械相混淆的用语的；</w:t>
            </w:r>
          </w:p>
        </w:tc>
        <w:tc>
          <w:tcPr>
            <w:tcW w:w="1140" w:type="dxa"/>
            <w:noWrap w:val="0"/>
            <w:vAlign w:val="center"/>
          </w:tcPr>
          <w:p w14:paraId="0783096A">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1E0F4FC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除医疗、药品、医疗器械广告外，其他任何广告不得涉及疾病治疗功能，并不得使用医疗用语或者与药品、医疗器械相混淆的用语。</w:t>
            </w:r>
          </w:p>
        </w:tc>
        <w:tc>
          <w:tcPr>
            <w:tcW w:w="1624" w:type="dxa"/>
            <w:noWrap w:val="0"/>
            <w:vAlign w:val="center"/>
          </w:tcPr>
          <w:p w14:paraId="7708AB1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66F37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FF0CF0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8</w:t>
            </w:r>
          </w:p>
        </w:tc>
        <w:tc>
          <w:tcPr>
            <w:tcW w:w="1542" w:type="dxa"/>
            <w:noWrap w:val="0"/>
            <w:vAlign w:val="center"/>
          </w:tcPr>
          <w:p w14:paraId="56841A5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保健食品广告不得含有法律禁止性宣传内容</w:t>
            </w:r>
          </w:p>
        </w:tc>
        <w:tc>
          <w:tcPr>
            <w:tcW w:w="2251" w:type="dxa"/>
            <w:noWrap w:val="0"/>
            <w:vAlign w:val="center"/>
          </w:tcPr>
          <w:p w14:paraId="3D0B996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1.表示功效 、安全性的断言或者保证；</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2.涉及疾病预防治疗功能；</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3.声称或暗示广告商品为保障健康所必须；</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4.与其他保健食品相比较；</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5.利用广告代言人作推荐证明。</w:t>
            </w:r>
          </w:p>
        </w:tc>
        <w:tc>
          <w:tcPr>
            <w:tcW w:w="3640" w:type="dxa"/>
            <w:noWrap w:val="0"/>
            <w:vAlign w:val="center"/>
          </w:tcPr>
          <w:p w14:paraId="5C9B3DA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第十八条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保健食品广告不得含有下列内容：（一）表示功效、安全性的断言或者保证；（二）涉及疾病预防、治疗功能；（三）声称或者暗示广告商品为保障健康所必需；（四）与药品 、其他保健食品进行比较；（五）利用广告代言人作推荐、证明；（六）法律 、行政法规规定禁止的其他内容。保健食品广告应当显著标明“本品不能代替药物”。</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第五十八条第一款第三项   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 并由广告审查机关撤销广告审查批准文件、一年内不受理其广告审查申  请：（三）违反本法第十八条规定发布保健食品广告的；</w:t>
            </w:r>
          </w:p>
        </w:tc>
        <w:tc>
          <w:tcPr>
            <w:tcW w:w="1140" w:type="dxa"/>
            <w:noWrap w:val="0"/>
            <w:vAlign w:val="center"/>
          </w:tcPr>
          <w:p w14:paraId="46039310">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ED3464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 保健食品广告未经审查不得发布；</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 保健食品广告必须标注“蓝帽子”专用标识；</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 保健食品广告应当显著标明“本品不能代替药物”。</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4. 广告内容不得出现公众人物或医生、患者、专家等名义和形象作推荐证明。</w:t>
            </w:r>
          </w:p>
        </w:tc>
        <w:tc>
          <w:tcPr>
            <w:tcW w:w="1624" w:type="dxa"/>
            <w:noWrap w:val="0"/>
            <w:vAlign w:val="center"/>
          </w:tcPr>
          <w:p w14:paraId="6143C58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03A7B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449E83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9</w:t>
            </w:r>
          </w:p>
        </w:tc>
        <w:tc>
          <w:tcPr>
            <w:tcW w:w="1542" w:type="dxa"/>
            <w:noWrap w:val="0"/>
            <w:vAlign w:val="center"/>
          </w:tcPr>
          <w:p w14:paraId="464D92B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教育、培训广告不得含有禁止性内容</w:t>
            </w:r>
          </w:p>
        </w:tc>
        <w:tc>
          <w:tcPr>
            <w:tcW w:w="2251" w:type="dxa"/>
            <w:noWrap w:val="0"/>
            <w:vAlign w:val="center"/>
          </w:tcPr>
          <w:p w14:paraId="548ED30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1.教育培训广告中含有对升学、通过考试、获得学位学历、合格证书 作出明示或者暗示的保证性承诺的内容；</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2.教育培训广告中含有教育、培训效果的保证性承诺的内容。</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 明示或者暗示考试机构工作人员名义参与培训。</w:t>
            </w:r>
          </w:p>
        </w:tc>
        <w:tc>
          <w:tcPr>
            <w:tcW w:w="3640" w:type="dxa"/>
            <w:noWrap w:val="0"/>
            <w:vAlign w:val="center"/>
          </w:tcPr>
          <w:p w14:paraId="058026C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第二十四条 教育、培训广告不得含有下列内容：（一）对升学、通过考试、获得学位学历或者合格证书，或者对教育、培训的效果作出明示或者暗示的保证性承诺；（二）明示或者暗示有相关考试机构或者其工作人员、考试命题人员参与教育、培训；（三）利用科研单位、学术机构、教育机构、行业协会、专业人士、受益者名义或者形象作推荐、证明。</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第五十八条第一款第六项 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六）违反本法第二十四条规定发布教育、培训广告的；</w:t>
            </w:r>
          </w:p>
        </w:tc>
        <w:tc>
          <w:tcPr>
            <w:tcW w:w="1140" w:type="dxa"/>
            <w:noWrap w:val="0"/>
            <w:vAlign w:val="center"/>
          </w:tcPr>
          <w:p w14:paraId="62DF1D2C">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344584E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教育培训类广告应符合法律规定，不得含有保证通过考试、获得学历、合格证书等明示或暗示性内容；不得含有通过教育培训能达到什么样的效果等明示或暗示的保证性承诺内容；不能用学术机构、专业人士以及受益人的名义或形象对培 训效果作推荐、证明。</w:t>
            </w:r>
          </w:p>
        </w:tc>
        <w:tc>
          <w:tcPr>
            <w:tcW w:w="1624" w:type="dxa"/>
            <w:noWrap w:val="0"/>
            <w:vAlign w:val="center"/>
          </w:tcPr>
          <w:p w14:paraId="206D9D3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3241A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0E8C39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10</w:t>
            </w:r>
          </w:p>
        </w:tc>
        <w:tc>
          <w:tcPr>
            <w:tcW w:w="1542" w:type="dxa"/>
            <w:noWrap w:val="0"/>
            <w:vAlign w:val="center"/>
          </w:tcPr>
          <w:p w14:paraId="635242D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招商等有投资回报预期的商品或者服务广告不得含有禁止性内容</w:t>
            </w:r>
          </w:p>
        </w:tc>
        <w:tc>
          <w:tcPr>
            <w:tcW w:w="2251" w:type="dxa"/>
            <w:noWrap w:val="0"/>
            <w:vAlign w:val="center"/>
          </w:tcPr>
          <w:p w14:paraId="19264C0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招商等有投资回报预期的商品或者服务广告违反国家规定，存在对未来效果、收益作出保证性承诺，明示或者暗示保本、无风险等内容的情况。</w:t>
            </w:r>
          </w:p>
        </w:tc>
        <w:tc>
          <w:tcPr>
            <w:tcW w:w="3640" w:type="dxa"/>
            <w:noWrap w:val="0"/>
            <w:vAlign w:val="center"/>
          </w:tcPr>
          <w:p w14:paraId="7244320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第二十五条招商等有投资回报预期的商品 或者服务广告，应当对可能存在的风险以及风险责任承担有合理提示或者警示，并不得含有下列内容：（一）对未来效果、收益或者与其相关的情况作出保证性承诺，明示或者暗示保本、 无风险或者保收益等，国家另有规定的除外；（二）利用学术机构、行业协会、专业人士、受益者的名义或者形象作推荐、证明。第五十八条第一款第七项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七）违反本法第二十五条规定发布招商 等有投资回报预期的商品或者服务广告的；</w:t>
            </w:r>
          </w:p>
        </w:tc>
        <w:tc>
          <w:tcPr>
            <w:tcW w:w="1140" w:type="dxa"/>
            <w:noWrap w:val="0"/>
            <w:vAlign w:val="center"/>
          </w:tcPr>
          <w:p w14:paraId="602C9C36">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42A5372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招商等有投资回报预期的商品或者服务广告，应对可能存在的风险以及风险责任承担有合理提示或者警示，并不得含有对未来效果、收益或者与其相关的情况作出保证性承诺，明示或者暗示保本、无风险或者保收益等，国家另有规定的除 外。</w:t>
            </w:r>
          </w:p>
        </w:tc>
        <w:tc>
          <w:tcPr>
            <w:tcW w:w="1624" w:type="dxa"/>
            <w:noWrap w:val="0"/>
            <w:vAlign w:val="center"/>
          </w:tcPr>
          <w:p w14:paraId="66DB2B5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48BF7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19A795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11</w:t>
            </w:r>
          </w:p>
        </w:tc>
        <w:tc>
          <w:tcPr>
            <w:tcW w:w="1542" w:type="dxa"/>
            <w:noWrap w:val="0"/>
            <w:vAlign w:val="center"/>
          </w:tcPr>
          <w:p w14:paraId="5B466CC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房地产广告，房源等信息应当真实、合法</w:t>
            </w:r>
          </w:p>
        </w:tc>
        <w:tc>
          <w:tcPr>
            <w:tcW w:w="2251" w:type="dxa"/>
            <w:noWrap w:val="0"/>
            <w:vAlign w:val="center"/>
          </w:tcPr>
          <w:p w14:paraId="04B3073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 面积未表明为建筑面积或者套内建筑面积；</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2.承诺升值或者投资回报；</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3.未依法明示项目位置；</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4.违反国家有关价格管理的规定；</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5.对规划或者建设中的交通、商业、文化教育设施以及其他市政条件作误导宣传；</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6.对建筑物本身和环境绿化的尺寸、品质描述与实际不一致；</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7.对于尚处于规划中的公共设施未注明；</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8.其他违法宣传行为。</w:t>
            </w:r>
          </w:p>
        </w:tc>
        <w:tc>
          <w:tcPr>
            <w:tcW w:w="3640" w:type="dxa"/>
            <w:noWrap w:val="0"/>
            <w:vAlign w:val="center"/>
          </w:tcPr>
          <w:p w14:paraId="69147274">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第二十六条  房地产广告，房源信息应当真实，面积应当表明为建筑面积或者套内建筑面积，并不得含有下列内容：</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（一）升值或者投资回报的承诺；（二）以项目到达某一具体参照物的所需时 间表示项目位置；（三）违反国家有关价格管理的规定；（四）对规划或者建设中的交通、商业、文化教育设施以及其他市政条件作误导宣传。</w:t>
            </w:r>
          </w:p>
          <w:p w14:paraId="28AA62D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第五十八条第一款第八项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（八）违反本法第二十六条规定发布房地产广告的；</w:t>
            </w:r>
          </w:p>
        </w:tc>
        <w:tc>
          <w:tcPr>
            <w:tcW w:w="1140" w:type="dxa"/>
            <w:noWrap w:val="0"/>
            <w:vAlign w:val="center"/>
          </w:tcPr>
          <w:p w14:paraId="209D659A">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EC0272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房地产开发企业、房地产权利人、房地产中介服务机构发布的房地产项目预售、预租、出售、出租、项目转让以及其他房地产项目介绍的广告，不得含有对规划或 者建设中的交通、商业、文化教育设施以及其他市政条件作误导宣传，涉及的交通、商业、文化、教育、医疗、体育以及电力、环境卫生等公共设施尚处于规划中、建设中的应注明。</w:t>
            </w:r>
          </w:p>
        </w:tc>
        <w:tc>
          <w:tcPr>
            <w:tcW w:w="1624" w:type="dxa"/>
            <w:noWrap w:val="0"/>
            <w:vAlign w:val="center"/>
          </w:tcPr>
          <w:p w14:paraId="273E1CC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3DE0B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47315B2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12</w:t>
            </w:r>
          </w:p>
        </w:tc>
        <w:tc>
          <w:tcPr>
            <w:tcW w:w="1542" w:type="dxa"/>
            <w:noWrap w:val="0"/>
            <w:vAlign w:val="center"/>
          </w:tcPr>
          <w:p w14:paraId="319E311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广告使用的引证内容应当真实、准确，并表明出处，有适用范围和有效期限的应当明确表示</w:t>
            </w:r>
          </w:p>
        </w:tc>
        <w:tc>
          <w:tcPr>
            <w:tcW w:w="2251" w:type="dxa"/>
            <w:noWrap w:val="0"/>
            <w:vAlign w:val="center"/>
          </w:tcPr>
          <w:p w14:paraId="34B0D1A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1.广告中使用一些不真实或者不正确的数据、统计资料、调查结果、 文摘、引用语，或者在使用时不表明出处，内容含糊；</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2.引证内容在广告中的使用超过合理程度，或者与有关材料原意相悖，给消费者造成误解；</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3.引证内容超出适用范围或有效期限，误导消费者。</w:t>
            </w:r>
          </w:p>
        </w:tc>
        <w:tc>
          <w:tcPr>
            <w:tcW w:w="3640" w:type="dxa"/>
            <w:noWrap w:val="0"/>
            <w:vAlign w:val="center"/>
          </w:tcPr>
          <w:p w14:paraId="6E6EECA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第十一条   广告内容涉及的事项需要取得行政许可的，应当与许可的内容相符合。广告使用数据、统计资料、调查结果、文摘、引用语等引证内容的，应当真实、准确，并表明出处。引证内容有适用范围和有效期限的，应当明确表示。</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第五十九条第一款第二项  有下列行为之一的，由市场监督管理部门责令停止发布广告，对广告主处十万元以下的罚款：（二）广告引证内容违反本法第十一条规的；</w:t>
            </w:r>
          </w:p>
        </w:tc>
        <w:tc>
          <w:tcPr>
            <w:tcW w:w="1140" w:type="dxa"/>
            <w:noWrap w:val="0"/>
            <w:vAlign w:val="center"/>
          </w:tcPr>
          <w:p w14:paraId="33AE7156">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192B6AE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1.广告使用数据、统计资料、调查结果、文摘、引用语等引证内容的，应真实、准确，并表明出处；</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2.引证内容有适用范围和有效期限的，应明确表示。</w:t>
            </w:r>
          </w:p>
        </w:tc>
        <w:tc>
          <w:tcPr>
            <w:tcW w:w="1624" w:type="dxa"/>
            <w:noWrap w:val="0"/>
            <w:vAlign w:val="center"/>
          </w:tcPr>
          <w:p w14:paraId="45F83F0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2126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A686D3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13</w:t>
            </w:r>
          </w:p>
        </w:tc>
        <w:tc>
          <w:tcPr>
            <w:tcW w:w="1542" w:type="dxa"/>
            <w:noWrap w:val="0"/>
            <w:vAlign w:val="center"/>
          </w:tcPr>
          <w:p w14:paraId="2F38C067">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广告中涉及专利产品或者专利方法的，应当标明专利号和专利种类</w:t>
            </w:r>
          </w:p>
        </w:tc>
        <w:tc>
          <w:tcPr>
            <w:tcW w:w="2251" w:type="dxa"/>
            <w:noWrap w:val="0"/>
            <w:vAlign w:val="center"/>
          </w:tcPr>
          <w:p w14:paraId="330E50C1">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广告中涉及专利产品或者专利方法，未标明专利号或者专利种类。</w:t>
            </w:r>
          </w:p>
        </w:tc>
        <w:tc>
          <w:tcPr>
            <w:tcW w:w="3640" w:type="dxa"/>
            <w:noWrap w:val="0"/>
            <w:vAlign w:val="center"/>
          </w:tcPr>
          <w:p w14:paraId="5BDF8142">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第十二条   广告中涉及专利产品或者专利方法的，应当标明专利号和专利种类。未取得专利权的，不得在广告中谎称取得专利权。</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禁止使用未授予专利权的专利申请和已经终止、撤销、无效的专利作广告。</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第五十九条第一款第三项   有下列行为之一的，由市场监督管理部门责令停止发布广告，对广告主处十万元以下的罚款：（三）涉及专利的广告违反本法第十二条规定的；</w:t>
            </w:r>
          </w:p>
        </w:tc>
        <w:tc>
          <w:tcPr>
            <w:tcW w:w="1140" w:type="dxa"/>
            <w:noWrap w:val="0"/>
            <w:vAlign w:val="center"/>
          </w:tcPr>
          <w:p w14:paraId="77BF8078">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D20A396">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 为避免引起社会公众的误解，涉及专利产品或者专利方法的广告，应标明专利号和专利种类；</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2.专利号是指国家在授予专利权时在专利证书上载明的用于区别其他专利的号码；</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3.专利种类是指《中华人民共和国专利法》对其保护对象及发明创造的分类，分为发明专利、实用新型专利和外观设计专利。</w:t>
            </w:r>
          </w:p>
        </w:tc>
        <w:tc>
          <w:tcPr>
            <w:tcW w:w="1624" w:type="dxa"/>
            <w:noWrap w:val="0"/>
            <w:vAlign w:val="center"/>
          </w:tcPr>
          <w:p w14:paraId="136207F7">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r w14:paraId="1F05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CF30E1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20"/>
                <w:szCs w:val="20"/>
                <w:vertAlign w:val="baseline"/>
                <w:lang w:val="en-US" w:eastAsia="zh-CN"/>
              </w:rPr>
            </w:pPr>
            <w:r>
              <w:rPr>
                <w:rFonts w:hint="eastAsia" w:ascii="Times New Roman" w:hAnsi="Times New Roman" w:eastAsia="方正仿宋_GBK" w:cs="Times New Roman"/>
                <w:snapToGrid w:val="0"/>
                <w:color w:val="auto"/>
                <w:kern w:val="0"/>
                <w:sz w:val="20"/>
                <w:szCs w:val="20"/>
                <w:vertAlign w:val="baseline"/>
                <w:lang w:val="en-US" w:eastAsia="zh-CN"/>
              </w:rPr>
              <w:t>14</w:t>
            </w:r>
          </w:p>
        </w:tc>
        <w:tc>
          <w:tcPr>
            <w:tcW w:w="1542" w:type="dxa"/>
            <w:noWrap w:val="0"/>
            <w:vAlign w:val="center"/>
          </w:tcPr>
          <w:p w14:paraId="0A67C224">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广告不得含有虚构、夸大他人的商品或者服务不足的贬低内容</w:t>
            </w:r>
          </w:p>
        </w:tc>
        <w:tc>
          <w:tcPr>
            <w:tcW w:w="2251" w:type="dxa"/>
            <w:noWrap w:val="0"/>
            <w:vAlign w:val="center"/>
          </w:tcPr>
          <w:p w14:paraId="382FE1F8">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的内容表现为通过比较，虚构、夸大竞争对象的商品或者服务在质量、工艺、技术、价格等方面存在的不足或者问题，产生诋毁他人商业信誉的效果，以削弱其竞争能力；或者广告含有利用没有法律法规依据的认定、评比、排序结果（“排行榜”“推荐品牌”等），与他人的商品或者服务作对比，借以突出自己的商品或者服务，贬低其他生产经营者的商品或者服务的内容。</w:t>
            </w:r>
          </w:p>
        </w:tc>
        <w:tc>
          <w:tcPr>
            <w:tcW w:w="3640" w:type="dxa"/>
            <w:noWrap w:val="0"/>
            <w:vAlign w:val="center"/>
          </w:tcPr>
          <w:p w14:paraId="2E540D37">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《中华人民共和国广告法》</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第十三条  广告不得贬低其他生产经营者的商品或者服务。</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第五十九条第一款第四项  有下列行为之一的，由市场监督管理部门责令停止发布广告，对广告主处十万元以下的罚款：（四）违反本法第十三条规定，广告贬低其他生产经营者的商品或者服务的。</w:t>
            </w:r>
          </w:p>
        </w:tc>
        <w:tc>
          <w:tcPr>
            <w:tcW w:w="1140" w:type="dxa"/>
            <w:noWrap w:val="0"/>
            <w:vAlign w:val="center"/>
          </w:tcPr>
          <w:p w14:paraId="4E7F0086">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5F76410">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广告不得含有虚构、夸大他人生产经营的商品或者服务存在不足的贬低内容，对相同的或者近似的一个或者一组商品或者服务进行不公正的评价；不得利用没有法律法规依据的认定、评 比、排序结果，与他人的商品或者服务作对比，对相同的或者近似的一个或者一组商品或者服务进行不公正的评价，借以突出自己的商品或者服务。</w:t>
            </w:r>
          </w:p>
        </w:tc>
        <w:tc>
          <w:tcPr>
            <w:tcW w:w="1624" w:type="dxa"/>
            <w:noWrap w:val="0"/>
            <w:vAlign w:val="center"/>
          </w:tcPr>
          <w:p w14:paraId="39AD0157">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029-88629644</w:t>
            </w:r>
          </w:p>
        </w:tc>
      </w:tr>
    </w:tbl>
    <w:p w14:paraId="07549520">
      <w:pPr>
        <w:jc w:val="both"/>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知识产权保护类行为（共5项）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607"/>
        <w:gridCol w:w="2230"/>
        <w:gridCol w:w="3660"/>
        <w:gridCol w:w="1140"/>
        <w:gridCol w:w="2153"/>
        <w:gridCol w:w="1609"/>
      </w:tblGrid>
      <w:tr w14:paraId="5CEB8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14:paraId="17DF8A4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607" w:type="dxa"/>
            <w:noWrap w:val="0"/>
            <w:vAlign w:val="top"/>
          </w:tcPr>
          <w:p w14:paraId="39F945A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30" w:type="dxa"/>
            <w:noWrap w:val="0"/>
            <w:vAlign w:val="center"/>
          </w:tcPr>
          <w:p w14:paraId="735117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60" w:type="dxa"/>
            <w:noWrap w:val="0"/>
            <w:vAlign w:val="center"/>
          </w:tcPr>
          <w:p w14:paraId="4DB413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0B8BAD6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53" w:type="dxa"/>
            <w:noWrap w:val="0"/>
            <w:vAlign w:val="center"/>
          </w:tcPr>
          <w:p w14:paraId="56FE7BF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09" w:type="dxa"/>
            <w:noWrap w:val="0"/>
            <w:vAlign w:val="center"/>
          </w:tcPr>
          <w:p w14:paraId="6CFEC05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6B6D4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14:paraId="2CD15956">
            <w:pPr>
              <w:spacing w:line="244" w:lineRule="auto"/>
              <w:jc w:val="center"/>
              <w:rPr>
                <w:rFonts w:ascii="Arial"/>
                <w:sz w:val="16"/>
                <w:szCs w:val="20"/>
              </w:rPr>
            </w:pPr>
          </w:p>
          <w:p w14:paraId="25F55947">
            <w:pPr>
              <w:spacing w:line="244" w:lineRule="auto"/>
              <w:jc w:val="center"/>
              <w:rPr>
                <w:rFonts w:ascii="Arial"/>
                <w:sz w:val="16"/>
                <w:szCs w:val="20"/>
              </w:rPr>
            </w:pPr>
          </w:p>
          <w:p w14:paraId="39064E43">
            <w:pPr>
              <w:spacing w:line="244" w:lineRule="auto"/>
              <w:jc w:val="center"/>
              <w:rPr>
                <w:rFonts w:ascii="Arial"/>
                <w:sz w:val="16"/>
                <w:szCs w:val="20"/>
              </w:rPr>
            </w:pPr>
          </w:p>
          <w:p w14:paraId="74E21878">
            <w:pPr>
              <w:spacing w:line="244" w:lineRule="auto"/>
              <w:jc w:val="center"/>
              <w:rPr>
                <w:rFonts w:hint="eastAsia" w:ascii="Arial" w:eastAsiaTheme="minorEastAsia"/>
                <w:sz w:val="16"/>
                <w:szCs w:val="20"/>
                <w:lang w:val="en-US" w:eastAsia="zh-CN"/>
              </w:rPr>
            </w:pPr>
            <w:r>
              <w:rPr>
                <w:rFonts w:hint="eastAsia" w:ascii="Arial"/>
                <w:sz w:val="16"/>
                <w:szCs w:val="20"/>
                <w:lang w:val="en-US" w:eastAsia="zh-CN"/>
              </w:rPr>
              <w:t>1</w:t>
            </w:r>
          </w:p>
          <w:p w14:paraId="532F96E3">
            <w:pPr>
              <w:spacing w:line="245" w:lineRule="auto"/>
              <w:jc w:val="center"/>
              <w:rPr>
                <w:rFonts w:ascii="Arial"/>
                <w:sz w:val="16"/>
                <w:szCs w:val="20"/>
              </w:rPr>
            </w:pPr>
          </w:p>
          <w:p w14:paraId="64DB71AD">
            <w:pPr>
              <w:spacing w:line="245" w:lineRule="auto"/>
              <w:jc w:val="center"/>
              <w:rPr>
                <w:rFonts w:ascii="Arial"/>
                <w:sz w:val="16"/>
                <w:szCs w:val="20"/>
              </w:rPr>
            </w:pPr>
          </w:p>
          <w:p w14:paraId="2865052B">
            <w:pPr>
              <w:spacing w:line="245" w:lineRule="auto"/>
              <w:jc w:val="center"/>
              <w:rPr>
                <w:rFonts w:hint="eastAsia" w:ascii="Arial" w:eastAsiaTheme="minorEastAsia"/>
                <w:sz w:val="16"/>
                <w:szCs w:val="20"/>
                <w:lang w:val="en-US" w:eastAsia="zh-CN"/>
              </w:rPr>
            </w:pPr>
          </w:p>
          <w:p w14:paraId="64E88663">
            <w:pPr>
              <w:spacing w:line="245" w:lineRule="auto"/>
              <w:jc w:val="center"/>
              <w:rPr>
                <w:rFonts w:ascii="Arial"/>
                <w:sz w:val="16"/>
                <w:szCs w:val="20"/>
              </w:rPr>
            </w:pPr>
          </w:p>
          <w:p w14:paraId="7AB72005">
            <w:pPr>
              <w:spacing w:line="245" w:lineRule="auto"/>
              <w:jc w:val="center"/>
              <w:rPr>
                <w:rFonts w:ascii="Arial"/>
                <w:sz w:val="16"/>
                <w:szCs w:val="20"/>
              </w:rPr>
            </w:pPr>
          </w:p>
          <w:p w14:paraId="0718B3C4">
            <w:pPr>
              <w:spacing w:line="245" w:lineRule="auto"/>
              <w:jc w:val="center"/>
              <w:rPr>
                <w:rFonts w:ascii="Arial"/>
                <w:sz w:val="16"/>
                <w:szCs w:val="20"/>
              </w:rPr>
            </w:pPr>
          </w:p>
          <w:p w14:paraId="5D999842">
            <w:pPr>
              <w:spacing w:line="245" w:lineRule="auto"/>
              <w:jc w:val="center"/>
              <w:rPr>
                <w:rFonts w:ascii="Arial"/>
                <w:sz w:val="16"/>
                <w:szCs w:val="20"/>
              </w:rPr>
            </w:pPr>
          </w:p>
          <w:p w14:paraId="2F6D364C">
            <w:pPr>
              <w:spacing w:line="245" w:lineRule="auto"/>
              <w:jc w:val="center"/>
              <w:rPr>
                <w:rFonts w:ascii="Arial"/>
                <w:sz w:val="16"/>
                <w:szCs w:val="20"/>
              </w:rPr>
            </w:pPr>
          </w:p>
          <w:p w14:paraId="1EFB19FE">
            <w:pPr>
              <w:spacing w:line="245" w:lineRule="auto"/>
              <w:jc w:val="center"/>
              <w:rPr>
                <w:rFonts w:ascii="Arial"/>
                <w:sz w:val="16"/>
                <w:szCs w:val="20"/>
              </w:rPr>
            </w:pPr>
          </w:p>
          <w:p w14:paraId="5B2ADE0F">
            <w:pPr>
              <w:spacing w:line="245" w:lineRule="auto"/>
              <w:jc w:val="center"/>
              <w:rPr>
                <w:rFonts w:ascii="Arial"/>
                <w:sz w:val="16"/>
                <w:szCs w:val="20"/>
              </w:rPr>
            </w:pPr>
          </w:p>
          <w:p w14:paraId="4D309509">
            <w:pPr>
              <w:spacing w:line="245" w:lineRule="auto"/>
              <w:jc w:val="center"/>
              <w:rPr>
                <w:rFonts w:ascii="Arial"/>
                <w:sz w:val="16"/>
                <w:szCs w:val="20"/>
              </w:rPr>
            </w:pPr>
          </w:p>
          <w:p w14:paraId="6BEE6741">
            <w:pPr>
              <w:spacing w:line="245" w:lineRule="auto"/>
              <w:jc w:val="center"/>
              <w:rPr>
                <w:rFonts w:ascii="Arial"/>
                <w:sz w:val="16"/>
                <w:szCs w:val="20"/>
              </w:rPr>
            </w:pPr>
          </w:p>
          <w:p w14:paraId="149ABF6C">
            <w:pPr>
              <w:spacing w:before="63" w:line="236" w:lineRule="auto"/>
              <w:jc w:val="center"/>
              <w:rPr>
                <w:rFonts w:hint="default" w:ascii="Times New Roman" w:hAnsi="Times New Roman" w:eastAsia="方正黑体_GBK" w:cs="Times New Roman"/>
                <w:snapToGrid w:val="0"/>
                <w:color w:val="auto"/>
                <w:kern w:val="0"/>
                <w:sz w:val="21"/>
                <w:szCs w:val="21"/>
                <w:vertAlign w:val="baseline"/>
                <w:lang w:val="en-US" w:eastAsia="zh-CN"/>
              </w:rPr>
            </w:pPr>
          </w:p>
        </w:tc>
        <w:tc>
          <w:tcPr>
            <w:tcW w:w="1607" w:type="dxa"/>
            <w:noWrap w:val="0"/>
            <w:vAlign w:val="center"/>
          </w:tcPr>
          <w:p w14:paraId="5D0BA76B">
            <w:pPr>
              <w:pStyle w:val="8"/>
              <w:keepNext w:val="0"/>
              <w:keepLines w:val="0"/>
              <w:pageBreakBefore w:val="0"/>
              <w:widowControl w:val="0"/>
              <w:kinsoku/>
              <w:wordWrap/>
              <w:autoSpaceDE/>
              <w:autoSpaceDN/>
              <w:bidi w:val="0"/>
              <w:spacing w:before="71" w:line="240" w:lineRule="exact"/>
              <w:ind w:right="20" w:rightChars="0"/>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商标代理机构应当遵循诚实信用原则，遵守法律、行政法规，按照被代理人的委托办理商标注册申请或者其他商标事宜; 对在代理过程中知悉的  被代理人的商业  秘密，负有保密义务。</w:t>
            </w:r>
          </w:p>
        </w:tc>
        <w:tc>
          <w:tcPr>
            <w:tcW w:w="2230" w:type="dxa"/>
            <w:noWrap w:val="0"/>
            <w:vAlign w:val="center"/>
          </w:tcPr>
          <w:p w14:paraId="1221315F">
            <w:pPr>
              <w:pStyle w:val="8"/>
              <w:keepNext w:val="0"/>
              <w:keepLines w:val="0"/>
              <w:pageBreakBefore w:val="0"/>
              <w:widowControl w:val="0"/>
              <w:kinsoku/>
              <w:wordWrap/>
              <w:autoSpaceDE/>
              <w:autoSpaceDN/>
              <w:bidi w:val="0"/>
              <w:spacing w:before="71" w:line="240" w:lineRule="exact"/>
              <w:ind w:right="21"/>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1. 办理商标事宜过程中，伪造、变造或者使用伪造、变造的法律文件、印章、签名的;</w:t>
            </w:r>
          </w:p>
          <w:p w14:paraId="599AFA85">
            <w:pPr>
              <w:pStyle w:val="8"/>
              <w:keepNext w:val="0"/>
              <w:keepLines w:val="0"/>
              <w:pageBreakBefore w:val="0"/>
              <w:widowControl w:val="0"/>
              <w:kinsoku/>
              <w:wordWrap/>
              <w:autoSpaceDE/>
              <w:autoSpaceDN/>
              <w:bidi w:val="0"/>
              <w:spacing w:before="31" w:line="240" w:lineRule="exact"/>
              <w:ind w:left="40" w:right="26" w:hanging="3"/>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2.以诋毁其他商标代理机构等手段招徕商标代理业务或者以其他不正当手段扰乱商标代理市场秩序的;</w:t>
            </w:r>
          </w:p>
          <w:p w14:paraId="567D85C7">
            <w:pPr>
              <w:pStyle w:val="8"/>
              <w:keepNext w:val="0"/>
              <w:keepLines w:val="0"/>
              <w:pageBreakBefore w:val="0"/>
              <w:widowControl w:val="0"/>
              <w:kinsoku/>
              <w:wordWrap/>
              <w:autoSpaceDE/>
              <w:autoSpaceDN/>
              <w:bidi w:val="0"/>
              <w:spacing w:before="26" w:line="240" w:lineRule="exact"/>
              <w:ind w:left="41" w:leftChars="0" w:right="35" w:rightChars="0"/>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3.违反本法第四条、第十九条第三款和第四款规定的。</w:t>
            </w:r>
          </w:p>
        </w:tc>
        <w:tc>
          <w:tcPr>
            <w:tcW w:w="3660" w:type="dxa"/>
            <w:noWrap w:val="0"/>
            <w:vAlign w:val="center"/>
          </w:tcPr>
          <w:p w14:paraId="03CF8DE5">
            <w:pPr>
              <w:pStyle w:val="8"/>
              <w:keepNext w:val="0"/>
              <w:keepLines w:val="0"/>
              <w:pageBreakBefore w:val="0"/>
              <w:widowControl w:val="0"/>
              <w:kinsoku/>
              <w:wordWrap/>
              <w:autoSpaceDE/>
              <w:autoSpaceDN/>
              <w:bidi w:val="0"/>
              <w:spacing w:before="72"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《中华人民共和国商标法》</w:t>
            </w:r>
          </w:p>
          <w:p w14:paraId="5EEC44C5">
            <w:pPr>
              <w:pStyle w:val="8"/>
              <w:keepNext w:val="0"/>
              <w:keepLines w:val="0"/>
              <w:pageBreakBefore w:val="0"/>
              <w:widowControl w:val="0"/>
              <w:kinsoku/>
              <w:wordWrap/>
              <w:autoSpaceDE/>
              <w:autoSpaceDN/>
              <w:bidi w:val="0"/>
              <w:spacing w:before="4" w:line="240" w:lineRule="exact"/>
              <w:ind w:left="44" w:right="68"/>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第六十八条  商标代理机构有下列行为之一的，由工商行政管理部门责令限期改正，给予警告，处一万元以上十万元以下的罚款;对直接负责的主管人员和其他直接责任人员给予警告，处五千元以上五万元以下的罚款;构成犯罪的，依法追究刑事责任：(一)办理商标事宜过程中，伪造、变造或者使用伪造 、变造的法律文件、印章、签名的;(二)以诋毁其他商标代理机构等手段招徕商标代理业 务或者以其他不正当手段扰乱商标代理市场秩序的;(三)违反本法第四条、第十九条第三款和第四款规定的。商标代理机构有前款规定行为的，由工商行政管理部门记入信用档案;情节严重的，商标局、商标评审委员会并可以决定停止受理其办理商标代理业务，予以公告。</w:t>
            </w:r>
          </w:p>
          <w:p w14:paraId="0B991D60">
            <w:pPr>
              <w:pStyle w:val="8"/>
              <w:keepNext w:val="0"/>
              <w:keepLines w:val="0"/>
              <w:pageBreakBefore w:val="0"/>
              <w:widowControl w:val="0"/>
              <w:kinsoku/>
              <w:wordWrap/>
              <w:autoSpaceDE/>
              <w:autoSpaceDN/>
              <w:bidi w:val="0"/>
              <w:spacing w:before="2" w:line="240" w:lineRule="exact"/>
              <w:ind w:left="46" w:right="68" w:firstLine="2"/>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商标代理机构违反诚实信用原则，侵害委托人合法利益的，应当依法承担民事责任，并由商标代理行业组织按照章程规定予以惩戒。</w:t>
            </w:r>
          </w:p>
          <w:p w14:paraId="61CCD9E1">
            <w:pPr>
              <w:pStyle w:val="8"/>
              <w:keepNext w:val="0"/>
              <w:keepLines w:val="0"/>
              <w:pageBreakBefore w:val="0"/>
              <w:widowControl w:val="0"/>
              <w:kinsoku/>
              <w:wordWrap/>
              <w:autoSpaceDE/>
              <w:autoSpaceDN/>
              <w:bidi w:val="0"/>
              <w:spacing w:before="1" w:line="240" w:lineRule="exact"/>
              <w:ind w:left="45" w:leftChars="0" w:right="68" w:rightChars="0" w:hanging="1" w:firstLineChars="0"/>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对恶意申请商标注册的，根据情节给予警告、罚款等行政处罚;对恶意提起商标诉讼的，由人民法院依法给予处罚。</w:t>
            </w:r>
          </w:p>
          <w:p w14:paraId="7DA64D14">
            <w:pPr>
              <w:pStyle w:val="8"/>
              <w:keepNext w:val="0"/>
              <w:keepLines w:val="0"/>
              <w:pageBreakBefore w:val="0"/>
              <w:widowControl w:val="0"/>
              <w:kinsoku/>
              <w:wordWrap/>
              <w:autoSpaceDE/>
              <w:autoSpaceDN/>
              <w:bidi w:val="0"/>
              <w:spacing w:before="1" w:line="240" w:lineRule="exact"/>
              <w:ind w:left="45" w:leftChars="0" w:right="68" w:rightChars="0" w:hanging="1" w:firstLineChars="0"/>
              <w:jc w:val="left"/>
              <w:rPr>
                <w:rFonts w:hint="default" w:asciiTheme="minorEastAsia" w:hAnsiTheme="minorEastAsia" w:eastAsiaTheme="minorEastAsia" w:cstheme="minorEastAsia"/>
                <w:color w:val="000000"/>
                <w:spacing w:val="1"/>
                <w:kern w:val="2"/>
                <w:sz w:val="20"/>
                <w:szCs w:val="20"/>
                <w:highlight w:val="none"/>
                <w:lang w:val="en-US" w:eastAsia="zh-CN" w:bidi="ar-SA"/>
              </w:rPr>
            </w:pPr>
          </w:p>
        </w:tc>
        <w:tc>
          <w:tcPr>
            <w:tcW w:w="1140" w:type="dxa"/>
            <w:noWrap w:val="0"/>
            <w:vAlign w:val="center"/>
          </w:tcPr>
          <w:p w14:paraId="149FD8ED">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5430BDD5">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1F96861E">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7CB92145">
            <w:pPr>
              <w:keepNext w:val="0"/>
              <w:keepLines w:val="0"/>
              <w:pageBreakBefore w:val="0"/>
              <w:widowControl w:val="0"/>
              <w:kinsoku/>
              <w:wordWrap/>
              <w:autoSpaceDE/>
              <w:autoSpaceDN/>
              <w:bidi w:val="0"/>
              <w:spacing w:line="240" w:lineRule="exact"/>
              <w:ind w:firstLine="202" w:firstLineChars="100"/>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w:t>
            </w:r>
          </w:p>
          <w:p w14:paraId="44C490D9">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607C3728">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28D232BA">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3162AC2A">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64670A26">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31BAF087">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22C4974A">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79C07EEC">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7611BA81">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05C8A1E4">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25B804DC">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0345FF65">
            <w:pPr>
              <w:keepNext w:val="0"/>
              <w:keepLines w:val="0"/>
              <w:pageBreakBefore w:val="0"/>
              <w:widowControl w:val="0"/>
              <w:kinsoku/>
              <w:wordWrap/>
              <w:autoSpaceDE/>
              <w:autoSpaceDN/>
              <w:bidi w:val="0"/>
              <w:spacing w:line="240" w:lineRule="exact"/>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7B882168">
            <w:pPr>
              <w:pStyle w:val="8"/>
              <w:keepNext w:val="0"/>
              <w:keepLines w:val="0"/>
              <w:pageBreakBefore w:val="0"/>
              <w:widowControl w:val="0"/>
              <w:kinsoku/>
              <w:wordWrap/>
              <w:autoSpaceDE/>
              <w:autoSpaceDN/>
              <w:bidi w:val="0"/>
              <w:spacing w:before="72" w:line="240" w:lineRule="exact"/>
              <w:ind w:left="146" w:leftChars="0"/>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p>
        </w:tc>
        <w:tc>
          <w:tcPr>
            <w:tcW w:w="2153" w:type="dxa"/>
            <w:noWrap w:val="0"/>
            <w:vAlign w:val="center"/>
          </w:tcPr>
          <w:p w14:paraId="1FCA3A01">
            <w:pPr>
              <w:pStyle w:val="8"/>
              <w:keepNext w:val="0"/>
              <w:keepLines w:val="0"/>
              <w:pageBreakBefore w:val="0"/>
              <w:widowControl w:val="0"/>
              <w:kinsoku/>
              <w:wordWrap/>
              <w:autoSpaceDE/>
              <w:autoSpaceDN/>
              <w:bidi w:val="0"/>
              <w:spacing w:before="72" w:line="240" w:lineRule="exact"/>
              <w:ind w:right="54" w:rightChars="0"/>
              <w:jc w:val="left"/>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在商标代理机构应当遵循诚实信用原则，遵守法律、行政法规，按照被代理人的委托办理商标注册申请或者其他商标事宜。</w:t>
            </w:r>
          </w:p>
        </w:tc>
        <w:tc>
          <w:tcPr>
            <w:tcW w:w="1609" w:type="dxa"/>
            <w:noWrap w:val="0"/>
            <w:vAlign w:val="center"/>
          </w:tcPr>
          <w:p w14:paraId="5FF5C50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left"/>
              <w:textAlignment w:val="baseline"/>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知识产权保护与广告监督管理科</w:t>
            </w:r>
            <w:r>
              <w:rPr>
                <w:rFonts w:hint="eastAsia" w:asciiTheme="minorEastAsia" w:hAnsiTheme="minorEastAsia" w:eastAsiaTheme="minorEastAsia" w:cstheme="minorEastAsia"/>
                <w:color w:val="000000"/>
                <w:spacing w:val="1"/>
                <w:kern w:val="2"/>
                <w:sz w:val="20"/>
                <w:szCs w:val="20"/>
                <w:highlight w:val="none"/>
                <w:lang w:val="en-US" w:eastAsia="zh-CN" w:bidi="ar-SA"/>
              </w:rPr>
              <w:br w:type="textWrapping"/>
            </w:r>
            <w:r>
              <w:rPr>
                <w:rFonts w:hint="eastAsia" w:asciiTheme="minorEastAsia" w:hAnsiTheme="minorEastAsia" w:eastAsiaTheme="minorEastAsia" w:cstheme="minorEastAsia"/>
                <w:color w:val="000000"/>
                <w:spacing w:val="1"/>
                <w:kern w:val="2"/>
                <w:sz w:val="20"/>
                <w:szCs w:val="20"/>
                <w:highlight w:val="none"/>
                <w:lang w:val="en-US" w:eastAsia="zh-CN" w:bidi="ar-SA"/>
              </w:rPr>
              <w:t>029-88629642</w:t>
            </w:r>
          </w:p>
        </w:tc>
      </w:tr>
      <w:tr w14:paraId="08DA8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14:paraId="7BCC030F">
            <w:pPr>
              <w:spacing w:line="244" w:lineRule="auto"/>
              <w:jc w:val="center"/>
              <w:rPr>
                <w:rFonts w:ascii="Arial"/>
                <w:sz w:val="16"/>
                <w:szCs w:val="20"/>
              </w:rPr>
            </w:pPr>
          </w:p>
          <w:p w14:paraId="2D6C657C">
            <w:pPr>
              <w:spacing w:before="63" w:line="236" w:lineRule="auto"/>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ascii="Times New Roman" w:hAnsi="Times New Roman" w:eastAsia="Times New Roman" w:cs="Times New Roman"/>
                <w:sz w:val="18"/>
                <w:szCs w:val="18"/>
              </w:rPr>
              <w:t>2</w:t>
            </w:r>
          </w:p>
        </w:tc>
        <w:tc>
          <w:tcPr>
            <w:tcW w:w="1607" w:type="dxa"/>
            <w:noWrap w:val="0"/>
            <w:vAlign w:val="top"/>
          </w:tcPr>
          <w:p w14:paraId="7D3A218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5BCC3FEB">
            <w:pPr>
              <w:pStyle w:val="8"/>
              <w:keepNext w:val="0"/>
              <w:keepLines w:val="0"/>
              <w:pageBreakBefore w:val="0"/>
              <w:widowControl w:val="0"/>
              <w:kinsoku/>
              <w:wordWrap/>
              <w:overflowPunct/>
              <w:topLinePunct w:val="0"/>
              <w:autoSpaceDE/>
              <w:autoSpaceDN/>
              <w:bidi w:val="0"/>
              <w:adjustRightInd/>
              <w:snapToGrid/>
              <w:spacing w:before="72" w:line="240" w:lineRule="exact"/>
              <w:ind w:right="130" w:rightChars="0"/>
              <w:jc w:val="left"/>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奥林匹克标志经权利人许可方可使用</w:t>
            </w:r>
          </w:p>
        </w:tc>
        <w:tc>
          <w:tcPr>
            <w:tcW w:w="2230" w:type="dxa"/>
            <w:noWrap w:val="0"/>
            <w:vAlign w:val="top"/>
          </w:tcPr>
          <w:p w14:paraId="5EFB7494">
            <w:pPr>
              <w:pStyle w:val="8"/>
              <w:keepNext w:val="0"/>
              <w:keepLines w:val="0"/>
              <w:pageBreakBefore w:val="0"/>
              <w:widowControl w:val="0"/>
              <w:kinsoku/>
              <w:wordWrap/>
              <w:overflowPunct/>
              <w:topLinePunct w:val="0"/>
              <w:autoSpaceDE/>
              <w:autoSpaceDN/>
              <w:bidi w:val="0"/>
              <w:adjustRightInd/>
              <w:snapToGrid/>
              <w:spacing w:before="72" w:line="240" w:lineRule="exact"/>
              <w:ind w:right="26" w:rightChars="0"/>
              <w:jc w:val="left"/>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未经许可，在网站、微信公众号以及宣传和包装品上擅自使用奥林匹克标志。</w:t>
            </w:r>
          </w:p>
        </w:tc>
        <w:tc>
          <w:tcPr>
            <w:tcW w:w="3660" w:type="dxa"/>
            <w:noWrap w:val="0"/>
            <w:vAlign w:val="top"/>
          </w:tcPr>
          <w:p w14:paraId="5ECC2059">
            <w:pPr>
              <w:pStyle w:val="8"/>
              <w:keepNext w:val="0"/>
              <w:keepLines w:val="0"/>
              <w:pageBreakBefore w:val="0"/>
              <w:widowControl w:val="0"/>
              <w:kinsoku/>
              <w:wordWrap/>
              <w:overflowPunct/>
              <w:topLinePunct w:val="0"/>
              <w:autoSpaceDE/>
              <w:autoSpaceDN/>
              <w:bidi w:val="0"/>
              <w:adjustRightInd/>
              <w:snapToGrid/>
              <w:spacing w:before="71" w:line="240" w:lineRule="exact"/>
              <w:ind w:right="68"/>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《奥林匹克标志保护条例》</w:t>
            </w:r>
          </w:p>
          <w:p w14:paraId="013C4BF9">
            <w:pPr>
              <w:pStyle w:val="8"/>
              <w:keepNext w:val="0"/>
              <w:keepLines w:val="0"/>
              <w:pageBreakBefore w:val="0"/>
              <w:widowControl w:val="0"/>
              <w:kinsoku/>
              <w:wordWrap/>
              <w:overflowPunct/>
              <w:topLinePunct w:val="0"/>
              <w:autoSpaceDE/>
              <w:autoSpaceDN/>
              <w:bidi w:val="0"/>
              <w:adjustRightInd/>
              <w:snapToGrid/>
              <w:spacing w:before="71" w:line="240" w:lineRule="exact"/>
              <w:ind w:right="68"/>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第四条  奥林匹克标志权利人依照本条例对奥林匹克标志享有专有权。未经奥林匹克标志权利人许可，任何人不得为商业目的使用奥林匹克标志。</w:t>
            </w:r>
          </w:p>
          <w:p w14:paraId="35BDD5B2">
            <w:pPr>
              <w:pStyle w:val="8"/>
              <w:keepNext w:val="0"/>
              <w:keepLines w:val="0"/>
              <w:pageBreakBefore w:val="0"/>
              <w:widowControl w:val="0"/>
              <w:kinsoku/>
              <w:wordWrap/>
              <w:overflowPunct/>
              <w:topLinePunct w:val="0"/>
              <w:autoSpaceDE/>
              <w:autoSpaceDN/>
              <w:bidi w:val="0"/>
              <w:adjustRightInd/>
              <w:snapToGrid/>
              <w:spacing w:before="1" w:line="240" w:lineRule="exact"/>
              <w:ind w:right="63" w:right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第十二条第一款  未经奥林匹克标志权利人许可，为商业目的擅自使用奥林匹克标志，或者使用足以引人误认的近似标志，即侵犯奥林匹克标志专有权，引起纠纷的，由当事人协商解决;不愿协商或者协商不成的，奥林匹克标志权利人或者利害关系人可以向人民法院提起诉讼，也可以请求市场监督管理部门处理。市场监督管理部门处理时，认定侵权行为成立的，责令立即停止侵权行为，没收、销毁侵权商品和主要用于制造侵权商品或者为商业目的擅自制造奥林匹克标志的工具。违法经营额5万元以上的，可以并处违法经营额 5倍以下的罚款，没有违法经营额或者违法经 营额不足5万元的，可以并处25万元以下的罚款。当事人对处理决定不服的，可以依照《中华人民共和国行政复议法》申请行政复议，也可以直接依照《中华人民共和国行政诉讼法》向人民法院提起诉讼。 进行处理的市场监督管理部门应当事人的请求，可以就侵犯奥林匹克标志专有权的赔偿数额进行调解；调解不成的，当事人可以依照《中华人民共和国民事诉讼法》向人民法院提起诉讼。</w:t>
            </w:r>
          </w:p>
        </w:tc>
        <w:tc>
          <w:tcPr>
            <w:tcW w:w="1140" w:type="dxa"/>
            <w:noWrap w:val="0"/>
            <w:vAlign w:val="top"/>
          </w:tcPr>
          <w:p w14:paraId="1D16BD1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7D8FC31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6A3E223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1CEB9A3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0CD02A1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4D99892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3881CF9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38E66F1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p>
          <w:p w14:paraId="7098FD72">
            <w:pPr>
              <w:pStyle w:val="8"/>
              <w:keepNext w:val="0"/>
              <w:keepLines w:val="0"/>
              <w:pageBreakBefore w:val="0"/>
              <w:widowControl w:val="0"/>
              <w:kinsoku/>
              <w:wordWrap/>
              <w:overflowPunct/>
              <w:topLinePunct w:val="0"/>
              <w:autoSpaceDE/>
              <w:autoSpaceDN/>
              <w:bidi w:val="0"/>
              <w:adjustRightInd/>
              <w:snapToGrid/>
              <w:spacing w:before="72" w:line="240" w:lineRule="exact"/>
              <w:ind w:firstLine="202" w:firstLineChars="10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w:t>
            </w:r>
          </w:p>
        </w:tc>
        <w:tc>
          <w:tcPr>
            <w:tcW w:w="2153" w:type="dxa"/>
            <w:noWrap w:val="0"/>
            <w:vAlign w:val="top"/>
          </w:tcPr>
          <w:p w14:paraId="46624E45">
            <w:pPr>
              <w:pStyle w:val="8"/>
              <w:keepNext w:val="0"/>
              <w:keepLines w:val="0"/>
              <w:pageBreakBefore w:val="0"/>
              <w:widowControl w:val="0"/>
              <w:numPr>
                <w:ilvl w:val="0"/>
                <w:numId w:val="0"/>
              </w:numPr>
              <w:kinsoku/>
              <w:wordWrap/>
              <w:overflowPunct/>
              <w:topLinePunct w:val="0"/>
              <w:autoSpaceDE/>
              <w:autoSpaceDN/>
              <w:bidi w:val="0"/>
              <w:adjustRightInd/>
              <w:snapToGrid/>
              <w:spacing w:before="71" w:line="240" w:lineRule="exact"/>
              <w:ind w:right="68" w:rightChars="0"/>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lang w:val="en-US" w:eastAsia="zh-CN" w:bidi="ar-SA"/>
              </w:rPr>
              <w:t>1.</w:t>
            </w:r>
            <w:r>
              <w:rPr>
                <w:rFonts w:hint="eastAsia" w:asciiTheme="minorEastAsia" w:hAnsiTheme="minorEastAsia" w:eastAsiaTheme="minorEastAsia" w:cstheme="minorEastAsia"/>
                <w:color w:val="000000"/>
                <w:spacing w:val="1"/>
                <w:kern w:val="2"/>
                <w:sz w:val="20"/>
                <w:szCs w:val="20"/>
                <w:highlight w:val="none"/>
                <w:lang w:val="en-US" w:eastAsia="zh-CN" w:bidi="ar-SA"/>
              </w:rPr>
              <w:t>国际奥林匹克委员会的奥林匹克五环图案标志、 奥林匹克旗、奥林匹克格言、奥林匹克徽记、奥林匹克会歌；</w:t>
            </w:r>
          </w:p>
          <w:p w14:paraId="4F80DDC5">
            <w:pPr>
              <w:pStyle w:val="8"/>
              <w:keepNext w:val="0"/>
              <w:keepLines w:val="0"/>
              <w:pageBreakBefore w:val="0"/>
              <w:widowControl w:val="0"/>
              <w:numPr>
                <w:ilvl w:val="0"/>
                <w:numId w:val="0"/>
              </w:numPr>
              <w:kinsoku/>
              <w:wordWrap/>
              <w:overflowPunct/>
              <w:topLinePunct w:val="0"/>
              <w:autoSpaceDE/>
              <w:autoSpaceDN/>
              <w:bidi w:val="0"/>
              <w:adjustRightInd/>
              <w:snapToGrid/>
              <w:spacing w:before="71" w:line="240" w:lineRule="exact"/>
              <w:ind w:right="68" w:rightChars="0"/>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2.奥林匹克、奥林匹亚、奥林匹克运动会及其简称等专有名称；</w:t>
            </w:r>
          </w:p>
          <w:p w14:paraId="689D573E">
            <w:pPr>
              <w:pStyle w:val="8"/>
              <w:keepNext w:val="0"/>
              <w:keepLines w:val="0"/>
              <w:pageBreakBefore w:val="0"/>
              <w:widowControl w:val="0"/>
              <w:kinsoku/>
              <w:wordWrap/>
              <w:overflowPunct/>
              <w:topLinePunct w:val="0"/>
              <w:autoSpaceDE/>
              <w:autoSpaceDN/>
              <w:bidi w:val="0"/>
              <w:adjustRightInd/>
              <w:snapToGrid/>
              <w:spacing w:before="71" w:line="240" w:lineRule="exact"/>
              <w:ind w:right="68"/>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3.中国奥林匹克委员会的名称、徽记、标志；4.中国境内申请承办奥林 匹克运动会的机构的名称 、徽记、标志；</w:t>
            </w:r>
          </w:p>
          <w:p w14:paraId="688362BD">
            <w:pPr>
              <w:pStyle w:val="8"/>
              <w:keepNext w:val="0"/>
              <w:keepLines w:val="0"/>
              <w:pageBreakBefore w:val="0"/>
              <w:widowControl w:val="0"/>
              <w:kinsoku/>
              <w:wordWrap/>
              <w:overflowPunct/>
              <w:topLinePunct w:val="0"/>
              <w:autoSpaceDE/>
              <w:autoSpaceDN/>
              <w:bidi w:val="0"/>
              <w:adjustRightInd/>
              <w:snapToGrid/>
              <w:spacing w:before="71" w:line="240" w:lineRule="exact"/>
              <w:ind w:right="68"/>
              <w:textAlignment w:val="auto"/>
              <w:rPr>
                <w:rFonts w:hint="eastAsia"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5.在中国境内举办的奥林匹克运动会的名称及其简称、吉祥物、会歌、火炬造型、口号、“主办城市名称+举办年份”等标志，以及其组织机构的名称、徽记；</w:t>
            </w:r>
          </w:p>
          <w:p w14:paraId="3CDADB5C">
            <w:pPr>
              <w:pStyle w:val="8"/>
              <w:keepNext w:val="0"/>
              <w:keepLines w:val="0"/>
              <w:pageBreakBefore w:val="0"/>
              <w:widowControl w:val="0"/>
              <w:kinsoku/>
              <w:wordWrap/>
              <w:overflowPunct/>
              <w:topLinePunct w:val="0"/>
              <w:autoSpaceDE/>
              <w:autoSpaceDN/>
              <w:bidi w:val="0"/>
              <w:adjustRightInd/>
              <w:snapToGrid/>
              <w:spacing w:before="71" w:line="240" w:lineRule="exact"/>
              <w:ind w:right="68" w:right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r>
              <w:rPr>
                <w:rFonts w:hint="eastAsia" w:asciiTheme="minorEastAsia" w:hAnsiTheme="minorEastAsia" w:eastAsiaTheme="minorEastAsia" w:cstheme="minorEastAsia"/>
                <w:color w:val="000000"/>
                <w:spacing w:val="1"/>
                <w:kern w:val="2"/>
                <w:sz w:val="20"/>
                <w:szCs w:val="20"/>
                <w:highlight w:val="none"/>
                <w:lang w:val="en-US" w:eastAsia="zh-CN" w:bidi="ar-SA"/>
              </w:rPr>
              <w:t>6.《奥林匹克宪章》和相 关奥林匹克运动会主办城市合同中规定的其他与在中国境内举办的奥林匹克运动会有关的标志。</w:t>
            </w:r>
          </w:p>
        </w:tc>
        <w:tc>
          <w:tcPr>
            <w:tcW w:w="1609" w:type="dxa"/>
            <w:noWrap w:val="0"/>
            <w:vAlign w:val="top"/>
          </w:tcPr>
          <w:p w14:paraId="44856642">
            <w:pPr>
              <w:pStyle w:val="8"/>
              <w:keepNext w:val="0"/>
              <w:keepLines w:val="0"/>
              <w:pageBreakBefore w:val="0"/>
              <w:widowControl w:val="0"/>
              <w:kinsoku/>
              <w:wordWrap/>
              <w:overflowPunct/>
              <w:topLinePunct w:val="0"/>
              <w:autoSpaceDE/>
              <w:autoSpaceDN/>
              <w:bidi w:val="0"/>
              <w:adjustRightInd/>
              <w:snapToGrid/>
              <w:spacing w:before="72" w:line="240" w:lineRule="exact"/>
              <w:ind w:left="54" w:leftChars="0" w:right="54" w:rightChars="0" w:firstLine="10" w:firstLine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p>
          <w:p w14:paraId="67CCD618">
            <w:pPr>
              <w:pStyle w:val="8"/>
              <w:keepNext w:val="0"/>
              <w:keepLines w:val="0"/>
              <w:pageBreakBefore w:val="0"/>
              <w:widowControl w:val="0"/>
              <w:kinsoku/>
              <w:wordWrap/>
              <w:overflowPunct/>
              <w:topLinePunct w:val="0"/>
              <w:autoSpaceDE/>
              <w:autoSpaceDN/>
              <w:bidi w:val="0"/>
              <w:adjustRightInd/>
              <w:snapToGrid/>
              <w:spacing w:before="72" w:line="240" w:lineRule="exact"/>
              <w:ind w:left="54" w:leftChars="0" w:right="54" w:rightChars="0" w:firstLine="10" w:firstLine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p>
          <w:p w14:paraId="34298AE7">
            <w:pPr>
              <w:pStyle w:val="8"/>
              <w:keepNext w:val="0"/>
              <w:keepLines w:val="0"/>
              <w:pageBreakBefore w:val="0"/>
              <w:widowControl w:val="0"/>
              <w:kinsoku/>
              <w:wordWrap/>
              <w:overflowPunct/>
              <w:topLinePunct w:val="0"/>
              <w:autoSpaceDE/>
              <w:autoSpaceDN/>
              <w:bidi w:val="0"/>
              <w:adjustRightInd/>
              <w:snapToGrid/>
              <w:spacing w:before="72" w:line="240" w:lineRule="exact"/>
              <w:ind w:left="54" w:leftChars="0" w:right="54" w:rightChars="0" w:firstLine="10" w:firstLine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p>
          <w:p w14:paraId="593B2433">
            <w:pPr>
              <w:pStyle w:val="8"/>
              <w:keepNext w:val="0"/>
              <w:keepLines w:val="0"/>
              <w:pageBreakBefore w:val="0"/>
              <w:widowControl w:val="0"/>
              <w:kinsoku/>
              <w:wordWrap/>
              <w:overflowPunct/>
              <w:topLinePunct w:val="0"/>
              <w:autoSpaceDE/>
              <w:autoSpaceDN/>
              <w:bidi w:val="0"/>
              <w:adjustRightInd/>
              <w:snapToGrid/>
              <w:spacing w:before="72" w:line="240" w:lineRule="exact"/>
              <w:ind w:left="54" w:leftChars="0" w:right="54" w:rightChars="0" w:firstLine="10" w:firstLine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p>
          <w:p w14:paraId="2B5C2C60">
            <w:pPr>
              <w:pStyle w:val="8"/>
              <w:keepNext w:val="0"/>
              <w:keepLines w:val="0"/>
              <w:pageBreakBefore w:val="0"/>
              <w:widowControl w:val="0"/>
              <w:kinsoku/>
              <w:wordWrap/>
              <w:overflowPunct/>
              <w:topLinePunct w:val="0"/>
              <w:autoSpaceDE/>
              <w:autoSpaceDN/>
              <w:bidi w:val="0"/>
              <w:adjustRightInd/>
              <w:snapToGrid/>
              <w:spacing w:before="72" w:line="240" w:lineRule="exact"/>
              <w:ind w:left="54" w:leftChars="0" w:right="54" w:rightChars="0" w:firstLine="10" w:firstLine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p>
          <w:p w14:paraId="1165B80B">
            <w:pPr>
              <w:pStyle w:val="8"/>
              <w:keepNext w:val="0"/>
              <w:keepLines w:val="0"/>
              <w:pageBreakBefore w:val="0"/>
              <w:widowControl w:val="0"/>
              <w:kinsoku/>
              <w:wordWrap/>
              <w:overflowPunct/>
              <w:topLinePunct w:val="0"/>
              <w:autoSpaceDE/>
              <w:autoSpaceDN/>
              <w:bidi w:val="0"/>
              <w:adjustRightInd/>
              <w:snapToGrid/>
              <w:spacing w:before="72" w:line="240" w:lineRule="exact"/>
              <w:ind w:left="54" w:leftChars="0" w:right="54" w:rightChars="0" w:firstLine="10" w:firstLineChars="0"/>
              <w:textAlignment w:val="auto"/>
              <w:rPr>
                <w:rFonts w:hint="default" w:asciiTheme="minorEastAsia" w:hAnsiTheme="minorEastAsia" w:eastAsiaTheme="minorEastAsia" w:cstheme="minorEastAsia"/>
                <w:color w:val="000000"/>
                <w:spacing w:val="1"/>
                <w:kern w:val="2"/>
                <w:sz w:val="20"/>
                <w:szCs w:val="20"/>
                <w:highlight w:val="none"/>
                <w:lang w:val="en-US" w:eastAsia="zh-CN" w:bidi="ar-SA"/>
              </w:rPr>
            </w:pPr>
            <w:r>
              <w:rPr>
                <w:rFonts w:hint="default" w:asciiTheme="minorEastAsia" w:hAnsiTheme="minorEastAsia" w:eastAsiaTheme="minorEastAsia" w:cstheme="minorEastAsia"/>
                <w:color w:val="000000"/>
                <w:spacing w:val="1"/>
                <w:kern w:val="2"/>
                <w:sz w:val="20"/>
                <w:szCs w:val="20"/>
                <w:highlight w:val="none"/>
                <w:lang w:val="en-US" w:eastAsia="zh-CN" w:bidi="ar-SA"/>
              </w:rPr>
              <w:t>知识产权保护与广告监督管理科，联系电话：</w:t>
            </w:r>
            <w:r>
              <w:rPr>
                <w:rFonts w:hint="default" w:asciiTheme="minorEastAsia" w:hAnsiTheme="minorEastAsia" w:eastAsiaTheme="minorEastAsia" w:cstheme="minorEastAsia"/>
                <w:color w:val="000000"/>
                <w:spacing w:val="1"/>
                <w:kern w:val="2"/>
                <w:sz w:val="20"/>
                <w:szCs w:val="20"/>
                <w:highlight w:val="none"/>
                <w:lang w:val="en-US" w:eastAsia="zh-CN" w:bidi="ar-SA"/>
              </w:rPr>
              <w:br w:type="textWrapping"/>
            </w:r>
            <w:r>
              <w:rPr>
                <w:rFonts w:hint="default" w:asciiTheme="minorEastAsia" w:hAnsiTheme="minorEastAsia" w:eastAsiaTheme="minorEastAsia" w:cstheme="minorEastAsia"/>
                <w:color w:val="000000"/>
                <w:spacing w:val="1"/>
                <w:kern w:val="2"/>
                <w:sz w:val="20"/>
                <w:szCs w:val="20"/>
                <w:highlight w:val="none"/>
                <w:lang w:val="en-US" w:eastAsia="zh-CN" w:bidi="ar-SA"/>
              </w:rPr>
              <w:t>029-88629642</w:t>
            </w:r>
          </w:p>
        </w:tc>
      </w:tr>
      <w:tr w14:paraId="2BE1B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top"/>
          </w:tcPr>
          <w:p w14:paraId="349F16A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46814D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9B6EF4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E9A676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0A6BDA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7984BA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3C50BA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021F546">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w:t>
            </w:r>
          </w:p>
        </w:tc>
        <w:tc>
          <w:tcPr>
            <w:tcW w:w="1607" w:type="dxa"/>
            <w:noWrap w:val="0"/>
            <w:vAlign w:val="center"/>
          </w:tcPr>
          <w:p w14:paraId="3B938CC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商品名称或商品装潢使用需规范</w:t>
            </w:r>
          </w:p>
        </w:tc>
        <w:tc>
          <w:tcPr>
            <w:tcW w:w="2230" w:type="dxa"/>
            <w:noWrap w:val="0"/>
            <w:vAlign w:val="top"/>
          </w:tcPr>
          <w:p w14:paraId="4B38EEA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DC110C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12296E0">
            <w:pPr>
              <w:keepNext w:val="0"/>
              <w:keepLines w:val="0"/>
              <w:pageBreakBefore w:val="0"/>
              <w:widowControl w:val="0"/>
              <w:kinsoku/>
              <w:wordWrap/>
              <w:overflowPunct/>
              <w:topLinePunct w:val="0"/>
              <w:autoSpaceDE w:val="0"/>
              <w:autoSpaceDN w:val="0"/>
              <w:bidi w:val="0"/>
              <w:adjustRightInd/>
              <w:snapToGrid/>
              <w:spacing w:before="0" w:after="0" w:line="240" w:lineRule="exact"/>
              <w:ind w:left="0" w:right="0" w:firstLine="0"/>
              <w:jc w:val="both"/>
              <w:textAlignment w:val="auto"/>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1.未经许可，将他人已注册商标或近似商标作商品名称使用；</w:t>
            </w:r>
          </w:p>
          <w:p w14:paraId="20954ECB">
            <w:pPr>
              <w:keepNext w:val="0"/>
              <w:keepLines w:val="0"/>
              <w:pageBreakBefore w:val="0"/>
              <w:widowControl w:val="0"/>
              <w:kinsoku/>
              <w:wordWrap/>
              <w:overflowPunct/>
              <w:topLinePunct w:val="0"/>
              <w:autoSpaceDE w:val="0"/>
              <w:autoSpaceDN w:val="0"/>
              <w:bidi w:val="0"/>
              <w:adjustRightInd/>
              <w:snapToGrid/>
              <w:spacing w:before="0" w:after="0" w:line="240" w:lineRule="exact"/>
              <w:ind w:left="0" w:right="0" w:firstLine="0"/>
              <w:jc w:val="both"/>
              <w:textAlignment w:val="auto"/>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2.未经许可，将他人已注册商标或近似商标作商品装潢使用。</w:t>
            </w:r>
          </w:p>
        </w:tc>
        <w:tc>
          <w:tcPr>
            <w:tcW w:w="3660" w:type="dxa"/>
            <w:noWrap w:val="0"/>
            <w:vAlign w:val="top"/>
          </w:tcPr>
          <w:p w14:paraId="40C4C84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《中华人民共和国商标法实施条例》</w:t>
            </w:r>
          </w:p>
          <w:p w14:paraId="1852BEB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第七十六条 在同一种商品或者类似商品上将与他人注册商标相同或者近似的标志作为商品名称或者商品装潢使用，误导公众的，属于商标法第五十七条第二项规定的侵犯注册商标专用权的行为。</w:t>
            </w:r>
          </w:p>
          <w:p w14:paraId="7FDCF61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《中华人民共和国商标法》</w:t>
            </w:r>
          </w:p>
          <w:p w14:paraId="189B404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第五十七条第二项</w:t>
            </w:r>
            <w:r>
              <w:rPr>
                <w:rFonts w:hint="eastAsia" w:ascii="BMHBIL+SimSun" w:hAnsi="BMHBIL+SimSun" w:cs="BMHBIL+SimSun"/>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 xml:space="preserve">有下列行为之一的，均属侵犯注册商标专用权：未经商标注册人的许可，在同一种商品上使用与其注册商标近似的商标，或者在类似商品上使用与其注册商标相同或者近似的商标，容易导致混淆的。 </w:t>
            </w:r>
          </w:p>
          <w:p w14:paraId="01E1B534">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第六十条第二款 </w:t>
            </w:r>
            <w:r>
              <w:rPr>
                <w:rFonts w:hint="eastAsia" w:ascii="BMHBIL+SimSun" w:hAnsi="BMHBIL+SimSun" w:cs="BMHBIL+SimSun"/>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w:t>
            </w:r>
          </w:p>
        </w:tc>
        <w:tc>
          <w:tcPr>
            <w:tcW w:w="1140" w:type="dxa"/>
            <w:noWrap w:val="0"/>
            <w:vAlign w:val="top"/>
          </w:tcPr>
          <w:p w14:paraId="6F5ACB7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0513E7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1B91AA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DC376F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9F9FAE0">
            <w:pPr>
              <w:widowControl w:val="0"/>
              <w:autoSpaceDE w:val="0"/>
              <w:autoSpaceDN w:val="0"/>
              <w:spacing w:before="0" w:after="0" w:line="221" w:lineRule="exact"/>
              <w:ind w:left="0" w:right="0" w:firstLine="0"/>
              <w:jc w:val="center"/>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53" w:type="dxa"/>
            <w:noWrap w:val="0"/>
            <w:vAlign w:val="top"/>
          </w:tcPr>
          <w:p w14:paraId="4B47577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776111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在使用商品名称时应使用规范名称，若使用行业流行的名称和图形时，需事先查询检索，避免侵犯他人注册商标专用权。（查询：</w:t>
            </w:r>
            <w:r>
              <w:rPr>
                <w:rFonts w:hint="default" w:ascii="BMHBIL+SimSun" w:hAnsi="BMHBIL+SimSun" w:cs="BMHBIL+SimSun" w:eastAsiaTheme="minorEastAsia"/>
                <w:color w:val="000000"/>
                <w:spacing w:val="1"/>
                <w:kern w:val="2"/>
                <w:sz w:val="20"/>
                <w:szCs w:val="20"/>
                <w:highlight w:val="none"/>
                <w:lang w:val="en-US" w:eastAsia="zh-CN" w:bidi="ar-SA"/>
              </w:rPr>
              <w:fldChar w:fldCharType="begin"/>
            </w:r>
            <w:r>
              <w:rPr>
                <w:rFonts w:hint="default" w:ascii="BMHBIL+SimSun" w:hAnsi="BMHBIL+SimSun" w:cs="BMHBIL+SimSun" w:eastAsiaTheme="minorEastAsia"/>
                <w:color w:val="000000"/>
                <w:spacing w:val="1"/>
                <w:kern w:val="2"/>
                <w:sz w:val="20"/>
                <w:szCs w:val="20"/>
                <w:highlight w:val="none"/>
                <w:lang w:val="en-US" w:eastAsia="zh-CN" w:bidi="ar-SA"/>
              </w:rPr>
              <w:instrText xml:space="preserve"> HYPERLINK "https://sbj.cnipa.gov.cn/sbj/" </w:instrText>
            </w:r>
            <w:r>
              <w:rPr>
                <w:rFonts w:hint="default" w:ascii="BMHBIL+SimSun" w:hAnsi="BMHBIL+SimSun" w:cs="BMHBIL+SimSun" w:eastAsiaTheme="minorEastAsia"/>
                <w:color w:val="000000"/>
                <w:spacing w:val="1"/>
                <w:kern w:val="2"/>
                <w:sz w:val="20"/>
                <w:szCs w:val="20"/>
                <w:highlight w:val="none"/>
                <w:lang w:val="en-US" w:eastAsia="zh-CN" w:bidi="ar-SA"/>
              </w:rPr>
              <w:fldChar w:fldCharType="separate"/>
            </w:r>
            <w:r>
              <w:rPr>
                <w:rFonts w:hint="default" w:ascii="BMHBIL+SimSun" w:hAnsi="BMHBIL+SimSun" w:cs="BMHBIL+SimSun" w:eastAsiaTheme="minorEastAsia"/>
                <w:color w:val="000000"/>
                <w:spacing w:val="1"/>
                <w:kern w:val="2"/>
                <w:sz w:val="20"/>
                <w:szCs w:val="20"/>
                <w:highlight w:val="none"/>
                <w:lang w:val="en-US" w:eastAsia="zh-CN" w:bidi="ar-SA"/>
              </w:rPr>
              <w:t>https://sbj.cnipa.gov.cn/sbj/</w:t>
            </w:r>
            <w:r>
              <w:rPr>
                <w:rFonts w:hint="default" w:ascii="BMHBIL+SimSun" w:hAnsi="BMHBIL+SimSun" w:cs="BMHBIL+SimSun" w:eastAsiaTheme="minorEastAsia"/>
                <w:color w:val="000000"/>
                <w:spacing w:val="1"/>
                <w:kern w:val="2"/>
                <w:sz w:val="20"/>
                <w:szCs w:val="20"/>
                <w:highlight w:val="none"/>
                <w:lang w:val="en-US" w:eastAsia="zh-CN" w:bidi="ar-SA"/>
              </w:rPr>
              <w:fldChar w:fldCharType="end"/>
            </w:r>
            <w:r>
              <w:rPr>
                <w:rFonts w:hint="default" w:ascii="BMHBIL+SimSun" w:hAnsi="BMHBIL+SimSun" w:cs="BMHBIL+SimSun" w:eastAsiaTheme="minorEastAsia"/>
                <w:color w:val="000000"/>
                <w:spacing w:val="1"/>
                <w:kern w:val="2"/>
                <w:sz w:val="20"/>
                <w:szCs w:val="20"/>
                <w:highlight w:val="none"/>
                <w:lang w:val="en-US" w:eastAsia="zh-CN" w:bidi="ar-SA"/>
              </w:rPr>
              <w:t xml:space="preserve"> sbcx/）</w:t>
            </w:r>
          </w:p>
        </w:tc>
        <w:tc>
          <w:tcPr>
            <w:tcW w:w="1609" w:type="dxa"/>
            <w:noWrap w:val="0"/>
            <w:vAlign w:val="top"/>
          </w:tcPr>
          <w:p w14:paraId="371B711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2FE29B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5D63D1E">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0A885FA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029-88629642</w:t>
            </w:r>
          </w:p>
        </w:tc>
      </w:tr>
      <w:tr w14:paraId="72533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top"/>
          </w:tcPr>
          <w:p w14:paraId="5761DFAB">
            <w:pPr>
              <w:spacing w:line="244" w:lineRule="auto"/>
              <w:rPr>
                <w:rFonts w:ascii="Arial"/>
                <w:sz w:val="16"/>
                <w:szCs w:val="20"/>
              </w:rPr>
            </w:pPr>
          </w:p>
          <w:p w14:paraId="29E7DD55">
            <w:pPr>
              <w:spacing w:line="244" w:lineRule="auto"/>
              <w:rPr>
                <w:rFonts w:ascii="Arial"/>
                <w:sz w:val="16"/>
                <w:szCs w:val="20"/>
              </w:rPr>
            </w:pPr>
          </w:p>
          <w:p w14:paraId="1CBE2E82">
            <w:pPr>
              <w:spacing w:line="244" w:lineRule="auto"/>
              <w:rPr>
                <w:rFonts w:ascii="Arial"/>
                <w:sz w:val="16"/>
                <w:szCs w:val="20"/>
              </w:rPr>
            </w:pPr>
          </w:p>
          <w:p w14:paraId="418AA969">
            <w:pPr>
              <w:spacing w:line="244" w:lineRule="auto"/>
              <w:rPr>
                <w:rFonts w:ascii="Arial"/>
                <w:sz w:val="16"/>
                <w:szCs w:val="20"/>
              </w:rPr>
            </w:pPr>
          </w:p>
          <w:p w14:paraId="50CED3CC">
            <w:pPr>
              <w:spacing w:line="244" w:lineRule="auto"/>
              <w:rPr>
                <w:rFonts w:ascii="Arial"/>
                <w:sz w:val="16"/>
                <w:szCs w:val="20"/>
              </w:rPr>
            </w:pPr>
          </w:p>
          <w:p w14:paraId="79A3F549">
            <w:pPr>
              <w:spacing w:line="244" w:lineRule="auto"/>
              <w:rPr>
                <w:rFonts w:ascii="Arial"/>
                <w:sz w:val="16"/>
                <w:szCs w:val="20"/>
              </w:rPr>
            </w:pPr>
          </w:p>
          <w:p w14:paraId="78809C4B">
            <w:pPr>
              <w:spacing w:line="244" w:lineRule="auto"/>
              <w:rPr>
                <w:rFonts w:ascii="Arial"/>
                <w:sz w:val="16"/>
                <w:szCs w:val="20"/>
              </w:rPr>
            </w:pPr>
          </w:p>
          <w:p w14:paraId="1654AF60">
            <w:pPr>
              <w:spacing w:line="244" w:lineRule="auto"/>
              <w:rPr>
                <w:rFonts w:ascii="Arial"/>
                <w:sz w:val="16"/>
                <w:szCs w:val="20"/>
              </w:rPr>
            </w:pPr>
          </w:p>
          <w:p w14:paraId="65251785">
            <w:pPr>
              <w:spacing w:before="63" w:line="236" w:lineRule="auto"/>
              <w:rPr>
                <w:rFonts w:ascii="Times New Roman" w:hAnsi="Times New Roman" w:eastAsia="Times New Roman" w:cs="Times New Roman"/>
                <w:sz w:val="18"/>
                <w:szCs w:val="18"/>
              </w:rPr>
            </w:pPr>
          </w:p>
          <w:p w14:paraId="6B4BFAD0">
            <w:pPr>
              <w:spacing w:before="63" w:line="236" w:lineRule="auto"/>
              <w:rPr>
                <w:rFonts w:ascii="Times New Roman" w:hAnsi="Times New Roman" w:eastAsia="Times New Roman" w:cs="Times New Roman"/>
                <w:sz w:val="18"/>
                <w:szCs w:val="18"/>
              </w:rPr>
            </w:pPr>
          </w:p>
          <w:p w14:paraId="78877C87">
            <w:pPr>
              <w:spacing w:before="63" w:line="236" w:lineRule="auto"/>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ascii="Times New Roman" w:hAnsi="Times New Roman" w:eastAsia="Times New Roman" w:cs="Times New Roman"/>
                <w:sz w:val="18"/>
                <w:szCs w:val="18"/>
              </w:rPr>
              <w:t>4</w:t>
            </w:r>
          </w:p>
        </w:tc>
        <w:tc>
          <w:tcPr>
            <w:tcW w:w="1607" w:type="dxa"/>
            <w:noWrap w:val="0"/>
            <w:vAlign w:val="top"/>
          </w:tcPr>
          <w:p w14:paraId="2D4F4CF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01F5F8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B7034A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C7404F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1A8DDC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BB9705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4DBDB9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1DE6A8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98DB874">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67D89C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041594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086873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CD9B99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4D5926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74063A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895B21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被授权的专利方能标注宣传</w:t>
            </w:r>
          </w:p>
        </w:tc>
        <w:tc>
          <w:tcPr>
            <w:tcW w:w="2230" w:type="dxa"/>
            <w:noWrap w:val="0"/>
            <w:vAlign w:val="top"/>
          </w:tcPr>
          <w:p w14:paraId="3194D6F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50A8D4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EB7A2E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BB7CF2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9ED164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A9436B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C6DE39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A64CC6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219A05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AB7BC2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1A036C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1.在产品说明书、 产品宣传资料等材料中将未被授予专利权的技术或者设计称为“专利技术”或者“专利设计”;</w:t>
            </w:r>
          </w:p>
          <w:p w14:paraId="271864F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2.专利权被宣告无效后或者终止后继续在产品或者其包装上标注“专利”标识。</w:t>
            </w:r>
          </w:p>
        </w:tc>
        <w:tc>
          <w:tcPr>
            <w:tcW w:w="3660" w:type="dxa"/>
            <w:noWrap w:val="0"/>
            <w:vAlign w:val="top"/>
          </w:tcPr>
          <w:p w14:paraId="432B070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《中华人民共和国专利法实施细则》</w:t>
            </w:r>
          </w:p>
          <w:p w14:paraId="629567B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第一百零一条  下列行为属于专利法第六十八条规定的假冒专利的行为：（一）在未被授予专利权的产品或者其包装上标注专利标识，专利权被宣告无效后或者终止后继续在产品或者其包装上标注专利标识，或者未经许可在产品或者产品包装上标注他人的专利号（二）销售第（一）项所述产品；（三）在产品说明书等材料中将未被授予专利权的技术或者设计称为专利技术或者专利设计，将专利申请称为专利，或者未经许可使用他人的专利号，使公众将所涉及的技术或者设计误认为是专利技术或者专利设计；（四）伪造或者变造专利证书、专利文件或者专利申请文件；（五）其他使公众混淆，将未被授予专利权的技术或者设计误认为是专利技术或者专利设计的行为。</w:t>
            </w:r>
          </w:p>
          <w:p w14:paraId="3161A52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专利权终止前依法在专利产品、依照专利方法直接获得的产品或者其包装上标注专利标识，在专利权终止后许诺销售、销售该产品的，不属于假冒专利行为。销售不知道是假冒专利的产品，并且能够证明该产品合法来源的，由县级以上负责专利执法的部门责令停止销售《中华人民共和国专利法》</w:t>
            </w:r>
          </w:p>
          <w:p w14:paraId="14586D3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第六十八条 </w:t>
            </w:r>
            <w:r>
              <w:rPr>
                <w:rFonts w:hint="eastAsia" w:ascii="BMHBIL+SimSun" w:hAnsi="BMHBIL+SimSun" w:cs="BMHBIL+SimSun"/>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假冒专利的，除依法承担民事责任外，由负责专利执法的部门责令改正并予公告，没收违法所得，可以处违法所得五倍以下的罚款；没有违法所得或者违法所得在五万元以下的，可以处二十五万元以下的罚款；构成犯罪的，依法追究刑事责任。</w:t>
            </w:r>
          </w:p>
        </w:tc>
        <w:tc>
          <w:tcPr>
            <w:tcW w:w="1140" w:type="dxa"/>
            <w:noWrap w:val="0"/>
            <w:vAlign w:val="top"/>
          </w:tcPr>
          <w:p w14:paraId="541765F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E068B2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6B3D7E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6A62D6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382DE2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A45858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CDD949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C5539CE">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p>
          <w:p w14:paraId="6E1FC5C6">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p>
          <w:p w14:paraId="2ED6D7A3">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p>
          <w:p w14:paraId="50916CFD">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p>
          <w:p w14:paraId="5C4C8321">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p>
          <w:p w14:paraId="5BF13C5D">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p>
          <w:p w14:paraId="7122B120">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53" w:type="dxa"/>
            <w:noWrap w:val="0"/>
            <w:vAlign w:val="top"/>
          </w:tcPr>
          <w:p w14:paraId="302B3C3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51A759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3F5007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2202DB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BC146D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726163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BC46554">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1B1BCE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08E1FE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41515C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065A00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614541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EF5349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2AD6D5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对产品进行广告宣传和包装设计时，应及时查询专利权属和专利状态。</w:t>
            </w:r>
          </w:p>
        </w:tc>
        <w:tc>
          <w:tcPr>
            <w:tcW w:w="1609" w:type="dxa"/>
            <w:noWrap w:val="0"/>
            <w:vAlign w:val="top"/>
          </w:tcPr>
          <w:p w14:paraId="1CFEED36">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2C01F555">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3B623079">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458D4887">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BA20AE0">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12B15818">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3C58D26">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9C3EB6E">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0FBF0A37">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3D708796">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E0F822A">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A58CECA">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586C57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029-88629642</w:t>
            </w:r>
          </w:p>
        </w:tc>
      </w:tr>
      <w:tr w14:paraId="485C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top"/>
          </w:tcPr>
          <w:p w14:paraId="37D0A1EF">
            <w:pPr>
              <w:spacing w:line="254" w:lineRule="auto"/>
              <w:jc w:val="left"/>
              <w:rPr>
                <w:rFonts w:ascii="Arial"/>
                <w:sz w:val="16"/>
                <w:szCs w:val="20"/>
              </w:rPr>
            </w:pPr>
          </w:p>
          <w:p w14:paraId="4EDF2F81">
            <w:pPr>
              <w:spacing w:line="254" w:lineRule="auto"/>
              <w:jc w:val="left"/>
              <w:rPr>
                <w:rFonts w:ascii="Arial"/>
                <w:sz w:val="16"/>
                <w:szCs w:val="20"/>
              </w:rPr>
            </w:pPr>
          </w:p>
          <w:p w14:paraId="52ECEEC8">
            <w:pPr>
              <w:spacing w:line="254" w:lineRule="auto"/>
              <w:jc w:val="left"/>
              <w:rPr>
                <w:rFonts w:ascii="Arial"/>
                <w:sz w:val="16"/>
                <w:szCs w:val="20"/>
              </w:rPr>
            </w:pPr>
          </w:p>
          <w:p w14:paraId="5B98386E">
            <w:pPr>
              <w:spacing w:line="254" w:lineRule="auto"/>
              <w:jc w:val="left"/>
              <w:rPr>
                <w:rFonts w:ascii="Arial"/>
                <w:sz w:val="16"/>
                <w:szCs w:val="20"/>
              </w:rPr>
            </w:pPr>
          </w:p>
          <w:p w14:paraId="0418A7B1">
            <w:pPr>
              <w:spacing w:line="255" w:lineRule="auto"/>
              <w:jc w:val="left"/>
              <w:rPr>
                <w:rFonts w:ascii="Arial"/>
                <w:sz w:val="16"/>
                <w:szCs w:val="20"/>
              </w:rPr>
            </w:pPr>
          </w:p>
          <w:p w14:paraId="0359121B">
            <w:pPr>
              <w:spacing w:line="255" w:lineRule="auto"/>
              <w:jc w:val="left"/>
              <w:rPr>
                <w:rFonts w:ascii="Arial"/>
                <w:sz w:val="16"/>
                <w:szCs w:val="20"/>
              </w:rPr>
            </w:pPr>
          </w:p>
          <w:p w14:paraId="2FBDB772">
            <w:pPr>
              <w:spacing w:line="255" w:lineRule="auto"/>
              <w:jc w:val="left"/>
              <w:rPr>
                <w:rFonts w:ascii="Arial"/>
                <w:sz w:val="16"/>
                <w:szCs w:val="20"/>
              </w:rPr>
            </w:pPr>
          </w:p>
          <w:p w14:paraId="04797EE1">
            <w:pPr>
              <w:spacing w:line="255" w:lineRule="auto"/>
              <w:jc w:val="left"/>
              <w:rPr>
                <w:rFonts w:ascii="Arial"/>
                <w:sz w:val="16"/>
                <w:szCs w:val="20"/>
              </w:rPr>
            </w:pPr>
          </w:p>
          <w:p w14:paraId="4A63E122">
            <w:pPr>
              <w:spacing w:before="63" w:line="233" w:lineRule="auto"/>
              <w:ind w:firstLine="180" w:firstLineChars="100"/>
              <w:jc w:val="left"/>
              <w:rPr>
                <w:rFonts w:hint="default" w:ascii="Times New Roman" w:hAnsi="Times New Roman" w:eastAsia="方正黑体_GBK" w:cs="Times New Roman"/>
                <w:snapToGrid w:val="0"/>
                <w:color w:val="auto"/>
                <w:kern w:val="0"/>
                <w:sz w:val="21"/>
                <w:szCs w:val="21"/>
                <w:vertAlign w:val="baseline"/>
                <w:lang w:val="en-US" w:eastAsia="zh-CN"/>
              </w:rPr>
            </w:pPr>
            <w:r>
              <w:rPr>
                <w:rFonts w:ascii="Times New Roman" w:hAnsi="Times New Roman" w:eastAsia="Times New Roman" w:cs="Times New Roman"/>
                <w:sz w:val="18"/>
                <w:szCs w:val="18"/>
              </w:rPr>
              <w:t>5</w:t>
            </w:r>
          </w:p>
        </w:tc>
        <w:tc>
          <w:tcPr>
            <w:tcW w:w="1607" w:type="dxa"/>
            <w:noWrap w:val="0"/>
            <w:vAlign w:val="top"/>
          </w:tcPr>
          <w:p w14:paraId="0DC1D36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1C915F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62F0D1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B9C36E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FDDD02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E94D0F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B3CD3A4">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7CDE02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236E00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C834AF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80C02B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EA806D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在专利产品或产品包装上应规范标注专利标识</w:t>
            </w:r>
          </w:p>
        </w:tc>
        <w:tc>
          <w:tcPr>
            <w:tcW w:w="2230" w:type="dxa"/>
            <w:noWrap w:val="0"/>
            <w:vAlign w:val="top"/>
          </w:tcPr>
          <w:p w14:paraId="32C7AF9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12A2E83">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F99B42F">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C1AEDA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01CB8F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9E29A2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2B42FA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45EA8A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22C343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1.在专利产品或产品包装上没有按规定标注专利权类别、国别以及专利号；</w:t>
            </w:r>
          </w:p>
          <w:p w14:paraId="246A55D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2.在专利产品或产品包装上标注专利标识时，所附加的文字、图形标记及标注方式不规范。</w:t>
            </w:r>
          </w:p>
        </w:tc>
        <w:tc>
          <w:tcPr>
            <w:tcW w:w="3660" w:type="dxa"/>
            <w:noWrap w:val="0"/>
            <w:vAlign w:val="top"/>
          </w:tcPr>
          <w:p w14:paraId="52A392D4">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《中华人民共和国专利法实施细则》</w:t>
            </w:r>
          </w:p>
          <w:p w14:paraId="5FF8B9C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第九十九条  专利权人依照专利法第十六条的规定，在其专利产品或者该产品的包装上标明专利标识的，应当按照国务院专利行政部门规定的方式予以标明。专利标识不符合前款规定的，由县级以上负责专利执法的部门责令改正。</w:t>
            </w:r>
          </w:p>
          <w:p w14:paraId="732D1FC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《专利标识标注办法》</w:t>
            </w:r>
          </w:p>
          <w:p w14:paraId="7452246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第八条 专利标识的标注不符合本办法第五条、第六 条或者第七条规定的，由管理专利工作的部门责令改正。专利标识标注不当，构成假冒专利行为的，由管理专利工作的部门依照专利法第六十三条的规定进行处罚。</w:t>
            </w:r>
          </w:p>
          <w:p w14:paraId="0FB9DEB1">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《中华人民共和国专利法》</w:t>
            </w:r>
          </w:p>
          <w:p w14:paraId="47675E8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第六十八条  假冒专利的，除依法承担民事责任外，由负责专利执法的部门责令改正并予公告，没收违法所得，可以处违法所得五倍以下的罚款；没有违法所得或者违法所得在五万元以下的，可以处二十五万元以下的罚款；构成犯罪的，依法追究刑事责任。</w:t>
            </w:r>
          </w:p>
        </w:tc>
        <w:tc>
          <w:tcPr>
            <w:tcW w:w="1140" w:type="dxa"/>
            <w:noWrap w:val="0"/>
            <w:vAlign w:val="top"/>
          </w:tcPr>
          <w:p w14:paraId="255F8DC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44E3B5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8384008">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3C58646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6B9CA99">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184602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421B5C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94C5905">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974AEC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F564C6D">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E5F4FC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CBE329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CA8300E">
            <w:pPr>
              <w:widowControl w:val="0"/>
              <w:autoSpaceDE w:val="0"/>
              <w:autoSpaceDN w:val="0"/>
              <w:spacing w:before="0" w:after="0" w:line="221" w:lineRule="exact"/>
              <w:ind w:left="0" w:right="0" w:firstLine="202" w:firstLineChars="10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53" w:type="dxa"/>
            <w:noWrap w:val="0"/>
            <w:vAlign w:val="top"/>
          </w:tcPr>
          <w:p w14:paraId="73A3B75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07874D00">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514107B2">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F26D95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106910BB">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D9A0DE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22F42AB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6FC3B2D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CEE762C">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7ABAF316">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p>
          <w:p w14:paraId="404290BA">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1.按照《专利标识标注办法》规定，规范标注专利标识完整标明专利类别和专利号等内容。</w:t>
            </w:r>
          </w:p>
          <w:p w14:paraId="769A2BDE">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 对标注规范不清楚的，可向所在地知识产权管理部门申请指导。</w:t>
            </w:r>
          </w:p>
        </w:tc>
        <w:tc>
          <w:tcPr>
            <w:tcW w:w="1609" w:type="dxa"/>
            <w:noWrap w:val="0"/>
            <w:vAlign w:val="top"/>
          </w:tcPr>
          <w:p w14:paraId="774FFC5E">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2E67E1AD">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3DE8A7B9">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6D06FA12">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09CD36B4">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2D9C7C5B">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2B568BD6">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0CD3F9E0">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3FCF471B">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30EEEBAE">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en-US" w:eastAsia="zh-CN" w:bidi="ar-SA"/>
              </w:rPr>
            </w:pPr>
          </w:p>
          <w:p w14:paraId="08256587">
            <w:pPr>
              <w:widowControl w:val="0"/>
              <w:autoSpaceDE w:val="0"/>
              <w:autoSpaceDN w:val="0"/>
              <w:spacing w:before="0" w:after="0" w:line="221" w:lineRule="exact"/>
              <w:ind w:left="0" w:right="0" w:firstLine="0"/>
              <w:jc w:val="both"/>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知识产权保护与广告监督管理科</w:t>
            </w:r>
            <w:r>
              <w:rPr>
                <w:rFonts w:hint="eastAsia" w:ascii="BMHBIL+SimSun" w:hAnsi="BMHBIL+SimSun" w:cs="BMHBIL+SimSun" w:eastAsiaTheme="minorEastAsia"/>
                <w:color w:val="000000"/>
                <w:spacing w:val="1"/>
                <w:kern w:val="2"/>
                <w:sz w:val="20"/>
                <w:szCs w:val="20"/>
                <w:highlight w:val="none"/>
                <w:lang w:val="en-US" w:eastAsia="zh-CN" w:bidi="ar-SA"/>
              </w:rPr>
              <w:br w:type="textWrapping"/>
            </w:r>
            <w:r>
              <w:rPr>
                <w:rFonts w:hint="eastAsia" w:ascii="BMHBIL+SimSun" w:hAnsi="BMHBIL+SimSun" w:cs="BMHBIL+SimSun" w:eastAsiaTheme="minorEastAsia"/>
                <w:color w:val="000000"/>
                <w:spacing w:val="1"/>
                <w:kern w:val="2"/>
                <w:sz w:val="20"/>
                <w:szCs w:val="20"/>
                <w:highlight w:val="none"/>
                <w:lang w:val="en-US" w:eastAsia="zh-CN" w:bidi="ar-SA"/>
              </w:rPr>
              <w:t>029-88629642</w:t>
            </w:r>
          </w:p>
        </w:tc>
      </w:tr>
    </w:tbl>
    <w:p w14:paraId="4BAD052E">
      <w:pPr>
        <w:jc w:val="both"/>
        <w:rPr>
          <w:rFonts w:hint="eastAsia" w:ascii="宋体" w:hAnsi="宋体" w:eastAsia="宋体" w:cs="宋体"/>
          <w:b w:val="0"/>
          <w:bCs w:val="0"/>
          <w:color w:val="auto"/>
          <w:sz w:val="20"/>
          <w:szCs w:val="20"/>
        </w:rPr>
      </w:pPr>
      <w:r>
        <w:rPr>
          <w:rFonts w:hint="eastAsia" w:ascii="宋体" w:hAnsi="宋体" w:eastAsia="宋体" w:cs="宋体"/>
          <w:b w:val="0"/>
          <w:bCs w:val="0"/>
          <w:color w:val="auto"/>
          <w:sz w:val="20"/>
          <w:szCs w:val="20"/>
        </w:rPr>
        <w:t>备注：1.该清单适用</w:t>
      </w:r>
      <w:r>
        <w:rPr>
          <w:rFonts w:hint="eastAsia" w:ascii="宋体" w:hAnsi="宋体" w:eastAsia="宋体" w:cs="宋体"/>
          <w:b w:val="0"/>
          <w:bCs w:val="0"/>
          <w:color w:val="auto"/>
          <w:sz w:val="20"/>
          <w:szCs w:val="20"/>
          <w:lang w:eastAsia="zh-CN"/>
        </w:rPr>
        <w:t>本行政区域内</w:t>
      </w:r>
      <w:r>
        <w:rPr>
          <w:rFonts w:hint="eastAsia" w:ascii="宋体" w:hAnsi="宋体" w:eastAsia="宋体" w:cs="宋体"/>
          <w:b w:val="0"/>
          <w:bCs w:val="0"/>
          <w:color w:val="auto"/>
          <w:sz w:val="20"/>
          <w:szCs w:val="20"/>
        </w:rPr>
        <w:t xml:space="preserve">各类经营主体。 </w:t>
      </w:r>
    </w:p>
    <w:p w14:paraId="1E4820C3">
      <w:pPr>
        <w:numPr>
          <w:ilvl w:val="0"/>
          <w:numId w:val="0"/>
        </w:numPr>
        <w:ind w:left="0" w:leftChars="0" w:firstLine="600" w:firstLineChars="300"/>
        <w:jc w:val="both"/>
        <w:rPr>
          <w:rFonts w:hint="eastAsia" w:ascii="宋体" w:hAnsi="宋体" w:eastAsia="宋体" w:cs="宋体"/>
          <w:b w:val="0"/>
          <w:bCs w:val="0"/>
          <w:color w:val="auto"/>
          <w:sz w:val="20"/>
          <w:szCs w:val="20"/>
        </w:rPr>
      </w:pPr>
      <w:r>
        <w:rPr>
          <w:rFonts w:hint="eastAsia" w:ascii="宋体" w:hAnsi="宋体" w:eastAsia="宋体" w:cs="宋体"/>
          <w:b w:val="0"/>
          <w:bCs w:val="0"/>
          <w:color w:val="auto"/>
          <w:kern w:val="2"/>
          <w:sz w:val="20"/>
          <w:szCs w:val="20"/>
          <w:lang w:val="en-US" w:eastAsia="zh-CN" w:bidi="ar-SA"/>
        </w:rPr>
        <w:t>2.</w:t>
      </w:r>
      <w:r>
        <w:rPr>
          <w:rFonts w:hint="eastAsia" w:ascii="宋体" w:hAnsi="宋体" w:eastAsia="宋体" w:cs="宋体"/>
          <w:b w:val="0"/>
          <w:bCs w:val="0"/>
          <w:color w:val="auto"/>
          <w:sz w:val="20"/>
          <w:szCs w:val="20"/>
        </w:rPr>
        <w:t>清单并未涵盖所有广告</w:t>
      </w:r>
      <w:r>
        <w:rPr>
          <w:rFonts w:hint="eastAsia" w:ascii="宋体" w:hAnsi="宋体" w:eastAsia="宋体" w:cs="宋体"/>
          <w:b w:val="0"/>
          <w:bCs w:val="0"/>
          <w:color w:val="auto"/>
          <w:sz w:val="20"/>
          <w:szCs w:val="20"/>
          <w:lang w:eastAsia="zh-CN"/>
        </w:rPr>
        <w:t>及知识产权保护</w:t>
      </w:r>
      <w:r>
        <w:rPr>
          <w:rFonts w:hint="eastAsia" w:ascii="宋体" w:hAnsi="宋体" w:eastAsia="宋体" w:cs="宋体"/>
          <w:b w:val="0"/>
          <w:bCs w:val="0"/>
          <w:color w:val="auto"/>
          <w:sz w:val="20"/>
          <w:szCs w:val="20"/>
        </w:rPr>
        <w:t xml:space="preserve">类违法行为。 </w:t>
      </w:r>
    </w:p>
    <w:p w14:paraId="794C2D8F">
      <w:pPr>
        <w:numPr>
          <w:ilvl w:val="0"/>
          <w:numId w:val="0"/>
        </w:numPr>
        <w:ind w:leftChars="0" w:firstLine="600" w:firstLineChars="300"/>
        <w:jc w:val="both"/>
        <w:rPr>
          <w:rFonts w:hint="eastAsia" w:ascii="Times New Roman" w:hAnsi="Times New Roman" w:eastAsia="方正仿宋_GBK" w:cs="Times New Roman"/>
          <w:color w:val="auto"/>
          <w:sz w:val="21"/>
          <w:szCs w:val="21"/>
          <w:lang w:val="en-US" w:eastAsia="zh-CN"/>
        </w:rPr>
      </w:pPr>
      <w:r>
        <w:rPr>
          <w:rFonts w:hint="eastAsia" w:ascii="宋体" w:hAnsi="宋体" w:eastAsia="宋体" w:cs="宋体"/>
          <w:b w:val="0"/>
          <w:bCs w:val="0"/>
          <w:color w:val="auto"/>
          <w:sz w:val="20"/>
          <w:szCs w:val="20"/>
        </w:rPr>
        <w:t>3.发生频率较高的为★★★，发生频率一般的为★★，发生频率较少的为★。</w:t>
      </w:r>
    </w:p>
    <w:p w14:paraId="45C1FCEC">
      <w:pPr>
        <w:jc w:val="both"/>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标准化与计量类行为（共4项）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68CB9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3AAAF7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48BE24F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3898F90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5D61B7A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158B951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606A853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68E0026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4C5D8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F0F17B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仿宋_GB2312" w:hAnsi="仿宋_GB2312" w:eastAsia="仿宋_GB2312" w:cs="仿宋_GB2312"/>
                <w:snapToGrid w:val="0"/>
                <w:color w:val="auto"/>
                <w:kern w:val="0"/>
                <w:sz w:val="21"/>
                <w:szCs w:val="21"/>
                <w:vertAlign w:val="baseline"/>
                <w:lang w:val="en-US" w:eastAsia="zh-CN"/>
              </w:rPr>
              <w:t>1</w:t>
            </w:r>
          </w:p>
        </w:tc>
        <w:tc>
          <w:tcPr>
            <w:tcW w:w="1542" w:type="dxa"/>
            <w:noWrap w:val="0"/>
            <w:vAlign w:val="center"/>
          </w:tcPr>
          <w:p w14:paraId="0AC673A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企业应依法开展企业标准自我声明公开</w:t>
            </w:r>
          </w:p>
        </w:tc>
        <w:tc>
          <w:tcPr>
            <w:tcW w:w="2251" w:type="dxa"/>
            <w:noWrap w:val="0"/>
            <w:vAlign w:val="center"/>
          </w:tcPr>
          <w:p w14:paraId="338B311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1.企业未按规定公开其执行标准。 </w:t>
            </w:r>
          </w:p>
          <w:p w14:paraId="3A5EB25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2.企业标准的技术要求低于强制性国家标准的相关技术要求。 </w:t>
            </w:r>
          </w:p>
          <w:p w14:paraId="1E13948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3.企业未按规定公开企业标准中性能指标及对应的试验方法、检验方法或者评价方法。 </w:t>
            </w:r>
          </w:p>
          <w:p w14:paraId="41A039B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4.企业标准未按规定进行编号。</w:t>
            </w:r>
          </w:p>
          <w:p w14:paraId="7D26BEA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25F2835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《中华人民共和国标准化法》 </w:t>
            </w:r>
          </w:p>
          <w:p w14:paraId="7E72AE6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第二十一条第一款 推荐性国家标准、行业标准、地方标准、团体标准、企业标准的技术要求不得低于强制性国家标准的相关技术要求。 </w:t>
            </w:r>
          </w:p>
          <w:p w14:paraId="564B4F1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第二十二条第一款 制定标准应当有利于科学 合理利用资源，推广科学技术成果，增强产品的安全性、通用性、可替换性，提高经济效益、社会效益、生态效益，做到技术上先进、经济上合理。 </w:t>
            </w:r>
          </w:p>
          <w:p w14:paraId="14DE005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第二十七条第一款 国家实行团体标准、企业标准自我声明公开和监督制度。企业应当公开其执行的强制性标准、推荐性标准、团体标准或者企业标准的编号和名称；企业执行自行制定的企业标准的，还应当公开产品、服务的功能指标和产品的性能指标。国家鼓励团体标准、企业标准通过标准信息公共服务平台向社会公开。 </w:t>
            </w:r>
          </w:p>
          <w:p w14:paraId="741308A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第三十九条第二款 社会团体、企业制定的标准不符合本法第二十一条第一款、第二十二条第一款规定的，由标准化行政主管部门责令限期改正；逾期不改正的，由省级以上人民政府标准化行政主管部门废止相关标准，并在标准信息公共服务平台上公示。 </w:t>
            </w:r>
          </w:p>
          <w:p w14:paraId="16C9B1B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第四十二条 社会团体、企业未依照本法规定对团体标准或者企业标准进行编号的，由标准化行政主管部门责令限期改正；逾期不改正的，由省级以上人民政府标准化行政主管部门撤销相关标准编号，并在标准信息公共服务平台上公示。 </w:t>
            </w:r>
          </w:p>
          <w:p w14:paraId="56033EA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《企业标准化促进办法》 </w:t>
            </w:r>
          </w:p>
          <w:p w14:paraId="5AA1359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第十四条第二款 企业执行自行制定或者联合制定企业标准的，应当公开产品、服务的功能指标和产品的性能指标及对应的试验方法、检验方法或者评价方法。法律、法规、强制性国家标准对限制商品过度包装另有规定的，企业应当按照有关规定公开其采用的包装标准。</w:t>
            </w:r>
          </w:p>
          <w:p w14:paraId="7787FD3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第三十三条 企业自我声明公开不符合本办法第十四条、第十五条、第十六条规定的，由县级以上人民政府标准化行政主管部门责令限期改正；逾期不改正的，在企业标准信息公共服务平台上公示。</w:t>
            </w:r>
          </w:p>
        </w:tc>
        <w:tc>
          <w:tcPr>
            <w:tcW w:w="1140" w:type="dxa"/>
            <w:noWrap w:val="0"/>
            <w:vAlign w:val="center"/>
          </w:tcPr>
          <w:p w14:paraId="550B5C7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仿宋_GB2312" w:cs="Times New Roman"/>
                <w:color w:val="auto"/>
                <w:sz w:val="18"/>
                <w:szCs w:val="18"/>
                <w:lang w:val="en-US" w:eastAsia="zh-CN"/>
              </w:rPr>
              <w:t>★★</w:t>
            </w:r>
          </w:p>
        </w:tc>
        <w:tc>
          <w:tcPr>
            <w:tcW w:w="2145" w:type="dxa"/>
            <w:noWrap w:val="0"/>
            <w:vAlign w:val="center"/>
          </w:tcPr>
          <w:p w14:paraId="7DE86BF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企业应当公开其提供产品或者服务所执行的强制性标准、推荐性标准、团体标准或者企业标准的编号和名称。企业执行自行制定或者联合制定企业标准的，应当公开产品、服务的功能指标和产品的性能指标及对应的试验方法、检验方法或者评价方法。 </w:t>
            </w:r>
          </w:p>
          <w:p w14:paraId="15B6DCA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鼓励企业通过国家统一的企业标准信息公共服务平台进行自我声明公开。通过其他渠道进行自我声明公开的，应当在国家统一的企业标准信息公共服务平台明示公开渠道，并确保自我声明公开的信息可获取、可追溯和防篡改。</w:t>
            </w:r>
          </w:p>
          <w:p w14:paraId="0E46641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3.制定企业标准应当符合法律法规和强制性标准要求。制定企业标准应当有利于提高经济效益、社会效益、质量效益和生态效益，做到技术上先进、经济上合理。 </w:t>
            </w:r>
          </w:p>
          <w:p w14:paraId="701CA8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4.企业提供产品或者服务所执行的企业标准应当按照统一的规则进行编号。企业标准的编号依次由企业标准代号、企业代号、顺序号、年份号组成。企业标准代号为 “Q”，企业代号可以用汉语拼音字母或者阿拉伯数字或者两者兼用组成。</w:t>
            </w:r>
          </w:p>
          <w:p w14:paraId="0018A2A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3AAC397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区市场监督管理局标计科：87317227（电话）</w:t>
            </w:r>
          </w:p>
        </w:tc>
      </w:tr>
      <w:tr w14:paraId="209CA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0529CFB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191B5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29AEEE4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31F973A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DD634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9AEBD2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F8C8D2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EC53E2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2</w:t>
            </w:r>
          </w:p>
        </w:tc>
        <w:tc>
          <w:tcPr>
            <w:tcW w:w="1542" w:type="dxa"/>
            <w:noWrap w:val="0"/>
            <w:vAlign w:val="top"/>
          </w:tcPr>
          <w:p w14:paraId="2D990B4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FE851C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C864A6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E6067A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FDA6EB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DDC02C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属于强制检定范围的计量器具应按规定申请强制检定</w:t>
            </w:r>
          </w:p>
          <w:p w14:paraId="0BBB110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20A3580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68931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C95FA6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93CF4D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9276C5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6DB70A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属于强制检定范围的计量器具未经检定就使用或者超过检定周期继续使用。</w:t>
            </w:r>
          </w:p>
        </w:tc>
        <w:tc>
          <w:tcPr>
            <w:tcW w:w="3640" w:type="dxa"/>
            <w:noWrap w:val="0"/>
            <w:vAlign w:val="top"/>
          </w:tcPr>
          <w:p w14:paraId="23EB943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《中华人民共和国计量法》 </w:t>
            </w:r>
          </w:p>
          <w:p w14:paraId="316DC09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第二十五条 属于强制检定范围的计量器具，未按照规定申请检定或者检定不合格继续使用的，责令停止使用，可以并处罚款。 </w:t>
            </w:r>
          </w:p>
          <w:p w14:paraId="3FF774D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《中华人民共和国计量法实施细则》 </w:t>
            </w:r>
          </w:p>
          <w:p w14:paraId="0DA4F07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第四十三条 属于强制检定范围的计量器具，未按照规定申请检定和属于非强制检定范围的计量器具未自行定期检定或者送其他计量检定机构定期检定的，以及经检定不合格继续使用的，责令其停止使用，可并处1000 元以下的罚款。</w:t>
            </w:r>
          </w:p>
        </w:tc>
        <w:tc>
          <w:tcPr>
            <w:tcW w:w="1140" w:type="dxa"/>
            <w:noWrap w:val="0"/>
            <w:vAlign w:val="top"/>
          </w:tcPr>
          <w:p w14:paraId="3DED91D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35CE22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83C75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98B8F8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D66B33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A5981F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FF692A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D869EB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72731D0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w:t>
            </w:r>
            <w:r>
              <w:rPr>
                <w:rFonts w:hint="default" w:ascii="BMHBIL+SimSun" w:hAnsi="BMHBIL+SimSun" w:cs="BMHBIL+SimSun" w:eastAsiaTheme="minorEastAsia"/>
                <w:color w:val="000000"/>
                <w:spacing w:val="1"/>
                <w:kern w:val="2"/>
                <w:sz w:val="20"/>
                <w:szCs w:val="20"/>
                <w:highlight w:val="none"/>
                <w:lang w:val="en-US" w:eastAsia="zh-CN" w:bidi="ar-SA"/>
              </w:rPr>
              <w:t>列入国家强制管理计量器具目录的工作计量器具，在使用前或有效期到期前 30日，通过中国电子质量监督公共服务门户网站进行注册申报计量器具强制检定。</w:t>
            </w:r>
          </w:p>
          <w:p w14:paraId="435FB0C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2.不得使用未经检定、超过检定周期或经计量检定不合格的计量器具。 </w:t>
            </w:r>
          </w:p>
          <w:p w14:paraId="29FBC23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3.不得故意破坏计量器具准确度。</w:t>
            </w:r>
          </w:p>
        </w:tc>
        <w:tc>
          <w:tcPr>
            <w:tcW w:w="1624" w:type="dxa"/>
            <w:noWrap w:val="0"/>
            <w:vAlign w:val="top"/>
          </w:tcPr>
          <w:p w14:paraId="52F5355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7955D8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AE6FA3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83697F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9C4BE7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33CD94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D183FF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DC4716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03BBC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区市场监督管理局标计科：87335825（电话）</w:t>
            </w:r>
          </w:p>
        </w:tc>
      </w:tr>
      <w:tr w14:paraId="10906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1C67CC6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3FAD1AE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AC47F2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EEFE2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25BBF33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800FD6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026A32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542385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2137013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719C7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AF0912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3</w:t>
            </w:r>
          </w:p>
        </w:tc>
        <w:tc>
          <w:tcPr>
            <w:tcW w:w="1542" w:type="dxa"/>
            <w:noWrap w:val="0"/>
            <w:vAlign w:val="top"/>
          </w:tcPr>
          <w:p w14:paraId="7A0E9F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3E328D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330CF8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3B1DC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0A92B1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CFD25B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EDAE5E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05E845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42BDC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A783EF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使用检定合格的计量器具</w:t>
            </w:r>
          </w:p>
        </w:tc>
        <w:tc>
          <w:tcPr>
            <w:tcW w:w="2251" w:type="dxa"/>
            <w:noWrap w:val="0"/>
            <w:vAlign w:val="top"/>
          </w:tcPr>
          <w:p w14:paraId="7F07E3C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B7C88C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331047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14258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9928F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8045BD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D5B420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E62E7D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1.使用不合格计量器具、破坏计量器具准确度或者伪造数据； </w:t>
            </w:r>
          </w:p>
          <w:p w14:paraId="00BAB08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2.制造、销售、使用以欺骗消费者为目的的计量器具。</w:t>
            </w:r>
          </w:p>
        </w:tc>
        <w:tc>
          <w:tcPr>
            <w:tcW w:w="3640" w:type="dxa"/>
            <w:noWrap w:val="0"/>
            <w:vAlign w:val="top"/>
          </w:tcPr>
          <w:p w14:paraId="0FB29DA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《中华人民共和国计量法实施细则》 </w:t>
            </w:r>
          </w:p>
          <w:p w14:paraId="44E850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第四十六条 使用不合格计量器具或者破坏计量器具准确度和伪造数据，给国家和消费者造成损失的，责令其赔偿损失，没收计量器具和全部违法所得，可并处2000元以下的罚款。 </w:t>
            </w:r>
          </w:p>
          <w:p w14:paraId="34316D9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第四十八条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 xml:space="preserve">制造、销售、使用以欺骗消费者为目的的计量器具的单位和个人，没收其计量器具和全部违法所得，可并处2000元以下的罚款；构成犯罪的，对个人或者单位直接责任人员，依法追究刑事责任。 </w:t>
            </w:r>
          </w:p>
          <w:p w14:paraId="0EFFA7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《加油站计量监督管理办法》</w:t>
            </w:r>
          </w:p>
          <w:p w14:paraId="23791F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第九条第三项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加油站经营者违反本办法有关规定，应当按以下规定进行处罚：（三）违反本办法第五条第（七）项规定，使用未经检定、超过检定周期或者经检定不合格的计量器具的，责令其停止使用，可并处1000 元以下罚款。破坏计量器具及其铅（签）封，擅自改动、拆装燃油加油机，使用未经批准而改动的燃油加油机，以及弄虚作假、给消费者造成损失的，责令其赔偿损失，并按照《中华人民共和国计量法实施细则》有关规定予以处罚；构成犯罪的，依法追究刑事责任。</w:t>
            </w:r>
          </w:p>
        </w:tc>
        <w:tc>
          <w:tcPr>
            <w:tcW w:w="1140" w:type="dxa"/>
            <w:noWrap w:val="0"/>
            <w:vAlign w:val="top"/>
          </w:tcPr>
          <w:p w14:paraId="4494831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3BE1C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851C48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D085D6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2D338E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075DE6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CD730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55A7D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71BE24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2F9EC4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CAD1B3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37B1EB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950AD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1A7B3B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86EBF6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A3B39F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52AD2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4DE0FF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79A047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1.不得使用不合格计量器具，不得破坏计量器具准确度，不得伪造数据。 </w:t>
            </w:r>
          </w:p>
          <w:p w14:paraId="1572611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2.不得制造、销售、使用以欺骗消费者为目的的计量器具。</w:t>
            </w:r>
          </w:p>
          <w:p w14:paraId="4C72C3D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top"/>
          </w:tcPr>
          <w:p w14:paraId="518D3E3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7FF57F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387237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83F99F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AF3010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EEFA7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A7601E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1F0BCC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区市场监督管理局标计科：87335825（电话）</w:t>
            </w:r>
          </w:p>
        </w:tc>
      </w:tr>
      <w:tr w14:paraId="1AB24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4E888E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33E7C9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34EC2AA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68CC4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0CFC3F3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7E2FB09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4</w:t>
            </w:r>
          </w:p>
        </w:tc>
        <w:tc>
          <w:tcPr>
            <w:tcW w:w="1542" w:type="dxa"/>
            <w:noWrap w:val="0"/>
            <w:vAlign w:val="top"/>
          </w:tcPr>
          <w:p w14:paraId="6B75E93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B0A0C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9FF032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F3338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C77C12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定量包装商品净含量应符合规定。</w:t>
            </w:r>
          </w:p>
          <w:p w14:paraId="3B3179C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59D59A5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21DC0A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1.定量包装商品净含量的标注不符合规定； </w:t>
            </w:r>
          </w:p>
          <w:p w14:paraId="7938B66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2.实际量与标注量不相符，实际量与标注量之差不在允许短缺量范围之内； </w:t>
            </w:r>
          </w:p>
          <w:p w14:paraId="28DF758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3.批量定量包装商品的平均实际含量小于其标注净含量。</w:t>
            </w:r>
          </w:p>
        </w:tc>
        <w:tc>
          <w:tcPr>
            <w:tcW w:w="3640" w:type="dxa"/>
            <w:noWrap w:val="0"/>
            <w:vAlign w:val="top"/>
          </w:tcPr>
          <w:p w14:paraId="2A7D242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《定量包装商品计量监督管理办法》 </w:t>
            </w:r>
          </w:p>
          <w:p w14:paraId="44267D2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第十七条 生产、销售定量包装商品违反本办法第五条、第六条、第七条规定，未正确、清晰地标注净含量的，由县级以上地方市场监督管理部门责令改正；未标注净含量的，限期改正，处三万元以下罚款。 </w:t>
            </w:r>
          </w:p>
          <w:p w14:paraId="36293D2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第十八条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生产、销售的定量包装商品，经检验违反本办法第八条、第九条规定的，由县级以上地方市场监督管理部门责令改正，处三万元以下罚款。</w:t>
            </w:r>
          </w:p>
        </w:tc>
        <w:tc>
          <w:tcPr>
            <w:tcW w:w="1140" w:type="dxa"/>
            <w:noWrap w:val="0"/>
            <w:vAlign w:val="top"/>
          </w:tcPr>
          <w:p w14:paraId="756F409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68CE40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3C82A0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B0A80A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9B4ECA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0B1AF8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6B60CB0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1.定量包装商品净含量的标注应符合《定量包装商品计量监督管理办法》规定要求。 </w:t>
            </w:r>
          </w:p>
          <w:p w14:paraId="0FDC1F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2.定量包装商品标注的净含量与实际含量之差不得大于允许短缺量。 </w:t>
            </w:r>
          </w:p>
          <w:p w14:paraId="20A40E5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3.批量定量包装商品的平均实际含量应大于或者等于其标注净含量。</w:t>
            </w:r>
          </w:p>
        </w:tc>
        <w:tc>
          <w:tcPr>
            <w:tcW w:w="1624" w:type="dxa"/>
            <w:noWrap w:val="0"/>
            <w:vAlign w:val="top"/>
          </w:tcPr>
          <w:p w14:paraId="70E0BB8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5B633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D79A35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4E6095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293CD2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区市场监督管理局标计科：87335825（电话）</w:t>
            </w:r>
          </w:p>
        </w:tc>
      </w:tr>
    </w:tbl>
    <w:p w14:paraId="14BFC011">
      <w:pPr>
        <w:rPr>
          <w:rFonts w:hint="eastAsia"/>
          <w:lang w:eastAsia="zh-CN"/>
        </w:rPr>
      </w:pPr>
      <w:r>
        <w:rPr>
          <w:rFonts w:hint="eastAsia"/>
          <w:lang w:eastAsia="zh-CN"/>
        </w:rPr>
        <w:t>认证、检验检测类行为（共</w:t>
      </w:r>
      <w:r>
        <w:rPr>
          <w:rFonts w:hint="eastAsia"/>
          <w:lang w:val="en-US" w:eastAsia="zh-CN"/>
        </w:rPr>
        <w:t>6项</w:t>
      </w:r>
      <w:r>
        <w:rPr>
          <w:rFonts w:hint="eastAsia"/>
          <w:lang w:eastAsia="zh-CN"/>
        </w:rPr>
        <w:t>）</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232DD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1F5A3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478FCAE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6F11FE0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518AFEB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12B1440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4386952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4C3F672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6674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6C1D6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仿宋_GB2312" w:hAnsi="仿宋_GB2312" w:eastAsia="仿宋_GB2312" w:cs="仿宋_GB2312"/>
                <w:snapToGrid w:val="0"/>
                <w:color w:val="auto"/>
                <w:kern w:val="0"/>
                <w:sz w:val="21"/>
                <w:szCs w:val="21"/>
                <w:vertAlign w:val="baseline"/>
                <w:lang w:val="en-US" w:eastAsia="zh-CN"/>
              </w:rPr>
              <w:t>1</w:t>
            </w:r>
          </w:p>
        </w:tc>
        <w:tc>
          <w:tcPr>
            <w:tcW w:w="1542" w:type="dxa"/>
            <w:noWrap w:val="0"/>
            <w:vAlign w:val="center"/>
          </w:tcPr>
          <w:p w14:paraId="6F2C745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向社会出具具有证明作用的数据、结果的检验检测机构依照法律、行政法规规定取得资质认定</w:t>
            </w:r>
          </w:p>
        </w:tc>
        <w:tc>
          <w:tcPr>
            <w:tcW w:w="2251" w:type="dxa"/>
            <w:noWrap w:val="0"/>
            <w:vAlign w:val="center"/>
          </w:tcPr>
          <w:p w14:paraId="0253D4D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检验检测机构未依法取得资质认定，擅自向社会出具具有证明作用的数据、结果</w:t>
            </w:r>
          </w:p>
        </w:tc>
        <w:tc>
          <w:tcPr>
            <w:tcW w:w="3640" w:type="dxa"/>
            <w:noWrap w:val="0"/>
            <w:vAlign w:val="center"/>
          </w:tcPr>
          <w:p w14:paraId="2D2E9BD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《检验检测机构资质认定管理办法》 </w:t>
            </w:r>
          </w:p>
          <w:p w14:paraId="426E43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第三十四条 检验检测机构未依法取得资质认定，擅自向社会出具具有证明作用的数据、结果的，依照法律、法规的规定执行；法律、法规未作规定的，由县级以上市场监督管理部门责令限期改正</w:t>
            </w:r>
            <w:r>
              <w:rPr>
                <w:rFonts w:hint="eastAsia" w:ascii="BMHBIL+SimSun" w:hAnsi="BMHBIL+SimSun" w:cs="BMHBIL+SimSun" w:eastAsiaTheme="minorEastAsia"/>
                <w:color w:val="000000"/>
                <w:spacing w:val="1"/>
                <w:kern w:val="2"/>
                <w:sz w:val="20"/>
                <w:szCs w:val="20"/>
                <w:highlight w:val="none"/>
                <w:lang w:val="en-US" w:eastAsia="zh-CN" w:bidi="ar-SA"/>
              </w:rPr>
              <w:t>，</w:t>
            </w:r>
            <w:r>
              <w:rPr>
                <w:rFonts w:hint="default" w:ascii="BMHBIL+SimSun" w:hAnsi="BMHBIL+SimSun" w:cs="BMHBIL+SimSun" w:eastAsiaTheme="minorEastAsia"/>
                <w:color w:val="000000"/>
                <w:spacing w:val="1"/>
                <w:kern w:val="2"/>
                <w:sz w:val="20"/>
                <w:szCs w:val="20"/>
                <w:highlight w:val="none"/>
                <w:lang w:val="en-US" w:eastAsia="zh-CN" w:bidi="ar-SA"/>
              </w:rPr>
              <w:t>处3万元罚款。</w:t>
            </w:r>
          </w:p>
          <w:p w14:paraId="36564CE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5A19A10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6443316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1.检验检测机构学习贯彻《检验检测机构资质认定管理办法》。 </w:t>
            </w:r>
          </w:p>
          <w:p w14:paraId="029791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2.申请资质认定的检验检测机构依法向审批部门提交书面申请和相关材料，并对其真实性负责。</w:t>
            </w:r>
          </w:p>
        </w:tc>
        <w:tc>
          <w:tcPr>
            <w:tcW w:w="1624" w:type="dxa"/>
            <w:noWrap w:val="0"/>
            <w:vAlign w:val="center"/>
          </w:tcPr>
          <w:p w14:paraId="4DB3AEF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75448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37F2DBE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241ADF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29620D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EAE54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895FFC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39282F6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30CE67F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2</w:t>
            </w:r>
          </w:p>
        </w:tc>
        <w:tc>
          <w:tcPr>
            <w:tcW w:w="1542" w:type="dxa"/>
            <w:noWrap w:val="0"/>
            <w:vAlign w:val="top"/>
          </w:tcPr>
          <w:p w14:paraId="7F9A8C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1CB686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BE378C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295E35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6A72A7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检验检测机构保证其出具的检验检测报告真实、客观、准确、完整</w:t>
            </w:r>
          </w:p>
        </w:tc>
        <w:tc>
          <w:tcPr>
            <w:tcW w:w="2251" w:type="dxa"/>
            <w:noWrap w:val="0"/>
            <w:vAlign w:val="top"/>
          </w:tcPr>
          <w:p w14:paraId="7BD6DC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A9F8B1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CFD357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8AC333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C9255D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检验检测机构出具不实检验检测报告和虚假检验检测报告</w:t>
            </w:r>
          </w:p>
        </w:tc>
        <w:tc>
          <w:tcPr>
            <w:tcW w:w="3640" w:type="dxa"/>
            <w:noWrap w:val="0"/>
            <w:vAlign w:val="top"/>
          </w:tcPr>
          <w:p w14:paraId="3504097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《检验检测机构监督管理办法》 </w:t>
            </w:r>
          </w:p>
          <w:p w14:paraId="155B482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第十四条　检验检测机构不得出具不实检验检测报告。</w:t>
            </w:r>
            <w:r>
              <w:rPr>
                <w:rFonts w:hint="eastAsia" w:ascii="BMHBIL+SimSun" w:hAnsi="BMHBIL+SimSun" w:cs="BMHBIL+SimSun" w:eastAsiaTheme="minorEastAsia"/>
                <w:color w:val="000000"/>
                <w:spacing w:val="1"/>
                <w:kern w:val="2"/>
                <w:sz w:val="20"/>
                <w:szCs w:val="20"/>
                <w:highlight w:val="none"/>
                <w:lang w:val="en-US" w:eastAsia="zh-CN" w:bidi="ar-SA"/>
              </w:rPr>
              <w:t>检验检测机构出具的检验检测报告存在下列情形之一，并且数据、结果存在错误或者无法复核的，属于不实检验检测报告：（一）样品的采集、标识、分发、流转、制备、保存、处置不符合标准等规定，存在样品污染、混淆、损毁、性状异常改变等情形的；（二）使用未经检定或者校准的仪器、设备、设施的；（三）违反国家有关强制性规定的检验检测规程或者方法的；（四）未按照标准等规定传输、保存原始数据和报告的。</w:t>
            </w:r>
          </w:p>
          <w:p w14:paraId="0B9439D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第十五条　检验检测机构不得出具虚假检验检测报告。检验检测机构出具的检验检测报告存在下列情形之一的，属于虚假检验检测报告：（一）未经检验检测的；（二）伪造、变造原始数据、记录，或者未按照标准等规定采用原始数据、记录的；（三）减少、遗漏或者变更标准等规定的应当检验检测的项目，或者改变关键检验检测条件的；（四）调换检验检测样品或者改变其原有状态进行检验检测的；（五）伪造检验检测机构公章或者检验检测专用章，或者伪造授权签字人签名或者签发时间的。</w:t>
            </w:r>
          </w:p>
          <w:p w14:paraId="03190D9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第二十七条　检验检测机构违反本办法第十四条、第十五条规定，法律、法规、规章对行政处罚有规定的，从其规定；法律、法规、规章未作规定的，由县级以上市场监督管理部门责令限期改正，通报批评，对出具不实检验检测报告的检验检测机构处五万元以下罚款，对出具虚假检验检测报告的检验检测机构处十万元以下罚款。</w:t>
            </w:r>
          </w:p>
          <w:p w14:paraId="74F12F82">
            <w:pPr>
              <w:rPr>
                <w:rFonts w:hint="default"/>
                <w:lang w:val="en-US" w:eastAsia="zh-CN"/>
              </w:rPr>
            </w:pPr>
          </w:p>
        </w:tc>
        <w:tc>
          <w:tcPr>
            <w:tcW w:w="1140" w:type="dxa"/>
            <w:noWrap w:val="0"/>
            <w:vAlign w:val="top"/>
          </w:tcPr>
          <w:p w14:paraId="01680F0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8A22C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CC4B4B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77DAF2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0BF741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318453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611D0F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2ACB86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523C2D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1.检验检测机构学习贯彻《检验检测机构监督管理办法》。 </w:t>
            </w:r>
          </w:p>
          <w:p w14:paraId="1C67161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2.检验检测机构及其人员从事检验检测活动应当遵守法律、行政法规、部门规章的规定，遵循客观独立、公平公正、诚实信用原则，恪守职业道德，承担社会责任。 </w:t>
            </w:r>
          </w:p>
          <w:p w14:paraId="7E9E1AE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3.检验检测机构应当按照国家有关强制性规定的样品管理、仪器设备管理与使用、检验检测规程或者方法、数据传输与保存等要求进行检验检测。</w:t>
            </w:r>
          </w:p>
        </w:tc>
        <w:tc>
          <w:tcPr>
            <w:tcW w:w="1624" w:type="dxa"/>
            <w:noWrap w:val="0"/>
            <w:vAlign w:val="top"/>
          </w:tcPr>
          <w:p w14:paraId="3C1A960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95CC1A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A5D38A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759A64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BD4C0B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670731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53587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14C693D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9D7ADA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0E56D7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81416C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D037B4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A79D45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981B0F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3</w:t>
            </w:r>
          </w:p>
        </w:tc>
        <w:tc>
          <w:tcPr>
            <w:tcW w:w="1542" w:type="dxa"/>
            <w:noWrap w:val="0"/>
            <w:vAlign w:val="top"/>
          </w:tcPr>
          <w:p w14:paraId="497C9FF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F6BB1C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A9093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ED311D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B5BC6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检验检测机构不得超出资质认定能力范围出具检验检测数据、结果</w:t>
            </w:r>
          </w:p>
        </w:tc>
        <w:tc>
          <w:tcPr>
            <w:tcW w:w="2251" w:type="dxa"/>
            <w:noWrap w:val="0"/>
            <w:vAlign w:val="top"/>
          </w:tcPr>
          <w:p w14:paraId="3EF9572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399801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860C4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检验检测机构出具的具有证明作用的数据、结果中的检验检测项目或依据的检验检测标准、方法等不在资质认定能力许可范围内。如：检验检测报告和原始记录中记录检测依据不在其资质认定证书规定的能力附表中。</w:t>
            </w:r>
          </w:p>
          <w:p w14:paraId="14AFA95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05446C6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 xml:space="preserve">《检验检测机构资质认定管理办法》 </w:t>
            </w:r>
          </w:p>
          <w:p w14:paraId="50D7E0E9">
            <w:pPr>
              <w:pStyle w:val="2"/>
              <w:keepNext w:val="0"/>
              <w:keepLines w:val="0"/>
              <w:pageBreakBefore w:val="0"/>
              <w:widowControl w:val="0"/>
              <w:numPr>
                <w:ilvl w:val="0"/>
                <w:numId w:val="5"/>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检验检测机构应当在资质认定证书规定的检验检测能力范围内，依据相关标准或者技术规范规定的程序和要求，出具检验检测数据、结果。 </w:t>
            </w:r>
          </w:p>
          <w:p w14:paraId="5AFBF26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第三十六条第二项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检验检测机构有下列情形之一的，法律、法规对撤销、吊销、取消检验检测资质或者证书等有行政处罚规定的，依照法律、法规的规定执行；法律、法规未作规定的，由县级以上市场监督管理部门责令限期改正，处3万元罚款：（二）超出资质认定证书规定的检验检测能力范围，擅自向社会出具具有证明作用的数据、结果的。</w:t>
            </w:r>
          </w:p>
        </w:tc>
        <w:tc>
          <w:tcPr>
            <w:tcW w:w="1140" w:type="dxa"/>
            <w:noWrap w:val="0"/>
            <w:vAlign w:val="top"/>
          </w:tcPr>
          <w:p w14:paraId="625EF69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E70A64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E992A1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68AB42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44216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197EBE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A8BB1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3A9261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1176DD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检验检测机构应当加强内部制度管理，严格依据资质认定证书规定的实验室地址、检验检测能力范围、有效期限、授权签字人等内容开展检测业务。 </w:t>
            </w:r>
          </w:p>
          <w:p w14:paraId="6D70E92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1.机构应当按照资质认定能力附表范围内的检验检测标准、方法和项目等开展检验检测工作。 </w:t>
            </w:r>
          </w:p>
          <w:p w14:paraId="1F89229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2.机构出具的具有证明作用的检验检测数据、结果中的项目名称和依据的检验检测标准、方法等应与资质认定证书附表中的项目名称和标准、方法一致。</w:t>
            </w:r>
          </w:p>
        </w:tc>
        <w:tc>
          <w:tcPr>
            <w:tcW w:w="1624" w:type="dxa"/>
            <w:noWrap w:val="0"/>
            <w:vAlign w:val="top"/>
          </w:tcPr>
          <w:p w14:paraId="72733CC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9B6928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259F1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09C058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DC4B05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8067E1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AA8615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0708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7F7903D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DF3B6B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0A560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A65EA7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0B11BA8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153C40B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D6DEC7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08D4D81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0B16C4C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237A31A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16D2EA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D8658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4</w:t>
            </w:r>
          </w:p>
        </w:tc>
        <w:tc>
          <w:tcPr>
            <w:tcW w:w="1542" w:type="dxa"/>
            <w:noWrap w:val="0"/>
            <w:vAlign w:val="top"/>
          </w:tcPr>
          <w:p w14:paraId="52BFE7F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7501CA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126EC8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A50106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D734D8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FB530D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D057F1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B218AA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F7556D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00458B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2F6FB7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认证机构应客观、公正地出具认证结论</w:t>
            </w:r>
          </w:p>
          <w:p w14:paraId="3AA4947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36D8F07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BEA71E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E20988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1E4BAB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538E21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4C0AFF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5820BA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31D1FF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7E6607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85917B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8B697A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认证机构出具虚假认证结论或出具的认证结论严重失实。</w:t>
            </w:r>
          </w:p>
        </w:tc>
        <w:tc>
          <w:tcPr>
            <w:tcW w:w="3640" w:type="dxa"/>
            <w:noWrap w:val="0"/>
            <w:vAlign w:val="top"/>
          </w:tcPr>
          <w:p w14:paraId="4845D30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06BEE1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《中华人民共和国认证认可条例》 </w:t>
            </w:r>
          </w:p>
          <w:p w14:paraId="5EC024D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第六十一条 认证机构出具虚假的认证结论，或者出具的认证结论严重失实的，撤销批准文件，并予公布；对直接负责的主管人员和负有直接责任的认证人员，撤销其执业资格；构成犯罪的，依法追究刑事责任；造成损害的，认证机构应当承担相应的赔偿责任。指定的认证机构有前款规定的违法行为的，同时撤销指定。 </w:t>
            </w:r>
          </w:p>
          <w:p w14:paraId="11EBA7C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《中华人民共和国产品质量法》 </w:t>
            </w:r>
          </w:p>
          <w:p w14:paraId="0AB43E6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第五十七条第一款 产品质量检验机构、认证机构伪造检验结果或者出具虚假证明的，责令改正，对单位处五万元以上十万元以下的罚款，对直接负责的主管人员和其他直接责任人员处一万元以上五万元以下的罚款；有违法所得的，并处没收违法所得；情节严重的，取消其检验资格、认证资格；构成犯罪的，依法追究刑事责任。</w:t>
            </w:r>
          </w:p>
        </w:tc>
        <w:tc>
          <w:tcPr>
            <w:tcW w:w="1140" w:type="dxa"/>
            <w:noWrap w:val="0"/>
            <w:vAlign w:val="top"/>
          </w:tcPr>
          <w:p w14:paraId="2C605A9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03B594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CE8F0B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9FC029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3C4E7D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BAF5CB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45EFFD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5AF043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C593EA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B68701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68598F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2E8004F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认证机构以及与认证有关的检查机构、实验室从事认证以及与认证有关的检查、检测活动，应当完成认证基本规范、认证规则规定的程序，确保认证、检查、检测的完整、客观、真实，不得增加、减少、遗漏程序。 </w:t>
            </w:r>
          </w:p>
          <w:p w14:paraId="26B1A0F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认证机构以及与认证有关的检查机构、实验室应当对认证、检查、检测过程作出完整记录，归档留存。认证机构及其认证人员应当及时作出认证结论，并保证认证结论的客观、真实。认证结论经认证人员签字后，由认证机构负责人签署。认证机构及其认证人员对认证结果负责。</w:t>
            </w:r>
          </w:p>
        </w:tc>
        <w:tc>
          <w:tcPr>
            <w:tcW w:w="1624" w:type="dxa"/>
            <w:noWrap w:val="0"/>
            <w:vAlign w:val="top"/>
          </w:tcPr>
          <w:p w14:paraId="0155CA0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E519A4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AE8582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1BC935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FFB87B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A9AB30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DEB1B0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688114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05D807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DB0443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3185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427BAC8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E2BB34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DE41A3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08738A3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316F15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4E77958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5</w:t>
            </w:r>
          </w:p>
        </w:tc>
        <w:tc>
          <w:tcPr>
            <w:tcW w:w="1542" w:type="dxa"/>
            <w:noWrap w:val="0"/>
            <w:vAlign w:val="top"/>
          </w:tcPr>
          <w:p w14:paraId="5A7127A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5804AF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9D2448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获得有机产品认证后方可在获证产品或者产品的最小销售包装上标注中国有机产品认证标志</w:t>
            </w:r>
          </w:p>
          <w:p w14:paraId="6B89164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77AC04C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299230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B2DE6F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在产品或者产品包装及标签上标注含有“有机”、“ORGANIC”等字样且可能误导公众认为该产品为有机产品的文字表述和图案。</w:t>
            </w:r>
          </w:p>
          <w:p w14:paraId="48EC261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37D9591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《有机产品认证管理办法》 </w:t>
            </w:r>
          </w:p>
          <w:p w14:paraId="4E6E4D1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第三十四条 有下列情形之一的，任何单位和个人不得在产品、产品最小销售包装及其标签上标注含有“有机”、“ORGANIC”等字样且可能误导公众认为该产品为有机产品的文字表述和图案：（一）未获得有机产品认证的；（二）获证产品在认证证书标明的生产、加工场所外进行了再次加工、分装、分割的。 </w:t>
            </w:r>
          </w:p>
          <w:p w14:paraId="1956523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第四十八条 违反本办法第三十四条的规定，在产品或者产品包装及标签上标注含有“有机”、“ORGANIC”等字样且可能误导公众认为该产品为有机产品的文字表述和图案的，县级以上地方市场监督管理部门责令改正，处3万元以下罚款。</w:t>
            </w:r>
          </w:p>
        </w:tc>
        <w:tc>
          <w:tcPr>
            <w:tcW w:w="1140" w:type="dxa"/>
            <w:noWrap w:val="0"/>
            <w:vAlign w:val="top"/>
          </w:tcPr>
          <w:p w14:paraId="026EA6C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697590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65DA05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A8D8B4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A5BFFA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20A79C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5CE4B1B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1.市场主体应依法获得有机产品认证。 </w:t>
            </w:r>
          </w:p>
          <w:p w14:paraId="6A850ED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2.获证产品的认证委托人应按规定在获证产品或者产品的最小销售包装上，加施中国有机产品认证标志、有机码和认证机构名称。</w:t>
            </w:r>
          </w:p>
          <w:p w14:paraId="7D9CEB9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top"/>
          </w:tcPr>
          <w:p w14:paraId="3F7AB00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37A4CE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587629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A6C8C1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86E97B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4D3A9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03E6BFA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5499DF8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7AA9B3B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986A6B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77BAF9F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267982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p>
          <w:p w14:paraId="622C264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eastAsia" w:ascii="仿宋_GB2312" w:hAnsi="仿宋_GB2312" w:eastAsia="仿宋_GB2312" w:cs="仿宋_GB2312"/>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6</w:t>
            </w:r>
          </w:p>
        </w:tc>
        <w:tc>
          <w:tcPr>
            <w:tcW w:w="1542" w:type="dxa"/>
            <w:noWrap w:val="0"/>
            <w:vAlign w:val="top"/>
          </w:tcPr>
          <w:p w14:paraId="444615C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CAE534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179EA3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F06F74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不得未经认证擅自出厂、销售、进口或者在其他经营活动中使用列入强制性产品认证目录的产品</w:t>
            </w:r>
          </w:p>
        </w:tc>
        <w:tc>
          <w:tcPr>
            <w:tcW w:w="2251" w:type="dxa"/>
            <w:noWrap w:val="0"/>
            <w:vAlign w:val="top"/>
          </w:tcPr>
          <w:p w14:paraId="5E5FA6B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79585A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53BA3B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1.列入强制性产品认证目录产品，未经认证擅自出厂、销售、进口或者其他经营活动中使用。 </w:t>
            </w:r>
          </w:p>
          <w:p w14:paraId="0077DDE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2.认证证书注销、撤销或者暂停期间，不符合认证要求的产品，继续出厂、销售、进口或者在其他经营活动中使用。</w:t>
            </w:r>
          </w:p>
          <w:p w14:paraId="1204823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2DEC858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《强制性产品认证管理规定》 </w:t>
            </w:r>
          </w:p>
          <w:p w14:paraId="197B18F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第四十九条 列入目录的产品未经认证，擅自出厂、销售、进口或者在其他经营活动中使用的，由县级以上地方市场监督管理部门依照认证认可条例第六十六条规定予以处罚。 </w:t>
            </w:r>
          </w:p>
          <w:p w14:paraId="1DA6823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第五十一条 违反本规定第二十九条第二款规定，认证证书注销、撤销或者暂停期间，不符合认证要求的产品，继续出厂、销售、进口或者在其他经营活动中使用的，由县级以上地方市场监督管理部门依照认证认可条例第六十六条规定予以处罚。</w:t>
            </w:r>
          </w:p>
          <w:p w14:paraId="71EA076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top"/>
          </w:tcPr>
          <w:p w14:paraId="3208359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6A35F5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1E8396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DA232A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C82C0C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1F7DE9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0945AF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50E2D6C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10EC24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452AC9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1.列入强制性产品认证目录的产品的生产者或者销售者、进口商应委托经国家认监委指定的认证机构进行认证。 </w:t>
            </w:r>
          </w:p>
          <w:p w14:paraId="4684539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2.生产企业应按照国家标准和认证规则要求组织生产，持续保持质量保证能力符合要求。</w:t>
            </w:r>
          </w:p>
        </w:tc>
        <w:tc>
          <w:tcPr>
            <w:tcW w:w="1624" w:type="dxa"/>
            <w:noWrap w:val="0"/>
            <w:vAlign w:val="top"/>
          </w:tcPr>
          <w:p w14:paraId="55FEFD4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984D95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7F4893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C1DFEC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313306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556718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605B0E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bl>
    <w:p w14:paraId="40103836">
      <w:pPr>
        <w:rPr>
          <w:rFonts w:hint="default"/>
          <w:lang w:val="en-US" w:eastAsia="zh-CN"/>
        </w:rPr>
      </w:pPr>
      <w:r>
        <w:rPr>
          <w:rFonts w:hint="eastAsia"/>
          <w:lang w:val="en-US" w:eastAsia="zh-CN"/>
        </w:rPr>
        <w:t>工业产品生产销售行为（共4项）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346"/>
        <w:gridCol w:w="1187"/>
        <w:gridCol w:w="2392"/>
        <w:gridCol w:w="1624"/>
      </w:tblGrid>
      <w:tr w14:paraId="177FE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0F9140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5B57F6D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3708655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346" w:type="dxa"/>
            <w:noWrap w:val="0"/>
            <w:vAlign w:val="center"/>
          </w:tcPr>
          <w:p w14:paraId="793481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87" w:type="dxa"/>
            <w:noWrap w:val="0"/>
            <w:vAlign w:val="center"/>
          </w:tcPr>
          <w:p w14:paraId="07B4DBC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392" w:type="dxa"/>
            <w:noWrap w:val="0"/>
            <w:vAlign w:val="center"/>
          </w:tcPr>
          <w:p w14:paraId="4C8648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5545CE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0080D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E133E4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21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1</w:t>
            </w:r>
          </w:p>
        </w:tc>
        <w:tc>
          <w:tcPr>
            <w:tcW w:w="1542" w:type="dxa"/>
            <w:noWrap w:val="0"/>
            <w:vAlign w:val="center"/>
          </w:tcPr>
          <w:p w14:paraId="5EFA838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禁止伪造、冒用等行为</w:t>
            </w:r>
          </w:p>
        </w:tc>
        <w:tc>
          <w:tcPr>
            <w:tcW w:w="2251" w:type="dxa"/>
            <w:noWrap w:val="0"/>
            <w:vAlign w:val="center"/>
          </w:tcPr>
          <w:p w14:paraId="7715587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1.伪造产地、伪造或者冒用他人的厂名、厂址；</w:t>
            </w:r>
          </w:p>
          <w:p w14:paraId="0626397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2.伪造或者冒用认证标志等质量标志。</w:t>
            </w:r>
          </w:p>
        </w:tc>
        <w:tc>
          <w:tcPr>
            <w:tcW w:w="3346" w:type="dxa"/>
            <w:noWrap w:val="0"/>
            <w:vAlign w:val="center"/>
          </w:tcPr>
          <w:p w14:paraId="6115709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《中华人民共和国产品质量法》</w:t>
            </w:r>
          </w:p>
          <w:p w14:paraId="464945B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第三十条  生产者不得伪造产地，不得伪造或者冒用他人的厂名、厂址。</w:t>
            </w:r>
          </w:p>
          <w:p w14:paraId="6739E00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第三十一条 生产者不得伪造或者冒用认证标志等质量标志。</w:t>
            </w:r>
          </w:p>
          <w:p w14:paraId="67041D6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第三十七条 销售者不得伪造产地，不得伪造或者冒用他人的厂名、厂址。</w:t>
            </w:r>
          </w:p>
          <w:p w14:paraId="4EA6592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第三十八条 销售者不得伪造或者冒用认证标志等质量标志。</w:t>
            </w:r>
          </w:p>
          <w:p w14:paraId="7D2B9FD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第五十三条 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tc>
        <w:tc>
          <w:tcPr>
            <w:tcW w:w="1187" w:type="dxa"/>
            <w:noWrap w:val="0"/>
            <w:vAlign w:val="center"/>
          </w:tcPr>
          <w:p w14:paraId="0B937B3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392" w:type="dxa"/>
            <w:noWrap w:val="0"/>
            <w:vAlign w:val="center"/>
          </w:tcPr>
          <w:p w14:paraId="1E3B885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1.生产者、销售者不得伪造产地，不得伪造或者冒用他人的厂名、厂址；</w:t>
            </w:r>
          </w:p>
          <w:p w14:paraId="508B04C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2.生产者、销售者不得伪造或者冒用认证标志等质量标志。</w:t>
            </w:r>
          </w:p>
        </w:tc>
        <w:tc>
          <w:tcPr>
            <w:tcW w:w="1624" w:type="dxa"/>
            <w:noWrap w:val="0"/>
            <w:vAlign w:val="center"/>
          </w:tcPr>
          <w:p w14:paraId="7F35AB4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5737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0425BBE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146870B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60E999E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7C11722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316F2E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01441C9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59FD67D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firstLine="210" w:firstLineChars="100"/>
              <w:jc w:val="both"/>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2</w:t>
            </w:r>
          </w:p>
        </w:tc>
        <w:tc>
          <w:tcPr>
            <w:tcW w:w="1542" w:type="dxa"/>
            <w:noWrap w:val="0"/>
            <w:vAlign w:val="top"/>
          </w:tcPr>
          <w:p w14:paraId="32A587D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6E58099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F7E01A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AC2BB8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96FF6C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769970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C81F45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57666A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211CCC1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64572FC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50AB1A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459025D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A46A6F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CD204A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产品或者其包装上的标识必须真实</w:t>
            </w:r>
            <w:r>
              <w:rPr>
                <w:rFonts w:hint="eastAsia" w:ascii="BMHBIL+SimSun" w:hAnsi="BMHBIL+SimSun" w:cs="BMHBIL+SimSun" w:eastAsiaTheme="minorEastAsia"/>
                <w:color w:val="000000"/>
                <w:spacing w:val="1"/>
                <w:kern w:val="2"/>
                <w:sz w:val="20"/>
                <w:szCs w:val="20"/>
                <w:highlight w:val="none"/>
                <w:lang w:val="en-US" w:eastAsia="zh-CN" w:bidi="ar-SA"/>
              </w:rPr>
              <w:t>有效</w:t>
            </w:r>
          </w:p>
        </w:tc>
        <w:tc>
          <w:tcPr>
            <w:tcW w:w="2251" w:type="dxa"/>
            <w:noWrap w:val="0"/>
            <w:vAlign w:val="top"/>
          </w:tcPr>
          <w:p w14:paraId="4C8872E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CEC7AD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7203E6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456316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23C40A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0C5710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09E87A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CE0AF0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5D17BB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5F0851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04406F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E7B6E9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7E3563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1.无</w:t>
            </w:r>
            <w:r>
              <w:rPr>
                <w:rFonts w:hint="eastAsia" w:ascii="BMHBIL+SimSun" w:hAnsi="BMHBIL+SimSun" w:cs="BMHBIL+SimSun" w:eastAsiaTheme="minorEastAsia"/>
                <w:color w:val="000000"/>
                <w:spacing w:val="1"/>
                <w:kern w:val="2"/>
                <w:sz w:val="20"/>
                <w:szCs w:val="20"/>
                <w:highlight w:val="none"/>
                <w:lang w:val="zh-CN" w:eastAsia="zh-CN" w:bidi="ar-SA"/>
              </w:rPr>
              <w:t>产品质量检验合格证明；</w:t>
            </w:r>
          </w:p>
          <w:p w14:paraId="2E2F458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2.无</w:t>
            </w:r>
            <w:r>
              <w:rPr>
                <w:rFonts w:hint="eastAsia" w:ascii="BMHBIL+SimSun" w:hAnsi="BMHBIL+SimSun" w:cs="BMHBIL+SimSun" w:eastAsiaTheme="minorEastAsia"/>
                <w:color w:val="000000"/>
                <w:spacing w:val="1"/>
                <w:kern w:val="2"/>
                <w:sz w:val="20"/>
                <w:szCs w:val="20"/>
                <w:highlight w:val="none"/>
                <w:lang w:val="zh-CN" w:eastAsia="zh-CN" w:bidi="ar-SA"/>
              </w:rPr>
              <w:t>产品名称、生产厂厂名和厂址；</w:t>
            </w:r>
          </w:p>
        </w:tc>
        <w:tc>
          <w:tcPr>
            <w:tcW w:w="3346" w:type="dxa"/>
            <w:noWrap w:val="0"/>
            <w:vAlign w:val="top"/>
          </w:tcPr>
          <w:p w14:paraId="75F542D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《中华人民共和国产品质量法》</w:t>
            </w:r>
          </w:p>
          <w:p w14:paraId="2340E50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第二十七条　产品或者其包装上的标识必须真实，并符合下列要求：</w:t>
            </w:r>
          </w:p>
          <w:p w14:paraId="671D81C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一)有产品质量检验合格证明；(二)有中文标明的产品名称、生产厂厂名和厂址；(三)根据产品的特点和使用要求，需要标明产品规格、等级、所含主要成份的名称和含量的，用中文相应予以标明；需要事先让消费者知晓的，应当在外包装上标明，或者预先向消费者提供有关资料；(四)限期使用的产品，应当在显著位置清晰地标明生产日期和安全使用期或者失效日期；(五)使用不当，容易造成产品本身损坏或者可能危及人身、财产安全的产品，应当有警示标志或者中文警示说明。裸装的食品和其他根据产品的特点难以附加标识的裸装产品，可以不附加产品标识。</w:t>
            </w:r>
          </w:p>
          <w:p w14:paraId="54ECB8A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第三十三条　销售者应当建立并执行进货检查验收制度，验明产品合格证明和其他标识。</w:t>
            </w:r>
          </w:p>
          <w:p w14:paraId="50EAFCE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第五十四条　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tc>
        <w:tc>
          <w:tcPr>
            <w:tcW w:w="1187" w:type="dxa"/>
            <w:noWrap w:val="0"/>
            <w:vAlign w:val="top"/>
          </w:tcPr>
          <w:p w14:paraId="53A48D6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7B83CE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FB652A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AE27EA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57DCCF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FDE219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F001AF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48AA61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840DA7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434DD8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94D9C8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6D3A4B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F1BD5D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48C561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392" w:type="dxa"/>
            <w:noWrap w:val="0"/>
            <w:vAlign w:val="top"/>
          </w:tcPr>
          <w:p w14:paraId="2192594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81A1F0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3D548C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A7FC71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4C2A9D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B8CB41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99E355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67DC4F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10213C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6555B3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9F8D99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45FAED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1.生产者的</w:t>
            </w:r>
            <w:r>
              <w:rPr>
                <w:rFonts w:hint="eastAsia" w:ascii="BMHBIL+SimSun" w:hAnsi="BMHBIL+SimSun" w:cs="BMHBIL+SimSun" w:eastAsiaTheme="minorEastAsia"/>
                <w:color w:val="000000"/>
                <w:spacing w:val="1"/>
                <w:kern w:val="2"/>
                <w:sz w:val="20"/>
                <w:szCs w:val="20"/>
                <w:highlight w:val="none"/>
                <w:lang w:val="zh-CN" w:eastAsia="zh-CN" w:bidi="ar-SA"/>
              </w:rPr>
              <w:t>产品或者其包装上的标识必须真实</w:t>
            </w:r>
            <w:r>
              <w:rPr>
                <w:rFonts w:hint="eastAsia" w:ascii="BMHBIL+SimSun" w:hAnsi="BMHBIL+SimSun" w:cs="BMHBIL+SimSun" w:eastAsiaTheme="minorEastAsia"/>
                <w:color w:val="000000"/>
                <w:spacing w:val="1"/>
                <w:kern w:val="2"/>
                <w:sz w:val="20"/>
                <w:szCs w:val="20"/>
                <w:highlight w:val="none"/>
                <w:lang w:val="en-US" w:eastAsia="zh-CN" w:bidi="ar-SA"/>
              </w:rPr>
              <w:t>有效。</w:t>
            </w:r>
          </w:p>
          <w:p w14:paraId="5E1AFDE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w:t>
            </w:r>
            <w:r>
              <w:rPr>
                <w:rFonts w:hint="eastAsia" w:ascii="BMHBIL+SimSun" w:hAnsi="BMHBIL+SimSun" w:cs="BMHBIL+SimSun" w:eastAsiaTheme="minorEastAsia"/>
                <w:color w:val="000000"/>
                <w:spacing w:val="1"/>
                <w:kern w:val="2"/>
                <w:sz w:val="20"/>
                <w:szCs w:val="20"/>
                <w:highlight w:val="none"/>
                <w:lang w:val="zh-CN" w:eastAsia="zh-CN" w:bidi="ar-SA"/>
              </w:rPr>
              <w:t>销售者应当建立并执行进货检查验收制度，验明产品合格证明和其他标识。</w:t>
            </w:r>
          </w:p>
        </w:tc>
        <w:tc>
          <w:tcPr>
            <w:tcW w:w="1624" w:type="dxa"/>
            <w:noWrap w:val="0"/>
            <w:vAlign w:val="top"/>
          </w:tcPr>
          <w:p w14:paraId="17205DB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F3F683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D03D33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E3D2F2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D3B3D3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9AC3BC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C27FC4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C4FF71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FF0760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6992F0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D02C38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D788E6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76EDC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09AB820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firstLine="210" w:firstLineChars="100"/>
              <w:jc w:val="both"/>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3</w:t>
            </w:r>
          </w:p>
        </w:tc>
        <w:tc>
          <w:tcPr>
            <w:tcW w:w="1542" w:type="dxa"/>
            <w:noWrap w:val="0"/>
            <w:vAlign w:val="top"/>
          </w:tcPr>
          <w:p w14:paraId="3C93295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禁止生产、销售不符合保障人体健康和人身、财产安全的标准和要求的工业产品</w:t>
            </w:r>
          </w:p>
        </w:tc>
        <w:tc>
          <w:tcPr>
            <w:tcW w:w="2251" w:type="dxa"/>
            <w:noWrap w:val="0"/>
            <w:vAlign w:val="top"/>
          </w:tcPr>
          <w:p w14:paraId="0DE6618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6EDEA3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产品质量监督抽查不合格</w:t>
            </w:r>
          </w:p>
        </w:tc>
        <w:tc>
          <w:tcPr>
            <w:tcW w:w="3346" w:type="dxa"/>
            <w:noWrap w:val="0"/>
            <w:vAlign w:val="top"/>
          </w:tcPr>
          <w:p w14:paraId="0BA5696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《中华人民共和国产品质量法》</w:t>
            </w:r>
          </w:p>
          <w:p w14:paraId="3404FB9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w:t>
            </w:r>
            <w:r>
              <w:rPr>
                <w:rFonts w:hint="eastAsia" w:ascii="BMHBIL+SimSun" w:hAnsi="BMHBIL+SimSun" w:cs="BMHBIL+SimSun" w:eastAsiaTheme="minorEastAsia"/>
                <w:color w:val="000000"/>
                <w:spacing w:val="1"/>
                <w:kern w:val="2"/>
                <w:sz w:val="20"/>
                <w:szCs w:val="20"/>
                <w:highlight w:val="none"/>
                <w:lang w:val="en-US" w:eastAsia="zh-CN" w:bidi="ar-SA"/>
              </w:rPr>
              <w:t>十三</w:t>
            </w:r>
            <w:r>
              <w:rPr>
                <w:rFonts w:hint="eastAsia" w:ascii="BMHBIL+SimSun" w:hAnsi="BMHBIL+SimSun" w:cs="BMHBIL+SimSun" w:eastAsiaTheme="minorEastAsia"/>
                <w:color w:val="000000"/>
                <w:spacing w:val="1"/>
                <w:kern w:val="2"/>
                <w:sz w:val="20"/>
                <w:szCs w:val="20"/>
                <w:highlight w:val="none"/>
                <w:lang w:val="zh-CN" w:eastAsia="zh-CN" w:bidi="ar-SA"/>
              </w:rPr>
              <w:t>条　可能危及人体健康和人身、财产安全的工业产品，必须符合保障人体健康和人身、财产安全的国家标准、行业标准；未制定国家标准、行业标准的，必须符合保障人体健康和人身、财产安全的要求。</w:t>
            </w:r>
          </w:p>
          <w:p w14:paraId="50C9EC3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第四十九条　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tc>
        <w:tc>
          <w:tcPr>
            <w:tcW w:w="1187" w:type="dxa"/>
            <w:noWrap w:val="0"/>
            <w:vAlign w:val="top"/>
          </w:tcPr>
          <w:p w14:paraId="762BD41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99E073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1C11FB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392" w:type="dxa"/>
            <w:noWrap w:val="0"/>
            <w:vAlign w:val="top"/>
          </w:tcPr>
          <w:p w14:paraId="618133E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8947F7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生产、销售的产品必须符合标准要求</w:t>
            </w:r>
          </w:p>
        </w:tc>
        <w:tc>
          <w:tcPr>
            <w:tcW w:w="1624" w:type="dxa"/>
            <w:noWrap w:val="0"/>
            <w:vAlign w:val="top"/>
          </w:tcPr>
          <w:p w14:paraId="6CCEF19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r w14:paraId="54C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6849A4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31866E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507CB81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61C2E56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both"/>
              <w:rPr>
                <w:rFonts w:hint="eastAsia" w:ascii="仿宋_GB2312" w:hAnsi="仿宋_GB2312" w:eastAsia="仿宋_GB2312" w:cs="仿宋_GB2312"/>
                <w:snapToGrid w:val="0"/>
                <w:color w:val="auto"/>
                <w:kern w:val="0"/>
                <w:sz w:val="21"/>
                <w:szCs w:val="21"/>
                <w:vertAlign w:val="baseline"/>
                <w:lang w:val="en-US" w:eastAsia="zh-CN"/>
              </w:rPr>
            </w:pPr>
          </w:p>
          <w:p w14:paraId="77C1114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firstLine="210" w:firstLineChars="100"/>
              <w:jc w:val="both"/>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napToGrid w:val="0"/>
                <w:color w:val="auto"/>
                <w:kern w:val="0"/>
                <w:sz w:val="21"/>
                <w:szCs w:val="21"/>
                <w:vertAlign w:val="baseline"/>
                <w:lang w:val="en-US" w:eastAsia="zh-CN"/>
              </w:rPr>
              <w:t>4</w:t>
            </w:r>
          </w:p>
        </w:tc>
        <w:tc>
          <w:tcPr>
            <w:tcW w:w="1542" w:type="dxa"/>
            <w:noWrap w:val="0"/>
            <w:vAlign w:val="top"/>
          </w:tcPr>
          <w:p w14:paraId="61C5C38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CB3BF6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C26477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80CEBC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575429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339CB2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769A26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EC9BE9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97657D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销售或者</w:t>
            </w:r>
            <w:r>
              <w:rPr>
                <w:rFonts w:hint="default" w:ascii="BMHBIL+SimSun" w:hAnsi="BMHBIL+SimSun" w:cs="BMHBIL+SimSun" w:eastAsiaTheme="minorEastAsia"/>
                <w:color w:val="000000"/>
                <w:spacing w:val="1"/>
                <w:kern w:val="2"/>
                <w:sz w:val="20"/>
                <w:szCs w:val="20"/>
                <w:highlight w:val="none"/>
                <w:lang w:val="en-US" w:eastAsia="zh-CN" w:bidi="ar-SA"/>
              </w:rPr>
              <w:t>在经营活动中使用列入工业产品生产许可目录产品</w:t>
            </w:r>
          </w:p>
          <w:p w14:paraId="59A9808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07498F2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4FC3BD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EEF2A2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65B746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AC8BE5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EF00F6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D33035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EABCBD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25F6A0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销售或者在经营</w:t>
            </w:r>
            <w:r>
              <w:rPr>
                <w:rFonts w:hint="default" w:ascii="BMHBIL+SimSun" w:hAnsi="BMHBIL+SimSun" w:cs="BMHBIL+SimSun" w:eastAsiaTheme="minorEastAsia"/>
                <w:color w:val="000000"/>
                <w:spacing w:val="1"/>
                <w:kern w:val="2"/>
                <w:sz w:val="20"/>
                <w:szCs w:val="20"/>
                <w:highlight w:val="none"/>
                <w:lang w:val="en-US" w:eastAsia="zh-CN" w:bidi="ar-SA"/>
              </w:rPr>
              <w:t>活动中使用未取得生产许可证的列入目录产品</w:t>
            </w:r>
          </w:p>
          <w:p w14:paraId="712E39F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346" w:type="dxa"/>
            <w:noWrap w:val="0"/>
            <w:vAlign w:val="top"/>
          </w:tcPr>
          <w:p w14:paraId="10AAAF0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2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《中华人民共和国工业产品生产许可证管理条例》</w:t>
            </w:r>
          </w:p>
          <w:p w14:paraId="6558B4F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2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第五条 任何企</w:t>
            </w:r>
            <w:r>
              <w:rPr>
                <w:rFonts w:hint="default" w:ascii="BMHBIL+SimSun" w:hAnsi="BMHBIL+SimSun" w:cs="BMHBIL+SimSun" w:eastAsiaTheme="minorEastAsia"/>
                <w:color w:val="000000"/>
                <w:spacing w:val="1"/>
                <w:kern w:val="2"/>
                <w:sz w:val="20"/>
                <w:szCs w:val="20"/>
                <w:highlight w:val="none"/>
                <w:lang w:val="en-US" w:eastAsia="zh-CN" w:bidi="ar-SA"/>
              </w:rPr>
              <w:t xml:space="preserve">业未取得生产许可证不得生产列入目录的产品。任何单位和个人不得销售或者在经营活动中使用未取得生产许可证的列入目录产品。 </w:t>
            </w:r>
          </w:p>
          <w:p w14:paraId="712D0EBA">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2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第四十五条 企业未依照本条例规定申请取得生产许可证而擅自生产列入目录产品的，由工业产品生产许可证主管部门责令停止生产，没收违法生产的产品，处违法生产产品货值金额等值以上 3倍以下的罚款；有违法所得的，没收违法所得；构成犯罪的，依法追究刑事责任。 </w:t>
            </w:r>
          </w:p>
          <w:p w14:paraId="6B522C4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2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第四十八条 销售或者在经营活动中使用未取得生产许可证的列入目录产品的，责令改正，处 5万元以上20万元以下的罚款；有违法所得的，没收违法所得；构成犯罪的，依法追究刑事责任。</w:t>
            </w:r>
          </w:p>
        </w:tc>
        <w:tc>
          <w:tcPr>
            <w:tcW w:w="1187" w:type="dxa"/>
            <w:noWrap w:val="0"/>
            <w:vAlign w:val="top"/>
          </w:tcPr>
          <w:p w14:paraId="6729342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2697C6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7A6CCF2">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5EA5163">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B6CE64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84E174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4A5FE9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50DCFF4">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537BEB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7E58040">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p w14:paraId="69A1450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392" w:type="dxa"/>
            <w:noWrap w:val="0"/>
            <w:vAlign w:val="top"/>
          </w:tcPr>
          <w:p w14:paraId="691EF5ED">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3A1C85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831BDC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0CC80F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84F9A8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CC664FF">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214B4E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D9244BE">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034B50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 xml:space="preserve">任何单位和个人不得销 </w:t>
            </w:r>
          </w:p>
          <w:p w14:paraId="0864046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售或者在经营活动中使 </w:t>
            </w:r>
          </w:p>
          <w:p w14:paraId="73F888B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用未取得生产许可证的 </w:t>
            </w:r>
          </w:p>
          <w:p w14:paraId="649F3D7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列入目录的产品。</w:t>
            </w:r>
          </w:p>
          <w:p w14:paraId="5E1383F8">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top"/>
          </w:tcPr>
          <w:p w14:paraId="5ED8E37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3FD1D7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0C1F286">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D623761">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EF540BC">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4E6125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ADC5615">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965B21B">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E029577">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区市场监督管理局标计科：87343541（电话）</w:t>
            </w:r>
          </w:p>
        </w:tc>
      </w:tr>
    </w:tbl>
    <w:p w14:paraId="41763447">
      <w:pPr>
        <w:rPr>
          <w:rFonts w:hint="default" w:ascii="方正书宋_GBK" w:hAnsi="方正书宋_GBK" w:eastAsia="方正书宋_GBK" w:cs="方正书宋_GBK"/>
          <w:b w:val="0"/>
          <w:bCs w:val="0"/>
          <w:color w:val="auto"/>
          <w:sz w:val="20"/>
          <w:szCs w:val="20"/>
        </w:rPr>
      </w:pPr>
      <w:r>
        <w:rPr>
          <w:rFonts w:ascii="方正书宋_GBK" w:hAnsi="方正书宋_GBK" w:eastAsia="方正书宋_GBK" w:cs="方正书宋_GBK"/>
          <w:b w:val="0"/>
          <w:bCs w:val="0"/>
          <w:color w:val="auto"/>
          <w:sz w:val="20"/>
          <w:szCs w:val="20"/>
        </w:rPr>
        <w:t>备注：</w:t>
      </w:r>
      <w:r>
        <w:rPr>
          <w:rFonts w:hint="default" w:ascii="Times New Roman" w:hAnsi="Times New Roman" w:eastAsia="宋体" w:cs="Times New Roman"/>
          <w:b w:val="0"/>
          <w:bCs w:val="0"/>
          <w:color w:val="auto"/>
          <w:sz w:val="20"/>
          <w:szCs w:val="20"/>
        </w:rPr>
        <w:t>1.</w:t>
      </w:r>
      <w:r>
        <w:rPr>
          <w:rFonts w:hint="default" w:ascii="方正书宋_GBK" w:hAnsi="方正书宋_GBK" w:eastAsia="方正书宋_GBK" w:cs="方正书宋_GBK"/>
          <w:b w:val="0"/>
          <w:bCs w:val="0"/>
          <w:color w:val="auto"/>
          <w:sz w:val="20"/>
          <w:szCs w:val="20"/>
        </w:rPr>
        <w:t>该清单适用</w:t>
      </w:r>
      <w:r>
        <w:rPr>
          <w:rFonts w:hint="eastAsia" w:ascii="方正书宋_GBK" w:hAnsi="方正书宋_GBK" w:eastAsia="方正书宋_GBK" w:cs="方正书宋_GBK"/>
          <w:b w:val="0"/>
          <w:bCs w:val="0"/>
          <w:color w:val="auto"/>
          <w:sz w:val="20"/>
          <w:szCs w:val="20"/>
          <w:lang w:eastAsia="zh-CN"/>
        </w:rPr>
        <w:t>本行政区域内</w:t>
      </w:r>
      <w:r>
        <w:rPr>
          <w:rFonts w:hint="default" w:ascii="方正书宋_GBK" w:hAnsi="方正书宋_GBK" w:eastAsia="方正书宋_GBK" w:cs="方正书宋_GBK"/>
          <w:b w:val="0"/>
          <w:bCs w:val="0"/>
          <w:color w:val="auto"/>
          <w:sz w:val="20"/>
          <w:szCs w:val="20"/>
          <w:lang w:val="en-US" w:eastAsia="zh-CN"/>
        </w:rPr>
        <w:t>从事</w:t>
      </w:r>
      <w:r>
        <w:rPr>
          <w:rFonts w:hint="eastAsia" w:ascii="方正书宋_GBK" w:hAnsi="方正书宋_GBK" w:eastAsia="方正书宋_GBK" w:cs="方正书宋_GBK"/>
          <w:b w:val="0"/>
          <w:bCs w:val="0"/>
          <w:color w:val="auto"/>
          <w:sz w:val="20"/>
          <w:szCs w:val="20"/>
          <w:lang w:val="en-US" w:eastAsia="zh-CN"/>
        </w:rPr>
        <w:t>标准计量</w:t>
      </w:r>
      <w:r>
        <w:rPr>
          <w:rFonts w:hint="default" w:ascii="方正书宋_GBK" w:hAnsi="方正书宋_GBK" w:eastAsia="方正书宋_GBK" w:cs="方正书宋_GBK"/>
          <w:b w:val="0"/>
          <w:bCs w:val="0"/>
          <w:color w:val="auto"/>
          <w:sz w:val="20"/>
          <w:szCs w:val="20"/>
          <w:lang w:val="en-US" w:eastAsia="zh-CN"/>
        </w:rPr>
        <w:t>的自然人、法人和非法人组织</w:t>
      </w:r>
      <w:r>
        <w:rPr>
          <w:rFonts w:hint="eastAsia" w:ascii="方正书宋_GBK" w:hAnsi="方正书宋_GBK" w:eastAsia="方正书宋_GBK" w:cs="方正书宋_GBK"/>
          <w:b w:val="0"/>
          <w:bCs w:val="0"/>
          <w:color w:val="auto"/>
          <w:sz w:val="20"/>
          <w:szCs w:val="20"/>
          <w:lang w:val="en-US" w:eastAsia="zh-CN"/>
        </w:rPr>
        <w:t>。</w:t>
      </w:r>
    </w:p>
    <w:p w14:paraId="66A63F9F">
      <w:pPr>
        <w:numPr>
          <w:ilvl w:val="0"/>
          <w:numId w:val="0"/>
        </w:numPr>
        <w:ind w:leftChars="0" w:firstLine="600" w:firstLineChars="300"/>
        <w:rPr>
          <w:rFonts w:hint="default" w:ascii="方正书宋_GBK" w:hAnsi="方正书宋_GBK" w:eastAsia="方正书宋_GBK" w:cs="方正书宋_GBK"/>
          <w:b w:val="0"/>
          <w:bCs w:val="0"/>
          <w:color w:val="auto"/>
          <w:sz w:val="20"/>
          <w:szCs w:val="20"/>
        </w:rPr>
      </w:pPr>
      <w:r>
        <w:rPr>
          <w:rFonts w:hint="eastAsia" w:ascii="方正书宋_GBK" w:hAnsi="方正书宋_GBK" w:eastAsia="方正书宋_GBK" w:cs="方正书宋_GBK"/>
          <w:b w:val="0"/>
          <w:bCs w:val="0"/>
          <w:color w:val="auto"/>
          <w:sz w:val="20"/>
          <w:szCs w:val="20"/>
          <w:lang w:val="en-US" w:eastAsia="zh-CN"/>
        </w:rPr>
        <w:t>2.</w:t>
      </w:r>
      <w:r>
        <w:rPr>
          <w:rFonts w:hint="default" w:ascii="方正书宋_GBK" w:hAnsi="方正书宋_GBK" w:eastAsia="方正书宋_GBK" w:cs="方正书宋_GBK"/>
          <w:b w:val="0"/>
          <w:bCs w:val="0"/>
          <w:color w:val="auto"/>
          <w:sz w:val="20"/>
          <w:szCs w:val="20"/>
        </w:rPr>
        <w:t>该清单并未涵盖所有标准计量</w:t>
      </w:r>
      <w:r>
        <w:rPr>
          <w:rFonts w:hint="eastAsia" w:ascii="方正书宋_GBK" w:hAnsi="方正书宋_GBK" w:eastAsia="方正书宋_GBK" w:cs="方正书宋_GBK"/>
          <w:b w:val="0"/>
          <w:bCs w:val="0"/>
          <w:color w:val="auto"/>
          <w:sz w:val="20"/>
          <w:szCs w:val="20"/>
          <w:lang w:eastAsia="zh-CN"/>
        </w:rPr>
        <w:t>与质量</w:t>
      </w:r>
      <w:r>
        <w:rPr>
          <w:rFonts w:hint="default" w:ascii="方正书宋_GBK" w:hAnsi="方正书宋_GBK" w:eastAsia="方正书宋_GBK" w:cs="方正书宋_GBK"/>
          <w:b w:val="0"/>
          <w:bCs w:val="0"/>
          <w:color w:val="auto"/>
          <w:sz w:val="20"/>
          <w:szCs w:val="20"/>
        </w:rPr>
        <w:t>类</w:t>
      </w:r>
      <w:r>
        <w:rPr>
          <w:rFonts w:hint="eastAsia" w:ascii="方正书宋_GBK" w:hAnsi="方正书宋_GBK" w:eastAsia="方正书宋_GBK" w:cs="方正书宋_GBK"/>
          <w:b w:val="0"/>
          <w:bCs w:val="0"/>
          <w:color w:val="auto"/>
          <w:sz w:val="20"/>
          <w:szCs w:val="20"/>
          <w:lang w:eastAsia="zh-CN"/>
        </w:rPr>
        <w:t>领域</w:t>
      </w:r>
      <w:r>
        <w:rPr>
          <w:rFonts w:hint="default" w:ascii="方正书宋_GBK" w:hAnsi="方正书宋_GBK" w:eastAsia="方正书宋_GBK" w:cs="方正书宋_GBK"/>
          <w:b w:val="0"/>
          <w:bCs w:val="0"/>
          <w:color w:val="auto"/>
          <w:sz w:val="20"/>
          <w:szCs w:val="20"/>
        </w:rPr>
        <w:t xml:space="preserve">违法行为。 </w:t>
      </w:r>
    </w:p>
    <w:p w14:paraId="11F4E8AE">
      <w:pPr>
        <w:numPr>
          <w:ilvl w:val="0"/>
          <w:numId w:val="0"/>
        </w:numPr>
        <w:ind w:leftChars="0" w:firstLine="600" w:firstLineChars="300"/>
        <w:rPr>
          <w:rFonts w:hint="eastAsia"/>
          <w:color w:val="auto"/>
          <w:lang w:val="en-US" w:eastAsia="zh-CN"/>
        </w:rPr>
      </w:pPr>
      <w:r>
        <w:rPr>
          <w:rFonts w:hint="eastAsia" w:ascii="方正书宋_GBK" w:hAnsi="方正书宋_GBK" w:eastAsia="方正书宋_GBK" w:cs="方正书宋_GBK"/>
          <w:b w:val="0"/>
          <w:bCs w:val="0"/>
          <w:color w:val="auto"/>
          <w:sz w:val="20"/>
          <w:szCs w:val="20"/>
          <w:lang w:val="en-US" w:eastAsia="zh-CN"/>
        </w:rPr>
        <w:t>3.</w:t>
      </w:r>
      <w:r>
        <w:rPr>
          <w:rFonts w:hint="default" w:ascii="方正书宋_GBK" w:hAnsi="方正书宋_GBK" w:eastAsia="方正书宋_GBK" w:cs="方正书宋_GBK"/>
          <w:b w:val="0"/>
          <w:bCs w:val="0"/>
          <w:color w:val="auto"/>
          <w:sz w:val="20"/>
          <w:szCs w:val="20"/>
        </w:rPr>
        <w:t>发生频率较高的为★★★，发生频率一般的为★★，发生频率较少的为★。</w:t>
      </w:r>
    </w:p>
    <w:p w14:paraId="577EFAE5">
      <w:pPr>
        <w:rPr>
          <w:rFonts w:hint="eastAsia"/>
          <w:lang w:val="en-US" w:eastAsia="zh-CN"/>
        </w:rPr>
      </w:pPr>
      <w:r>
        <w:rPr>
          <w:rFonts w:hint="eastAsia"/>
          <w:lang w:val="en-US" w:eastAsia="zh-CN"/>
        </w:rPr>
        <w:t>食品生产行为（共4项）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346"/>
        <w:gridCol w:w="1187"/>
        <w:gridCol w:w="2392"/>
        <w:gridCol w:w="1624"/>
      </w:tblGrid>
      <w:tr w14:paraId="67CE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D7609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51B2353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4205629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346" w:type="dxa"/>
            <w:noWrap w:val="0"/>
            <w:vAlign w:val="center"/>
          </w:tcPr>
          <w:p w14:paraId="75FB40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87" w:type="dxa"/>
            <w:noWrap w:val="0"/>
            <w:vAlign w:val="center"/>
          </w:tcPr>
          <w:p w14:paraId="0968DC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392" w:type="dxa"/>
            <w:noWrap w:val="0"/>
            <w:vAlign w:val="center"/>
          </w:tcPr>
          <w:p w14:paraId="4A6459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6EEA472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022F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C5F77AC">
            <w:pPr>
              <w:keepNext w:val="0"/>
              <w:keepLines w:val="0"/>
              <w:pageBreakBefore w:val="0"/>
              <w:wordWrap/>
              <w:overflowPunct/>
              <w:bidi w:val="0"/>
              <w:adjustRightInd w:val="0"/>
              <w:snapToGrid w:val="0"/>
              <w:spacing w:line="300" w:lineRule="exact"/>
              <w:ind w:left="0" w:lef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仿宋_GB2312" w:hAnsi="仿宋_GB2312" w:eastAsia="仿宋_GB2312" w:cs="仿宋_GB2312"/>
                <w:sz w:val="21"/>
                <w:szCs w:val="21"/>
              </w:rPr>
              <w:t>1</w:t>
            </w:r>
          </w:p>
        </w:tc>
        <w:tc>
          <w:tcPr>
            <w:tcW w:w="1542" w:type="dxa"/>
            <w:noWrap w:val="0"/>
            <w:vAlign w:val="center"/>
          </w:tcPr>
          <w:p w14:paraId="79F4C72D">
            <w:pPr>
              <w:keepNext w:val="0"/>
              <w:keepLines w:val="0"/>
              <w:pageBreakBefore w:val="0"/>
              <w:widowControl/>
              <w:kinsoku w:val="0"/>
              <w:wordWrap/>
              <w:overflowPunct/>
              <w:topLinePunct w:val="0"/>
              <w:autoSpaceDE w:val="0"/>
              <w:autoSpaceDN w:val="0"/>
              <w:bidi w:val="0"/>
              <w:adjustRightInd w:val="0"/>
              <w:snapToGrid w:val="0"/>
              <w:spacing w:line="240" w:lineRule="exact"/>
              <w:ind w:left="0" w:leftChars="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食品生产企业应当配备食品安全管理人员，加强对其培训和考核。经考核不具备食品安全管理能力的，不得上岗。</w:t>
            </w:r>
          </w:p>
        </w:tc>
        <w:tc>
          <w:tcPr>
            <w:tcW w:w="2251" w:type="dxa"/>
            <w:noWrap w:val="0"/>
            <w:vAlign w:val="center"/>
          </w:tcPr>
          <w:p w14:paraId="43419825">
            <w:pPr>
              <w:keepNext w:val="0"/>
              <w:keepLines w:val="0"/>
              <w:pageBreakBefore w:val="0"/>
              <w:widowControl/>
              <w:kinsoku w:val="0"/>
              <w:wordWrap/>
              <w:overflowPunct/>
              <w:topLinePunct w:val="0"/>
              <w:autoSpaceDE w:val="0"/>
              <w:autoSpaceDN w:val="0"/>
              <w:bidi w:val="0"/>
              <w:adjustRightInd w:val="0"/>
              <w:snapToGrid w:val="0"/>
              <w:spacing w:line="240" w:lineRule="exact"/>
              <w:ind w:left="0" w:leftChars="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食品生产企业没有配备食品安全管理人员。</w:t>
            </w:r>
          </w:p>
        </w:tc>
        <w:tc>
          <w:tcPr>
            <w:tcW w:w="3346" w:type="dxa"/>
            <w:noWrap w:val="0"/>
            <w:vAlign w:val="center"/>
          </w:tcPr>
          <w:p w14:paraId="3D73185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08B7907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第四十四条第三款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企业应当配备食品安全管理人员，加强对其培训和考核。经考核不具备食品安全管理能力的，不得上岗。食品安全监督管理部门应当对企业食品安全管理人员随机进行监督抽查考核并公布考核情况。监督抽查考核不得收取费用。</w:t>
            </w:r>
          </w:p>
          <w:p w14:paraId="066BFA4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453393C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第一百二十六条第一款第二项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责令改正，给予警告；拒不改正的，处五千元以上五万元以下罚款；情节严重的，责令停产停业，直至吊销许可证：（二）食品生产经营企业未按规定建立食品安全管理制度，或者未按规定配备或者培训、考核食品安全管理人员。</w:t>
            </w:r>
          </w:p>
        </w:tc>
        <w:tc>
          <w:tcPr>
            <w:tcW w:w="1187" w:type="dxa"/>
            <w:noWrap w:val="0"/>
            <w:vAlign w:val="center"/>
          </w:tcPr>
          <w:p w14:paraId="70EFFF5B">
            <w:pPr>
              <w:keepNext w:val="0"/>
              <w:keepLines w:val="0"/>
              <w:pageBreakBefore w:val="0"/>
              <w:wordWrap/>
              <w:overflowPunct/>
              <w:bidi w:val="0"/>
              <w:adjustRightInd w:val="0"/>
              <w:snapToGrid w:val="0"/>
              <w:spacing w:line="300" w:lineRule="exact"/>
              <w:ind w:left="0" w:leftChars="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01F22321">
            <w:pPr>
              <w:keepNext w:val="0"/>
              <w:keepLines w:val="0"/>
              <w:pageBreakBefore w:val="0"/>
              <w:widowControl w:val="0"/>
              <w:kinsoku/>
              <w:wordWrap/>
              <w:overflowPunct/>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食品生产企业应当配备食品安全管理人员，并对其培训和考核，考核合格后上岗。</w:t>
            </w:r>
          </w:p>
        </w:tc>
        <w:tc>
          <w:tcPr>
            <w:tcW w:w="1624" w:type="dxa"/>
            <w:noWrap w:val="0"/>
            <w:vAlign w:val="center"/>
          </w:tcPr>
          <w:p w14:paraId="4ED46B36">
            <w:pPr>
              <w:keepNext w:val="0"/>
              <w:keepLines w:val="0"/>
              <w:pageBreakBefore w:val="0"/>
              <w:widowControl w:val="0"/>
              <w:kinsoku/>
              <w:wordWrap/>
              <w:overflowPunct/>
              <w:autoSpaceDE/>
              <w:autoSpaceDN/>
              <w:bidi w:val="0"/>
              <w:adjustRightInd w:val="0"/>
              <w:snapToGrid w:val="0"/>
              <w:spacing w:line="240" w:lineRule="exact"/>
              <w:ind w:left="0" w:leftChars="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10954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E0B8F39">
            <w:pPr>
              <w:keepNext w:val="0"/>
              <w:keepLines w:val="0"/>
              <w:pageBreakBefore w:val="0"/>
              <w:widowControl/>
              <w:kinsoku w:val="0"/>
              <w:wordWrap/>
              <w:overflowPunct/>
              <w:topLinePunct w:val="0"/>
              <w:autoSpaceDE w:val="0"/>
              <w:autoSpaceDN w:val="0"/>
              <w:bidi w:val="0"/>
              <w:adjustRightInd w:val="0"/>
              <w:snapToGrid w:val="0"/>
              <w:spacing w:line="30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w:t>
            </w:r>
          </w:p>
        </w:tc>
        <w:tc>
          <w:tcPr>
            <w:tcW w:w="1542" w:type="dxa"/>
            <w:noWrap w:val="0"/>
            <w:vAlign w:val="center"/>
          </w:tcPr>
          <w:p w14:paraId="185FF85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食品生产者应当建立食品安全自查制度。</w:t>
            </w:r>
          </w:p>
        </w:tc>
        <w:tc>
          <w:tcPr>
            <w:tcW w:w="2251" w:type="dxa"/>
            <w:noWrap w:val="0"/>
            <w:vAlign w:val="center"/>
          </w:tcPr>
          <w:p w14:paraId="520E470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食品生产经营者未建立食品安全自查制度，未定期对食品安全状况进行检查评价，或经营条件发生变化未按规定处理。</w:t>
            </w:r>
          </w:p>
        </w:tc>
        <w:tc>
          <w:tcPr>
            <w:tcW w:w="3346" w:type="dxa"/>
            <w:noWrap w:val="0"/>
            <w:vAlign w:val="center"/>
          </w:tcPr>
          <w:p w14:paraId="798375A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70F3A1D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第四十七条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者应当建立食品安全自查制度，定期对食品安全状况进行检查评价。生产经营条件发生变化，不再符合食品安全要求的，食品生产经营者应当立即采取整改措施；有发生食品安全事故潜在风险的，应当立即停止食品生产经营活动，并向所在地县级人民政府食品安全监督管理部门报告。</w:t>
            </w:r>
          </w:p>
          <w:p w14:paraId="71CA325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第一百二十六条第一款第十一项</w:t>
            </w:r>
          </w:p>
          <w:p w14:paraId="53E789F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责令改正，给予警告；拒不改正的，处五千元以上五万元以下罚款；情节严重的，责令停产停业，直至吊销许可证：（十一）食品生产经营者未定期对食品安全状况进行检查评价，或者生产经营条件发生变化，未按规定处理。</w:t>
            </w:r>
          </w:p>
        </w:tc>
        <w:tc>
          <w:tcPr>
            <w:tcW w:w="1187" w:type="dxa"/>
            <w:noWrap w:val="0"/>
            <w:vAlign w:val="center"/>
          </w:tcPr>
          <w:p w14:paraId="0428BB31">
            <w:pPr>
              <w:keepNext w:val="0"/>
              <w:keepLines w:val="0"/>
              <w:pageBreakBefore w:val="0"/>
              <w:widowControl/>
              <w:kinsoku w:val="0"/>
              <w:wordWrap/>
              <w:overflowPunct/>
              <w:topLinePunct w:val="0"/>
              <w:autoSpaceDE w:val="0"/>
              <w:autoSpaceDN w:val="0"/>
              <w:bidi w:val="0"/>
              <w:adjustRightInd w:val="0"/>
              <w:snapToGrid w:val="0"/>
              <w:spacing w:line="240" w:lineRule="exact"/>
              <w:ind w:firstLine="404" w:firstLineChars="2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658FE65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1.应当建立食品安全自查制度，明确自查的内容、人员、方式、频次、记录方式、整改要求等。</w:t>
            </w:r>
          </w:p>
          <w:p w14:paraId="28E0E95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2.对自查（检查）发现的问题，逐项分析原因并立即进行整改。</w:t>
            </w:r>
          </w:p>
          <w:p w14:paraId="1762530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3.有发生食品安全事故潜在风险的，应当立即停止食品经营活动，并向所在地县级人民政府市场监督管理部门报告。</w:t>
            </w:r>
          </w:p>
        </w:tc>
        <w:tc>
          <w:tcPr>
            <w:tcW w:w="1624" w:type="dxa"/>
            <w:noWrap w:val="0"/>
            <w:vAlign w:val="center"/>
          </w:tcPr>
          <w:p w14:paraId="31DE60E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7BAB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72E6C49">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w:t>
            </w:r>
          </w:p>
        </w:tc>
        <w:tc>
          <w:tcPr>
            <w:tcW w:w="1542" w:type="dxa"/>
            <w:noWrap w:val="0"/>
            <w:vAlign w:val="center"/>
          </w:tcPr>
          <w:p w14:paraId="2F98D9F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生产的食品中不得添加药品，但是可以添加按照传统既是食品又是中药材的物质。</w:t>
            </w:r>
          </w:p>
        </w:tc>
        <w:tc>
          <w:tcPr>
            <w:tcW w:w="2251" w:type="dxa"/>
            <w:noWrap w:val="0"/>
            <w:vAlign w:val="center"/>
          </w:tcPr>
          <w:p w14:paraId="252DDFE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生产违法添加药品的食品。</w:t>
            </w:r>
          </w:p>
        </w:tc>
        <w:tc>
          <w:tcPr>
            <w:tcW w:w="3346" w:type="dxa"/>
            <w:noWrap w:val="0"/>
            <w:vAlign w:val="center"/>
          </w:tcPr>
          <w:p w14:paraId="2FA838A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1373CED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第三十八条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生产经营的食品中不得添加药品，但是可以添加按照传统既是食品又是中药材的物质。按照传统既是食品又是中药材的物质目录由国务院卫生行政部门会同国务院食品安全监督管理部门制定、公布。</w:t>
            </w:r>
          </w:p>
          <w:p w14:paraId="4E8EACE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第一百二十三条第一款第六项</w:t>
            </w:r>
          </w:p>
          <w:p w14:paraId="7B8C68C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六）生产经营添加药品的食品。</w:t>
            </w:r>
          </w:p>
        </w:tc>
        <w:tc>
          <w:tcPr>
            <w:tcW w:w="1187" w:type="dxa"/>
            <w:noWrap w:val="0"/>
            <w:vAlign w:val="center"/>
          </w:tcPr>
          <w:p w14:paraId="0B16B187">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067C851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食药同源的目录对食品进行甄别，不得对食品的药用性进行宣传。</w:t>
            </w:r>
          </w:p>
        </w:tc>
        <w:tc>
          <w:tcPr>
            <w:tcW w:w="1624" w:type="dxa"/>
            <w:noWrap w:val="0"/>
            <w:vAlign w:val="center"/>
          </w:tcPr>
          <w:p w14:paraId="6C023CF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2400A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D2CA7F3">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w:t>
            </w:r>
          </w:p>
        </w:tc>
        <w:tc>
          <w:tcPr>
            <w:tcW w:w="1542" w:type="dxa"/>
            <w:noWrap w:val="0"/>
            <w:vAlign w:val="center"/>
          </w:tcPr>
          <w:p w14:paraId="49A6E38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特殊食品生产经营单位应当生产经营依法注册或者备案的特殊食品</w:t>
            </w:r>
          </w:p>
        </w:tc>
        <w:tc>
          <w:tcPr>
            <w:tcW w:w="2251" w:type="dxa"/>
            <w:noWrap w:val="0"/>
            <w:vAlign w:val="center"/>
          </w:tcPr>
          <w:p w14:paraId="66D8AE4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1.特殊食品生产企业未按照注册或者备案的配方工艺组织生产特殊食品；</w:t>
            </w:r>
          </w:p>
          <w:p w14:paraId="4931839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2.特殊食品经营单位未严格履行进货查验职责，销售的特殊食品的标签、说明书内容与注册或者备案的标签、说明书不一致。</w:t>
            </w:r>
          </w:p>
        </w:tc>
        <w:tc>
          <w:tcPr>
            <w:tcW w:w="3346" w:type="dxa"/>
            <w:noWrap w:val="0"/>
            <w:vAlign w:val="center"/>
          </w:tcPr>
          <w:p w14:paraId="5E5196F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08A3814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第一百二十四条第一款第六项</w:t>
            </w:r>
          </w:p>
          <w:p w14:paraId="7CC92FB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4C90DED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（六）生产经营未按规定注册的保健食品、特殊医学用途配方食品、婴幼儿配方乳粉，或者未按注册的产品配方、生产工艺等技术要求组织生产。</w:t>
            </w:r>
          </w:p>
          <w:p w14:paraId="28C51DD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第一百二十六条第一款第八项、第九项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责令改正，给予警告；拒不改正的，处五千元以上五万元以下罚款；情节严重的，责令停产停业，直至吊销许可证：（八）保健食品生产企业未按规定向食品安全监督管理部门备案，或者未按备案的产品配方、生产工艺等技术要求组织生产；（九）婴幼儿配方食品生产企业未将食品原料、食品添加剂、产品配方、标签等向食品安全监督管理部门备案。</w:t>
            </w:r>
          </w:p>
          <w:p w14:paraId="270ADB4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《中华人民共和国食品安全法实施条例》</w:t>
            </w:r>
          </w:p>
          <w:p w14:paraId="1E8C0A4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第六十八条第四项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有下列情形之一的，依照食品安全法第一百二十五条第一款、本条例第七十五条的规定给予处罚：（四）生产经营的特殊食品的标签、说明书内容与注册或者备案的标签、说明书不一致。</w:t>
            </w:r>
          </w:p>
          <w:p w14:paraId="2A14210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29D5CA1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93E619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490EFEE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173116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45B67C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133197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87" w:type="dxa"/>
            <w:noWrap w:val="0"/>
            <w:vAlign w:val="center"/>
          </w:tcPr>
          <w:p w14:paraId="3080F4C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8BAF87D">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5B7DBE8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1.特殊食品生产企业应按照注册或者备案的配方和生产工艺组织生产特殊食品。</w:t>
            </w:r>
          </w:p>
          <w:p w14:paraId="17FCDFE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2.特殊食品经营单位应当建立并执行进货查验制度，认真核对供货商提供的特殊食品注册批文或者备案凭证。</w:t>
            </w:r>
          </w:p>
        </w:tc>
        <w:tc>
          <w:tcPr>
            <w:tcW w:w="1624" w:type="dxa"/>
            <w:noWrap w:val="0"/>
            <w:vAlign w:val="center"/>
          </w:tcPr>
          <w:p w14:paraId="565F5C9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bl>
    <w:p w14:paraId="19605B3A">
      <w:pPr>
        <w:rPr>
          <w:rFonts w:hint="eastAsia"/>
          <w:lang w:val="en-US" w:eastAsia="zh-CN"/>
        </w:rPr>
      </w:pPr>
      <w:r>
        <w:rPr>
          <w:rFonts w:hint="eastAsia"/>
          <w:lang w:val="en-US" w:eastAsia="zh-CN"/>
        </w:rPr>
        <w:t>食品流通行为（共17项）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346"/>
        <w:gridCol w:w="1187"/>
        <w:gridCol w:w="2392"/>
        <w:gridCol w:w="1624"/>
      </w:tblGrid>
      <w:tr w14:paraId="0FCB3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1D2860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eastAsia"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62B759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187E86C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346" w:type="dxa"/>
            <w:noWrap w:val="0"/>
            <w:vAlign w:val="center"/>
          </w:tcPr>
          <w:p w14:paraId="0D421CC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87" w:type="dxa"/>
            <w:noWrap w:val="0"/>
            <w:vAlign w:val="center"/>
          </w:tcPr>
          <w:p w14:paraId="6791E29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392" w:type="dxa"/>
            <w:noWrap w:val="0"/>
            <w:vAlign w:val="center"/>
          </w:tcPr>
          <w:p w14:paraId="6C7249B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2BC0EF1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BMHBIL+SimSun" w:hAnsi="BMHBIL+SimSun" w:cs="BMHBIL+SimSun"/>
                <w:color w:val="000000"/>
                <w:spacing w:val="1"/>
                <w:sz w:val="20"/>
                <w:szCs w:val="20"/>
                <w:highlight w:val="no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285BB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33954CF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93C7FE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23B0B8DC">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4F2E7525">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3E51F62">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889DDF8">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6F943885">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64DB3A1">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795F084">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31A6B28">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42AD0973">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38F3560C">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60E72E60">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6CFD9B8C">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416CDC8">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w:t>
            </w:r>
          </w:p>
        </w:tc>
        <w:tc>
          <w:tcPr>
            <w:tcW w:w="1542" w:type="dxa"/>
            <w:noWrap w:val="0"/>
            <w:vAlign w:val="center"/>
          </w:tcPr>
          <w:p w14:paraId="64C8C2D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不得经营用非食品原料生产的食品或者添加食品添加剂以外的化学物质和其他可能危害人体健康物质的食品，或者用回收食品作为原料生产的食品</w:t>
            </w:r>
          </w:p>
        </w:tc>
        <w:tc>
          <w:tcPr>
            <w:tcW w:w="2251" w:type="dxa"/>
            <w:noWrap w:val="0"/>
            <w:vAlign w:val="center"/>
          </w:tcPr>
          <w:p w14:paraId="68ACBF46">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1.经营用非食品原料生产的食品；</w:t>
            </w:r>
          </w:p>
          <w:p w14:paraId="06E8F4DD">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2.经营添加食品添加剂以外的化学物质的食品</w:t>
            </w:r>
          </w:p>
          <w:p w14:paraId="2779DE26">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3.经营添加其他可能危害人体健康物质的食品</w:t>
            </w:r>
          </w:p>
          <w:p w14:paraId="6102B5A1">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4.经营用回收食品作为原料生产的食品。</w:t>
            </w:r>
          </w:p>
        </w:tc>
        <w:tc>
          <w:tcPr>
            <w:tcW w:w="3346" w:type="dxa"/>
            <w:noWrap w:val="0"/>
            <w:vAlign w:val="center"/>
          </w:tcPr>
          <w:p w14:paraId="42B7CA0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002B8C0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第三十四条第一项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禁止生产经营下列食品、食品添加剂、食品相关产品：（一）用非食品原料生产的食品或者添加食品添加剂以外的化学物质和其他可能危害人体健康物质的食品，或者用回收食品作为原料生产的食品。</w:t>
            </w:r>
          </w:p>
          <w:p w14:paraId="15EA457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第一百二十三条第一款第一项</w:t>
            </w:r>
          </w:p>
          <w:p w14:paraId="1887C26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一）用非食品原料生产食品、在食品中添加食品添加剂以外的化学物质和其他可能危害人体健康的物质，或者用回收食品作为原料生产食品，或者经营上述食品。</w:t>
            </w:r>
          </w:p>
        </w:tc>
        <w:tc>
          <w:tcPr>
            <w:tcW w:w="1187" w:type="dxa"/>
            <w:noWrap w:val="0"/>
            <w:vAlign w:val="center"/>
          </w:tcPr>
          <w:p w14:paraId="6BB2482D">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0E46F66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食品经营者应严格履行进货查验义务，重点查验供货者的资质及食品相关合格证明。</w:t>
            </w:r>
          </w:p>
        </w:tc>
        <w:tc>
          <w:tcPr>
            <w:tcW w:w="1624" w:type="dxa"/>
            <w:noWrap w:val="0"/>
            <w:vAlign w:val="center"/>
          </w:tcPr>
          <w:p w14:paraId="40C26BA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13B81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D1E9924">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w:t>
            </w:r>
          </w:p>
        </w:tc>
        <w:tc>
          <w:tcPr>
            <w:tcW w:w="1542" w:type="dxa"/>
            <w:noWrap w:val="0"/>
            <w:vAlign w:val="center"/>
          </w:tcPr>
          <w:p w14:paraId="1E2E1BB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不得经营病死、毒死或者死因不明的禽、畜、兽、水产动物肉类及其制品，以及未按规定进行检疫或者检疫不合格的肉类，或者未经检验或者检验不合格的肉类制品</w:t>
            </w:r>
          </w:p>
        </w:tc>
        <w:tc>
          <w:tcPr>
            <w:tcW w:w="2251" w:type="dxa"/>
            <w:noWrap w:val="0"/>
            <w:vAlign w:val="center"/>
          </w:tcPr>
          <w:p w14:paraId="45E1187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经营病死、毒死或者死因不明的禽、畜、兽、水产动物肉类及其制品，以及未按规定进行检疫或者检疫不合格的肉类，或者未经检验或者检验不合格的肉类制品。</w:t>
            </w:r>
          </w:p>
        </w:tc>
        <w:tc>
          <w:tcPr>
            <w:tcW w:w="3346" w:type="dxa"/>
            <w:noWrap w:val="0"/>
            <w:vAlign w:val="center"/>
          </w:tcPr>
          <w:p w14:paraId="2C6F81B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3785650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第三十四条第七项、</w:t>
            </w:r>
            <w:r>
              <w:rPr>
                <w:rFonts w:hint="eastAsia" w:ascii="BMHBIL+SimSun" w:hAnsi="BMHBIL+SimSun" w:cs="BMHBIL+SimSun" w:eastAsiaTheme="minorEastAsia"/>
                <w:color w:val="000000"/>
                <w:spacing w:val="1"/>
                <w:kern w:val="2"/>
                <w:sz w:val="20"/>
                <w:szCs w:val="20"/>
                <w:highlight w:val="none"/>
                <w:lang w:val="en-US" w:eastAsia="zh-CN" w:bidi="ar-SA"/>
              </w:rPr>
              <w:t>第八项</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七）病死、毒死或者死因不明的禽、畜、兽、水产动物肉类及其制品。（八）未按规定进行检疫或者检疫不合格的肉类，或者未经检验或者检验不合格的肉类制品。</w:t>
            </w:r>
          </w:p>
          <w:p w14:paraId="4E7A7F1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第一百二十三条第一款第三项</w:t>
            </w:r>
          </w:p>
          <w:p w14:paraId="449C8D5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14:paraId="5EF919F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（三）经营病死、毒死或者死因不明的禽、畜、兽、水产动物肉类，或者生产经营其制品。（四）经营未按规定进行检疫或者检疫不合格的肉类，或者生产经营未经检验或者检验不合格的肉类制品。</w:t>
            </w:r>
          </w:p>
        </w:tc>
        <w:tc>
          <w:tcPr>
            <w:tcW w:w="1187" w:type="dxa"/>
            <w:noWrap w:val="0"/>
            <w:vAlign w:val="center"/>
          </w:tcPr>
          <w:p w14:paraId="145C1EF9">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3DC342E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当履行索证索票义务，查验禽畜肉类及其制品的检验检疫证明、检验合格证明等，确保所经营的肉类检疫合格、肉类制品检验合格。其中，猪肉应有动物检疫合格证明、肉品品质合格证明和非洲猪瘟病毒检验报告。</w:t>
            </w:r>
          </w:p>
        </w:tc>
        <w:tc>
          <w:tcPr>
            <w:tcW w:w="1624" w:type="dxa"/>
            <w:noWrap w:val="0"/>
            <w:vAlign w:val="center"/>
          </w:tcPr>
          <w:p w14:paraId="3C82FE8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p w14:paraId="7973534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餐饮服务监督管理科（属于食用农产品的）：87620662</w:t>
            </w:r>
          </w:p>
        </w:tc>
      </w:tr>
      <w:tr w14:paraId="6E99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556E04E">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w:t>
            </w:r>
          </w:p>
        </w:tc>
        <w:tc>
          <w:tcPr>
            <w:tcW w:w="1542" w:type="dxa"/>
            <w:noWrap w:val="0"/>
            <w:vAlign w:val="center"/>
          </w:tcPr>
          <w:p w14:paraId="3796113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不得经营国家为防病等特殊需要明令禁止生产经营的食品</w:t>
            </w:r>
          </w:p>
        </w:tc>
        <w:tc>
          <w:tcPr>
            <w:tcW w:w="2251" w:type="dxa"/>
            <w:noWrap w:val="0"/>
            <w:vAlign w:val="center"/>
          </w:tcPr>
          <w:p w14:paraId="6EAE6CD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经营国家为防病等特殊需要明令禁止生产经营的食品。</w:t>
            </w:r>
          </w:p>
        </w:tc>
        <w:tc>
          <w:tcPr>
            <w:tcW w:w="3346" w:type="dxa"/>
            <w:noWrap w:val="0"/>
            <w:vAlign w:val="center"/>
          </w:tcPr>
          <w:p w14:paraId="2B04340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41E5E20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第三十四条第十二项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禁止生产经营下列食品、食品添加剂、食品相关产品：（十二）国家为防病等特殊需要明令禁止生产经营的食品；</w:t>
            </w:r>
          </w:p>
          <w:p w14:paraId="1F3AB43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第一百二十三条第一款第五项</w:t>
            </w:r>
          </w:p>
          <w:p w14:paraId="18347AE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五）生产经营国家为防病等特殊需要明令禁止生产经营的食品。</w:t>
            </w:r>
          </w:p>
        </w:tc>
        <w:tc>
          <w:tcPr>
            <w:tcW w:w="1187" w:type="dxa"/>
            <w:noWrap w:val="0"/>
            <w:vAlign w:val="center"/>
          </w:tcPr>
          <w:p w14:paraId="72539934">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4F8A1A4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食品经营者不得经营国家为防病等特殊需要明令禁止生产经营的食品。</w:t>
            </w:r>
          </w:p>
        </w:tc>
        <w:tc>
          <w:tcPr>
            <w:tcW w:w="1624" w:type="dxa"/>
            <w:noWrap w:val="0"/>
            <w:vAlign w:val="center"/>
          </w:tcPr>
          <w:p w14:paraId="61BADA7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5FC79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6DAADD6">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w:t>
            </w:r>
          </w:p>
        </w:tc>
        <w:tc>
          <w:tcPr>
            <w:tcW w:w="1542" w:type="dxa"/>
            <w:noWrap w:val="0"/>
            <w:vAlign w:val="center"/>
          </w:tcPr>
          <w:p w14:paraId="296F712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不得经营添加了药品的食品（添加按照传统既是食品又是中药材物质的食品除外）</w:t>
            </w:r>
          </w:p>
        </w:tc>
        <w:tc>
          <w:tcPr>
            <w:tcW w:w="2251" w:type="dxa"/>
            <w:noWrap w:val="0"/>
            <w:vAlign w:val="center"/>
          </w:tcPr>
          <w:p w14:paraId="75560ED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经营违法添加药品的食品。</w:t>
            </w:r>
          </w:p>
        </w:tc>
        <w:tc>
          <w:tcPr>
            <w:tcW w:w="3346" w:type="dxa"/>
            <w:noWrap w:val="0"/>
            <w:vAlign w:val="center"/>
          </w:tcPr>
          <w:p w14:paraId="5ABE393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61B0D03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第三十八条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生产经营的食品中不得添加药品，但是可以添加按照传统既是食品又是中药材的物质。按照传统既是食品又是中药材的物质目录由国务院卫生行政部门会同国务院食品安全监督管理部门制定、公布。</w:t>
            </w:r>
          </w:p>
          <w:p w14:paraId="6AE64AF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第一百二十三条第一款第六项</w:t>
            </w:r>
          </w:p>
          <w:p w14:paraId="04B19C8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六）生产经营添加药品的食品。</w:t>
            </w:r>
          </w:p>
        </w:tc>
        <w:tc>
          <w:tcPr>
            <w:tcW w:w="1187" w:type="dxa"/>
            <w:noWrap w:val="0"/>
            <w:vAlign w:val="center"/>
          </w:tcPr>
          <w:p w14:paraId="0FF77FD6">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5805E55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不得经营添加了药品的食品，对于宣称有减肥瘦身美容等功效的食品，要特别注意索票索证；可根据国家卫健委历年公布的食药同源目录（清单），甄别添加按照传统既是食品又是中药材物质的食品，但不得对该食品的药用性进行宣传。</w:t>
            </w:r>
          </w:p>
        </w:tc>
        <w:tc>
          <w:tcPr>
            <w:tcW w:w="1624" w:type="dxa"/>
            <w:noWrap w:val="0"/>
            <w:vAlign w:val="center"/>
          </w:tcPr>
          <w:p w14:paraId="731AA77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691E3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8E6F3E3">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5</w:t>
            </w:r>
          </w:p>
        </w:tc>
        <w:tc>
          <w:tcPr>
            <w:tcW w:w="1542" w:type="dxa"/>
            <w:noWrap w:val="0"/>
            <w:vAlign w:val="center"/>
          </w:tcPr>
          <w:p w14:paraId="658BE2C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不得经营有害物质超标的食品、食品添加剂、食品相关产品</w:t>
            </w:r>
          </w:p>
        </w:tc>
        <w:tc>
          <w:tcPr>
            <w:tcW w:w="2251" w:type="dxa"/>
            <w:noWrap w:val="0"/>
            <w:vAlign w:val="center"/>
          </w:tcPr>
          <w:p w14:paraId="4268E45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经营的食品经过抽检致病性微生物，农药残留、兽药残留、生物毒素、重金属等污染物质及其他危害人体健康物质含量超过食品安全标准限量。</w:t>
            </w:r>
          </w:p>
        </w:tc>
        <w:tc>
          <w:tcPr>
            <w:tcW w:w="3346" w:type="dxa"/>
            <w:noWrap w:val="0"/>
            <w:vAlign w:val="center"/>
          </w:tcPr>
          <w:p w14:paraId="0AC96B4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37D23BD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第三十四条第二项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二）致病性微生物，农药残留、兽药残留、生物毒素、重金属等污染物质以及其他危害人体健康的物质含量超过食品安全标准限量的食品、食品添加剂、食品相关产品。</w:t>
            </w:r>
          </w:p>
          <w:p w14:paraId="3087E26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第一百二十四条第一款第一项</w:t>
            </w:r>
          </w:p>
          <w:p w14:paraId="035E5EE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w:t>
            </w:r>
          </w:p>
        </w:tc>
        <w:tc>
          <w:tcPr>
            <w:tcW w:w="1187" w:type="dxa"/>
            <w:noWrap w:val="0"/>
            <w:vAlign w:val="center"/>
          </w:tcPr>
          <w:p w14:paraId="0613A270">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23292D46">
            <w:pPr>
              <w:keepNext w:val="0"/>
              <w:keepLines w:val="0"/>
              <w:pageBreakBefore w:val="0"/>
              <w:widowControl/>
              <w:kinsoku w:val="0"/>
              <w:wordWrap/>
              <w:overflowPunct/>
              <w:topLinePunct w:val="0"/>
              <w:autoSpaceDE w:val="0"/>
              <w:autoSpaceDN w:val="0"/>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食品经营者应严格履行进货查验义务，重点查验供货者的资质及食品相关合格证明。严格落实全过程食品安全管理，采取有效措施，避免交叉污染。</w:t>
            </w:r>
          </w:p>
        </w:tc>
        <w:tc>
          <w:tcPr>
            <w:tcW w:w="1624" w:type="dxa"/>
            <w:noWrap w:val="0"/>
            <w:vAlign w:val="center"/>
          </w:tcPr>
          <w:p w14:paraId="71329F6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p w14:paraId="045ABC9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餐饮服务监督管理科（属于食用农产品的）：87620662</w:t>
            </w:r>
          </w:p>
        </w:tc>
      </w:tr>
      <w:tr w14:paraId="4115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66D8166">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6</w:t>
            </w:r>
          </w:p>
        </w:tc>
        <w:tc>
          <w:tcPr>
            <w:tcW w:w="1542" w:type="dxa"/>
            <w:noWrap w:val="0"/>
            <w:vAlign w:val="center"/>
          </w:tcPr>
          <w:p w14:paraId="2D7A4C4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不得经营超范围、超限量使用食品添加剂的食品</w:t>
            </w:r>
          </w:p>
        </w:tc>
        <w:tc>
          <w:tcPr>
            <w:tcW w:w="2251" w:type="dxa"/>
            <w:noWrap w:val="0"/>
            <w:vAlign w:val="center"/>
          </w:tcPr>
          <w:p w14:paraId="5210B5D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1.经营超范围使用食品添加剂的食品；</w:t>
            </w:r>
          </w:p>
          <w:p w14:paraId="10E118A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2.经营超限量使用食品添加剂的食品。</w:t>
            </w:r>
          </w:p>
        </w:tc>
        <w:tc>
          <w:tcPr>
            <w:tcW w:w="3346" w:type="dxa"/>
            <w:noWrap w:val="0"/>
            <w:vAlign w:val="center"/>
          </w:tcPr>
          <w:p w14:paraId="2651510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91114B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1E2348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6521121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第三十四条第四项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禁止生产经营下列食品、食品添加剂、食品相关产品：（四）超范围、超限量使用食品添加剂的食品。</w:t>
            </w:r>
          </w:p>
          <w:p w14:paraId="2B16476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第一百二十四条第一款第三项</w:t>
            </w:r>
          </w:p>
          <w:p w14:paraId="247FF74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三）生产经营超范围、超限量使用食品添加剂的食品。</w:t>
            </w:r>
          </w:p>
          <w:p w14:paraId="3F41E6E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07B570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87" w:type="dxa"/>
            <w:noWrap w:val="0"/>
            <w:vAlign w:val="center"/>
          </w:tcPr>
          <w:p w14:paraId="7936F765">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22E54FA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食品经营者应严格履行进货查验义务，重点查验供货者的资质及食品相关合格证明。</w:t>
            </w:r>
          </w:p>
        </w:tc>
        <w:tc>
          <w:tcPr>
            <w:tcW w:w="1624" w:type="dxa"/>
            <w:noWrap w:val="0"/>
            <w:vAlign w:val="center"/>
          </w:tcPr>
          <w:p w14:paraId="7ED6AE4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0C6CE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56D4C5E">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7</w:t>
            </w:r>
          </w:p>
        </w:tc>
        <w:tc>
          <w:tcPr>
            <w:tcW w:w="1542" w:type="dxa"/>
            <w:noWrap w:val="0"/>
            <w:vAlign w:val="center"/>
          </w:tcPr>
          <w:p w14:paraId="0F3A4A1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不得经营腐败变质、油脂酸败、霉变生虫、污秽不洁、混有异物、掺假掺杂或者感官性状异常的食品、食品添加剂。</w:t>
            </w:r>
          </w:p>
        </w:tc>
        <w:tc>
          <w:tcPr>
            <w:tcW w:w="2251" w:type="dxa"/>
            <w:noWrap w:val="0"/>
            <w:vAlign w:val="center"/>
          </w:tcPr>
          <w:p w14:paraId="75C3FB6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经营腐败变质、油脂酸败、霉变生虫、污秽不洁、混有异物、掺假掺杂或者感官性状异常的食品、食品添加剂。</w:t>
            </w:r>
          </w:p>
        </w:tc>
        <w:tc>
          <w:tcPr>
            <w:tcW w:w="3346" w:type="dxa"/>
            <w:noWrap w:val="0"/>
            <w:vAlign w:val="center"/>
          </w:tcPr>
          <w:p w14:paraId="7DC9E12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6B41F3A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第三十四条第六项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禁止生产经营下列食品、食品添加剂、食品相关产品：（六）腐败变质、油脂酸败、霉变生虫、污秽不洁、混有异物、掺假掺杂或者感官性状异常的食品、食品添加剂。</w:t>
            </w:r>
          </w:p>
          <w:p w14:paraId="66E572F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第一百二十四条第一款第四项</w:t>
            </w:r>
          </w:p>
          <w:p w14:paraId="0952E6C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四）生产经营腐败变质、油脂酸败、霉变生虫、污秽不洁、混有异物、掺假掺杂或者感官性状异常的食品、食品添加剂。</w:t>
            </w:r>
          </w:p>
        </w:tc>
        <w:tc>
          <w:tcPr>
            <w:tcW w:w="1187" w:type="dxa"/>
            <w:noWrap w:val="0"/>
            <w:vAlign w:val="center"/>
          </w:tcPr>
          <w:p w14:paraId="61BCB3DD">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3D5328D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当加强进货查验，及时发现和退回腐败变质、油脂酸败、霉变生虫、污秽不洁、混有异物、掺假掺杂或者感官性状异常的产品；严格按照食品贮存条件贮存食品，定期检查库存食品、食品添加剂，及时清理下架变质、油脂酸败、霉变生虫、污秽不洁、混有异物或感官性状异常的商品。</w:t>
            </w:r>
          </w:p>
        </w:tc>
        <w:tc>
          <w:tcPr>
            <w:tcW w:w="1624" w:type="dxa"/>
            <w:noWrap w:val="0"/>
            <w:vAlign w:val="center"/>
          </w:tcPr>
          <w:p w14:paraId="053A670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7155C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979B003">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8</w:t>
            </w:r>
          </w:p>
        </w:tc>
        <w:tc>
          <w:tcPr>
            <w:tcW w:w="1542" w:type="dxa"/>
            <w:noWrap w:val="0"/>
            <w:vAlign w:val="center"/>
          </w:tcPr>
          <w:p w14:paraId="63F6743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应当做好变质、超过保质期或者回收的食品管理</w:t>
            </w:r>
          </w:p>
        </w:tc>
        <w:tc>
          <w:tcPr>
            <w:tcW w:w="2251" w:type="dxa"/>
            <w:noWrap w:val="0"/>
            <w:vAlign w:val="center"/>
          </w:tcPr>
          <w:p w14:paraId="28CF2E6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食品经营者未对变质、超过保质期或回收的食品进行显著标示或单独存放在有明确标志的场所，或未及时对上述食品采取无害化处理、销毁等措施并如实记录</w:t>
            </w:r>
          </w:p>
        </w:tc>
        <w:tc>
          <w:tcPr>
            <w:tcW w:w="3346" w:type="dxa"/>
            <w:noWrap w:val="0"/>
            <w:vAlign w:val="center"/>
          </w:tcPr>
          <w:p w14:paraId="6FCA199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1FF2B0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20EB64C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《中华人民共和国食品安全法实施条例》</w:t>
            </w:r>
          </w:p>
          <w:p w14:paraId="2B61335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第二十九条第一款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食品生产经营者应当对变质、超过保质期或者回收的食品进行显著标示或者单独存放在有明确标志的场所，及时采取无害化处理、销毁等措施并如实记录。</w:t>
            </w:r>
          </w:p>
          <w:p w14:paraId="316738D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第六十九条第三项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有下列情形之一的，依照食品安全法第一百二十六条第一款、本条例第七十五条的规定给予处罚：（三）食品生产经营者未按照规定对变质、超过保质期或者回收的食品进行标示或者存放，或者未及时对上述食品采取无害化处理、销毁等措施并如实记录。</w:t>
            </w:r>
          </w:p>
          <w:p w14:paraId="4741587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87" w:type="dxa"/>
            <w:noWrap w:val="0"/>
            <w:vAlign w:val="center"/>
          </w:tcPr>
          <w:p w14:paraId="5A4CC4D3">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11F8142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1.在相对固定位置划分不合格食品区并明确标志，单独存放变质、超过保质期或者回收的食品，并对食品进行显著标示。</w:t>
            </w:r>
          </w:p>
          <w:p w14:paraId="53574DB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2.应当对变质、超过保质期或者回收的食品，及时采取无害化处理、销毁等措施并如实记录。</w:t>
            </w:r>
          </w:p>
        </w:tc>
        <w:tc>
          <w:tcPr>
            <w:tcW w:w="1624" w:type="dxa"/>
            <w:noWrap w:val="0"/>
            <w:vAlign w:val="center"/>
          </w:tcPr>
          <w:p w14:paraId="3193214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346E2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B90B5EE">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9</w:t>
            </w:r>
          </w:p>
        </w:tc>
        <w:tc>
          <w:tcPr>
            <w:tcW w:w="1542" w:type="dxa"/>
            <w:noWrap w:val="0"/>
            <w:vAlign w:val="center"/>
          </w:tcPr>
          <w:p w14:paraId="4C792E1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不得经营标注虚假生产日期、保质期或者超过保质期的食品、食品添加剂</w:t>
            </w:r>
          </w:p>
        </w:tc>
        <w:tc>
          <w:tcPr>
            <w:tcW w:w="2251" w:type="dxa"/>
            <w:noWrap w:val="0"/>
            <w:vAlign w:val="center"/>
          </w:tcPr>
          <w:p w14:paraId="1F74C36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1.经营标注虚假生产日期、保质期的食品、食品添加剂；</w:t>
            </w:r>
          </w:p>
          <w:p w14:paraId="295992E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2.经营超过保质期的食品、食品添加剂。</w:t>
            </w:r>
          </w:p>
        </w:tc>
        <w:tc>
          <w:tcPr>
            <w:tcW w:w="3346" w:type="dxa"/>
            <w:noWrap w:val="0"/>
            <w:vAlign w:val="center"/>
          </w:tcPr>
          <w:p w14:paraId="07F5D8D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D594FF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39699E2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《中华人民共和国食品安全法》第三十四条第十项禁止生产经营下列食品、食品添加剂、食品相关产品：</w:t>
            </w:r>
          </w:p>
          <w:p w14:paraId="2841FEA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（十）标注虚假生产日期、保质期或者超过保质期的食品、食品添加剂；</w:t>
            </w:r>
          </w:p>
          <w:p w14:paraId="13F9070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四条第一款第五项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48474957">
            <w:pPr>
              <w:keepNext w:val="0"/>
              <w:keepLines w:val="0"/>
              <w:pageBreakBefore w:val="0"/>
              <w:widowControl/>
              <w:numPr>
                <w:ilvl w:val="0"/>
                <w:numId w:val="6"/>
              </w:numPr>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生产经营标注虚假生产日期、保质期或者超过保质期的食品、食品添加剂。</w:t>
            </w:r>
          </w:p>
          <w:p w14:paraId="37E46A0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2E9D90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87" w:type="dxa"/>
            <w:noWrap w:val="0"/>
            <w:vAlign w:val="center"/>
          </w:tcPr>
          <w:p w14:paraId="68915EF7">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183E0AD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食品经营者应当定期检查库存食品，设置临保商品销售专区专柜，及时清理下架超过保质期的食品；不得伪造、篡改食品生产日期。</w:t>
            </w:r>
          </w:p>
        </w:tc>
        <w:tc>
          <w:tcPr>
            <w:tcW w:w="1624" w:type="dxa"/>
            <w:noWrap w:val="0"/>
            <w:vAlign w:val="center"/>
          </w:tcPr>
          <w:p w14:paraId="4A77559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71415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28E4ED1">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10</w:t>
            </w:r>
          </w:p>
        </w:tc>
        <w:tc>
          <w:tcPr>
            <w:tcW w:w="1542" w:type="dxa"/>
            <w:noWrap w:val="0"/>
            <w:vAlign w:val="center"/>
          </w:tcPr>
          <w:p w14:paraId="5A5DC3E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不得经营被包装材料、容器、运输工具等污染的食品、食品添加剂</w:t>
            </w:r>
          </w:p>
        </w:tc>
        <w:tc>
          <w:tcPr>
            <w:tcW w:w="2251" w:type="dxa"/>
            <w:noWrap w:val="0"/>
            <w:vAlign w:val="center"/>
          </w:tcPr>
          <w:p w14:paraId="004FB4C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经营被包装材料、容器、运输工具等污染的食品、食品添加剂。</w:t>
            </w:r>
          </w:p>
        </w:tc>
        <w:tc>
          <w:tcPr>
            <w:tcW w:w="3346" w:type="dxa"/>
            <w:noWrap w:val="0"/>
            <w:vAlign w:val="center"/>
          </w:tcPr>
          <w:p w14:paraId="7467D94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7A73183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第三十四条第九项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禁止生产经营下列食品、食品添加剂、食品相关产品：（九）被包装材料、容器、运输工具等污染的食品、食品添加剂。</w:t>
            </w:r>
          </w:p>
          <w:p w14:paraId="7F1E65E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第一百二十五条第一款第一项</w:t>
            </w:r>
          </w:p>
          <w:p w14:paraId="777A12E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一）生产经营被包装材料、容器、运输工具等污染的食品、食品添加剂。</w:t>
            </w:r>
          </w:p>
        </w:tc>
        <w:tc>
          <w:tcPr>
            <w:tcW w:w="1187" w:type="dxa"/>
            <w:noWrap w:val="0"/>
            <w:vAlign w:val="center"/>
          </w:tcPr>
          <w:p w14:paraId="5157EF52">
            <w:pPr>
              <w:keepNext w:val="0"/>
              <w:keepLines w:val="0"/>
              <w:pageBreakBefore w:val="0"/>
              <w:widowControl/>
              <w:kinsoku w:val="0"/>
              <w:wordWrap/>
              <w:overflowPunct/>
              <w:topLinePunct w:val="0"/>
              <w:autoSpaceDE w:val="0"/>
              <w:autoSpaceDN w:val="0"/>
              <w:bidi w:val="0"/>
              <w:adjustRightInd w:val="0"/>
              <w:snapToGrid w:val="0"/>
              <w:spacing w:line="240" w:lineRule="exact"/>
              <w:ind w:firstLine="404" w:firstLineChars="2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7AAC082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主要指干货、炒货等散装食品，食品经营者应当选用符合食品安全要求的包装材料、容器、运输工具，防止食品被污染。</w:t>
            </w:r>
          </w:p>
        </w:tc>
        <w:tc>
          <w:tcPr>
            <w:tcW w:w="1624" w:type="dxa"/>
            <w:noWrap w:val="0"/>
            <w:vAlign w:val="center"/>
          </w:tcPr>
          <w:p w14:paraId="606D276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50FF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75F901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11</w:t>
            </w:r>
          </w:p>
        </w:tc>
        <w:tc>
          <w:tcPr>
            <w:tcW w:w="1542" w:type="dxa"/>
            <w:noWrap w:val="0"/>
            <w:vAlign w:val="center"/>
          </w:tcPr>
          <w:p w14:paraId="5AD9DFC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不得经营无标签或标签不规范的食品、添加剂</w:t>
            </w:r>
          </w:p>
        </w:tc>
        <w:tc>
          <w:tcPr>
            <w:tcW w:w="2251" w:type="dxa"/>
            <w:noWrap w:val="0"/>
            <w:vAlign w:val="center"/>
          </w:tcPr>
          <w:p w14:paraId="249B843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1.经营无标签的预包装食品、食品添加剂；</w:t>
            </w:r>
          </w:p>
          <w:p w14:paraId="1A2338D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2.经营标签不符合食品安全法规定的食品、食品添加剂。</w:t>
            </w:r>
          </w:p>
          <w:p w14:paraId="34EA684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3.进口的预包装食品、食品添加剂无中文标签或标签、</w:t>
            </w:r>
          </w:p>
          <w:p w14:paraId="16086FA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说明书不符合食品安全法规定。</w:t>
            </w:r>
          </w:p>
          <w:p w14:paraId="6DC38B9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4.经营转基因食品未按规定显著标示。</w:t>
            </w:r>
          </w:p>
        </w:tc>
        <w:tc>
          <w:tcPr>
            <w:tcW w:w="3346" w:type="dxa"/>
            <w:noWrap w:val="0"/>
            <w:vAlign w:val="center"/>
          </w:tcPr>
          <w:p w14:paraId="03E11C0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CD5C17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3AA7190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3E25E29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第三十四条第十一项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禁止生产经营下列食品、食品添加剂、食品相关产品：（十一）无标签的预包装食品、食品添加剂。</w:t>
            </w:r>
          </w:p>
          <w:p w14:paraId="4526FC2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第六十七条第一款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预包装食品的包装上应当有标签。标签应当标明下列事项：（一）名称、规格、净含量、生产日期；（二）成分或者配料表；（三）生产者的名称、地址、联系方式；（四）保质期；（五）产品标准代号；（六）贮存条件；（七）所使用的食品添加剂在国家标准中的通用名称；（八）生产许可证编号；（九）法律、法规或者食品安全标准规定应当标明的其他事项。</w:t>
            </w:r>
          </w:p>
          <w:p w14:paraId="48BBE72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第六十九条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生产经营转基因食品应当按照规定显著标示。</w:t>
            </w:r>
          </w:p>
          <w:p w14:paraId="502927C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第七十条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添加剂应当有标签、说明书和包装。标签、说明书应当载明本法第六十七条第一款第一项至第六项、第八项、第九项规定的事项，以及食品添加剂的使用范围、用量、使用方法，并在标签上载明“食品添加剂”字样。</w:t>
            </w:r>
          </w:p>
          <w:p w14:paraId="2334D49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第九十七条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进口的预包装食品、食品添加剂应当有中文标签；依法应当有说明书的，还应当有中文说明书。标签、说明书应当符合本法以及我国其他有关法律、行政法规的规定和食品安全国家标准的要求，并载明食品的原产地以及境内代理商的名称、地址、联系方式。预包装食品没有中文标签、中文说明书或者标签、说明书不符合本条规定的，不得进口。</w:t>
            </w:r>
          </w:p>
          <w:p w14:paraId="47148C8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第一百二十五条第一款第二项、第三项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二）生产经营无标签的预包装食品、食品添加剂或者标签、说明书不符合本法规定的食品、食品添加剂；（三）生产经营转基因食品未按规定进行标示。</w:t>
            </w:r>
          </w:p>
        </w:tc>
        <w:tc>
          <w:tcPr>
            <w:tcW w:w="1187" w:type="dxa"/>
            <w:noWrap w:val="0"/>
            <w:vAlign w:val="center"/>
          </w:tcPr>
          <w:p w14:paraId="4EF6F1D6">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178D395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食品经营者应当加强进货查验，不购进或销售无标签或标签不规范的食品，重要提示：</w:t>
            </w:r>
          </w:p>
          <w:p w14:paraId="13929A3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预包装食品应有标明名称、生产日期保质期、厂名厂址、贮存条件等信息的标签。（专供婴幼儿和其他特定人群的主辅食品，还应当标明主要营养成分及其含量；加碘食盐应当有明显标识并标明碘的含量。未加碘食盐的标签应当在显著位置标注“未加碘”字样。）</w:t>
            </w:r>
          </w:p>
          <w:p w14:paraId="16BA029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食品添加剂应当有标签、说明书和包装。除名称、厂名厂址、保质期、贮存条件、使用范围用量方法等外，标签上应当载明“食品添加剂”字样；提供给消费者直接使用的食品添加剂，标签上还应当注明“零售”字样。</w:t>
            </w:r>
          </w:p>
          <w:p w14:paraId="4B034D5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进口的预包装食品、食品添加剂应当有中文标签；依法应当有说明书的，还应当有中文说明书。标签、说明书应当标示原产国国名或地区区名（如香港、澳门、台湾），以及在中国依法登记注册的代理商、进口商或经销者的名称、地址和联系方式，可不标示生产者的名称、地址和联系方式。</w:t>
            </w:r>
          </w:p>
          <w:p w14:paraId="3487CF0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4.转基因食品应当按照规定显著标示。</w:t>
            </w:r>
          </w:p>
        </w:tc>
        <w:tc>
          <w:tcPr>
            <w:tcW w:w="1624" w:type="dxa"/>
            <w:noWrap w:val="0"/>
            <w:vAlign w:val="center"/>
          </w:tcPr>
          <w:p w14:paraId="3EA4003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1FAEE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897CC37">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12</w:t>
            </w:r>
          </w:p>
        </w:tc>
        <w:tc>
          <w:tcPr>
            <w:tcW w:w="1542" w:type="dxa"/>
            <w:noWrap w:val="0"/>
            <w:vAlign w:val="center"/>
          </w:tcPr>
          <w:p w14:paraId="56A2C44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不得经营无标签或标签不规范的散装食品。</w:t>
            </w:r>
          </w:p>
        </w:tc>
        <w:tc>
          <w:tcPr>
            <w:tcW w:w="2251" w:type="dxa"/>
            <w:noWrap w:val="0"/>
            <w:vAlign w:val="center"/>
          </w:tcPr>
          <w:p w14:paraId="5BE112A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经营无标签或标签不规范的散装食品</w:t>
            </w:r>
          </w:p>
        </w:tc>
        <w:tc>
          <w:tcPr>
            <w:tcW w:w="3346" w:type="dxa"/>
            <w:noWrap w:val="0"/>
            <w:vAlign w:val="center"/>
          </w:tcPr>
          <w:p w14:paraId="40620EF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48623C8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15B963A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第六十八条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食品经营者销售散装食品，应当在散装食品的容器、外包装上标明食品的名称、生产日期或者生产批号、保质期以及生产经营者名称、地址、联系方式等内容。</w:t>
            </w:r>
          </w:p>
          <w:p w14:paraId="4B90066F">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第七十二条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食品经营者应当按照食品标签标示的警示标志、警示说明或者注意事项的要求销售食品。</w:t>
            </w:r>
          </w:p>
          <w:p w14:paraId="3146DD2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第一百二十六条第一款第七项</w:t>
            </w:r>
          </w:p>
          <w:p w14:paraId="6D5AF7D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违反本法规定，有下列情形之一的，由县级以上人民政府食品安全监督管理部门责令改正，给予警告；拒不改正的，处五千元以上五万元以下罚款；情节严重的，责令停产停业，直至吊销许可证：</w:t>
            </w:r>
          </w:p>
          <w:p w14:paraId="2C4F19B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（七）食品经营者未按规定要求销售食品。</w:t>
            </w:r>
          </w:p>
        </w:tc>
        <w:tc>
          <w:tcPr>
            <w:tcW w:w="1187" w:type="dxa"/>
            <w:noWrap w:val="0"/>
            <w:vAlign w:val="center"/>
          </w:tcPr>
          <w:p w14:paraId="03234F1A">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215FED5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散装食品的容器、外包装上应当标明食品名称、生产日期保质期以及生产者名称、地址等内容。散装熟食制品还应当标明贮存条件。保质期不超过72小时的，应当标注到小时，并采用24小时制标注。标注的生产日期为生产者在出厂时标注的生产日期，不得更改原有的生产日期。（大包装拆零销售的，可直接将大包装内附具的标签粘贴至散装食品柜）</w:t>
            </w:r>
          </w:p>
          <w:p w14:paraId="50D1EA1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2.直接入口的散装食品应当使用加盖或非敞开式容器盛放。无任何防护措施的不得销售。</w:t>
            </w:r>
          </w:p>
          <w:p w14:paraId="15C14A6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3.鼓励对直接入口的散装食品以适宜方式简单包装后进行销售，但应当在小包装上加贴规范标签。</w:t>
            </w:r>
          </w:p>
        </w:tc>
        <w:tc>
          <w:tcPr>
            <w:tcW w:w="1624" w:type="dxa"/>
            <w:noWrap w:val="0"/>
            <w:vAlign w:val="center"/>
          </w:tcPr>
          <w:p w14:paraId="2FB083E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2E919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B35FD73">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13</w:t>
            </w:r>
          </w:p>
        </w:tc>
        <w:tc>
          <w:tcPr>
            <w:tcW w:w="1542" w:type="dxa"/>
            <w:noWrap w:val="0"/>
            <w:vAlign w:val="center"/>
          </w:tcPr>
          <w:p w14:paraId="1E0D857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食品经营企业应当建立健全食品安全管理制度，食品经营人员应当加强健康管理和保持个人卫生</w:t>
            </w:r>
          </w:p>
        </w:tc>
        <w:tc>
          <w:tcPr>
            <w:tcW w:w="2251" w:type="dxa"/>
            <w:noWrap w:val="0"/>
            <w:vAlign w:val="center"/>
          </w:tcPr>
          <w:p w14:paraId="50D89E2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1.食品经营企业未按规定建立食品安全管理制度，未按规定配备或培训、考核食品安全管理人员；</w:t>
            </w:r>
          </w:p>
          <w:p w14:paraId="533396B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2.从事接触直接入口食品工作的食品生产经营人员未保持个人卫生。</w:t>
            </w:r>
          </w:p>
        </w:tc>
        <w:tc>
          <w:tcPr>
            <w:tcW w:w="3346" w:type="dxa"/>
            <w:noWrap w:val="0"/>
            <w:vAlign w:val="center"/>
          </w:tcPr>
          <w:p w14:paraId="6A62E11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2DD40D9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第三十三条第一款第八项</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应当符合食品安全标准，并符合下列要求：（八）食品生产经营人员应当保持个人卫生，生产经营食品时，应当将手洗净，穿戴清洁的工作衣、帽等；销售无包装的直接入口食品时，应当使用无毒、清洁的容器、售货工具和设备。</w:t>
            </w:r>
          </w:p>
          <w:p w14:paraId="46209F2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第四十四条第一款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食品生产经营企业应当建立健全食品安全管理制度，对职工进行食品安全知识培训，加强食品检验工作，依法从事生产经营活动。</w:t>
            </w:r>
          </w:p>
          <w:p w14:paraId="12063EE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第四十四条第三款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企业应当配备食品安全管理人员，加强对其培训和考核。经考核不具备食品安全管理能力的，不得上岗。食品安全监督管理部门应当对企业食品安全管理人员随机进行监督抽查考核并公布考核情况。监督抽查考核不得收取费用。</w:t>
            </w:r>
          </w:p>
          <w:p w14:paraId="3A86386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责令改正，给予警告；拒不改正的，处五千元以上五万元以下罚款；情节严重的，责令停产停业，直至吊销许可证：（二）食品生产经营企业未按规定建立食品安全管理制度，或者未按规定配备或者培训、考核食品安全管理人员；（三）食品、食品添加剂生产经营者进货时未查验许可证和相关证明文件，或者未按规定建立并遵守进货查验记录、出厂检验记录和销售记录制度；（四）食品生产经营企业未制定食品安全事故处置方案；（五）餐具、饮具和盛放直接入口食品的容器，使用前未经洗净、消毒或者清洗消毒不合格，或者餐饮服务设施、设备未按规定定期维护、清洗、校验；（六）食品生产经营者安排未取得健康证明或者患有国务院卫生行政部门规定的有碍食品安全疾病的人员从事接触直接入口食品的工作；（七）食品经营者未按规定要求销售食品。</w:t>
            </w:r>
          </w:p>
          <w:p w14:paraId="3A20A8E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《中华人民共和国食品安全法实施条例》</w:t>
            </w:r>
          </w:p>
          <w:p w14:paraId="1AD16F7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第七十条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除食品安全法第一百二十五条第一款、第一百二十六条规定的情形外，食品生产经营者的生产经营行为不符合食品安全法第三十三条第一款第五项、第七项至第十项的规定，或者不符合有关食品生产经营过程要求的食品安全国家标准的，依照食品安全法第一百二十六条第一款、本条例第七十五条的规定给予处罚。</w:t>
            </w:r>
          </w:p>
          <w:p w14:paraId="0CEA2B4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3A51F06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第四十五条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食品生产经营者应当建立并执行从业人员健康管理制度。患有国务院卫生行政部门规定的有碍食品安全疾病的人员，不得从事接触直接入口食品的工作。</w:t>
            </w:r>
          </w:p>
          <w:p w14:paraId="7C0A6B1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从事接触直接入口食品工作的食品生产经营人员应当每年进行健康检查，取得健康证明后方可上岗工作。</w:t>
            </w:r>
          </w:p>
          <w:p w14:paraId="57DD7F0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第一百二十六条第一款第六项</w:t>
            </w:r>
          </w:p>
          <w:p w14:paraId="74CFF01B">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违反本法规定，有下列情形之一的，由县级以上人民政府食品安全监督管理部门责令改正，给予警告；拒不改正的，处五千元以上五万元以下罚款；情节严重的，责令停产停业，直至吊销许可证：（六）食品生产经营者安排未取得健康证明或者患有国务院卫生行政部门规定的有碍食品安全疾病的人员从事接触直接入口食品的工作。</w:t>
            </w:r>
          </w:p>
          <w:p w14:paraId="3FCC4EC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87" w:type="dxa"/>
            <w:noWrap w:val="0"/>
            <w:vAlign w:val="center"/>
          </w:tcPr>
          <w:p w14:paraId="5F84D0CC">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5DD2A0D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食品经营者应当建立并执行进货查验、食品安全自检自查、从业人员健康管理、食品贮存管理等食品安全管理制度，重要提示：</w:t>
            </w:r>
          </w:p>
          <w:p w14:paraId="57E20E9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1.从事接触直接入口食品工作的食品生产经营人员应当每年进行健康检查，取得健康证明后方可上岗，健康证明应当在显著位置统一公示，并且做好“三戴”（戴口罩、戴工作帽、戴手套）。</w:t>
            </w:r>
          </w:p>
          <w:p w14:paraId="09D1930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2.应当配备食品安全管理员，并加强对其培训和考核。</w:t>
            </w:r>
          </w:p>
        </w:tc>
        <w:tc>
          <w:tcPr>
            <w:tcW w:w="1624" w:type="dxa"/>
            <w:noWrap w:val="0"/>
            <w:vAlign w:val="center"/>
          </w:tcPr>
          <w:p w14:paraId="3AB0CE6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7823C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8E0F1BE">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14</w:t>
            </w:r>
          </w:p>
        </w:tc>
        <w:tc>
          <w:tcPr>
            <w:tcW w:w="1542" w:type="dxa"/>
            <w:noWrap w:val="0"/>
            <w:vAlign w:val="center"/>
          </w:tcPr>
          <w:p w14:paraId="0C23196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食品经营者应当履行进货查验义务</w:t>
            </w:r>
          </w:p>
        </w:tc>
        <w:tc>
          <w:tcPr>
            <w:tcW w:w="2251" w:type="dxa"/>
            <w:noWrap w:val="0"/>
            <w:vAlign w:val="center"/>
          </w:tcPr>
          <w:p w14:paraId="21F2FFE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1.食品经营者采购食品，未查验供货者的许可证和食品出厂检验合格证或其他合格证明。</w:t>
            </w:r>
          </w:p>
          <w:p w14:paraId="3F7780D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2.食品经营企业或食品添加剂经营者未建立食品进货查验记录制度，或记录和凭证保存期限少于产品保质期满后六个月，没有明确保质期的保存期限少于二年。</w:t>
            </w:r>
          </w:p>
        </w:tc>
        <w:tc>
          <w:tcPr>
            <w:tcW w:w="3346" w:type="dxa"/>
            <w:noWrap w:val="0"/>
            <w:vAlign w:val="center"/>
          </w:tcPr>
          <w:p w14:paraId="23204B41">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1707015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第五十三条第一款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食品经营者采购食品，应当查验供货者的许可证和食品出厂检验合格证或者其他合格证明（以下称合格证明文件）。</w:t>
            </w:r>
          </w:p>
          <w:p w14:paraId="0EFF991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第五十三条第二款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经营企业应当建立食品进货查验记录制度，如实记录食品的名称、规格、数量、生产日期或者生产批号、保质期、进货日期以及供货者名称、地址、联系方式等内容，并保存相关凭证。记录和凭证保存期限应当符合本法第五十条第二款的规定。</w:t>
            </w:r>
          </w:p>
          <w:p w14:paraId="686CDDA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第五十三条第四款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从事食品批发业务的经营企业应当建立食品销售记录制度，如实记录批发食品的名称、规格、数量、生产日期或者生产批号、保质期、销售日期以及购货者名称、地址、联系方式等内容，并保存相关凭证。记录和凭证保存期限应当符合本法第五十条第二款的规定。</w:t>
            </w:r>
          </w:p>
          <w:p w14:paraId="2EB681E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添加剂经营者采购食品添加剂，应当依法查验供货者的许可证和产品合格证明文件，如实记录食品添加剂的名称、规格、数量、生产日期或者生产批号、保质期、进货日期以及供货者名称、地址、联系方式等内容，并保存相关凭证。记录和凭证保存期限应当符合本法第五十条第二款的规定。</w:t>
            </w:r>
          </w:p>
          <w:p w14:paraId="3ABACC9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二十六条第一款第三项违反本法规定，有下列情形之一的，由县级以上人民政府食品安全监督管理部门责令改正，给予警告；拒不改正的，处五千元以上五万元以下罚款；情节严重的，责令停产停业，直至吊销许可证：</w:t>
            </w:r>
          </w:p>
          <w:p w14:paraId="24184C5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（三）食品、食品添加剂生产经营者进货时未查验许可证和相关证明文件，或者未按规定建立并遵守进货查验记录、出厂检验记录和销售记录制度。</w:t>
            </w:r>
          </w:p>
        </w:tc>
        <w:tc>
          <w:tcPr>
            <w:tcW w:w="1187" w:type="dxa"/>
            <w:noWrap w:val="0"/>
            <w:vAlign w:val="center"/>
          </w:tcPr>
          <w:p w14:paraId="2FED9437">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00DAC22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食品经营者应当查验供货者的许可证和食品出厂检验合格证或者其他合格证明（以下称合格证明文件）：（1）从生产单位采购食品、食品添加剂的，查看其食品、食品添加剂生产许可证或其复印件，查看生产单位出具的食品出厂检验合格证，或检验机构出具的检验合格报告等其他合格证明。采购散装熟食制品的，还应当查验挂钩生产单位签订合作协议（合同）。（2）从经营单位采购食品的，查看其食品经营许可证或其复印件，查看食品出厂检验合格证或检验合格报告等其他合格证明。采购进口食品，还应当查看海关出具的入境货物检验检疫证明，应做到每一批次货证相符。（3）从经营单位采购食品添加剂的，查看其营业执照，查看产品合格证明文件。（4）采购食用农产品，从食用农产品生产者、收购者、屠宰厂（场）采购的，查验购货凭证、合格证明文件等；从批发市场采购的，查验该市场或市场经营户出具的销售凭证。采购按照规定需要检疫和肉品品质检验的肉类，还需查验有关检验检疫合格证明。采购进口食用农产品，还应当查验入境货物检验检疫证明等证明文件。</w:t>
            </w:r>
          </w:p>
          <w:p w14:paraId="2A22D32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2.应当查验所采购食品、食品添加剂的感官性状等质量安全状况。</w:t>
            </w:r>
          </w:p>
          <w:p w14:paraId="2D04019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3.应当记录所采购食品、食品添加剂的名称、规格、数量、生产日期或者生产批号、保质期、进货日期以及供货者名称、地址、联系方式等内容，并保存相关凭证，以确保产品可追溯、责任可追究。</w:t>
            </w:r>
          </w:p>
          <w:p w14:paraId="3BD1F3A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4.记录和凭证保存期限不得少于产品保质期满后六个月；没有明确保质期的，保存期限不得少于二年（从进货日起计）。进货查验资料应当及时更新。许可证、合格证明文件等相关资料应在有效期内。</w:t>
            </w:r>
          </w:p>
          <w:p w14:paraId="0C09BEC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0B8F48C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1A8772E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19F8B6A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24B7E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A718D51">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15</w:t>
            </w:r>
          </w:p>
        </w:tc>
        <w:tc>
          <w:tcPr>
            <w:tcW w:w="1542" w:type="dxa"/>
            <w:noWrap w:val="0"/>
            <w:vAlign w:val="center"/>
          </w:tcPr>
          <w:p w14:paraId="3C3AC72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集中交易市场的开办者、柜台出租者和展销会举办者，应当依法审查入场食品经营者的许可证，依法履行检查、报告等义务</w:t>
            </w:r>
          </w:p>
        </w:tc>
        <w:tc>
          <w:tcPr>
            <w:tcW w:w="2251" w:type="dxa"/>
            <w:noWrap w:val="0"/>
            <w:vAlign w:val="center"/>
          </w:tcPr>
          <w:p w14:paraId="294A306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集中交易市场的开办者、柜台出租者、展销会的举办者允许未依法取得许可的食品经营者进入市场销售食品，或未履行检查、报告等义务。</w:t>
            </w:r>
          </w:p>
        </w:tc>
        <w:tc>
          <w:tcPr>
            <w:tcW w:w="3346" w:type="dxa"/>
            <w:noWrap w:val="0"/>
            <w:vAlign w:val="center"/>
          </w:tcPr>
          <w:p w14:paraId="377797F3">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442CAEC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第六十一条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集中交易市场的开办者、柜台出租者和展销会举办者，应当依法审查入场食品经营者的许可证，明确其食品安全管理责任，定期对其经营环境和条件进行检查，发现其有违反本法规定行为的，应当及时制止并立即报告所在地县级人民政府食品安全监督管理部门。</w:t>
            </w:r>
          </w:p>
          <w:p w14:paraId="5927274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第一百三十条第一款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法规定，集中交易市场的开办者、柜台出租者、展销会的举办者允许未依法取得许可的食品经营者进入市场销售食品，或者未履行检查、报告等义务的，由县级以上人民政府食品安全监督管理部门责令改正，没收违法所得，并处五万元以上二十万元以下罚款；造成严重后果的，责令停业，直至由原发证部门吊销许可证；使消费者的合法权益受到损害的，应当与食品经营者承担连带责任。</w:t>
            </w:r>
          </w:p>
          <w:p w14:paraId="35D27DBE">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87" w:type="dxa"/>
            <w:noWrap w:val="0"/>
            <w:vAlign w:val="center"/>
          </w:tcPr>
          <w:p w14:paraId="618F17F0">
            <w:pPr>
              <w:keepNext w:val="0"/>
              <w:keepLines w:val="0"/>
              <w:pageBreakBefore w:val="0"/>
              <w:widowControl/>
              <w:kinsoku w:val="0"/>
              <w:wordWrap/>
              <w:overflowPunct/>
              <w:topLinePunct w:val="0"/>
              <w:autoSpaceDE w:val="0"/>
              <w:autoSpaceDN w:val="0"/>
              <w:bidi w:val="0"/>
              <w:adjustRightInd w:val="0"/>
              <w:snapToGrid w:val="0"/>
              <w:spacing w:line="240" w:lineRule="exact"/>
              <w:ind w:firstLine="404" w:firstLineChars="2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4942192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集中交易市场的开办者、柜台出租者和展销会举办者，应当依法审查入场食品经营者的许可证，明确其食品安全管理责任，定期对其经营环境和条件进行检查，发现其有违反本法规定行为的，应当及时制止并立即报告所在地县级人民政府食品安全监督管理部门。</w:t>
            </w:r>
          </w:p>
        </w:tc>
        <w:tc>
          <w:tcPr>
            <w:tcW w:w="1624" w:type="dxa"/>
            <w:noWrap w:val="0"/>
            <w:vAlign w:val="center"/>
          </w:tcPr>
          <w:p w14:paraId="74FE6B5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02568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B617570">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16</w:t>
            </w:r>
          </w:p>
        </w:tc>
        <w:tc>
          <w:tcPr>
            <w:tcW w:w="1542" w:type="dxa"/>
            <w:noWrap w:val="0"/>
            <w:vAlign w:val="center"/>
          </w:tcPr>
          <w:p w14:paraId="0DB881C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食品贮存和运输需要符合法律要求</w:t>
            </w:r>
          </w:p>
        </w:tc>
        <w:tc>
          <w:tcPr>
            <w:tcW w:w="2251" w:type="dxa"/>
            <w:noWrap w:val="0"/>
            <w:vAlign w:val="center"/>
          </w:tcPr>
          <w:p w14:paraId="140B634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587781B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73E5C7BC">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1.食品经营者贮存场所未保持环境整洁并与有毒、有害场所及其他污染源保持规定的距离；</w:t>
            </w:r>
          </w:p>
          <w:p w14:paraId="0579EB3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2.贮存食品的容器、工具和设备未做到安全、无害并保持清洁，或不符合保证食品安全所需的温度、湿度等特殊要求，或将食品与有毒、有害物品一同贮存。</w:t>
            </w:r>
          </w:p>
          <w:p w14:paraId="4D3A9908">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3.食品经营者贮存散装食品，未在贮存位置标明食品的名称、生产日期或生产批号、保质期、生产者名称及联系方式等内容。</w:t>
            </w:r>
          </w:p>
        </w:tc>
        <w:tc>
          <w:tcPr>
            <w:tcW w:w="3346" w:type="dxa"/>
            <w:noWrap w:val="0"/>
            <w:vAlign w:val="center"/>
          </w:tcPr>
          <w:p w14:paraId="0AF41F3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《中华人民共和国食品安全法》</w:t>
            </w:r>
          </w:p>
          <w:p w14:paraId="7EB4A6B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三条第一款第一项、第六项食品生产经营应当符合食品安全标准，并符合下列要求：（一）具有与生产经营的食品品种、数量相适应的食品原料处理和食品加工、包装、贮存等场所，保持该场所环境整洁，并与有毒、有害场所以及其他污染源保持规定的距离；（六）贮存、运输和装卸食品的容器、工具和设备应当安全、无害，保持清洁，防止食品污染，并符合保证食品安全所需的温度、湿度等特殊要求，不得将食品与有毒、有害物品一同贮存、运输。</w:t>
            </w:r>
          </w:p>
          <w:p w14:paraId="447945D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第五十四条第一款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食品经营者应当按照保证食品安全的要求贮存食品，定期检查库存食品，及时清理变质或者超过保质期的食品。</w:t>
            </w:r>
          </w:p>
          <w:p w14:paraId="7096DDF5">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第五十四条第二款食品经营者贮存散装食品，应当在贮存位置标明食品的名称、生产日期或者生产批号、保质期、生产者名称及联系方式等内容。</w:t>
            </w:r>
          </w:p>
          <w:p w14:paraId="4C71BBE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第一百三十二条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法规定，未按要求进行食品贮存、运输和装卸的，由县级以上人民政府食品安全监督管理等部门按照各自职责分工责令改正，给予警告；拒不改正的，责令停产停业，并处一万元以上五万元以下罚款；情节严重的，吊销许可证。</w:t>
            </w:r>
          </w:p>
        </w:tc>
        <w:tc>
          <w:tcPr>
            <w:tcW w:w="1187" w:type="dxa"/>
            <w:noWrap w:val="0"/>
            <w:vAlign w:val="center"/>
          </w:tcPr>
          <w:p w14:paraId="3060E7F1">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004909C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1.食品与非食品、生食与熟食应当有适当的分隔措施、固定的存放位置和标识。不得将食品与有毒有害物品同库存放。</w:t>
            </w:r>
          </w:p>
          <w:p w14:paraId="1CB289C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2.在散装食品贮存位置应当标明食品的名称、生产日期或者生产批号、保质期、生产者名称及联系方式等内容。</w:t>
            </w:r>
          </w:p>
          <w:p w14:paraId="611329F6">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3.严格按照食品标注的贮存要求保存食品，特别是有温度要求的冷冻冷藏食品，冷柜机体上或冻库门口要有温度显示，并建立温控记录。</w:t>
            </w:r>
          </w:p>
          <w:p w14:paraId="786643B7">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4.食品运输工具不得运输有毒有害物质，防止食品污染。食品不宜与非食品同车运输</w:t>
            </w:r>
          </w:p>
        </w:tc>
        <w:tc>
          <w:tcPr>
            <w:tcW w:w="1624" w:type="dxa"/>
            <w:noWrap w:val="0"/>
            <w:vAlign w:val="center"/>
          </w:tcPr>
          <w:p w14:paraId="6E783F2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r w14:paraId="6C08A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1C15509">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17</w:t>
            </w:r>
          </w:p>
        </w:tc>
        <w:tc>
          <w:tcPr>
            <w:tcW w:w="1542" w:type="dxa"/>
            <w:noWrap w:val="0"/>
            <w:vAlign w:val="center"/>
          </w:tcPr>
          <w:p w14:paraId="45798D7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入网经营者应当依法取得许可，并在许可经营项目范围从事食品经营。</w:t>
            </w:r>
          </w:p>
        </w:tc>
        <w:tc>
          <w:tcPr>
            <w:tcW w:w="2251" w:type="dxa"/>
            <w:noWrap w:val="0"/>
            <w:vAlign w:val="center"/>
          </w:tcPr>
          <w:p w14:paraId="314E884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入网食品经营者超过许可的经营项目范围从事食品经营</w:t>
            </w:r>
          </w:p>
        </w:tc>
        <w:tc>
          <w:tcPr>
            <w:tcW w:w="3346" w:type="dxa"/>
            <w:noWrap w:val="0"/>
            <w:vAlign w:val="center"/>
          </w:tcPr>
          <w:p w14:paraId="6F8886A0">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zh-CN" w:eastAsia="zh-CN" w:bidi="ar-SA"/>
              </w:rPr>
            </w:pPr>
          </w:p>
          <w:p w14:paraId="66A3F46B">
            <w:pPr>
              <w:widowControl w:val="0"/>
              <w:autoSpaceDE w:val="0"/>
              <w:autoSpaceDN w:val="0"/>
              <w:spacing w:before="0" w:after="0" w:line="221" w:lineRule="exact"/>
              <w:ind w:right="0"/>
              <w:jc w:val="both"/>
              <w:rPr>
                <w:rFonts w:hint="eastAsia" w:ascii="BMHBIL+SimSun" w:hAnsi="BMHBIL+SimSun" w:cs="BMHBIL+SimSun" w:eastAsiaTheme="minorEastAsia"/>
                <w:color w:val="000000"/>
                <w:spacing w:val="1"/>
                <w:kern w:val="2"/>
                <w:sz w:val="20"/>
                <w:szCs w:val="20"/>
                <w:highlight w:val="none"/>
                <w:lang w:val="zh-CN" w:eastAsia="zh-CN" w:bidi="ar-SA"/>
              </w:rPr>
            </w:pPr>
          </w:p>
          <w:p w14:paraId="5437FA86">
            <w:pPr>
              <w:widowControl w:val="0"/>
              <w:autoSpaceDE w:val="0"/>
              <w:autoSpaceDN w:val="0"/>
              <w:spacing w:before="0" w:after="0" w:line="221" w:lineRule="exact"/>
              <w:ind w:right="0"/>
              <w:jc w:val="both"/>
              <w:rPr>
                <w:rFonts w:hint="eastAsia" w:ascii="BMHBIL+SimSun" w:hAnsi="BMHBIL+SimSun" w:cs="BMHBIL+SimSun" w:eastAsiaTheme="minorEastAsia"/>
                <w:color w:val="000000"/>
                <w:spacing w:val="1"/>
                <w:kern w:val="2"/>
                <w:sz w:val="20"/>
                <w:szCs w:val="20"/>
                <w:highlight w:val="none"/>
                <w:lang w:val="zh-CN" w:eastAsia="zh-CN" w:bidi="ar-SA"/>
              </w:rPr>
            </w:pPr>
          </w:p>
          <w:p w14:paraId="7D39A5E5">
            <w:pPr>
              <w:widowControl w:val="0"/>
              <w:autoSpaceDE w:val="0"/>
              <w:autoSpaceDN w:val="0"/>
              <w:spacing w:before="0" w:after="0" w:line="221" w:lineRule="exact"/>
              <w:ind w:right="0"/>
              <w:jc w:val="both"/>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《网络食品安全违法行为查处办法》</w:t>
            </w:r>
          </w:p>
          <w:p w14:paraId="63E1D12D">
            <w:pPr>
              <w:widowControl w:val="0"/>
              <w:autoSpaceDE w:val="0"/>
              <w:autoSpaceDN w:val="0"/>
              <w:spacing w:before="0" w:after="0" w:line="221" w:lineRule="exact"/>
              <w:ind w:left="0" w:right="0" w:firstLine="0"/>
              <w:jc w:val="both"/>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第十六条第一款</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入网食品生产经营者应当依法取得许可，入网食品生产者应当按照许可的类别范围销售食品，入网食品经营者应当按照许可的经营项目范围从事食品经营。法律、法规规定不需要取得食品生产经营许可的除外。</w:t>
            </w:r>
          </w:p>
          <w:p w14:paraId="4B5E000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第三十八条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违反本办法第十六条规定，入网食品生产经营者未依法取得食品生产经营许可的，或者入网食品生产者超过许可的类别范围销售食品、入网食品经营者超过许可的经营项目范围从事食品经营的，依照食品安全法第一百二十二条的规定处罚。</w:t>
            </w:r>
          </w:p>
          <w:p w14:paraId="59717919">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《中华人民共和国电子商务法》</w:t>
            </w:r>
          </w:p>
          <w:p w14:paraId="254866CA">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第十五条第一款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zh-CN" w:eastAsia="zh-CN" w:bidi="ar-SA"/>
              </w:rPr>
              <w:t>电子商务经营者应当在其首页显著位置，持续公示营业执照信息、与其经营业务有关的行政许可信息、属于依照本法第十条规定的不需要办理市场主体登记情形等信息，或者上述信息的链接标识。</w:t>
            </w:r>
          </w:p>
          <w:p w14:paraId="422A31F4">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p w14:paraId="3E3B2742">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p>
        </w:tc>
        <w:tc>
          <w:tcPr>
            <w:tcW w:w="1187" w:type="dxa"/>
            <w:noWrap w:val="0"/>
            <w:vAlign w:val="center"/>
          </w:tcPr>
          <w:p w14:paraId="0D6184AF">
            <w:pPr>
              <w:keepNext w:val="0"/>
              <w:keepLines w:val="0"/>
              <w:pageBreakBefore w:val="0"/>
              <w:widowControl/>
              <w:kinsoku w:val="0"/>
              <w:wordWrap/>
              <w:overflowPunct/>
              <w:topLinePunct w:val="0"/>
              <w:autoSpaceDE w:val="0"/>
              <w:autoSpaceDN w:val="0"/>
              <w:bidi w:val="0"/>
              <w:adjustRightInd w:val="0"/>
              <w:snapToGrid w:val="0"/>
              <w:spacing w:line="240" w:lineRule="exact"/>
              <w:ind w:firstLine="202" w:firstLineChars="100"/>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w:t>
            </w:r>
          </w:p>
        </w:tc>
        <w:tc>
          <w:tcPr>
            <w:tcW w:w="2392" w:type="dxa"/>
            <w:noWrap w:val="0"/>
            <w:vAlign w:val="center"/>
          </w:tcPr>
          <w:p w14:paraId="7E16A41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1.入网食品经营者应当依法取得食品经营许可证，并按照食品经营许可证载明的主体业态、经营项目从事经营活动，不得超范围经营。</w:t>
            </w:r>
          </w:p>
          <w:p w14:paraId="786E6CBD">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2.通过第三方平台进行交易的食品经营者在其经营活动主页面显著位置公示营业执照信息、与其经营业务有关的行政许可信息；通过自建网站交易的食品经营者在其网站首页显著位置公示营业执照信息、与其经营业务有关的行政许可信息。公示内容应当清晰可辨。</w:t>
            </w:r>
          </w:p>
        </w:tc>
        <w:tc>
          <w:tcPr>
            <w:tcW w:w="1624" w:type="dxa"/>
            <w:noWrap w:val="0"/>
            <w:vAlign w:val="center"/>
          </w:tcPr>
          <w:p w14:paraId="24E47200">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zh-CN" w:eastAsia="zh-CN" w:bidi="ar-SA"/>
              </w:rPr>
            </w:pPr>
            <w:r>
              <w:rPr>
                <w:rFonts w:hint="eastAsia" w:ascii="BMHBIL+SimSun" w:hAnsi="BMHBIL+SimSun" w:cs="BMHBIL+SimSun" w:eastAsiaTheme="minorEastAsia"/>
                <w:color w:val="000000"/>
                <w:spacing w:val="1"/>
                <w:kern w:val="2"/>
                <w:sz w:val="20"/>
                <w:szCs w:val="20"/>
                <w:highlight w:val="none"/>
                <w:lang w:val="zh-CN" w:eastAsia="zh-CN" w:bidi="ar-SA"/>
              </w:rPr>
              <w:t>区市场监督管理局食品</w:t>
            </w:r>
            <w:r>
              <w:rPr>
                <w:rFonts w:hint="eastAsia" w:ascii="BMHBIL+SimSun" w:hAnsi="BMHBIL+SimSun" w:cs="BMHBIL+SimSun" w:eastAsiaTheme="minorEastAsia"/>
                <w:color w:val="000000"/>
                <w:spacing w:val="1"/>
                <w:kern w:val="2"/>
                <w:sz w:val="20"/>
                <w:szCs w:val="20"/>
                <w:highlight w:val="none"/>
                <w:lang w:val="en-US" w:eastAsia="zh-CN" w:bidi="ar-SA"/>
              </w:rPr>
              <w:t>生产</w:t>
            </w:r>
            <w:r>
              <w:rPr>
                <w:rFonts w:hint="eastAsia" w:ascii="BMHBIL+SimSun" w:hAnsi="BMHBIL+SimSun" w:cs="BMHBIL+SimSun" w:eastAsiaTheme="minorEastAsia"/>
                <w:color w:val="000000"/>
                <w:spacing w:val="1"/>
                <w:kern w:val="2"/>
                <w:sz w:val="20"/>
                <w:szCs w:val="20"/>
                <w:highlight w:val="none"/>
                <w:lang w:val="zh-CN" w:eastAsia="zh-CN" w:bidi="ar-SA"/>
              </w:rPr>
              <w:t>流通监督管理科</w:t>
            </w:r>
            <w:r>
              <w:rPr>
                <w:rFonts w:hint="eastAsia" w:ascii="BMHBIL+SimSun" w:hAnsi="BMHBIL+SimSun" w:cs="BMHBIL+SimSun"/>
                <w:color w:val="000000"/>
                <w:spacing w:val="1"/>
                <w:kern w:val="2"/>
                <w:sz w:val="20"/>
                <w:szCs w:val="20"/>
                <w:highlight w:val="none"/>
                <w:lang w:val="zh-CN"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87631031</w:t>
            </w:r>
          </w:p>
        </w:tc>
      </w:tr>
    </w:tbl>
    <w:p w14:paraId="21CC007F">
      <w:pPr>
        <w:pStyle w:val="2"/>
        <w:spacing w:before="190" w:line="233" w:lineRule="auto"/>
        <w:ind w:left="52"/>
        <w:rPr>
          <w:rFonts w:hint="eastAsia" w:ascii="宋体" w:hAnsi="宋体" w:eastAsia="宋体" w:cs="宋体"/>
          <w:sz w:val="20"/>
          <w:szCs w:val="20"/>
        </w:rPr>
      </w:pPr>
      <w:r>
        <w:rPr>
          <w:rFonts w:hint="eastAsia" w:ascii="宋体" w:hAnsi="宋体" w:eastAsia="宋体" w:cs="宋体"/>
          <w:sz w:val="20"/>
          <w:szCs w:val="20"/>
        </w:rPr>
        <w:t>备注：1.该清单适用食品流通经营者。</w:t>
      </w:r>
    </w:p>
    <w:p w14:paraId="48D940BE">
      <w:pPr>
        <w:pStyle w:val="2"/>
        <w:spacing w:before="15" w:line="233" w:lineRule="auto"/>
        <w:ind w:left="686"/>
        <w:rPr>
          <w:rFonts w:hint="eastAsia" w:ascii="宋体" w:hAnsi="宋体" w:eastAsia="宋体" w:cs="宋体"/>
          <w:sz w:val="20"/>
          <w:szCs w:val="20"/>
        </w:rPr>
      </w:pPr>
      <w:r>
        <w:rPr>
          <w:rFonts w:hint="eastAsia" w:ascii="宋体" w:hAnsi="宋体" w:eastAsia="宋体" w:cs="宋体"/>
          <w:sz w:val="20"/>
          <w:szCs w:val="20"/>
        </w:rPr>
        <w:t>2.清单并未涵盖所有食品流通经营类违法行为。</w:t>
      </w:r>
    </w:p>
    <w:p w14:paraId="5B1851AD">
      <w:pPr>
        <w:pStyle w:val="2"/>
        <w:spacing w:before="23" w:line="232" w:lineRule="auto"/>
        <w:ind w:left="690"/>
        <w:outlineLvl w:val="0"/>
        <w:rPr>
          <w:rFonts w:hint="eastAsia" w:ascii="宋体" w:hAnsi="宋体" w:eastAsia="宋体" w:cs="宋体"/>
          <w:sz w:val="20"/>
          <w:szCs w:val="20"/>
          <w:lang w:val="en-US" w:eastAsia="zh-CN"/>
        </w:rPr>
      </w:pPr>
      <w:r>
        <w:rPr>
          <w:rFonts w:hint="eastAsia" w:ascii="宋体" w:hAnsi="宋体" w:eastAsia="宋体" w:cs="宋体"/>
          <w:spacing w:val="7"/>
          <w:sz w:val="20"/>
          <w:szCs w:val="20"/>
        </w:rPr>
        <w:t>3.发生频率较高的为★★★</w:t>
      </w:r>
      <w:r>
        <w:rPr>
          <w:rFonts w:hint="eastAsia" w:ascii="宋体" w:hAnsi="宋体" w:eastAsia="宋体" w:cs="宋体"/>
          <w:spacing w:val="7"/>
          <w:sz w:val="20"/>
          <w:szCs w:val="20"/>
          <w:lang w:eastAsia="zh-CN"/>
        </w:rPr>
        <w:t>，</w:t>
      </w:r>
      <w:r>
        <w:rPr>
          <w:rFonts w:hint="eastAsia" w:ascii="宋体" w:hAnsi="宋体" w:eastAsia="宋体" w:cs="宋体"/>
          <w:spacing w:val="7"/>
          <w:sz w:val="20"/>
          <w:szCs w:val="20"/>
        </w:rPr>
        <w:t>发生频率一般的为★★</w:t>
      </w:r>
      <w:r>
        <w:rPr>
          <w:rFonts w:hint="eastAsia" w:ascii="宋体" w:hAnsi="宋体" w:eastAsia="宋体" w:cs="宋体"/>
          <w:spacing w:val="7"/>
          <w:sz w:val="20"/>
          <w:szCs w:val="20"/>
          <w:lang w:eastAsia="zh-CN"/>
        </w:rPr>
        <w:t>，</w:t>
      </w:r>
      <w:r>
        <w:rPr>
          <w:rFonts w:hint="eastAsia" w:ascii="宋体" w:hAnsi="宋体" w:eastAsia="宋体" w:cs="宋体"/>
          <w:spacing w:val="7"/>
          <w:sz w:val="20"/>
          <w:szCs w:val="20"/>
        </w:rPr>
        <w:t>发生频率较少的为★。</w:t>
      </w:r>
    </w:p>
    <w:p w14:paraId="0897A464">
      <w:pPr>
        <w:rPr>
          <w:rFonts w:hint="eastAsia"/>
          <w:lang w:val="en-US" w:eastAsia="zh-CN"/>
        </w:rPr>
      </w:pPr>
      <w:r>
        <w:rPr>
          <w:rFonts w:hint="eastAsia"/>
          <w:lang w:val="en-US" w:eastAsia="zh-CN"/>
        </w:rPr>
        <w:t>餐饮服务行为（共16项）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58225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9CB1D4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799039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2DA745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1C107D7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7B7C87F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1D2DB6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062755F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6D9A3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6070BC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w:t>
            </w:r>
          </w:p>
        </w:tc>
        <w:tc>
          <w:tcPr>
            <w:tcW w:w="1542" w:type="dxa"/>
            <w:noWrap w:val="0"/>
            <w:vAlign w:val="center"/>
          </w:tcPr>
          <w:p w14:paraId="01F0AE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应当依法取得食品经营许可后方可从事餐饮服务活动</w:t>
            </w:r>
          </w:p>
        </w:tc>
        <w:tc>
          <w:tcPr>
            <w:tcW w:w="2251" w:type="dxa"/>
            <w:noWrap w:val="0"/>
            <w:vAlign w:val="center"/>
          </w:tcPr>
          <w:p w14:paraId="4E46B7E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未取得食品经营许可从事食品经营活动的行政处罚</w:t>
            </w:r>
          </w:p>
        </w:tc>
        <w:tc>
          <w:tcPr>
            <w:tcW w:w="3640" w:type="dxa"/>
            <w:noWrap w:val="0"/>
            <w:vAlign w:val="top"/>
          </w:tcPr>
          <w:p w14:paraId="02A7430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136E41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第三十五条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国家对食品生产经营实行许可制度。从事食品生产、食品销售、餐饮服务，应当依法取得许可。但是，销售食用农产品和仅销售预包装食品的，不需要取得许可。仅销售预包装食品的，应当报所在地县级以上地方人民政府食品安全监督管理部门备案。</w:t>
            </w:r>
          </w:p>
          <w:p w14:paraId="0BD794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第一百二十二条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p w14:paraId="0B3F218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明知从事前款规定的违法行为，仍为其提供生产经营场所或者其他条件的，由县级以上人民政府食品安全监督管理部门责令停止违法行为，没收违法所得，并处五万元以上十万元以下罚款；使消费者的合法权益受到损害的，应当与食品、食品添加剂生产经营者承担连带责任。</w:t>
            </w:r>
          </w:p>
        </w:tc>
        <w:tc>
          <w:tcPr>
            <w:tcW w:w="1140" w:type="dxa"/>
            <w:noWrap w:val="0"/>
            <w:vAlign w:val="center"/>
          </w:tcPr>
          <w:p w14:paraId="21CFADE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15F0BCE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1.依法取得食品经营许可证后方可进行经营。</w:t>
            </w:r>
          </w:p>
          <w:p w14:paraId="39115A6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2.按照许可证载明的经营场所、主体业态、经营项目开展经营活动。</w:t>
            </w:r>
          </w:p>
        </w:tc>
        <w:tc>
          <w:tcPr>
            <w:tcW w:w="1624" w:type="dxa"/>
            <w:noWrap w:val="0"/>
            <w:vAlign w:val="center"/>
          </w:tcPr>
          <w:p w14:paraId="3884B29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w:t>
            </w:r>
            <w:r>
              <w:rPr>
                <w:rFonts w:hint="default" w:ascii="BMHBIL+SimSun" w:hAnsi="BMHBIL+SimSun" w:cs="BMHBIL+SimSun" w:eastAsiaTheme="minorEastAsia"/>
                <w:color w:val="000000"/>
                <w:spacing w:val="1"/>
                <w:kern w:val="2"/>
                <w:sz w:val="20"/>
                <w:szCs w:val="20"/>
                <w:highlight w:val="none"/>
                <w:lang w:val="en-US" w:eastAsia="zh-CN" w:bidi="ar-SA"/>
              </w:rPr>
              <w:t>餐饮服务监督管理科：</w:t>
            </w:r>
          </w:p>
          <w:p w14:paraId="5F641EE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31DD6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DB07CF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bidi="ar-SA"/>
              </w:rPr>
              <w:t>2</w:t>
            </w:r>
          </w:p>
        </w:tc>
        <w:tc>
          <w:tcPr>
            <w:tcW w:w="1542" w:type="dxa"/>
            <w:noWrap w:val="0"/>
            <w:vAlign w:val="center"/>
          </w:tcPr>
          <w:p w14:paraId="4DF97F0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公示食品经营许可证</w:t>
            </w:r>
          </w:p>
        </w:tc>
        <w:tc>
          <w:tcPr>
            <w:tcW w:w="2251" w:type="dxa"/>
            <w:noWrap w:val="0"/>
            <w:vAlign w:val="center"/>
          </w:tcPr>
          <w:p w14:paraId="3077BF6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未在显著位置公示食品经营许可证</w:t>
            </w:r>
          </w:p>
        </w:tc>
        <w:tc>
          <w:tcPr>
            <w:tcW w:w="3640" w:type="dxa"/>
            <w:noWrap w:val="0"/>
            <w:vAlign w:val="center"/>
          </w:tcPr>
          <w:p w14:paraId="6EF263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《食品经营许可管理办法》</w:t>
            </w:r>
          </w:p>
          <w:p w14:paraId="1FE34B9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第二十六条第二款</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食品经营者应当在经营场所的显著位置悬挂或者摆放食品经营许可证正本。</w:t>
            </w:r>
          </w:p>
          <w:p w14:paraId="07A784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第四十八条第二款</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违反本办法第二十六条第二款规定，食品经营者未按规定在经营场所的显著位置悬挂或者摆放食品经营许可证的，由县级以上地方食品药品监督管理部门责令改正；拒不改正的，给予警告。</w:t>
            </w:r>
          </w:p>
        </w:tc>
        <w:tc>
          <w:tcPr>
            <w:tcW w:w="1140" w:type="dxa"/>
            <w:noWrap w:val="0"/>
            <w:vAlign w:val="center"/>
          </w:tcPr>
          <w:p w14:paraId="52AB7E8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747442B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在显著位置公示食品经营许可证</w:t>
            </w:r>
          </w:p>
        </w:tc>
        <w:tc>
          <w:tcPr>
            <w:tcW w:w="1624" w:type="dxa"/>
            <w:noWrap w:val="0"/>
            <w:vAlign w:val="center"/>
          </w:tcPr>
          <w:p w14:paraId="60F55EE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724A725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6A518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EB1E52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w:t>
            </w:r>
          </w:p>
        </w:tc>
        <w:tc>
          <w:tcPr>
            <w:tcW w:w="1542" w:type="dxa"/>
            <w:noWrap w:val="0"/>
            <w:vAlign w:val="center"/>
          </w:tcPr>
          <w:p w14:paraId="7500C6D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公示监督检查结果记录表</w:t>
            </w:r>
          </w:p>
        </w:tc>
        <w:tc>
          <w:tcPr>
            <w:tcW w:w="2251" w:type="dxa"/>
            <w:noWrap w:val="0"/>
            <w:vAlign w:val="center"/>
          </w:tcPr>
          <w:p w14:paraId="15648E2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未按规定公示对消费者有重要影响的监督检查结果记录表的处罚</w:t>
            </w:r>
          </w:p>
        </w:tc>
        <w:tc>
          <w:tcPr>
            <w:tcW w:w="3640" w:type="dxa"/>
            <w:noWrap w:val="0"/>
            <w:vAlign w:val="center"/>
          </w:tcPr>
          <w:p w14:paraId="09023F9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《食品生产经营日常监督检查管理办法》</w:t>
            </w:r>
          </w:p>
          <w:p w14:paraId="285E31B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第三十九条 市场监督管理部门应当于检查结果信息形成后20个工作日内向社会公开。检查结果对消费者有重要影响的，食品生产经营者应当按照规定在食品生产经营场所醒目位置张贴或者公开展示监督检查结果记录表，并保持至下次监督检查。有条件的可以通过电子屏幕等信息化方式向消费者展示监督检查结果记录表。</w:t>
            </w:r>
          </w:p>
          <w:p w14:paraId="405C802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第四十八条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食品生产经营者未按照规定在显著位置张贴或者公开展示相关监督检查结果记录表，撕毁、涂改监督检查结果记录表，或者未保持日常监督检查结果记录表至下次日常监督检查的，由县级以上地方市场监督管理部门责令改正；拒不改正的，给予警告，可以并处5000元以上5万元以下罚款。</w:t>
            </w:r>
          </w:p>
        </w:tc>
        <w:tc>
          <w:tcPr>
            <w:tcW w:w="1140" w:type="dxa"/>
            <w:noWrap w:val="0"/>
            <w:vAlign w:val="center"/>
          </w:tcPr>
          <w:p w14:paraId="635438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290FB5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按规定公示对消费者有重要影响的监督检查结果记录表</w:t>
            </w:r>
          </w:p>
        </w:tc>
        <w:tc>
          <w:tcPr>
            <w:tcW w:w="1624" w:type="dxa"/>
            <w:noWrap w:val="0"/>
            <w:vAlign w:val="center"/>
          </w:tcPr>
          <w:p w14:paraId="08E59F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28277A9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779B7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D7E38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4</w:t>
            </w:r>
          </w:p>
        </w:tc>
        <w:tc>
          <w:tcPr>
            <w:tcW w:w="1542" w:type="dxa"/>
            <w:noWrap w:val="0"/>
            <w:vAlign w:val="center"/>
          </w:tcPr>
          <w:p w14:paraId="009CA96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制定从业人员健康管理制度。</w:t>
            </w:r>
          </w:p>
        </w:tc>
        <w:tc>
          <w:tcPr>
            <w:tcW w:w="2251" w:type="dxa"/>
            <w:noWrap w:val="0"/>
            <w:vAlign w:val="center"/>
          </w:tcPr>
          <w:p w14:paraId="0BF944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安排患有国务院卫生行政部门规定的有碍食品安全疾病的人员从事接触直接入口食品的工作、安排未取得健康证明的人员从事接触直接入口食品的工作。</w:t>
            </w:r>
          </w:p>
        </w:tc>
        <w:tc>
          <w:tcPr>
            <w:tcW w:w="3640" w:type="dxa"/>
            <w:noWrap w:val="0"/>
            <w:vAlign w:val="center"/>
          </w:tcPr>
          <w:p w14:paraId="61576A7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59DCD33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第四十五条 食品生产经营者应当建立并执行从业人员健康管理制度。患有国务院卫生行政部门规定的有碍食品安全疾病的人员，不得从事接触直接入口食品的工作。从事接触直接入口食品工作的食品生产经营人员应当每年进行健康检查，取得健康证明后方可上岗工作。</w:t>
            </w:r>
          </w:p>
          <w:p w14:paraId="3D167F8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二)食品生产经营企业未按规定建立食品安全管理制度，或者未按规定配备或者培训、考核食品安全管理人员；</w:t>
            </w:r>
          </w:p>
        </w:tc>
        <w:tc>
          <w:tcPr>
            <w:tcW w:w="1140" w:type="dxa"/>
            <w:noWrap w:val="0"/>
            <w:vAlign w:val="center"/>
          </w:tcPr>
          <w:p w14:paraId="5367F1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0DB34DE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1.建立并不断完善健全食品安全管理制度。</w:t>
            </w:r>
          </w:p>
          <w:p w14:paraId="1B16418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2.有每日健康检查(晨检)记录。</w:t>
            </w:r>
          </w:p>
          <w:p w14:paraId="7EA7E57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3.从事接触直接入口食品工作的从业人员持有有效的健康证明，未患有碍食品安全病症或手部有伤口。</w:t>
            </w:r>
          </w:p>
        </w:tc>
        <w:tc>
          <w:tcPr>
            <w:tcW w:w="1624" w:type="dxa"/>
            <w:noWrap w:val="0"/>
            <w:vAlign w:val="center"/>
          </w:tcPr>
          <w:p w14:paraId="79EA856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1DC0B09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5F07C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6AFFBF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5</w:t>
            </w:r>
          </w:p>
        </w:tc>
        <w:tc>
          <w:tcPr>
            <w:tcW w:w="1542" w:type="dxa"/>
            <w:noWrap w:val="0"/>
            <w:vAlign w:val="center"/>
          </w:tcPr>
          <w:p w14:paraId="4BC51C1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建立健全食品安全管理制度，对职工进行食品安全知识培训</w:t>
            </w:r>
          </w:p>
        </w:tc>
        <w:tc>
          <w:tcPr>
            <w:tcW w:w="2251" w:type="dxa"/>
            <w:noWrap w:val="0"/>
            <w:vAlign w:val="center"/>
          </w:tcPr>
          <w:p w14:paraId="19E0D2C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未建立健全食品安全管理制度；未进行相应的食品安全培训；未配备食品安全管理人员并对其培训和考核</w:t>
            </w:r>
          </w:p>
        </w:tc>
        <w:tc>
          <w:tcPr>
            <w:tcW w:w="3640" w:type="dxa"/>
            <w:noWrap w:val="0"/>
            <w:vAlign w:val="top"/>
          </w:tcPr>
          <w:p w14:paraId="6363D6D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1727C8D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第四十四条 食品生产经营企业应当建立健全食品安全管理制度，对职工进行食品安全知识培训，加强食品检验工作，依法从事生产经营活动。</w:t>
            </w:r>
          </w:p>
          <w:p w14:paraId="0E1F1F2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食品生产经营企业的主要负责人应当落实企业食品安全管理制度，对本企业的食品安全工作全面负责。</w:t>
            </w:r>
          </w:p>
          <w:p w14:paraId="265677F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生产经营企业应当配备食品安全管理人员，加强对其培训和考核。经考核不具备食品安全管理能力的，不得上岗。食品安全监督管理部门应当对企业食品安全管理人员随机进行监督抽查考核并公布考核情况。监督抽查考核不得收取费用。</w:t>
            </w:r>
          </w:p>
          <w:p w14:paraId="05E13E2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二)食品生产经营企业未按规定建立食品安全管理制度，或者未按规定配备或者培训、考核食品安全管理人员：</w:t>
            </w:r>
          </w:p>
        </w:tc>
        <w:tc>
          <w:tcPr>
            <w:tcW w:w="1140" w:type="dxa"/>
            <w:noWrap w:val="0"/>
            <w:vAlign w:val="center"/>
          </w:tcPr>
          <w:p w14:paraId="59628B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7AA4E11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1.建立健全食品安全管理制度。</w:t>
            </w:r>
          </w:p>
          <w:p w14:paraId="3C4F882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2.开展相应的食品安全培训。</w:t>
            </w:r>
          </w:p>
          <w:p w14:paraId="1D856DB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3.按要求对食品安全管理人员抽查考核食品安全知识，结果符合要求。</w:t>
            </w:r>
          </w:p>
        </w:tc>
        <w:tc>
          <w:tcPr>
            <w:tcW w:w="1624" w:type="dxa"/>
            <w:noWrap w:val="0"/>
            <w:vAlign w:val="center"/>
          </w:tcPr>
          <w:p w14:paraId="441F150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2B7D4F6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107F0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3D2C54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6</w:t>
            </w:r>
          </w:p>
        </w:tc>
        <w:tc>
          <w:tcPr>
            <w:tcW w:w="1542" w:type="dxa"/>
            <w:noWrap w:val="0"/>
            <w:vAlign w:val="center"/>
          </w:tcPr>
          <w:p w14:paraId="076134D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随机抽查的食品、食品添加剂、食品相关产品有进货查验记录和合格证明文件。</w:t>
            </w:r>
          </w:p>
        </w:tc>
        <w:tc>
          <w:tcPr>
            <w:tcW w:w="2251" w:type="dxa"/>
            <w:noWrap w:val="0"/>
            <w:vAlign w:val="center"/>
          </w:tcPr>
          <w:p w14:paraId="65ADCB5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1.未查验供货者的许可证和食品出厂检验合格证明或其他合格证明。</w:t>
            </w:r>
          </w:p>
          <w:p w14:paraId="1FE2584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2.未建立进货查验记录制度和保存合格证明文件。</w:t>
            </w:r>
          </w:p>
        </w:tc>
        <w:tc>
          <w:tcPr>
            <w:tcW w:w="3640" w:type="dxa"/>
            <w:noWrap w:val="0"/>
            <w:vAlign w:val="top"/>
          </w:tcPr>
          <w:p w14:paraId="2A5213C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41CCB3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第五十三条 食品经营者采购食品，应当查验供货者的许可证和食品出厂检验合格证或者其他合格证明(以下称合格证明文件)。食品经营企业应当建立食品进货查验记录制度，如实记录食品的名称、规格、数量、生产日期或者生产批号、保质期、进货日期以及供货者名称、地址、联系方式等内容，并保存相关凭证。记录和凭证保存期限应当符合本法第五十条第二款的规定。</w:t>
            </w:r>
          </w:p>
          <w:p w14:paraId="211B943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实行统一配送经营方式的食品经营企业，可以由企业总部统一查验供货者的许可证和食品合格证明文件，进行食品进货查验记录。</w:t>
            </w:r>
          </w:p>
          <w:p w14:paraId="7C26EF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从事食品批发业务的经营企业应当建立食品销售记录制度，如实记录批发食品的名称、规格、数量、生产日期或者生产批号、保质期、销售日期以及购货者名称、地址、联系方式等内容，并保存相关凭证。记录和凭证保存期限应当符合本法第五十条第二款的规定。</w:t>
            </w:r>
          </w:p>
          <w:p w14:paraId="6529A3F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生产企业应当建立食品原料、食品添加剂、食品相关产品进货查验记录制度，如实记录食品原料、食品添加剂、食品相关产品的名称、规格、数量、生产日期或者生产批号、保质期、进货日期以及供货者名称、地址、联系方式等内容，并保存相关凭证。记录和凭证保存期限不得少于产品保质期满后六个月；没有明确保质期的，保存期限不得少于二年。</w:t>
            </w:r>
          </w:p>
          <w:p w14:paraId="018CC08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三)食品、食品添加剂生产经营者进货时未查验许可证和相关证明文件，或者未按规定建立并遵守进货查验记录、出厂检验记录和销售记录制度；</w:t>
            </w:r>
          </w:p>
          <w:p w14:paraId="310D174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第一百三十六条 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w:t>
            </w:r>
          </w:p>
        </w:tc>
        <w:tc>
          <w:tcPr>
            <w:tcW w:w="1140" w:type="dxa"/>
            <w:noWrap w:val="0"/>
            <w:vAlign w:val="center"/>
          </w:tcPr>
          <w:p w14:paraId="6CD4F9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5E33FB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1.应当建立食品进货查验记录制度，明确进货查验的方式、内容、项目、负责人、记录方式内容、相关记录和凭证保存等要求。</w:t>
            </w:r>
          </w:p>
          <w:p w14:paraId="15ECE4C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2.应当查验供货者的许可证和食品出厂检验合格证明或其他合格证明。</w:t>
            </w:r>
          </w:p>
          <w:p w14:paraId="60F4721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3.应当记录所采购食品、食品添加剂的名称、规格、数量、生产日期或者生产批号、保质期、进货日期以及供货者名称、地址、联系方式等内容，并保存相关凭证，以确保产品可追溯、责任可追究。</w:t>
            </w:r>
          </w:p>
        </w:tc>
        <w:tc>
          <w:tcPr>
            <w:tcW w:w="1624" w:type="dxa"/>
            <w:noWrap w:val="0"/>
            <w:vAlign w:val="center"/>
          </w:tcPr>
          <w:p w14:paraId="7E5D7A2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1C6CDFD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2E89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8BF368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7</w:t>
            </w:r>
          </w:p>
        </w:tc>
        <w:tc>
          <w:tcPr>
            <w:tcW w:w="1542" w:type="dxa"/>
            <w:noWrap w:val="0"/>
            <w:vAlign w:val="center"/>
          </w:tcPr>
          <w:p w14:paraId="650F92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未使用超过保质期的食品原料、食品添加剂等制作食品</w:t>
            </w:r>
          </w:p>
        </w:tc>
        <w:tc>
          <w:tcPr>
            <w:tcW w:w="2251" w:type="dxa"/>
            <w:noWrap w:val="0"/>
            <w:vAlign w:val="center"/>
          </w:tcPr>
          <w:p w14:paraId="658D93B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用超过保质期的食品原料、食品添加剂等制作食品</w:t>
            </w:r>
          </w:p>
        </w:tc>
        <w:tc>
          <w:tcPr>
            <w:tcW w:w="3640" w:type="dxa"/>
            <w:noWrap w:val="0"/>
            <w:vAlign w:val="center"/>
          </w:tcPr>
          <w:p w14:paraId="283AC86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55519FF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第三十四条 禁止生产经营下列食品、食品添加剂、食品相关产品：</w:t>
            </w:r>
          </w:p>
          <w:p w14:paraId="2B211B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(三)用超过保质期的食品原料、食品添加剂生产的食品、食品添加剂；</w:t>
            </w:r>
          </w:p>
          <w:p w14:paraId="1C28096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第一百二十四条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5C53595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(二)用超过保质期的食品原料、食品添加剂生产食品、食品添加剂，或者经营上述食品、食品添加剂；</w:t>
            </w:r>
          </w:p>
        </w:tc>
        <w:tc>
          <w:tcPr>
            <w:tcW w:w="1140" w:type="dxa"/>
            <w:noWrap w:val="0"/>
            <w:vAlign w:val="center"/>
          </w:tcPr>
          <w:p w14:paraId="32D4200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2A404F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1.应当建立食品原料、食品添加剂管理制度，定期对食品原料、食品添加剂进行清理.</w:t>
            </w:r>
          </w:p>
          <w:p w14:paraId="40B3821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2.按照先进先出、先用的原则使用食品原料、食品添加剂。</w:t>
            </w:r>
          </w:p>
          <w:p w14:paraId="2FA6BEF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3.存在感官形状异常、超过保质期情形的，应及时清理。</w:t>
            </w:r>
          </w:p>
        </w:tc>
        <w:tc>
          <w:tcPr>
            <w:tcW w:w="1624" w:type="dxa"/>
            <w:noWrap w:val="0"/>
            <w:vAlign w:val="center"/>
          </w:tcPr>
          <w:p w14:paraId="7BCFB3F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1F59FC3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1C8E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88646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8</w:t>
            </w:r>
          </w:p>
        </w:tc>
        <w:tc>
          <w:tcPr>
            <w:tcW w:w="1542" w:type="dxa"/>
            <w:noWrap w:val="0"/>
            <w:vAlign w:val="center"/>
          </w:tcPr>
          <w:p w14:paraId="3CA9D0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不得经营超范围、超限量使用食品添加剂的食品</w:t>
            </w:r>
          </w:p>
        </w:tc>
        <w:tc>
          <w:tcPr>
            <w:tcW w:w="2251" w:type="dxa"/>
            <w:noWrap w:val="0"/>
            <w:vAlign w:val="center"/>
          </w:tcPr>
          <w:p w14:paraId="5A775E5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经营超范围、超限量使用食品添加剂的食品</w:t>
            </w:r>
          </w:p>
        </w:tc>
        <w:tc>
          <w:tcPr>
            <w:tcW w:w="3640" w:type="dxa"/>
            <w:noWrap w:val="0"/>
            <w:vAlign w:val="center"/>
          </w:tcPr>
          <w:p w14:paraId="0181D59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73E338F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第三十四条 禁止生产经营下列食品、食品添加剂、食品相关产品：(四)超范围、超限量使用食品添加剂的食品；</w:t>
            </w:r>
          </w:p>
          <w:p w14:paraId="538C30D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第一百二十四条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14:paraId="67B1C05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(三)生产经营超范围、超限量使用食品添加剂的食品；</w:t>
            </w:r>
          </w:p>
        </w:tc>
        <w:tc>
          <w:tcPr>
            <w:tcW w:w="1140" w:type="dxa"/>
            <w:noWrap w:val="0"/>
            <w:vAlign w:val="center"/>
          </w:tcPr>
          <w:p w14:paraId="1A7E5F0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48099E6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1.按照《食品安全国家标准食品添加剂使用标准》规定的食品添加剂品种、使用范围、使用量，使用食品添加剂。</w:t>
            </w:r>
          </w:p>
          <w:p w14:paraId="10B499B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2.食品添加剂由专人负责保管、领用、登记并有相关的使用记录。专册记录使用的食品添加剂名称、生产日期或批号、添加的食品品种、添加量、添加时间、操作人员等信息，加强食品添加剂使用管理。</w:t>
            </w:r>
          </w:p>
          <w:p w14:paraId="4F666F4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3.拆包后的食品添加剂，应在盛放容器上标明食品添加剂名称等，并保留原包装。</w:t>
            </w:r>
          </w:p>
        </w:tc>
        <w:tc>
          <w:tcPr>
            <w:tcW w:w="1624" w:type="dxa"/>
            <w:noWrap w:val="0"/>
            <w:vAlign w:val="center"/>
          </w:tcPr>
          <w:p w14:paraId="5A76831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5A186E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738AB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F35A2F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9</w:t>
            </w:r>
          </w:p>
        </w:tc>
        <w:tc>
          <w:tcPr>
            <w:tcW w:w="1542" w:type="dxa"/>
            <w:noWrap w:val="0"/>
            <w:vAlign w:val="center"/>
          </w:tcPr>
          <w:p w14:paraId="65A9EC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食品操作人员保持个人卫生，未将手洗净并穿戴清洁的工作衣、帽等。</w:t>
            </w:r>
          </w:p>
        </w:tc>
        <w:tc>
          <w:tcPr>
            <w:tcW w:w="2251" w:type="dxa"/>
            <w:noWrap w:val="0"/>
            <w:vAlign w:val="center"/>
          </w:tcPr>
          <w:p w14:paraId="016CB47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食品操作人员未保持个人卫生，未将手洗净并穿戴清洁的工作衣、帽等。</w:t>
            </w:r>
          </w:p>
        </w:tc>
        <w:tc>
          <w:tcPr>
            <w:tcW w:w="3640" w:type="dxa"/>
            <w:noWrap w:val="0"/>
            <w:vAlign w:val="top"/>
          </w:tcPr>
          <w:p w14:paraId="7E8FB95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609B78B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第三十三条 食品生产经营应当符合食品安全标准，并符合下列要求：(八)食品生产经营人员应当保持个人卫生，生产经营食品时，应当将手洗净，穿戴清洁的工作衣、帽等；销售无包装的直接入口食品时，应当使用无毒、清洁的容器、售货工具和设备；</w:t>
            </w:r>
          </w:p>
          <w:p w14:paraId="4533967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 (十三)食品生产企业、餐饮服务提供者未按规定制定、实施生产经营过程控制要求。</w:t>
            </w:r>
          </w:p>
          <w:p w14:paraId="38E495B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《中华人民共和国食品安全法实施条例》</w:t>
            </w:r>
          </w:p>
          <w:p w14:paraId="10998D8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第七十条 除食品安全法第一百二十五条第一款、第一百二十六条规定的情形外，食品生产经营者的生产经营行为不符合食品安全法第三十三条第一款第五项、第七项至第十项的规定，或者不符合有关食品生产经营过程要求的食品安全国家标准的，依照食品安全法第一百二十六条第一款、本条例第七</w:t>
            </w:r>
            <w:r>
              <w:rPr>
                <w:rFonts w:hint="eastAsia" w:ascii="BMHBIL+SimSun" w:hAnsi="BMHBIL+SimSun" w:cs="BMHBIL+SimSun" w:eastAsiaTheme="minorEastAsia"/>
                <w:color w:val="000000"/>
                <w:spacing w:val="1"/>
                <w:kern w:val="2"/>
                <w:sz w:val="20"/>
                <w:szCs w:val="20"/>
                <w:highlight w:val="none"/>
                <w:lang w:val="en-US" w:eastAsia="zh-CN" w:bidi="ar-SA"/>
              </w:rPr>
              <w:t>十五条的规定给予处罚。</w:t>
            </w:r>
          </w:p>
        </w:tc>
        <w:tc>
          <w:tcPr>
            <w:tcW w:w="1140" w:type="dxa"/>
            <w:noWrap w:val="0"/>
            <w:vAlign w:val="center"/>
          </w:tcPr>
          <w:p w14:paraId="3CC66D1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6F0A62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1.组织从业人员进行食品安全知识培训。</w:t>
            </w:r>
          </w:p>
          <w:p w14:paraId="1290044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2.从业人员穿戴清洁的工作衣帽，双手清洁，保持个人卫生，专间和专用操作区内的操作人员还应当穿戴专用工作服，并佩戴口罩。</w:t>
            </w:r>
          </w:p>
        </w:tc>
        <w:tc>
          <w:tcPr>
            <w:tcW w:w="1624" w:type="dxa"/>
            <w:noWrap w:val="0"/>
            <w:vAlign w:val="center"/>
          </w:tcPr>
          <w:p w14:paraId="329994F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050F4D0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21CFA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1947EC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10</w:t>
            </w:r>
          </w:p>
        </w:tc>
        <w:tc>
          <w:tcPr>
            <w:tcW w:w="1542" w:type="dxa"/>
            <w:noWrap w:val="0"/>
            <w:vAlign w:val="center"/>
          </w:tcPr>
          <w:p w14:paraId="3E792E9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应当建立食品安全自查制度</w:t>
            </w:r>
          </w:p>
        </w:tc>
        <w:tc>
          <w:tcPr>
            <w:tcW w:w="2251" w:type="dxa"/>
            <w:noWrap w:val="0"/>
            <w:vAlign w:val="center"/>
          </w:tcPr>
          <w:p w14:paraId="7A4DAC7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餐饮服务提供者未建立食品安全自查制度并定期对食品安全状况进行检查评价，或经营条件发生变化未按规定处理。</w:t>
            </w:r>
          </w:p>
        </w:tc>
        <w:tc>
          <w:tcPr>
            <w:tcW w:w="3640" w:type="dxa"/>
            <w:noWrap w:val="0"/>
            <w:vAlign w:val="center"/>
          </w:tcPr>
          <w:p w14:paraId="2070ADF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371CDA4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第四十七条 食品生产经营者应当建立食品安全自查制度，定期对食品安全状况进行检查评价。生产经营条件发生变化，不再符合食品安全要求的，食品生产经营者应当立即采取整改措施；有发生食品安全事故潜在风险的，应当立即停止食品生产经营活动，并向所在地县级人民政府食品安全监督管理部门报告。</w:t>
            </w:r>
          </w:p>
          <w:p w14:paraId="127E3BD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第一百二十六条第一款第十一项 违反本法规定，有下列情形之一的，由县级以上人民政府食品安全监督管理部门责令改正，给予警告；拒不改正的，处五千元以上五万元以下罚款：情节严重的，责令停产停业，直至吊销许可证：(十一)食品生产经营者未定期对食品安全状况进行检查评价，或者生产经营条件发生变化，未按规定处理。</w:t>
            </w:r>
          </w:p>
        </w:tc>
        <w:tc>
          <w:tcPr>
            <w:tcW w:w="1140" w:type="dxa"/>
            <w:noWrap w:val="0"/>
            <w:vAlign w:val="center"/>
          </w:tcPr>
          <w:p w14:paraId="0940B9F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089475C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应当建立食品安全自查制度，结合经营实际，全面分析经营过程中的食品安全危害因素和风险点，确定食品安全自查项目和要求，建立自查清单，制定自查计划。定期对食品安全状况进行检查评价。生产经营条件发生变化，不再符合食品安全要求的，食品经营者应当立即采取整改措施。</w:t>
            </w:r>
          </w:p>
          <w:p w14:paraId="556349F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2.有发生食品安全事故潜在风险的，应当立即停止食品生产经营活动，并向所在地县级人民政府食品安全监督管理部门报告。</w:t>
            </w:r>
          </w:p>
        </w:tc>
        <w:tc>
          <w:tcPr>
            <w:tcW w:w="1624" w:type="dxa"/>
            <w:noWrap w:val="0"/>
            <w:vAlign w:val="center"/>
          </w:tcPr>
          <w:p w14:paraId="03583A9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594A68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5C751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8C84E2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11</w:t>
            </w:r>
          </w:p>
        </w:tc>
        <w:tc>
          <w:tcPr>
            <w:tcW w:w="1542" w:type="dxa"/>
            <w:noWrap w:val="0"/>
            <w:vAlign w:val="center"/>
          </w:tcPr>
          <w:p w14:paraId="1CDC577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严格执行留样制度</w:t>
            </w:r>
          </w:p>
        </w:tc>
        <w:tc>
          <w:tcPr>
            <w:tcW w:w="2251" w:type="dxa"/>
            <w:noWrap w:val="0"/>
            <w:vAlign w:val="center"/>
          </w:tcPr>
          <w:p w14:paraId="2FFC39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未按规定进行留样</w:t>
            </w:r>
          </w:p>
        </w:tc>
        <w:tc>
          <w:tcPr>
            <w:tcW w:w="3640" w:type="dxa"/>
            <w:noWrap w:val="0"/>
            <w:vAlign w:val="top"/>
          </w:tcPr>
          <w:p w14:paraId="25FE33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r>
              <w:rPr>
                <w:rFonts w:hint="eastAsia" w:ascii="BMHBIL+SimSun" w:hAnsi="BMHBIL+SimSun" w:cs="BMHBIL+SimSun" w:eastAsiaTheme="minorEastAsia"/>
                <w:color w:val="000000"/>
                <w:spacing w:val="1"/>
                <w:kern w:val="2"/>
                <w:sz w:val="20"/>
                <w:szCs w:val="20"/>
                <w:highlight w:val="none"/>
                <w:lang w:val="en-US" w:eastAsia="zh-CN" w:bidi="ar-SA"/>
              </w:rPr>
              <w:t>中</w:t>
            </w:r>
            <w:r>
              <w:rPr>
                <w:rFonts w:hint="default" w:ascii="BMHBIL+SimSun" w:hAnsi="BMHBIL+SimSun" w:cs="BMHBIL+SimSun" w:eastAsiaTheme="minorEastAsia"/>
                <w:color w:val="000000"/>
                <w:spacing w:val="1"/>
                <w:kern w:val="2"/>
                <w:sz w:val="20"/>
                <w:szCs w:val="20"/>
                <w:highlight w:val="none"/>
                <w:lang w:val="en-US" w:eastAsia="zh-CN" w:bidi="ar-SA"/>
              </w:rPr>
              <w:t>华人民共和国食品安全法》</w:t>
            </w:r>
          </w:p>
          <w:p w14:paraId="4CF939A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第五十七条 学校、托幼机构、养老机构、建筑工地等集中用餐单位的食堂应当严格遵守法律、法规和食品安全标准；从供餐单位订餐的，应当从取得食品生产经营许可的企业订购，并按照要求对订购的食品进行查验。供餐单位应当严格遵守法律、法规和食品安全标准，当餐加工，确保食品安全。</w:t>
            </w:r>
          </w:p>
          <w:p w14:paraId="405FE2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《中华人民共和国食品安全法实施条例》</w:t>
            </w:r>
          </w:p>
          <w:p w14:paraId="6F57DD0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第二十八条 学校、托幼机构、养老机构、建筑工地等集中用餐单位的食堂应当执行原料控制、餐具饮具清洗消毒、食品留样等制度，并依照食品安全法第四十七条的规定定期开展食堂食品安全自查。</w:t>
            </w:r>
          </w:p>
          <w:p w14:paraId="5C607E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第七十条 除食品安全法第一百二十五条第一款、第一百二十六条规定的情形外，食品生产经营者的生产经营行为不符合食品安全法第三十三条第一款第五项、第七项至第十项的规定，或者不符合有关食品生产经营过程要求的食品安全国家标准的，依照食品安全法第一百二十六条第一款、本条例第七十五条的规定给予处罚。</w:t>
            </w:r>
          </w:p>
          <w:p w14:paraId="0B6B126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459F4D1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十三)食品生产企业、餐饮服务提供者未按规定制定、实施生产经营过程控制要求。</w:t>
            </w:r>
          </w:p>
          <w:p w14:paraId="5136D9B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《学校食品安全与营养健康管理规定》第四十条 中小学、幼儿园食堂应当对每餐次加工制作的每种食品成品进行留样，每个品种留样量应当满足检验需要，不得少于125克，并记录留样食品名称、留样量、留样时间、留样人员等。留样食品应当由专柜冷藏保存48小时以上。</w:t>
            </w:r>
          </w:p>
          <w:p w14:paraId="633B6F7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高等学校食堂加工制作的大型活动集体用餐，批量制售的执食非照做即售的执食，冷食</w:t>
            </w:r>
            <w:r>
              <w:rPr>
                <w:rFonts w:hint="eastAsia" w:ascii="BMHBIL+SimSun" w:hAnsi="BMHBIL+SimSun" w:cs="BMHBIL+SimSun" w:eastAsiaTheme="minorEastAsia"/>
                <w:color w:val="000000"/>
                <w:spacing w:val="1"/>
                <w:kern w:val="2"/>
                <w:sz w:val="20"/>
                <w:szCs w:val="20"/>
                <w:highlight w:val="none"/>
                <w:lang w:val="en-US" w:eastAsia="zh-CN" w:bidi="ar-SA"/>
              </w:rPr>
              <w:t>类</w:t>
            </w:r>
            <w:r>
              <w:rPr>
                <w:rFonts w:hint="default" w:ascii="BMHBIL+SimSun" w:hAnsi="BMHBIL+SimSun" w:cs="BMHBIL+SimSun" w:eastAsiaTheme="minorEastAsia"/>
                <w:color w:val="000000"/>
                <w:spacing w:val="1"/>
                <w:kern w:val="2"/>
                <w:sz w:val="20"/>
                <w:szCs w:val="20"/>
                <w:highlight w:val="none"/>
                <w:lang w:val="en-US" w:eastAsia="zh-CN" w:bidi="ar-SA"/>
              </w:rPr>
              <w:t>食品 ，生食</w:t>
            </w:r>
            <w:r>
              <w:rPr>
                <w:rFonts w:hint="eastAsia" w:ascii="BMHBIL+SimSun" w:hAnsi="BMHBIL+SimSun" w:cs="BMHBIL+SimSun" w:eastAsiaTheme="minorEastAsia"/>
                <w:color w:val="000000"/>
                <w:spacing w:val="1"/>
                <w:kern w:val="2"/>
                <w:sz w:val="20"/>
                <w:szCs w:val="20"/>
                <w:highlight w:val="none"/>
                <w:lang w:val="en-US" w:eastAsia="zh-CN" w:bidi="ar-SA"/>
              </w:rPr>
              <w:t>类</w:t>
            </w:r>
            <w:r>
              <w:rPr>
                <w:rFonts w:hint="default" w:ascii="BMHBIL+SimSun" w:hAnsi="BMHBIL+SimSun" w:cs="BMHBIL+SimSun" w:eastAsiaTheme="minorEastAsia"/>
                <w:color w:val="000000"/>
                <w:spacing w:val="1"/>
                <w:kern w:val="2"/>
                <w:sz w:val="20"/>
                <w:szCs w:val="20"/>
                <w:highlight w:val="none"/>
                <w:lang w:val="en-US" w:eastAsia="zh-CN" w:bidi="ar-SA"/>
              </w:rPr>
              <w:t>食品 ，祛花蛋糕应当按照前款规定留样，其他加工食品根据相关规定留样。</w:t>
            </w:r>
          </w:p>
          <w:p w14:paraId="0417A13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第五十六条 违反本规定第四十条，学校食堂(或者供餐单位)未按要求留样的，由县级以上人民政府食品安全监督管理部门责令改正，给予警告；拒不改正的，处5000元以上3万元以下罚款。</w:t>
            </w:r>
          </w:p>
        </w:tc>
        <w:tc>
          <w:tcPr>
            <w:tcW w:w="1140" w:type="dxa"/>
            <w:noWrap w:val="0"/>
            <w:vAlign w:val="center"/>
          </w:tcPr>
          <w:p w14:paraId="5C9FB21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7D3B26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w:t>
            </w:r>
            <w:r>
              <w:rPr>
                <w:rFonts w:hint="default" w:ascii="BMHBIL+SimSun" w:hAnsi="BMHBIL+SimSun" w:cs="BMHBIL+SimSun" w:eastAsiaTheme="minorEastAsia"/>
                <w:color w:val="000000"/>
                <w:spacing w:val="1"/>
                <w:kern w:val="2"/>
                <w:sz w:val="20"/>
                <w:szCs w:val="20"/>
                <w:highlight w:val="none"/>
                <w:lang w:val="en-US" w:eastAsia="zh-CN" w:bidi="ar-SA"/>
              </w:rPr>
              <w:t>学校(含托幼机构)食堂、集体用餐配送单位应按规定留样。</w:t>
            </w:r>
          </w:p>
          <w:p w14:paraId="5CE9DB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2.应将留样食品按照品种分别盛放于清洗消毒后的专用密闭容器内，在专用冷藏设备中冷藏存放48小时以上。每个品种的留样量应能满足检验检测需要，且不少于125g。</w:t>
            </w:r>
          </w:p>
          <w:p w14:paraId="7896047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3.在盛放留样食品的容器上应标注留样食品名称、留样时间(月、日、时)，或者标注与留样记录相对应的标识。</w:t>
            </w:r>
          </w:p>
          <w:p w14:paraId="661412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4.应由专人管理留样食品、记录留样情况，记录内容包括留样食品名称、留样时间(月、日、时)、留样人员等。</w:t>
            </w:r>
          </w:p>
        </w:tc>
        <w:tc>
          <w:tcPr>
            <w:tcW w:w="1624" w:type="dxa"/>
            <w:noWrap w:val="0"/>
            <w:vAlign w:val="center"/>
          </w:tcPr>
          <w:p w14:paraId="33EEA5E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2B3BD1A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31627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1F7B2C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180" w:firstLineChars="100"/>
              <w:jc w:val="both"/>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12</w:t>
            </w:r>
          </w:p>
        </w:tc>
        <w:tc>
          <w:tcPr>
            <w:tcW w:w="1542" w:type="dxa"/>
            <w:noWrap w:val="0"/>
            <w:vAlign w:val="center"/>
          </w:tcPr>
          <w:p w14:paraId="16A5A28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有害生物防制措施完备且有效</w:t>
            </w:r>
          </w:p>
        </w:tc>
        <w:tc>
          <w:tcPr>
            <w:tcW w:w="2251" w:type="dxa"/>
            <w:noWrap w:val="0"/>
            <w:vAlign w:val="center"/>
          </w:tcPr>
          <w:p w14:paraId="0651F91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未配齐配足有害生物防制措施</w:t>
            </w:r>
          </w:p>
        </w:tc>
        <w:tc>
          <w:tcPr>
            <w:tcW w:w="3640" w:type="dxa"/>
            <w:noWrap w:val="0"/>
            <w:vAlign w:val="center"/>
          </w:tcPr>
          <w:p w14:paraId="0769E86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113E3A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第三十三条 食品生产经营应当符合食品安全标准，并符合下列要求：具有与生产经营的食品品种、数量相适应的生产经营设备或者设施，有相应的消毒、更衣、盥洗、采光、照明、通风、防腐、防尘、防蝇、防鼠、防虫、洗涤以及处理废水、存放垃圾和废弃物的设备或者设施；</w:t>
            </w:r>
          </w:p>
          <w:p w14:paraId="761F2AB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 (十三)食品生产企业、餐饮服务提供者未按规定制定、实施生产经营过程控制要求。</w:t>
            </w:r>
          </w:p>
          <w:p w14:paraId="6EB1147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《中华人民共和国食品安全法实施条例》</w:t>
            </w:r>
          </w:p>
          <w:p w14:paraId="1F23DBD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第七十条 除食品安全法第一百二十五条第一款、第一百二十六条规定的情形外，食品生产经营者的生产经营行为不符合食品安全法第三十三条第一款第五项、第七项至第十项的规定，或者不符合有关食品生产经营过程要求的食品安全国家标准的，依照食品安全法第一百二十六条第一款、本条例第七十五条的规定给予处罚。</w:t>
            </w:r>
          </w:p>
          <w:p w14:paraId="18C47D1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7A073F1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EBC3BB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有害生物防制措施有效，不存在明显的有害生物活动迹象。集体用餐配送单位、学校 (含托幼机构)食堂有定期除虫灭害记录。</w:t>
            </w:r>
          </w:p>
        </w:tc>
        <w:tc>
          <w:tcPr>
            <w:tcW w:w="1624" w:type="dxa"/>
            <w:noWrap w:val="0"/>
            <w:vAlign w:val="center"/>
          </w:tcPr>
          <w:p w14:paraId="097514A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34B45A8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39F2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74CE78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13</w:t>
            </w:r>
          </w:p>
        </w:tc>
        <w:tc>
          <w:tcPr>
            <w:tcW w:w="1542" w:type="dxa"/>
            <w:noWrap w:val="0"/>
            <w:vAlign w:val="center"/>
          </w:tcPr>
          <w:p w14:paraId="6B67B1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餐具、饮具和盛放直接入口食品的容器，使用前应当洗净、消毒。</w:t>
            </w:r>
          </w:p>
        </w:tc>
        <w:tc>
          <w:tcPr>
            <w:tcW w:w="2251" w:type="dxa"/>
            <w:noWrap w:val="0"/>
            <w:vAlign w:val="center"/>
          </w:tcPr>
          <w:p w14:paraId="21A30BE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未对餐饮具进行消毒或消毒不彻底。</w:t>
            </w:r>
          </w:p>
        </w:tc>
        <w:tc>
          <w:tcPr>
            <w:tcW w:w="3640" w:type="dxa"/>
            <w:noWrap w:val="0"/>
            <w:vAlign w:val="top"/>
          </w:tcPr>
          <w:p w14:paraId="07E2FD9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第五十六条 餐饮服务提供者应当定期维护食品加工、贮存、陈列等设施、设备；定期清洗、校验保温设施及冷藏、冷冻设施。</w:t>
            </w:r>
          </w:p>
          <w:p w14:paraId="15005C6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餐饮服务提供者应当按照要求对餐具、饮具进行清洗消毒，不得使用未经清洗消毒的餐具、饮具；餐饮服务提供者委托清洗消毒餐具、饮具的，应当委托符合本法规定条件的餐具、饮具集中消毒服务单位。</w:t>
            </w:r>
          </w:p>
          <w:p w14:paraId="21040C4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w:t>
            </w:r>
          </w:p>
          <w:p w14:paraId="7027955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第一百二十六条第一款第五项 违反本法规定，有下列情形之一的，由县级以上人民政府食品药品监督管理部门责令改正，给予警告；拒不改正的，处五千元以上五万元以下罚款；情节严重的，责令停产停业，直至吊销许可证：(五)餐具、饮具和盛放直接入口食品的容器，使用前未经洗净、消毒或者清洗消毒不合格，或者餐饮服务设施、设备未按规定定期维护、清洗、校验。</w:t>
            </w:r>
          </w:p>
          <w:p w14:paraId="31808BB8">
            <w:pPr>
              <w:rPr>
                <w:rFonts w:hint="default" w:ascii="BMHBIL+SimSun" w:hAnsi="BMHBIL+SimSun" w:cs="BMHBIL+SimSun" w:eastAsiaTheme="minorEastAsia"/>
                <w:color w:val="000000"/>
                <w:spacing w:val="1"/>
                <w:kern w:val="2"/>
                <w:sz w:val="20"/>
                <w:szCs w:val="20"/>
                <w:highlight w:val="none"/>
                <w:lang w:val="en-US" w:eastAsia="zh-CN" w:bidi="ar-SA"/>
              </w:rPr>
            </w:pPr>
          </w:p>
          <w:p w14:paraId="7DCE276E">
            <w:pPr>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7D0E74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0E7BB7E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1.配齐配足餐饮具清洗消毒设施设备，并保持正常运转。</w:t>
            </w:r>
          </w:p>
          <w:p w14:paraId="7EB67B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2.定期检查餐用具消毒设备或设施的运行状态。采用化学消毒的，消毒液应现用现配，并定时测量消毒液的消毒浓度。</w:t>
            </w:r>
          </w:p>
          <w:p w14:paraId="0A0A071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3.严格按照要求，对餐饮具进行清洗消毒并保证消毒效果。</w:t>
            </w:r>
          </w:p>
          <w:p w14:paraId="3FB30D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4.消毒后的餐饮具、盛放或接触直接入口食品的容器和工具，应定位存放在专用的密闭保洁设施内，保持清洁。</w:t>
            </w:r>
          </w:p>
        </w:tc>
        <w:tc>
          <w:tcPr>
            <w:tcW w:w="1624" w:type="dxa"/>
            <w:noWrap w:val="0"/>
            <w:vAlign w:val="center"/>
          </w:tcPr>
          <w:p w14:paraId="185F1E0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区市场监督管理局餐饮服务监督管理科：87620662</w:t>
            </w:r>
          </w:p>
        </w:tc>
      </w:tr>
      <w:tr w14:paraId="6B9D8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1D57D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14</w:t>
            </w:r>
          </w:p>
        </w:tc>
        <w:tc>
          <w:tcPr>
            <w:tcW w:w="1542" w:type="dxa"/>
            <w:noWrap w:val="0"/>
            <w:vAlign w:val="center"/>
          </w:tcPr>
          <w:p w14:paraId="23D9B6F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应当制定食品安全事故处置预案</w:t>
            </w:r>
          </w:p>
        </w:tc>
        <w:tc>
          <w:tcPr>
            <w:tcW w:w="2251" w:type="dxa"/>
            <w:noWrap w:val="0"/>
            <w:vAlign w:val="center"/>
          </w:tcPr>
          <w:p w14:paraId="5D03FA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未制定食品安全事故处置方案。</w:t>
            </w:r>
          </w:p>
        </w:tc>
        <w:tc>
          <w:tcPr>
            <w:tcW w:w="3640" w:type="dxa"/>
            <w:noWrap w:val="0"/>
            <w:vAlign w:val="top"/>
          </w:tcPr>
          <w:p w14:paraId="6D1BC4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《中华人民共和国食品安全法》第一百零二条 国务院组织制定国家食品安全事故应急预案。</w:t>
            </w:r>
          </w:p>
          <w:p w14:paraId="665B5FC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县级以上地方人民政府应当根据有关法律、法规的规定和上级人民政府的食品安全事故应急预案以及本行政区域的实际情况，制定本行政区域的食品安全事故应急预案，并报上一级人民政府备案。</w:t>
            </w:r>
          </w:p>
          <w:p w14:paraId="34D18AC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食品安全事故应急预案应当对食品安全事故分级、事故处置组织指挥体系与职责、预防预警机制、处置程序、应急保障措施等作出规定。</w:t>
            </w:r>
          </w:p>
          <w:p w14:paraId="02B2ECA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食品生产经营企业应当制定食品安全事故处置方案，定期检查本企业各项食品安全防范措施的落实情况，及时消除事故隐患。</w:t>
            </w:r>
          </w:p>
          <w:p w14:paraId="77859E3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第一百二十六条 违反本法规定，有下列情形之一的，由县级以上人民政府食品安全监督管理部门责令改正，给予警告；拒不改正的，处五千元以上五万元以下罚款；情节严重的，责令停产停业，直至吊销许可证：(四)食品生产经营企业未制定食品安全事故处置方案；</w:t>
            </w:r>
          </w:p>
        </w:tc>
        <w:tc>
          <w:tcPr>
            <w:tcW w:w="1140" w:type="dxa"/>
            <w:noWrap w:val="0"/>
            <w:vAlign w:val="center"/>
          </w:tcPr>
          <w:p w14:paraId="1494FDC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03B42C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结合自身实际，指定食品安全事故处置方案</w:t>
            </w:r>
          </w:p>
        </w:tc>
        <w:tc>
          <w:tcPr>
            <w:tcW w:w="1624" w:type="dxa"/>
            <w:noWrap w:val="0"/>
            <w:vAlign w:val="center"/>
          </w:tcPr>
          <w:p w14:paraId="355A5B1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25FC12A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5A7E5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D489BB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15</w:t>
            </w:r>
          </w:p>
        </w:tc>
        <w:tc>
          <w:tcPr>
            <w:tcW w:w="1542" w:type="dxa"/>
            <w:noWrap w:val="0"/>
            <w:vAlign w:val="center"/>
          </w:tcPr>
          <w:p w14:paraId="38B7EB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按要求合理配备食品安全总监、食品安全员</w:t>
            </w:r>
          </w:p>
        </w:tc>
        <w:tc>
          <w:tcPr>
            <w:tcW w:w="2251" w:type="dxa"/>
            <w:noWrap w:val="0"/>
            <w:vAlign w:val="center"/>
          </w:tcPr>
          <w:p w14:paraId="4848B53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未按要求配备食品安全总监、食品安全员</w:t>
            </w:r>
          </w:p>
        </w:tc>
        <w:tc>
          <w:tcPr>
            <w:tcW w:w="3640" w:type="dxa"/>
            <w:noWrap w:val="0"/>
            <w:vAlign w:val="top"/>
          </w:tcPr>
          <w:p w14:paraId="7F3E5F0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第五条   在依法配备食品安全员的基础上，下列食品生产经营企业、集中用餐单位的食堂应当配备食品安全总监：</w:t>
            </w:r>
          </w:p>
          <w:p w14:paraId="36C7DF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一)特殊食品生产企业；(二)大中型食品生产企业；(三)大中型餐饮服务企业、连锁餐饮企业总部；(四)大中型食品销售企业、连锁销售企业总部；(五)用餐人数300人以上的托幼机构食堂、用餐人数500人以上的学校食堂，以及用餐人数或者供餐人数超过1000人的单位。</w:t>
            </w:r>
          </w:p>
          <w:p w14:paraId="1452BE8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县级以上地方市场监督管理部门应当结合本地区实际，指导本辖区具备条件的企业配备食品安全总监。</w:t>
            </w:r>
          </w:p>
          <w:p w14:paraId="21B31DA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第十条   食品生产经营企业应当建立基于食品安全风险防控的动态管理机制，结合企业实际，落实自查要求，制定食品安全风险管控清单，建立健全日管控、周排查、月调度工作制度和机制。</w:t>
            </w:r>
          </w:p>
          <w:p w14:paraId="12CD612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第十八条   食品生产经营企业未按规定建立食品安全管理制度，或者未按规定配备、培训、考核食品安全总监、食品安全员等食品安全管理人员，或者未按责任制要求落实食品安全责任的，由县级以上地方市场监督管理部门依照食品安全法第一百二十六条第一款的规定责令改正，给予警告；拒不改正的，处5000元以上5万元以下罚款；情节严重的，责令停产停业，直至吊销许可证。法律、行政法规有规定的，依照其规定。</w:t>
            </w:r>
          </w:p>
          <w:p w14:paraId="5539E5C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第十九条   食品生产经营企业等单位有食品安全法规定的违法情形，除依照食品安全法的规定给予处罚外，有下列情形之一的，对单位的法定代表人、主要负责人、直接负责的主管人员和其他直接责任人员处以其上一年度从本单位取得收入的1倍以上10倍以下罚款：</w:t>
            </w:r>
          </w:p>
          <w:p w14:paraId="27E6551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(一)故意实施违法行为；(二)违法行为性质恶劣；(三)违法行为造成严重后果。</w:t>
            </w:r>
          </w:p>
          <w:p w14:paraId="7CDC716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食品生产经营企业及其主要负责人无正当理由未采纳食品安全总监、食品安全员依照本规定第四条第二款提出的否决建议的，属于前款规定的故意实施违法行为的情形。食品安全总监、食品安全员已经依法履职尽责的，不予处罚</w:t>
            </w:r>
            <w:r>
              <w:rPr>
                <w:rFonts w:hint="eastAsia" w:ascii="BMHBIL+SimSun" w:hAnsi="BMHBIL+SimSun" w:cs="BMHBIL+SimSun" w:eastAsiaTheme="minorEastAsia"/>
                <w:color w:val="000000"/>
                <w:spacing w:val="1"/>
                <w:kern w:val="2"/>
                <w:sz w:val="20"/>
                <w:szCs w:val="20"/>
                <w:highlight w:val="none"/>
                <w:lang w:val="en-US" w:eastAsia="zh-CN" w:bidi="ar-SA"/>
              </w:rPr>
              <w:t>。</w:t>
            </w:r>
          </w:p>
        </w:tc>
        <w:tc>
          <w:tcPr>
            <w:tcW w:w="1140" w:type="dxa"/>
            <w:noWrap w:val="0"/>
            <w:vAlign w:val="center"/>
          </w:tcPr>
          <w:p w14:paraId="0165D5B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674E18C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按要求配备食品安全总监、食品安全员，按要求落实食品安全主体责任</w:t>
            </w:r>
          </w:p>
        </w:tc>
        <w:tc>
          <w:tcPr>
            <w:tcW w:w="1624" w:type="dxa"/>
            <w:noWrap w:val="0"/>
            <w:vAlign w:val="center"/>
          </w:tcPr>
          <w:p w14:paraId="5346DF0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w:t>
            </w:r>
            <w:r>
              <w:rPr>
                <w:rFonts w:hint="default" w:ascii="BMHBIL+SimSun" w:hAnsi="BMHBIL+SimSun" w:cs="BMHBIL+SimSun" w:eastAsiaTheme="minorEastAsia"/>
                <w:color w:val="000000"/>
                <w:spacing w:val="1"/>
                <w:kern w:val="2"/>
                <w:sz w:val="20"/>
                <w:szCs w:val="20"/>
                <w:highlight w:val="none"/>
                <w:lang w:val="en-US" w:eastAsia="zh-CN" w:bidi="ar-SA"/>
              </w:rPr>
              <w:t>：</w:t>
            </w:r>
          </w:p>
          <w:p w14:paraId="2A53792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87620662</w:t>
            </w:r>
          </w:p>
        </w:tc>
      </w:tr>
      <w:tr w14:paraId="06003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59E01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0" w:firstLineChars="0"/>
              <w:jc w:val="center"/>
              <w:textAlignment w:val="baseline"/>
              <w:rPr>
                <w:rFonts w:hint="default" w:ascii="Times New Roman" w:hAnsi="Times New Roman" w:eastAsia="方正仿宋_GBK" w:cs="Times New Roman"/>
                <w:snapToGrid w:val="0"/>
                <w:color w:val="auto"/>
                <w:kern w:val="0"/>
                <w:sz w:val="18"/>
                <w:szCs w:val="18"/>
                <w:vertAlign w:val="baseline"/>
                <w:lang w:val="en-US" w:eastAsia="zh-CN" w:bidi="ar-SA"/>
              </w:rPr>
            </w:pPr>
            <w:r>
              <w:rPr>
                <w:rFonts w:hint="default" w:ascii="Times New Roman" w:hAnsi="Times New Roman" w:eastAsia="方正仿宋_GBK" w:cs="Times New Roman"/>
                <w:snapToGrid w:val="0"/>
                <w:color w:val="auto"/>
                <w:kern w:val="0"/>
                <w:sz w:val="18"/>
                <w:szCs w:val="18"/>
                <w:vertAlign w:val="baseline"/>
                <w:lang w:val="en-US" w:eastAsia="zh-CN" w:bidi="ar-SA"/>
              </w:rPr>
              <w:t>16</w:t>
            </w:r>
          </w:p>
        </w:tc>
        <w:tc>
          <w:tcPr>
            <w:tcW w:w="1542" w:type="dxa"/>
            <w:noWrap w:val="0"/>
            <w:vAlign w:val="center"/>
          </w:tcPr>
          <w:p w14:paraId="66FFCF8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学校食堂不得采购、贮存、使用亚硝酸盐(包括亚硝酸钠、亚硝酸钾) 。</w:t>
            </w:r>
          </w:p>
          <w:p w14:paraId="0699C62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中小学、幼儿园食堂不得制售冷荤类食品、生食类食品、裱花蛋糕，不得加工制作四季豆、鲜黄花菜、野生蘑菇、发芽土豆等高风险食品。</w:t>
            </w:r>
          </w:p>
        </w:tc>
        <w:tc>
          <w:tcPr>
            <w:tcW w:w="2251" w:type="dxa"/>
            <w:noWrap w:val="0"/>
            <w:vAlign w:val="center"/>
          </w:tcPr>
          <w:p w14:paraId="3B34013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学校食堂(或者供餐单位)采购、贮存亚硝酸盐(包括亚硝酸钠、亚硝酸钾)；中小学、幼儿园食堂(或者供餐单位)制售冷荤类食品、生食类食品、裱花蛋糕，或者加工制作四季豆、鲜黄花菜、野生蘑菇、发芽土豆等高风险食品</w:t>
            </w:r>
          </w:p>
        </w:tc>
        <w:tc>
          <w:tcPr>
            <w:tcW w:w="3640" w:type="dxa"/>
            <w:noWrap w:val="0"/>
            <w:vAlign w:val="center"/>
          </w:tcPr>
          <w:p w14:paraId="5CBA1A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《学校食品安全与营养健康管理规定》</w:t>
            </w:r>
          </w:p>
          <w:p w14:paraId="6B3BEB0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第三十六条 学校食堂提供蔬菜、水果以及按照国际惯例或者民族习惯需要提供的食品应当符合食品安全要求。</w:t>
            </w:r>
          </w:p>
          <w:p w14:paraId="139B66F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学校食堂不得采购、贮存、使用亚硝酸盐(包括亚硝酸钠、亚硝酸钾)。</w:t>
            </w:r>
          </w:p>
          <w:p w14:paraId="2E6ED0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小学、幼儿园食堂不得制售冷荤类食品、生食类食品、裱花蛋糕，不得加工制作四季豆、鲜黄花菜、野生蘑菇、发芽土豆等高风险食品。省、自治区、直辖市食品安全监督管理部门可以结合实际制定本地区中小学、幼儿园集中用餐不得制售的高风险食品目录。</w:t>
            </w:r>
          </w:p>
          <w:p w14:paraId="5BF1F28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第五十五条 违反本规定第三十六条第二款，学校食堂(或者供餐单位)采购、贮存亚硝酸盐(包括亚硝酸钠、亚硝酸钾)的，由县级以上人民政府食品安全监督管理部门责令改正，给予警告，并处5000元以上3万元以下罚款。</w:t>
            </w:r>
          </w:p>
          <w:p w14:paraId="5950343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违反本规定第三十六条第三款，中小学、幼儿园食堂(或者供餐单位)制售冷荤类食品、生食类食品、裱花蛋糕，或者加工制作四季豆、鲜黄花菜、野生蘑菇、发芽土豆等高风险食品的，由县级以上人民政府食品安全监督管理部门责令改正；拒不改正的，给予警告，并处5000元以上3万元以下罚款。</w:t>
            </w:r>
          </w:p>
        </w:tc>
        <w:tc>
          <w:tcPr>
            <w:tcW w:w="1140" w:type="dxa"/>
            <w:noWrap w:val="0"/>
            <w:vAlign w:val="center"/>
          </w:tcPr>
          <w:p w14:paraId="646A08A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0178C12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学校食堂提供蔬菜、水果以及按照国际惯例或者民族习惯需要提供的食品应当符合食品安全要求及《学校食品安全与营养健康管理规定》第三十六条特别规定。</w:t>
            </w:r>
          </w:p>
        </w:tc>
        <w:tc>
          <w:tcPr>
            <w:tcW w:w="1624" w:type="dxa"/>
            <w:noWrap w:val="0"/>
            <w:vAlign w:val="center"/>
          </w:tcPr>
          <w:p w14:paraId="39C4D8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区市场监督管理局餐饮服务监督管理科：87620662</w:t>
            </w:r>
          </w:p>
        </w:tc>
      </w:tr>
    </w:tbl>
    <w:p w14:paraId="6109568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auto"/>
        <w:ind w:left="0" w:leftChars="0"/>
        <w:jc w:val="both"/>
        <w:textAlignment w:val="baseline"/>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备注：1.合规清单适用对象：本行政区域内从事餐饮服务经营者。</w:t>
      </w:r>
    </w:p>
    <w:p w14:paraId="652EBF7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auto"/>
        <w:ind w:firstLine="600" w:firstLineChars="300"/>
        <w:jc w:val="both"/>
        <w:textAlignment w:val="baseline"/>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2.该清单并未涵盖餐饮服务领域所有违法违规行为。</w:t>
      </w:r>
    </w:p>
    <w:p w14:paraId="165A7806">
      <w:pPr>
        <w:ind w:firstLine="600" w:firstLineChars="300"/>
        <w:rPr>
          <w:rFonts w:hint="eastAsia"/>
          <w:lang w:val="en-US" w:eastAsia="zh-CN"/>
        </w:rPr>
      </w:pPr>
      <w:r>
        <w:rPr>
          <w:rFonts w:hint="eastAsia" w:ascii="宋体" w:hAnsi="宋体" w:eastAsia="宋体" w:cs="宋体"/>
          <w:color w:val="auto"/>
          <w:sz w:val="20"/>
          <w:szCs w:val="20"/>
          <w:lang w:val="en-US" w:eastAsia="zh-CN"/>
        </w:rPr>
        <w:t>3.发生频率较高的风险等级为★★★，发生频率一般的风险等级为★★，发生频率较少的风险等级为★。</w:t>
      </w:r>
    </w:p>
    <w:p w14:paraId="1E4FF85E">
      <w:pPr>
        <w:rPr>
          <w:rFonts w:hint="eastAsia"/>
          <w:lang w:val="en-US" w:eastAsia="zh-CN"/>
        </w:rPr>
      </w:pPr>
      <w:r>
        <w:rPr>
          <w:rFonts w:hint="eastAsia"/>
          <w:lang w:val="en-US" w:eastAsia="zh-CN"/>
        </w:rPr>
        <w:t>电子商务经营行为（共16项）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10227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D51FD3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2FC7513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6F731FA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0789203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72D7B91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629275E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18B4C44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3059E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B3992B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仿宋_GBK" w:cs="Times New Roman"/>
                <w:snapToGrid w:val="0"/>
                <w:color w:val="auto"/>
                <w:kern w:val="0"/>
                <w:sz w:val="18"/>
                <w:szCs w:val="18"/>
                <w:vertAlign w:val="baseline"/>
                <w:lang w:val="en-US" w:eastAsia="zh-CN"/>
              </w:rPr>
              <w:t>1</w:t>
            </w:r>
          </w:p>
        </w:tc>
        <w:tc>
          <w:tcPr>
            <w:tcW w:w="1542" w:type="dxa"/>
            <w:noWrap w:val="0"/>
            <w:vAlign w:val="center"/>
          </w:tcPr>
          <w:p w14:paraId="6ACCDD3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电子商务经营者应当在其首页显著位置公示有关信息或者链接标识</w:t>
            </w:r>
          </w:p>
          <w:p w14:paraId="7CE1745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654827D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电子商务经营者未在其首页显著位置，持续公示营业执照信息、与其经营业务有关的行政许可信息、属于依照本法第十条规定的不需要办理市场主体登记情形等信息，或者上述信息的链接标识。</w:t>
            </w:r>
          </w:p>
          <w:p w14:paraId="5BE7B2B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55E6EA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516EBD3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第十五条第一款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 xml:space="preserve">电子商务经营者应当在其首页显著位置，持续公示营业执照信息、与其经营业务有关的行政许可信息、属于依照本法第十条规定的不需要办理市场主体登记情形等信息，或者上述信息的链接标识。 </w:t>
            </w:r>
          </w:p>
          <w:p w14:paraId="0D5A0B8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第七十六条第一款第一项 电子商务经营 者违反本法规定，有下列行为之一的，由市场监督管理部门责令限期改正，可以处一万元以下的罚款，对其中的电子商务平台经营者，依照本法第八十一条第一款的规定处罚： </w:t>
            </w:r>
          </w:p>
          <w:p w14:paraId="24A83F8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（一）未在首页显著位置公示营业执照信息</w:t>
            </w:r>
            <w:r>
              <w:rPr>
                <w:rFonts w:hint="eastAsia" w:ascii="BMHBIL+SimSun" w:hAnsi="BMHBIL+SimSun" w:cs="BMHBIL+SimSun" w:eastAsiaTheme="minorEastAsia"/>
                <w:color w:val="000000"/>
                <w:spacing w:val="1"/>
                <w:kern w:val="2"/>
                <w:sz w:val="20"/>
                <w:szCs w:val="20"/>
                <w:highlight w:val="none"/>
                <w:lang w:val="en-US" w:eastAsia="zh-CN" w:bidi="ar-SA"/>
              </w:rPr>
              <w:t>、</w:t>
            </w:r>
            <w:r>
              <w:rPr>
                <w:rFonts w:hint="default" w:ascii="BMHBIL+SimSun" w:hAnsi="BMHBIL+SimSun" w:cs="BMHBIL+SimSun" w:eastAsiaTheme="minorEastAsia"/>
                <w:color w:val="000000"/>
                <w:spacing w:val="1"/>
                <w:kern w:val="2"/>
                <w:sz w:val="20"/>
                <w:szCs w:val="20"/>
                <w:highlight w:val="none"/>
                <w:lang w:val="en-US" w:eastAsia="zh-CN" w:bidi="ar-SA"/>
              </w:rPr>
              <w:t>行政许可信息、属于不需要办理市场主体登记情形等信息，或者上述信息的链接标识的。</w:t>
            </w:r>
          </w:p>
          <w:p w14:paraId="5907C28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30EDFF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241CCC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电子商务经营者应当在其首页显著位置，持续公示营业执照信息、与其经营业务有关的行政许可信息、属于依</w:t>
            </w:r>
          </w:p>
          <w:p w14:paraId="7EB5CAD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照本法第十条规定的不需要办理市场主体登记情形等信息，或者上述信息的链接标识。</w:t>
            </w:r>
          </w:p>
          <w:p w14:paraId="25F6941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7212B4B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7A36001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06C26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63B180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2</w:t>
            </w:r>
          </w:p>
        </w:tc>
        <w:tc>
          <w:tcPr>
            <w:tcW w:w="1542" w:type="dxa"/>
            <w:noWrap w:val="0"/>
            <w:vAlign w:val="top"/>
          </w:tcPr>
          <w:p w14:paraId="3754AC5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1DCDD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5CCF98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电子商务经营者自行终止从事电子商务，应当提前三十日在首页显著位置持续公示有关信息</w:t>
            </w:r>
          </w:p>
          <w:p w14:paraId="450BCB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66F2A8A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6391FF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5B08D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143D8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电子商务经营者自行终止从事电子商务，未按规定在首页显著位置持续公示有关信息。</w:t>
            </w:r>
          </w:p>
          <w:p w14:paraId="0D786AE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4912B3B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7D584D7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第十六条 电子商务经营者自行终止从事电子商务的，应当提前三十日在首页显著位置持续公示有关信息。 </w:t>
            </w:r>
          </w:p>
          <w:p w14:paraId="256A146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第七十六条第一款第二项 电子商务经营者违反本法规定，有下列行为之一的，由市场监督管理部门责令限期改正，可以处一万元以下的罚款：（二）未在首页显著位置持续公示终止电子商务的有关信息的。</w:t>
            </w:r>
          </w:p>
          <w:p w14:paraId="0F9FF33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36B12E5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7DFCCBE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6AE5C91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电子商务经营者自行终止从事电子商务的，应当提前三十日在首页显著位置持续公示有关信息。</w:t>
            </w:r>
          </w:p>
          <w:p w14:paraId="6DF7117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top"/>
          </w:tcPr>
          <w:p w14:paraId="153978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D0CBE4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4919C1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5B88C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8D81A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3</w:t>
            </w:r>
          </w:p>
        </w:tc>
        <w:tc>
          <w:tcPr>
            <w:tcW w:w="1542" w:type="dxa"/>
            <w:noWrap w:val="0"/>
            <w:vAlign w:val="top"/>
          </w:tcPr>
          <w:p w14:paraId="1B233E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E6FAEE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3D6D47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电子商务经营者搭售商品或者服务，应当以显著方式提醒消费者注意，不得将搭售商品或者服务作为默认同意的选项</w:t>
            </w:r>
          </w:p>
          <w:p w14:paraId="213AEA5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7BEF649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540917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616108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565368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8D8018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电子商务经营者搭售商 </w:t>
            </w:r>
          </w:p>
          <w:p w14:paraId="0ADF623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品或者服务，未以显著 </w:t>
            </w:r>
          </w:p>
          <w:p w14:paraId="12E020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方式提醒消费者注意， </w:t>
            </w:r>
          </w:p>
          <w:p w14:paraId="571F0F5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或者将搭售商品或者服 </w:t>
            </w:r>
          </w:p>
          <w:p w14:paraId="71E2FB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务作为默认同意的选项</w:t>
            </w:r>
          </w:p>
          <w:p w14:paraId="402C1B7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2574F68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《中华人民共和国电子商务法》</w:t>
            </w:r>
          </w:p>
          <w:p w14:paraId="25DE8A3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第十九条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 xml:space="preserve">电子商务经营者搭售商品或者服务，应当以显著方式提醒消费者注意，不得将搭售商品或者服务作为默认同意的选项。 </w:t>
            </w:r>
          </w:p>
          <w:p w14:paraId="01A8649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第七十七条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电子商务经营者违反本法第十八条第一款规定提供搜索结果，或者违反本法第十九条规定搭售商品、服务的，由市场监督管理部门责令限期改正，没收违法所得，可以并处五万元以上二十万元以下的罚款；情节严重的，并处二十万元以上五十万元以下的罚款。</w:t>
            </w:r>
          </w:p>
          <w:p w14:paraId="51ABAFB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6E58B02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04F13C4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43BDFF0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电子商务经营者建立销售页面发布审查制度，禁止违法搭售商品、服务。</w:t>
            </w:r>
          </w:p>
          <w:p w14:paraId="7F892A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top"/>
          </w:tcPr>
          <w:p w14:paraId="390B4EF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CF69E3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02A4F3E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46FEE50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A2EBFE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54A5EA4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237CE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3033ECF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17499E5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1BA9073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71C871D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18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4</w:t>
            </w:r>
          </w:p>
        </w:tc>
        <w:tc>
          <w:tcPr>
            <w:tcW w:w="1542" w:type="dxa"/>
            <w:noWrap w:val="0"/>
            <w:vAlign w:val="top"/>
          </w:tcPr>
          <w:p w14:paraId="05716AD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24D9F5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电子商务经营者按照约定向消费者收取押金的，应当明示押金退还的方式、程序</w:t>
            </w:r>
          </w:p>
          <w:p w14:paraId="0A7F890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5B7DAA2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2DA58D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0215F9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电子商务经营者按照约 </w:t>
            </w:r>
          </w:p>
          <w:p w14:paraId="6F39D6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定向消费者收取押金 </w:t>
            </w:r>
          </w:p>
          <w:p w14:paraId="041A732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的，未明示押金退还的 </w:t>
            </w:r>
          </w:p>
          <w:p w14:paraId="37E7633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方式、程序。</w:t>
            </w:r>
          </w:p>
          <w:p w14:paraId="5FB9DC6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2385C4A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5E294AC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第二十一条 电子商务经营者按照约定向消费者收取押金的，应当明示押金退还的方式、程序，不得对押金退还设置不合理条件。 消费者申请退还押金，符合押金退还条件的，电子商务经营者应当及时退还。 </w:t>
            </w:r>
          </w:p>
          <w:p w14:paraId="2BEEE6A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第七十八条 电子商务经营者违反本法第二十一条规定，未向消费者明示押金退还的方式、程序，对押金退还设置不合理条件，或者不及时退还押金的，由有关主管部门责令限期改正，可以处五万元以上二十万元以下的罚款；情节严重的，处二十万元以上五十万元以下的罚款。</w:t>
            </w:r>
          </w:p>
          <w:p w14:paraId="210AC38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top"/>
          </w:tcPr>
          <w:p w14:paraId="2EBC239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42EAD3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055E63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29080E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404" w:firstLineChars="2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513047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21FEC0E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CD06E0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电子商务经营者按照约定向 消费者收取押金的，应当明示押金退还的方式、程序，要建立严格的内部审查程序 。</w:t>
            </w:r>
          </w:p>
          <w:p w14:paraId="410D130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top"/>
          </w:tcPr>
          <w:p w14:paraId="16D030A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61E06E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8000FD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0891959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557A7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492361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5</w:t>
            </w:r>
          </w:p>
        </w:tc>
        <w:tc>
          <w:tcPr>
            <w:tcW w:w="1542" w:type="dxa"/>
            <w:noWrap w:val="0"/>
            <w:vAlign w:val="center"/>
          </w:tcPr>
          <w:p w14:paraId="7FFC7DD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平台经营者对 </w:t>
            </w:r>
          </w:p>
          <w:p w14:paraId="6E4300B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申请入驻经营 </w:t>
            </w:r>
          </w:p>
          <w:p w14:paraId="2B0B66B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者提交的相关 </w:t>
            </w:r>
          </w:p>
          <w:p w14:paraId="1A02615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信息应当履行 </w:t>
            </w:r>
          </w:p>
          <w:p w14:paraId="12CC9C2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法定核验、登 </w:t>
            </w:r>
          </w:p>
          <w:p w14:paraId="1FFCFC1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记、更新、保 </w:t>
            </w:r>
          </w:p>
          <w:p w14:paraId="7256DB6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存义务</w:t>
            </w:r>
          </w:p>
        </w:tc>
        <w:tc>
          <w:tcPr>
            <w:tcW w:w="2251" w:type="dxa"/>
            <w:noWrap w:val="0"/>
            <w:vAlign w:val="center"/>
          </w:tcPr>
          <w:p w14:paraId="73EF4CB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1.未要求申请进入平台销售商品或者提供服务的经营者提交其身份、地址、联系方式、行政许可等真实信息。 </w:t>
            </w:r>
          </w:p>
          <w:p w14:paraId="5C21054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2.未对平台内经营者的身份信息进行核验、登记，建立登记档案。</w:t>
            </w:r>
          </w:p>
          <w:p w14:paraId="2D81E8E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3.未对入驻经营者的身份信息进行定期核验更新。</w:t>
            </w:r>
          </w:p>
        </w:tc>
        <w:tc>
          <w:tcPr>
            <w:tcW w:w="3640" w:type="dxa"/>
            <w:noWrap w:val="0"/>
            <w:vAlign w:val="center"/>
          </w:tcPr>
          <w:p w14:paraId="4D4D30B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5D5C0F5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八十条第一款第一项电子商务平台经营者有下列行为之一的，由有关主管部门责令限期改正；逾期不改正的，处二万元以上十万元以下的罚款；情节严重的，责令停业整顿，并处十万元以上五十万元以下的罚款： </w:t>
            </w:r>
          </w:p>
          <w:p w14:paraId="1AD561A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（一）不履行本法第二十七条规定的核验、登记义务的。 </w:t>
            </w:r>
          </w:p>
          <w:p w14:paraId="51649C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《网络交易监督管理办法》 </w:t>
            </w:r>
          </w:p>
          <w:p w14:paraId="1AF8BA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第二十四条第一款 网络交易平台经营者应当要求申请进入平台销售商品或者提供服务的经营者提交其身份、地址、联系方式、行政许可等真实信息，进行核验、登记，建立登记档案，并至少每六个月核验更新一次。 </w:t>
            </w:r>
          </w:p>
          <w:p w14:paraId="7105633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第四十七条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网络交易平台经营者违反本办法第二十四条第一款、第二十五条第二款、第三十一条，不履行法定核验、登记义务，有关信息报送义务，商品和服务信息、交易信息保存义务的，依照《中华人民共和国电子商务法》第八十条的规定进行处罚。</w:t>
            </w:r>
          </w:p>
          <w:p w14:paraId="0B96508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5A62F09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580A579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建立对平台内经营者资质资 格的审查、核验、登记工作 机制，平台经营者应当做到： </w:t>
            </w:r>
          </w:p>
          <w:p w14:paraId="7D72BD5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1.要求申请入驻平台销售商品或者提供服务的经营者提交其身份、地址、联系方式 </w:t>
            </w:r>
          </w:p>
          <w:p w14:paraId="3BCB65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、行政许可等真实信息。 </w:t>
            </w:r>
          </w:p>
          <w:p w14:paraId="702ED7F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2.对平台内经营者提交的信息进行核验、登记，确保信息真实有效，并建立登记档案。 </w:t>
            </w:r>
          </w:p>
          <w:p w14:paraId="1F553C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3.至少每六个月核验一次平台内经营者的登记信息、许可信息、个人身份、地址、联系方式等信息。发现相关 </w:t>
            </w:r>
          </w:p>
          <w:p w14:paraId="4A5C3A2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信息有变化的，应及时提示变更，并协助其变更或修改相关信息。据行业特征，有针对性地对关系消费者生命健康的商品或者服务的平台内经营者，增加核验频次。</w:t>
            </w:r>
          </w:p>
        </w:tc>
        <w:tc>
          <w:tcPr>
            <w:tcW w:w="1624" w:type="dxa"/>
            <w:noWrap w:val="0"/>
            <w:vAlign w:val="center"/>
          </w:tcPr>
          <w:p w14:paraId="2EE9E60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2412668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33DC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243FB4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4A79C4F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1245DDD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firstLine="18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6</w:t>
            </w:r>
          </w:p>
        </w:tc>
        <w:tc>
          <w:tcPr>
            <w:tcW w:w="1542" w:type="dxa"/>
            <w:noWrap w:val="0"/>
            <w:vAlign w:val="top"/>
          </w:tcPr>
          <w:p w14:paraId="70ED9E3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平台经营者对平台内经营者的身份信息应当履行定期报送义务</w:t>
            </w:r>
          </w:p>
          <w:p w14:paraId="063F51C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65924BB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1.未按照规定向省级市场监督管理部门定期报送平台内经营者的身份信息。 </w:t>
            </w:r>
          </w:p>
          <w:p w14:paraId="2FB09EA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2.未按照国家市场监管总局下发的数据标准要求对平台内经营者的身份信息数据进行报送，数据项填报不完整，未做到应报尽报。</w:t>
            </w:r>
          </w:p>
          <w:p w14:paraId="6792B4B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2A5AC38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《网络交易监督管理办法》 </w:t>
            </w:r>
          </w:p>
          <w:p w14:paraId="0EAA147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第四十七条 网络交易平台经营者违反本办法第二十四条第一款、第二十五条第二款、第三十一条，不履行法定核验、登记义务，有关信息报送义务，商品和服务信息、交易信息保存义务的，依照《中华人民共和国电子商务法》第八十条的规定进行处罚。 </w:t>
            </w:r>
          </w:p>
          <w:p w14:paraId="459924A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75E90C1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第八十条第一款第二项 电子商务平台经营者有下列行为之一的，由有关主管部门责令限期改正；逾期不改正的，处二万元以上十万元以下的罚款；情节严重的，责令停业整顿，并处十万元以上五十万元以下的罚款： </w:t>
            </w:r>
          </w:p>
          <w:p w14:paraId="525828C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（二）不按照本法第二十八条规定向市场监督管理部门、税务部门报送有关信息的。</w:t>
            </w:r>
          </w:p>
          <w:p w14:paraId="76ACAF7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top"/>
          </w:tcPr>
          <w:p w14:paraId="5711D54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56423E5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D5E437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7CA7AD9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4121B64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网络交易平台经营者应当履行平台内经营者身份信息数据报送义务，分别于每年1 </w:t>
            </w:r>
          </w:p>
          <w:p w14:paraId="06822C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月和 7月向住所地省级市场监管部门报送平台内经营者的身份信息。 </w:t>
            </w:r>
          </w:p>
          <w:p w14:paraId="6B70720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1.按照总局制定的数据报送模板格式，开展平台内经营者的身份信息报送。 </w:t>
            </w:r>
          </w:p>
          <w:p w14:paraId="0073AAF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目前数据报送采用客户端报送和数据模板文件相结合的形式进行：（1）客户端报送。报送数据规模较大的网络交易平台，使用总局分配的数据报送客户端报送。涉及的相关网络交易平台经营者及具体要求，另行通知。 </w:t>
            </w:r>
          </w:p>
          <w:p w14:paraId="42DC053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（2）模板报送。数据规模较小或缺少技术支撑能力的网络交易平台，采用模板文件的方式报送。 </w:t>
            </w:r>
          </w:p>
          <w:p w14:paraId="75B6EEA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3.网络交易平台经营者应全面对照国家市场监管总局下发的报送模板，按照数据标 </w:t>
            </w:r>
          </w:p>
          <w:p w14:paraId="226614B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准要求对平台内经营者的身份信息数据进行报送，确保数据项完整，做到应报尽报。</w:t>
            </w:r>
          </w:p>
        </w:tc>
        <w:tc>
          <w:tcPr>
            <w:tcW w:w="1624" w:type="dxa"/>
            <w:noWrap w:val="0"/>
            <w:vAlign w:val="top"/>
          </w:tcPr>
          <w:p w14:paraId="5431A61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0EFCC7C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67E62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top"/>
          </w:tcPr>
          <w:p w14:paraId="7BE4B95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0ED7F1E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75E5780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526FA20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both"/>
              <w:textAlignment w:val="baseline"/>
              <w:rPr>
                <w:rFonts w:hint="eastAsia" w:ascii="Times New Roman" w:hAnsi="Times New Roman" w:eastAsia="方正仿宋_GBK" w:cs="Times New Roman"/>
                <w:snapToGrid w:val="0"/>
                <w:color w:val="auto"/>
                <w:kern w:val="0"/>
                <w:sz w:val="18"/>
                <w:szCs w:val="18"/>
                <w:vertAlign w:val="baseline"/>
                <w:lang w:val="en-US" w:eastAsia="zh-CN"/>
              </w:rPr>
            </w:pPr>
          </w:p>
          <w:p w14:paraId="7B7F09C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180" w:firstLineChars="100"/>
              <w:jc w:val="both"/>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7</w:t>
            </w:r>
          </w:p>
        </w:tc>
        <w:tc>
          <w:tcPr>
            <w:tcW w:w="1542" w:type="dxa"/>
            <w:noWrap w:val="0"/>
            <w:vAlign w:val="top"/>
          </w:tcPr>
          <w:p w14:paraId="227E4B7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平台经营者对平台内经营者身份信息、商品和服务信息、交易信息应当履行保存义务</w:t>
            </w:r>
          </w:p>
          <w:p w14:paraId="1DFA8A7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21D6A89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1.平台经营者没有记录、保存平台上发布的商品和服务信息、交易信息； </w:t>
            </w:r>
          </w:p>
          <w:p w14:paraId="1CE7D7F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2.平台经营者对平台上发布的商品信息、支付记录等交易信息的保存时间自交易完成之日起少于三年； </w:t>
            </w:r>
          </w:p>
          <w:p w14:paraId="47D8430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3.平台经营者对平台内商户身份信息的保存时间自其退出平台之日起少于三年。</w:t>
            </w:r>
          </w:p>
          <w:p w14:paraId="3C26001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20AA98C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《网络交易监督管理办法》 </w:t>
            </w:r>
          </w:p>
          <w:p w14:paraId="48E10F6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第四十七条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 xml:space="preserve">网络交易平台经营者违反本办法第二十四条第一款、第二十五条第二款、第三十一条，不履行法定核验、登记义务，有关信息报送义务，商品和服务信息、交易信息保存义务的，依照《中华人民共和国电子商务法》第八十条的规定进行处罚。 </w:t>
            </w:r>
          </w:p>
          <w:p w14:paraId="762E9D3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6355043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第八十条第一款第四项 电子商务平台经营者有下列行为之一的，由有关主管部门责令限期改正；逾期不改正的，处二万元以上十万元以下的罚款；情节严重的，责令停业整顿，并处十万元以上五十万元以下的罚款：（四）不履行本法第三十一条规定的商品和服务信息、交易信息保存义务的。</w:t>
            </w:r>
          </w:p>
          <w:p w14:paraId="0B97F97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top"/>
          </w:tcPr>
          <w:p w14:paraId="6088D87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29D7A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0CF5E0D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6C3676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A368D6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firstLine="202" w:firstLineChars="10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1FF8C92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0E3D547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对平台内经营者身份信息、商品或者服务信息等相关信息的保存，网络交易平台经营者应当做到： </w:t>
            </w:r>
          </w:p>
          <w:p w14:paraId="0189988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1.记录、保存平台上发布的商品和服务信息、交易信息，并确保信息的完整性、保密性、可用性。 </w:t>
            </w:r>
          </w:p>
          <w:p w14:paraId="62EB2BD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2.对平台内经营者身份信息的保存时间自其退出平台之日起不少于三年。 </w:t>
            </w:r>
          </w:p>
          <w:p w14:paraId="310AC36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3.对商品或者服务信息，支付记录、物流快递、退换货以及售后等交易信息的保存时间自交易完成之日起不少于三年。法律、行政法规另有规定的，依照其规定。</w:t>
            </w:r>
          </w:p>
        </w:tc>
        <w:tc>
          <w:tcPr>
            <w:tcW w:w="1624" w:type="dxa"/>
            <w:noWrap w:val="0"/>
            <w:vAlign w:val="top"/>
          </w:tcPr>
          <w:p w14:paraId="144166D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1087465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1FD8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05682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8</w:t>
            </w:r>
          </w:p>
        </w:tc>
        <w:tc>
          <w:tcPr>
            <w:tcW w:w="1542" w:type="dxa"/>
            <w:noWrap w:val="0"/>
            <w:vAlign w:val="center"/>
          </w:tcPr>
          <w:p w14:paraId="7331169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平台经营者应履行公示平台服务协议和交易规则的义务</w:t>
            </w:r>
          </w:p>
          <w:p w14:paraId="6186606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6E9EAA3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平台经营者未在其首页显著位置持续公示平台服务协议和交易规则信息或者上述信息的链接标识。</w:t>
            </w:r>
          </w:p>
          <w:p w14:paraId="29C95CF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7A2756D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495865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第三十三条 电子商务平台经营者应当在其首页显著位置持续公示平台服务协议和交易规则信息或者上述信息的链接标识，并保证经营者和消费者能够便利、完整地阅览和下载。 </w:t>
            </w:r>
          </w:p>
          <w:p w14:paraId="41C464D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第八十一条第一款第一项 电子商务平台经营者违反本法规定，有下列行为之一的，由市场监督管理部门责令限期改正，可以处二万元以上十万元以下的罚款；情节严重的，处十万元以上五十万元以下的罚款：（一）未在首页显著位置持续公示平台服务协议、交易规则信息或者上述信息的链接标识的。</w:t>
            </w:r>
          </w:p>
          <w:p w14:paraId="1245DB9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4CB7AC5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0E112F2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76C9DF1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1.平台服务协议和交易规则应当在其首页显著位置公示。 </w:t>
            </w:r>
          </w:p>
          <w:p w14:paraId="5EA34B7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2.公示应当是持续进行的。“持续”是指电子商务平台整个经营期间。 </w:t>
            </w:r>
          </w:p>
          <w:p w14:paraId="6616C40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3.公示的对象可以是信息也可以是信息的链接标识。 </w:t>
            </w:r>
          </w:p>
          <w:p w14:paraId="282FFEF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4.公示的方式必须满足经营者和消费者能够便利、完整地阅览和下载。</w:t>
            </w:r>
          </w:p>
          <w:p w14:paraId="4254BCC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7D524C1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1E51702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13787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194B1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9</w:t>
            </w:r>
          </w:p>
        </w:tc>
        <w:tc>
          <w:tcPr>
            <w:tcW w:w="1542" w:type="dxa"/>
            <w:noWrap w:val="0"/>
            <w:vAlign w:val="center"/>
          </w:tcPr>
          <w:p w14:paraId="626721B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732FD6E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平台经营者要区分标记平台经营者自营业务和平台内经营者开展的业务，不得误导消费者</w:t>
            </w:r>
          </w:p>
          <w:p w14:paraId="5875BCC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562FAA7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19D52E7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p w14:paraId="337D994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平台经营者误导消费者，未以显著方式区分标记在其平台上开展的自营业务和平台内商户开展的业务。</w:t>
            </w:r>
          </w:p>
          <w:p w14:paraId="13E571A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4E10E1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26A3D95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第八十一条第一款第三项 电子商务平台经营者违反本法规定，有下列行为之一的，由市场监督管理部门责令限期改正，可以处二万元以上十万元以下的罚款；情节严重的，处十万元以上五十万元以下的罚款：（三）未以显著方式区分标记自营业务和平台内经营者开展的业务的。</w:t>
            </w:r>
          </w:p>
          <w:p w14:paraId="09DB073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34A5624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5A2A582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5F394AE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1.平台经营者在其平台上开展自营业务的，应当以显著方式区分标记平台自营业务和平台内经营者开展的业务。“显著方式”是足以让消费者了解业务类型的方式，比如标注“自营”等。 </w:t>
            </w:r>
          </w:p>
          <w:p w14:paraId="47F7424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2.平台经营者应当为标记为自营的业务承担商品销售或服务提供者的相应民事责任。</w:t>
            </w:r>
          </w:p>
        </w:tc>
        <w:tc>
          <w:tcPr>
            <w:tcW w:w="1624" w:type="dxa"/>
            <w:noWrap w:val="0"/>
            <w:vAlign w:val="top"/>
          </w:tcPr>
          <w:p w14:paraId="60314E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1FF5ED7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671AA16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0BD7C7D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40C47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163349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10</w:t>
            </w:r>
          </w:p>
        </w:tc>
        <w:tc>
          <w:tcPr>
            <w:tcW w:w="1542" w:type="dxa"/>
            <w:noWrap w:val="0"/>
            <w:vAlign w:val="center"/>
          </w:tcPr>
          <w:p w14:paraId="3324F8D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平台经营者修改平台服务协议和交易规则应当履行法定义务</w:t>
            </w:r>
          </w:p>
          <w:p w14:paraId="26D0ADE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457EE70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1.平台经营者修改平台服务协议和交易规则，没有在其首页显著位置公开征求意见。 </w:t>
            </w:r>
          </w:p>
          <w:p w14:paraId="2881BCF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2.平台经营者未按照规定的时间（至少在实施前七日）提前公示服务协议和交易规则的修改内容。</w:t>
            </w:r>
          </w:p>
          <w:p w14:paraId="6BCA104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5624F5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14222D1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第八十一条第一款第二项 电子商务平台经营者违反本法规定，有下列行为之一的，由市场监督管理部门责令限期改正，可以处二万元以上十万元以下的罚款；情节严重的，处十万元以上五十万元以下的罚款：（二）修改交易规则未在首页显著位置公开征求意见，未按照规定的时间提前公示修改内容，或者阻止平台内经营者退出的。</w:t>
            </w:r>
          </w:p>
          <w:p w14:paraId="5C4771F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34B60A7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51B76FE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79A586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平台经营者修改平台服务协议和交易规则，应当遵守公开原则： </w:t>
            </w:r>
          </w:p>
          <w:p w14:paraId="0DF7F95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1.修订过程要公开参与。应当在其首页显著位置公开征求意见，采取合理措施确保有关各方能够及时充分表达意见。 </w:t>
            </w:r>
          </w:p>
          <w:p w14:paraId="0CFCCB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2.修订内容要公示。修订内容实施之前，需要有至少七日的公示期。</w:t>
            </w:r>
          </w:p>
          <w:p w14:paraId="4C3B537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2E74A12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31EC6B2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1C85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BA6094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11</w:t>
            </w:r>
          </w:p>
        </w:tc>
        <w:tc>
          <w:tcPr>
            <w:tcW w:w="1542" w:type="dxa"/>
            <w:noWrap w:val="0"/>
            <w:vAlign w:val="center"/>
          </w:tcPr>
          <w:p w14:paraId="6762BDF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平台经营者要为消费者提供评价的途径，不得删除消费者的真实评价</w:t>
            </w:r>
          </w:p>
          <w:p w14:paraId="6A11585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7425E79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1.平台经营者没有为消费者提供对平台内销售的商品或者提供的服务进行评价的途径。 </w:t>
            </w:r>
          </w:p>
          <w:p w14:paraId="5AF39D7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2.平台经营者删除消费者的真实评价来控制、歪曲商品或服务的介绍。</w:t>
            </w:r>
          </w:p>
          <w:p w14:paraId="0EC9602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3B246B3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5C2AE33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第八十一条第一款第四项 电子商务平台经营者违反本法规定，有下列行为之一的，由市场监督管理部门责令限期改正，可以处二万元以上十万元以下的罚款；情节严重的，处十万元以上五十万元以下的罚款：（四）未为消费者提供对平台内销售的商品或者提供的服务进行评价的途径，或者擅自删除消费者的评价的。</w:t>
            </w:r>
          </w:p>
          <w:p w14:paraId="7506434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6771AA5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3007705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2A6C0D0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1.平台经营者应当将信用评价规则的内容予以公示。 </w:t>
            </w:r>
          </w:p>
          <w:p w14:paraId="3D160B1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2.平台经营者应当为消费者提供对平台内销售的商品或者提供的服务进行评价的途 </w:t>
            </w:r>
          </w:p>
          <w:p w14:paraId="5C07F0E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径，并要将评价内容公开展示。 </w:t>
            </w:r>
          </w:p>
          <w:p w14:paraId="00D2FD8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3.平台经营者不得删除消费者对其平台内销售的商品或者提供的服务的真实评价。</w:t>
            </w:r>
          </w:p>
        </w:tc>
        <w:tc>
          <w:tcPr>
            <w:tcW w:w="1624" w:type="dxa"/>
            <w:noWrap w:val="0"/>
            <w:vAlign w:val="center"/>
          </w:tcPr>
          <w:p w14:paraId="7C67293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6173ADC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27A2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33BD23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12</w:t>
            </w:r>
          </w:p>
        </w:tc>
        <w:tc>
          <w:tcPr>
            <w:tcW w:w="1542" w:type="dxa"/>
            <w:noWrap w:val="0"/>
            <w:vAlign w:val="center"/>
          </w:tcPr>
          <w:p w14:paraId="02A6570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平台经营者应当履行对平台内经营者侵害消费者合法权益行为采取必要措施的义务、平台内经营者资质资格审核义务和消费者安全保障义务。</w:t>
            </w:r>
          </w:p>
          <w:p w14:paraId="33C4918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top"/>
          </w:tcPr>
          <w:p w14:paraId="1333564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 平台内销售食品的商户存在未取得许可或进行备案问题，平台经营者未尽到资质资格审核义务。 </w:t>
            </w:r>
          </w:p>
          <w:p w14:paraId="5C1ECA0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 平台内销售食品的商户存在许可证过期的问题，平台经营者未尽到资质资格审核义务。 </w:t>
            </w:r>
          </w:p>
          <w:p w14:paraId="38E7D81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 发现平台内经营者销售不符合新国标、无强制性产品认证（CCC认证）电动自行车及其相关产品，平台经营者未采取必要措施。</w:t>
            </w:r>
          </w:p>
          <w:p w14:paraId="15CA3ED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725D2F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5E79683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第三十八条 电子商务平台经营者知道或者应当知道平台内经营者销售的商品或者提供的服务不符合保障人身、财产安全的要求，或者有其他侵害消费者合法权益行为，未采取必要措施的，依法与该平台内经营者承担连带责任。 </w:t>
            </w:r>
          </w:p>
          <w:p w14:paraId="4971987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对关系消费者生命健康的商品或者服务，电子商务平台经营者对平台内经营者的资质资格未尽到审核义务，或者对消费者未尽到安全保障义务，造成消费者损害的，依法承担相应的责任。 </w:t>
            </w:r>
          </w:p>
          <w:p w14:paraId="5365A27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第八十三条 电子商务平台经营者违反本法第三十八条规定，对平台内经营者侵害消费者合法权益行为未采取必要措施，或者对平台内经营者未尽到资质资格审核义务，或者对消费者未尽到安全保障义务的，由市场监督管理部门责令限期改正，可以处五万元以上五十万元以下的罚款；情节严重的，责令停业整顿，并处五十万元以上二百万元以下的罚款。</w:t>
            </w:r>
          </w:p>
          <w:p w14:paraId="0FF07C4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391CCB1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3891006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0400198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1.平台经营者应当要求申请进入平台销售商品或者提供服务的经营者提交其身份、地址、联系方式、行政许可等真实信息，进行核验、登记，建立登记档案，并定期核验更新。 </w:t>
            </w:r>
          </w:p>
          <w:p w14:paraId="3EB5F05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2.平台经营者应当对平台内经营者及其发布的商品或者服务信息建立检查监控制度。 </w:t>
            </w:r>
          </w:p>
          <w:p w14:paraId="6C38B38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3.平台经营者发现平台内的商品或者服务信息有违反市场监督管理法律、法规、规 </w:t>
            </w:r>
          </w:p>
          <w:p w14:paraId="40AA34C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章，损害国家利益和社会公共利益，违背公序良俗的，应当依法采取必要的处置措施，保存有关记录，并向平台住所地县级以上市场监督管理部门报告。</w:t>
            </w:r>
          </w:p>
        </w:tc>
        <w:tc>
          <w:tcPr>
            <w:tcW w:w="1624" w:type="dxa"/>
            <w:noWrap w:val="0"/>
            <w:vAlign w:val="center"/>
          </w:tcPr>
          <w:p w14:paraId="350004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62B8612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5E0C1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4BDD8B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13</w:t>
            </w:r>
          </w:p>
        </w:tc>
        <w:tc>
          <w:tcPr>
            <w:tcW w:w="1542" w:type="dxa"/>
            <w:noWrap w:val="0"/>
            <w:vAlign w:val="center"/>
          </w:tcPr>
          <w:p w14:paraId="460296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电子商务平台经营者应当建立知识产权保护规则，与知识产权权利人加强合作，依法保护知识产权</w:t>
            </w:r>
          </w:p>
          <w:p w14:paraId="6A1E8DB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0A3498D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 电子商务平台经营者未建立知识产权保护规则； </w:t>
            </w:r>
          </w:p>
          <w:p w14:paraId="733FC2C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 电子商务平台经营者接到知识产权权利人关于其知识产权受到侵害的通知或知道、应当知道平台内经营者侵犯知识产权后，未及时采取删除、屏蔽、断开链接、终止交易和服务等必要措施。</w:t>
            </w:r>
          </w:p>
          <w:p w14:paraId="724352C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38CAD09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《中华人民共和国电子商务法》 </w:t>
            </w:r>
          </w:p>
          <w:p w14:paraId="5E94660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第四十二条第一款、第二款 </w:t>
            </w:r>
            <w:r>
              <w:rPr>
                <w:rFonts w:hint="eastAsia" w:ascii="BMHBIL+SimSun" w:hAnsi="BMHBIL+SimSun" w:cs="BMHBIL+SimSun" w:eastAsiaTheme="minorEastAsia"/>
                <w:color w:val="000000"/>
                <w:spacing w:val="1"/>
                <w:kern w:val="2"/>
                <w:sz w:val="20"/>
                <w:szCs w:val="20"/>
                <w:highlight w:val="none"/>
                <w:lang w:val="en-US" w:eastAsia="zh-CN" w:bidi="ar-SA"/>
              </w:rPr>
              <w:t xml:space="preserve"> </w:t>
            </w:r>
            <w:r>
              <w:rPr>
                <w:rFonts w:hint="default" w:ascii="BMHBIL+SimSun" w:hAnsi="BMHBIL+SimSun" w:cs="BMHBIL+SimSun" w:eastAsiaTheme="minorEastAsia"/>
                <w:color w:val="000000"/>
                <w:spacing w:val="1"/>
                <w:kern w:val="2"/>
                <w:sz w:val="20"/>
                <w:szCs w:val="20"/>
                <w:highlight w:val="none"/>
                <w:lang w:val="en-US" w:eastAsia="zh-CN" w:bidi="ar-SA"/>
              </w:rPr>
              <w:t>知识产权权利人认为其知识产权受到侵害的，有权通知电子商务平台经营者采取删除、屏蔽、断开链接、终止交易和服务等必要措施。</w:t>
            </w:r>
          </w:p>
          <w:p w14:paraId="3AB5872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通知应当包括构成侵权的初步证据。电子商务平台经营者接到通知后，应当及时采取必要措施，并将该通知转送平台内经营者；未及时采取必要措施的，对损害的扩大部分与平台内经营者承担连带责任。 </w:t>
            </w:r>
          </w:p>
          <w:p w14:paraId="7E60BD1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第四十五条 电子商务平台经营者知道或者应当知道平台内经营者侵犯知识产权的，应当采取删除、屏蔽、断开链接、终止交易和服务等必要措施；未采取必要措施的，与侵权人承担连带责任。 </w:t>
            </w:r>
          </w:p>
          <w:p w14:paraId="7E641A4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第八十四条 电子商务平台经营者违反本法第四十二条、第四十五条规定，对平台内经营者实施侵犯知识产权行为未依法采取必要措施的，由有关知识产权行政部门责令限期改正；逾期不改正的，处五万元以上五十万元以下的罚款；情节严重的，处五十万元以上二百万元以下的罚款。</w:t>
            </w:r>
          </w:p>
          <w:p w14:paraId="52044F3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232352C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66FC254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737A7C7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1.电子商务平台经营者应当建立知识产权保护规则，与知识产权权利人加强合作，规范优化知识产权侵权处理流程。 </w:t>
            </w:r>
          </w:p>
          <w:p w14:paraId="66388D4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2.电子商务平台经营者应当及时公示收到的通知、声明及处理结果。 </w:t>
            </w:r>
          </w:p>
          <w:p w14:paraId="4D0DDB5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3.平台内经营者接到通</w:t>
            </w:r>
            <w:r>
              <w:rPr>
                <w:rFonts w:hint="eastAsia" w:ascii="BMHBIL+SimSun" w:hAnsi="BMHBIL+SimSun" w:cs="BMHBIL+SimSun" w:eastAsiaTheme="minorEastAsia"/>
                <w:color w:val="000000"/>
                <w:spacing w:val="1"/>
                <w:kern w:val="2"/>
                <w:sz w:val="20"/>
                <w:szCs w:val="20"/>
                <w:highlight w:val="none"/>
                <w:lang w:val="en-US" w:eastAsia="zh-CN" w:bidi="ar-SA"/>
              </w:rPr>
              <w:t>知</w:t>
            </w:r>
            <w:r>
              <w:rPr>
                <w:rFonts w:hint="default" w:ascii="BMHBIL+SimSun" w:hAnsi="BMHBIL+SimSun" w:cs="BMHBIL+SimSun" w:eastAsiaTheme="minorEastAsia"/>
                <w:color w:val="000000"/>
                <w:spacing w:val="1"/>
                <w:kern w:val="2"/>
                <w:sz w:val="20"/>
                <w:szCs w:val="20"/>
                <w:highlight w:val="none"/>
                <w:lang w:val="en-US" w:eastAsia="zh-CN" w:bidi="ar-SA"/>
              </w:rPr>
              <w:t xml:space="preserve">后，可以向电子商务平台经营者提交不存在侵权行为的声明。声明应当包括不存在 </w:t>
            </w:r>
          </w:p>
          <w:p w14:paraId="7937899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侵权行为的初步证据。 </w:t>
            </w:r>
          </w:p>
          <w:p w14:paraId="7C003BD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4.电子商务平台经营者接到声明后，应当将该声明转送发出通知的知识产权权利人，并告知其可以向有关主 </w:t>
            </w:r>
          </w:p>
          <w:p w14:paraId="345EBC9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管部门投诉或者向人民法院起诉。电子商务平台经营者在转送声明到达知识产权权利人后十五日内，未收到权利人已经投诉或者起诉通知的，应当及时终止所采取的措施。 </w:t>
            </w:r>
          </w:p>
          <w:p w14:paraId="0D63664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5.电子商务平台经营者要依法加强知识产权保护、商品知识产权风险巡查，提升平台管理人员知识产权侵权投诉处置能力。开展知识产权法律法规培训宣传，提升平台内经营者知识产权保护意识。</w:t>
            </w:r>
          </w:p>
        </w:tc>
        <w:tc>
          <w:tcPr>
            <w:tcW w:w="1624" w:type="dxa"/>
            <w:noWrap w:val="0"/>
            <w:vAlign w:val="center"/>
          </w:tcPr>
          <w:p w14:paraId="16F3E87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3DA33F4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55218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69C8EB3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14</w:t>
            </w:r>
          </w:p>
        </w:tc>
        <w:tc>
          <w:tcPr>
            <w:tcW w:w="1542" w:type="dxa"/>
            <w:noWrap w:val="0"/>
            <w:vAlign w:val="center"/>
          </w:tcPr>
          <w:p w14:paraId="5BD0EF1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平台经营者应当以显著方式区分标记已办理市场主体登记的经营者和未办理市场主体登记的经营者</w:t>
            </w:r>
          </w:p>
          <w:p w14:paraId="5CC9A49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7A588EB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平台经营者未以显著方式区分标记已办理营业执照的经营者和未办理营业执照的经营者。</w:t>
            </w:r>
          </w:p>
          <w:p w14:paraId="33513F9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top"/>
          </w:tcPr>
          <w:p w14:paraId="4C1F044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《网络交易监督管理办法》 </w:t>
            </w:r>
          </w:p>
          <w:p w14:paraId="7A7E710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第二十七条 网络交易平台经营者应当以显著方式区分标记已办理市场主体登记的经营者和未办理市场主体登记的经营者，确保消费者能够清晰辨认。 </w:t>
            </w:r>
          </w:p>
          <w:p w14:paraId="3DB3E70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第四十八条 网络交易平台经营者违反本办法第二十七条、第二十八条、第三十条的，由市场监督管理部门责令限期改正；逾期不改正的，处一万元以上三万元以下罚款。</w:t>
            </w:r>
          </w:p>
          <w:p w14:paraId="331AB30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7CDE32D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0F92180D">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3B3F129E">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平台经营者对已办理市场主体登记的经营者和未办理市场主体登记的经营者，应当 </w:t>
            </w:r>
          </w:p>
          <w:p w14:paraId="28990BE7">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以显著方式区分标记，确保消费者能够清晰辨认。</w:t>
            </w:r>
          </w:p>
          <w:p w14:paraId="136E392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68D3CE5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3E91758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285D7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89B239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15</w:t>
            </w:r>
          </w:p>
        </w:tc>
        <w:tc>
          <w:tcPr>
            <w:tcW w:w="1542" w:type="dxa"/>
            <w:noWrap w:val="0"/>
            <w:vAlign w:val="center"/>
          </w:tcPr>
          <w:p w14:paraId="12A6784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平台经营者修改平台服务协议和交易规则，要符合法律规定。</w:t>
            </w:r>
          </w:p>
          <w:p w14:paraId="3CBB973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678E84E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1.平台经营者没有完整保存修改后的版本生效之日前三年的全部历史版本的平台服务协议和交易规则。 </w:t>
            </w:r>
          </w:p>
          <w:p w14:paraId="1BDD5CA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2.平台经营者不能保证经营者和消费者便利、完整地阅览和下载全部历史版本的平台服务协议和交易规则。</w:t>
            </w:r>
          </w:p>
          <w:p w14:paraId="0CECFBA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5AC1781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《网络交易监督管理办法》 </w:t>
            </w:r>
          </w:p>
          <w:p w14:paraId="39EFEE2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第二十八条 网络交易平台经营者修改平台服务协议和交易规则的，应当完整保存修改后的版本生效之日前三年的全部历史版本，并保证经营者和消费者能够便利、完整地阅览和下载。 </w:t>
            </w:r>
          </w:p>
          <w:p w14:paraId="622EF53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第四十八条 网络交易平台经营者违反本办法第二十七条、第二十八条、第三十条的，由市场监督管理部门责令限期改正；逾期不改正的，处一万元以上三万元以下罚款。</w:t>
            </w:r>
          </w:p>
          <w:p w14:paraId="19C1B918">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5A10AD2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30FC5C5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4B92292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对平台服务协议和交易规则的修改，网络交易平台经营者应当做到： </w:t>
            </w:r>
          </w:p>
          <w:p w14:paraId="46004A2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1.完整保存修改后的版本生效之日前三年的全部历史版本。 </w:t>
            </w:r>
          </w:p>
          <w:p w14:paraId="2795030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2.要保证经营者和消费者能够便利、完整地阅览和下载修改后的版本生效之日前三年的全部历史版本的平台服务协议和交易规则。</w:t>
            </w:r>
          </w:p>
        </w:tc>
        <w:tc>
          <w:tcPr>
            <w:tcW w:w="1624" w:type="dxa"/>
            <w:noWrap w:val="0"/>
            <w:vAlign w:val="center"/>
          </w:tcPr>
          <w:p w14:paraId="6532988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2C0C071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r w14:paraId="37787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3226FC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ind w:left="0" w:leftChars="0"/>
              <w:jc w:val="center"/>
              <w:textAlignment w:val="baseline"/>
              <w:rPr>
                <w:rFonts w:hint="eastAsia" w:ascii="Times New Roman" w:hAnsi="Times New Roman" w:eastAsia="方正仿宋_GBK" w:cs="Times New Roman"/>
                <w:snapToGrid w:val="0"/>
                <w:color w:val="auto"/>
                <w:kern w:val="0"/>
                <w:sz w:val="18"/>
                <w:szCs w:val="18"/>
                <w:vertAlign w:val="baseline"/>
                <w:lang w:val="en-US" w:eastAsia="zh-CN"/>
              </w:rPr>
            </w:pPr>
            <w:r>
              <w:rPr>
                <w:rFonts w:hint="eastAsia" w:ascii="Times New Roman" w:hAnsi="Times New Roman" w:eastAsia="方正仿宋_GBK" w:cs="Times New Roman"/>
                <w:snapToGrid w:val="0"/>
                <w:color w:val="auto"/>
                <w:kern w:val="0"/>
                <w:sz w:val="18"/>
                <w:szCs w:val="18"/>
                <w:vertAlign w:val="baseline"/>
                <w:lang w:val="en-US" w:eastAsia="zh-CN"/>
              </w:rPr>
              <w:t>16</w:t>
            </w:r>
          </w:p>
        </w:tc>
        <w:tc>
          <w:tcPr>
            <w:tcW w:w="1542" w:type="dxa"/>
            <w:noWrap w:val="0"/>
            <w:vAlign w:val="center"/>
          </w:tcPr>
          <w:p w14:paraId="02594BD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平台经营者应及时对外公示对平台内经营者违法行为采取的处理措施。</w:t>
            </w:r>
          </w:p>
          <w:p w14:paraId="0646B3A5">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251" w:type="dxa"/>
            <w:noWrap w:val="0"/>
            <w:vAlign w:val="center"/>
          </w:tcPr>
          <w:p w14:paraId="42B7C910">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平台经营者对平台内经营者违法行为采取警示、暂停或者终止服务等处理措施的，未在法定期限内予以公示。</w:t>
            </w:r>
          </w:p>
          <w:p w14:paraId="261BEBC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如：平台经营者对入驻商户的违法行为采取了屏蔽店铺的处理措施，没有及时予以公示。</w:t>
            </w:r>
          </w:p>
          <w:p w14:paraId="6BD74C6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3640" w:type="dxa"/>
            <w:noWrap w:val="0"/>
            <w:vAlign w:val="center"/>
          </w:tcPr>
          <w:p w14:paraId="6C07947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《网络交易监督管理办法》 </w:t>
            </w:r>
          </w:p>
          <w:p w14:paraId="57B6A0B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第三十条 网络交易平台经营者依据法律、法规、规章的规定或者平台服务协议和交易规则对平台内经营者违法行为采取警示、暂停或者终止服务等处理措施的，应当自决定作出处理措施之日起一个工作日内予以公示，载明平台内经营者的网店名称、违法行为、处理措施等信息。警示、暂停服务等短期处理措施的相关信息应当持续公示至处理措施实施期满之日止。 </w:t>
            </w:r>
          </w:p>
          <w:p w14:paraId="5A84DC3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第四十八条 网络交易平台经营者违反本办法第二十七条、第二十八条、第三十条的，由市场监督管理部门责令限期改正；逾期不改正的，处一万元以上三万元以下罚款。</w:t>
            </w:r>
          </w:p>
          <w:p w14:paraId="74930F5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140" w:type="dxa"/>
            <w:noWrap w:val="0"/>
            <w:vAlign w:val="center"/>
          </w:tcPr>
          <w:p w14:paraId="41B4F17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w:t>
            </w:r>
          </w:p>
          <w:p w14:paraId="0ADCB5E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2145" w:type="dxa"/>
            <w:noWrap w:val="0"/>
            <w:vAlign w:val="center"/>
          </w:tcPr>
          <w:p w14:paraId="7630B67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1.对平台内经营者违法行为采取的惩罚性处理措施，应及时对外予以公示。 </w:t>
            </w:r>
          </w:p>
          <w:p w14:paraId="2C7308D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 xml:space="preserve">2.公示处理措施应载明平台内经营者的网店名称、违法行为、处理措施等信息。 </w:t>
            </w:r>
          </w:p>
          <w:p w14:paraId="1A5F34A2">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3.对平台内经营者违法行为采取的警示、暂停服务等短期处理措施的相关信息应当持续公示至处理措施实施期满之日止。</w:t>
            </w:r>
          </w:p>
          <w:p w14:paraId="19E6532C">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p>
        </w:tc>
        <w:tc>
          <w:tcPr>
            <w:tcW w:w="1624" w:type="dxa"/>
            <w:noWrap w:val="0"/>
            <w:vAlign w:val="center"/>
          </w:tcPr>
          <w:p w14:paraId="0E1B561B">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w:t>
            </w:r>
            <w:r>
              <w:rPr>
                <w:rFonts w:hint="default" w:ascii="BMHBIL+SimSun" w:hAnsi="BMHBIL+SimSun" w:cs="BMHBIL+SimSun" w:eastAsiaTheme="minorEastAsia"/>
                <w:color w:val="000000"/>
                <w:spacing w:val="1"/>
                <w:kern w:val="2"/>
                <w:sz w:val="20"/>
                <w:szCs w:val="20"/>
                <w:highlight w:val="none"/>
                <w:lang w:val="en-US" w:eastAsia="zh-CN" w:bidi="ar-SA"/>
              </w:rPr>
              <w:t>市场监督管理局</w:t>
            </w:r>
            <w:r>
              <w:rPr>
                <w:rFonts w:hint="eastAsia" w:ascii="BMHBIL+SimSun" w:hAnsi="BMHBIL+SimSun" w:cs="BMHBIL+SimSun" w:eastAsiaTheme="minorEastAsia"/>
                <w:color w:val="000000"/>
                <w:spacing w:val="1"/>
                <w:kern w:val="2"/>
                <w:sz w:val="20"/>
                <w:szCs w:val="20"/>
                <w:highlight w:val="none"/>
                <w:lang w:val="en-US" w:eastAsia="zh-CN" w:bidi="ar-SA"/>
              </w:rPr>
              <w:t>网络交易监督管理科</w:t>
            </w:r>
          </w:p>
          <w:p w14:paraId="572861C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exact"/>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default" w:ascii="BMHBIL+SimSun" w:hAnsi="BMHBIL+SimSun" w:cs="BMHBIL+SimSun" w:eastAsiaTheme="minorEastAsia"/>
                <w:color w:val="000000"/>
                <w:spacing w:val="1"/>
                <w:kern w:val="2"/>
                <w:sz w:val="20"/>
                <w:szCs w:val="20"/>
                <w:highlight w:val="none"/>
                <w:lang w:val="en-US" w:eastAsia="zh-CN" w:bidi="ar-SA"/>
              </w:rPr>
              <w:t>电话</w:t>
            </w:r>
            <w:r>
              <w:rPr>
                <w:rFonts w:hint="eastAsia" w:ascii="BMHBIL+SimSun" w:hAnsi="BMHBIL+SimSun" w:cs="BMHBIL+SimSun" w:eastAsiaTheme="minorEastAsia"/>
                <w:color w:val="000000"/>
                <w:spacing w:val="1"/>
                <w:kern w:val="2"/>
                <w:sz w:val="20"/>
                <w:szCs w:val="20"/>
                <w:highlight w:val="none"/>
                <w:lang w:val="en-US" w:eastAsia="zh-CN" w:bidi="ar-SA"/>
              </w:rPr>
              <w:t>：029-88610784</w:t>
            </w:r>
          </w:p>
        </w:tc>
      </w:tr>
    </w:tbl>
    <w:p w14:paraId="0381396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auto"/>
        <w:ind w:left="0" w:leftChars="0"/>
        <w:jc w:val="both"/>
        <w:textAlignment w:val="baseline"/>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备注：1.合规清单适用对象：本行政区域内从事电子商务的经营者。</w:t>
      </w:r>
    </w:p>
    <w:p w14:paraId="3E4BB719">
      <w:pPr>
        <w:pStyle w:val="2"/>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240" w:lineRule="auto"/>
        <w:ind w:left="0" w:leftChars="0" w:firstLine="600" w:firstLineChars="300"/>
        <w:jc w:val="both"/>
        <w:textAlignment w:val="baseline"/>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2.该清单并未涵盖网络交易领域所有违法违规行为。</w:t>
      </w:r>
    </w:p>
    <w:p w14:paraId="7FC0517D">
      <w:pPr>
        <w:keepNext w:val="0"/>
        <w:keepLines w:val="0"/>
        <w:pageBreakBefore w:val="0"/>
        <w:pBdr>
          <w:top w:val="none" w:color="auto" w:sz="0" w:space="1"/>
          <w:left w:val="none" w:color="auto" w:sz="0" w:space="4"/>
          <w:bottom w:val="none" w:color="auto" w:sz="0" w:space="1"/>
          <w:right w:val="none" w:color="auto" w:sz="0" w:space="4"/>
          <w:between w:val="none" w:color="auto" w:sz="0" w:space="0"/>
        </w:pBdr>
        <w:wordWrap/>
        <w:bidi w:val="0"/>
        <w:ind w:left="0" w:leftChars="0" w:firstLine="600" w:firstLineChars="300"/>
        <w:rPr>
          <w:rFonts w:hint="eastAsia"/>
          <w:lang w:val="en-US" w:eastAsia="zh-CN"/>
        </w:rPr>
      </w:pPr>
      <w:r>
        <w:rPr>
          <w:rFonts w:hint="eastAsia" w:ascii="宋体" w:hAnsi="宋体" w:eastAsia="宋体" w:cs="宋体"/>
          <w:color w:val="auto"/>
          <w:sz w:val="20"/>
          <w:szCs w:val="20"/>
          <w:lang w:val="en-US" w:eastAsia="zh-CN"/>
        </w:rPr>
        <w:t>3.发生频率较高的风险等级为★★★，发生频率一般的风险等级为★★，发生频率较少的风险等级为★</w:t>
      </w:r>
      <w:r>
        <w:rPr>
          <w:rFonts w:hint="default" w:ascii="Times New Roman" w:hAnsi="Times New Roman" w:eastAsia="方正仿宋_GBK" w:cs="Times New Roman"/>
          <w:color w:val="auto"/>
          <w:sz w:val="21"/>
          <w:szCs w:val="21"/>
          <w:lang w:val="en-US" w:eastAsia="zh-CN"/>
        </w:rPr>
        <w:t>。</w:t>
      </w:r>
    </w:p>
    <w:p w14:paraId="6DDA30FC">
      <w:pPr>
        <w:rPr>
          <w:rFonts w:hint="eastAsia"/>
          <w:lang w:val="en-US" w:eastAsia="zh-CN"/>
        </w:rPr>
      </w:pPr>
      <w:r>
        <w:rPr>
          <w:rFonts w:hint="eastAsia"/>
          <w:lang w:val="en-US" w:eastAsia="zh-CN"/>
        </w:rPr>
        <w:t>特种设备生产，经营，使用类行为（共25项）</w:t>
      </w:r>
    </w:p>
    <w:tbl>
      <w:tblPr>
        <w:tblStyle w:val="6"/>
        <w:tblW w:w="13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2"/>
        <w:gridCol w:w="2251"/>
        <w:gridCol w:w="3640"/>
        <w:gridCol w:w="1140"/>
        <w:gridCol w:w="2145"/>
        <w:gridCol w:w="1624"/>
      </w:tblGrid>
      <w:tr w14:paraId="0EFE0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2BA14153">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序号</w:t>
            </w:r>
          </w:p>
        </w:tc>
        <w:tc>
          <w:tcPr>
            <w:tcW w:w="1542" w:type="dxa"/>
            <w:noWrap w:val="0"/>
            <w:vAlign w:val="center"/>
          </w:tcPr>
          <w:p w14:paraId="5ECDFAEA">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行政合规事项</w:t>
            </w:r>
          </w:p>
        </w:tc>
        <w:tc>
          <w:tcPr>
            <w:tcW w:w="2251" w:type="dxa"/>
            <w:noWrap w:val="0"/>
            <w:vAlign w:val="center"/>
          </w:tcPr>
          <w:p w14:paraId="4E825754">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常见违法行为表现</w:t>
            </w:r>
          </w:p>
        </w:tc>
        <w:tc>
          <w:tcPr>
            <w:tcW w:w="3640" w:type="dxa"/>
            <w:noWrap w:val="0"/>
            <w:vAlign w:val="center"/>
          </w:tcPr>
          <w:p w14:paraId="0CB7C359">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法律依据及违法责任</w:t>
            </w:r>
          </w:p>
        </w:tc>
        <w:tc>
          <w:tcPr>
            <w:tcW w:w="1140" w:type="dxa"/>
            <w:noWrap w:val="0"/>
            <w:vAlign w:val="center"/>
          </w:tcPr>
          <w:p w14:paraId="5043950F">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风险等级</w:t>
            </w:r>
          </w:p>
        </w:tc>
        <w:tc>
          <w:tcPr>
            <w:tcW w:w="2145" w:type="dxa"/>
            <w:noWrap w:val="0"/>
            <w:vAlign w:val="center"/>
          </w:tcPr>
          <w:p w14:paraId="57E315E1">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合规建议</w:t>
            </w:r>
          </w:p>
        </w:tc>
        <w:tc>
          <w:tcPr>
            <w:tcW w:w="1624" w:type="dxa"/>
            <w:noWrap w:val="0"/>
            <w:vAlign w:val="center"/>
          </w:tcPr>
          <w:p w14:paraId="13D675D6">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autoSpaceDE/>
              <w:autoSpaceDN/>
              <w:bidi w:val="0"/>
              <w:adjustRightInd w:val="0"/>
              <w:snapToGrid w:val="0"/>
              <w:spacing w:line="560" w:lineRule="exact"/>
              <w:ind w:left="0" w:leftChars="0"/>
              <w:jc w:val="center"/>
              <w:rPr>
                <w:rFonts w:hint="default" w:ascii="Times New Roman" w:hAnsi="Times New Roman" w:eastAsia="方正黑体_GBK" w:cs="Times New Roman"/>
                <w:snapToGrid w:val="0"/>
                <w:color w:val="auto"/>
                <w:kern w:val="0"/>
                <w:sz w:val="21"/>
                <w:szCs w:val="21"/>
                <w:vertAlign w:val="baseline"/>
                <w:lang w:val="en-US" w:eastAsia="zh-CN"/>
              </w:rPr>
            </w:pPr>
            <w:r>
              <w:rPr>
                <w:rFonts w:hint="default" w:ascii="Times New Roman" w:hAnsi="Times New Roman" w:eastAsia="方正黑体_GBK" w:cs="Times New Roman"/>
                <w:snapToGrid w:val="0"/>
                <w:color w:val="auto"/>
                <w:kern w:val="0"/>
                <w:sz w:val="21"/>
                <w:szCs w:val="21"/>
                <w:vertAlign w:val="baseline"/>
                <w:lang w:val="en-US" w:eastAsia="zh-CN"/>
              </w:rPr>
              <w:t>指导部门</w:t>
            </w:r>
          </w:p>
        </w:tc>
      </w:tr>
      <w:tr w14:paraId="49175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57A28D8">
            <w:pPr>
              <w:pageBreakBefore w:val="0"/>
              <w:wordWrap w:val="0"/>
              <w:spacing w:before="0" w:after="0" w:line="180" w:lineRule="atLeast"/>
              <w:ind w:left="0" w:leftChars="0" w:right="0" w:righ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heme="minorEastAsia" w:hAnsiTheme="minorEastAsia" w:eastAsiaTheme="minorEastAsia" w:cstheme="minorEastAsia"/>
                <w:b w:val="0"/>
                <w:i w:val="0"/>
                <w:color w:val="000000"/>
                <w:spacing w:val="0"/>
                <w:sz w:val="21"/>
                <w:szCs w:val="21"/>
              </w:rPr>
              <w:t>1</w:t>
            </w:r>
          </w:p>
        </w:tc>
        <w:tc>
          <w:tcPr>
            <w:tcW w:w="1542" w:type="dxa"/>
            <w:noWrap w:val="0"/>
            <w:vAlign w:val="center"/>
          </w:tcPr>
          <w:p w14:paraId="43E88D5B">
            <w:pPr>
              <w:keepNext w:val="0"/>
              <w:keepLines w:val="0"/>
              <w:pageBreakBefore w:val="0"/>
              <w:widowControl w:val="0"/>
              <w:kinsoku/>
              <w:wordWrap w:val="0"/>
              <w:overflowPunct/>
              <w:topLinePunct w:val="0"/>
              <w:autoSpaceDE/>
              <w:autoSpaceDN/>
              <w:bidi w:val="0"/>
              <w:adjustRightInd/>
              <w:snapToGrid/>
              <w:spacing w:before="0" w:after="0" w:line="240" w:lineRule="exact"/>
              <w:ind w:left="0" w:leftChars="0" w:right="0" w:righ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从事特种设备生产活动(包括设计、制造、安装、改造、修理)应当依法取得相应许可</w:t>
            </w:r>
          </w:p>
        </w:tc>
        <w:tc>
          <w:tcPr>
            <w:tcW w:w="2251" w:type="dxa"/>
            <w:noWrap w:val="0"/>
            <w:vAlign w:val="center"/>
          </w:tcPr>
          <w:p w14:paraId="1B2D3B1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1.未经许可从事特种设备生产活动；</w:t>
            </w:r>
          </w:p>
          <w:p w14:paraId="76267F4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2.超出许可范围从事特种设备生产活动；</w:t>
            </w:r>
          </w:p>
          <w:p w14:paraId="4A140CA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3.特种设备生产单位不再具备生产条件、生产许可证已经过期从事特种设备生产活动；</w:t>
            </w:r>
          </w:p>
          <w:p w14:paraId="6AB8EA74">
            <w:pPr>
              <w:keepNext w:val="0"/>
              <w:keepLines w:val="0"/>
              <w:pageBreakBefore w:val="0"/>
              <w:widowControl w:val="0"/>
              <w:kinsoku/>
              <w:wordWrap w:val="0"/>
              <w:overflowPunct/>
              <w:topLinePunct w:val="0"/>
              <w:autoSpaceDE/>
              <w:autoSpaceDN/>
              <w:bidi w:val="0"/>
              <w:adjustRightInd/>
              <w:snapToGrid/>
              <w:spacing w:before="0" w:after="0" w:line="240" w:lineRule="exact"/>
              <w:ind w:left="0" w:leftChars="0" w:right="80" w:righ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4.涂改、倒卖、出租、出借生产许可证。</w:t>
            </w:r>
          </w:p>
        </w:tc>
        <w:tc>
          <w:tcPr>
            <w:tcW w:w="3640" w:type="dxa"/>
            <w:noWrap w:val="0"/>
            <w:vAlign w:val="top"/>
          </w:tcPr>
          <w:p w14:paraId="0B3CF8DC">
            <w:pPr>
              <w:keepNext w:val="0"/>
              <w:keepLines w:val="0"/>
              <w:pageBreakBefore w:val="0"/>
              <w:widowControl w:val="0"/>
              <w:kinsoku/>
              <w:wordWrap w:val="0"/>
              <w:overflowPunct/>
              <w:topLinePunct w:val="0"/>
              <w:autoSpaceDE/>
              <w:autoSpaceDN/>
              <w:bidi w:val="0"/>
              <w:adjustRightInd/>
              <w:snapToGrid/>
              <w:spacing w:before="20" w:after="20" w:line="240" w:lineRule="exact"/>
              <w:ind w:left="160" w:right="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36BA7EDD">
            <w:pPr>
              <w:keepNext w:val="0"/>
              <w:keepLines w:val="0"/>
              <w:pageBreakBefore w:val="0"/>
              <w:widowControl w:val="0"/>
              <w:numPr>
                <w:ilvl w:val="0"/>
                <w:numId w:val="7"/>
              </w:numPr>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国家按照分类监督管理的原则对特种设备生产实行许可制度。特种设备生产单位应当具备下列条件，并经负责特种设备安全监督管理的部门许可，方可从事生产活动：(一)有与生产相适应的专业技术人员；(二)有与生产相适应的设备、设施和工作场所；(三)有健全的质量保证、安全管理和岗位责任等制度。</w:t>
            </w:r>
          </w:p>
          <w:p w14:paraId="7F11E811">
            <w:pPr>
              <w:keepNext w:val="0"/>
              <w:keepLines w:val="0"/>
              <w:pageBreakBefore w:val="0"/>
              <w:widowControl w:val="0"/>
              <w:numPr>
                <w:ilvl w:val="0"/>
                <w:numId w:val="0"/>
              </w:numPr>
              <w:kinsoku/>
              <w:wordWrap w:val="0"/>
              <w:overflowPunct/>
              <w:topLinePunct w:val="0"/>
              <w:autoSpaceDE/>
              <w:autoSpaceDN/>
              <w:bidi w:val="0"/>
              <w:adjustRightInd/>
              <w:snapToGrid/>
              <w:spacing w:before="0" w:after="0" w:line="240" w:lineRule="exact"/>
              <w:ind w:right="80" w:rightChars="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第七十四条</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违反本法规定，未经许可从事特种设备生产活动的，责令停止生产，没收违法制造的特种设备，处十万元以上五十万元以下罚款；有违法所得的，没收违法所得；已经实施安装、改造、修理的，责令恢复原状或者责令限期由取得许可的单位重新安装、改造、修理。</w:t>
            </w:r>
          </w:p>
          <w:p w14:paraId="3F7F77E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第八十一条第一款第一项、第三款</w:t>
            </w:r>
          </w:p>
          <w:p w14:paraId="2CB8D92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违反本法规定，特种设备生产单位有下列行为之一的，责令限期改正；逾期未改正的，责令停止生产，处五万元以上五十万元以下罚款；情节严重的，吊销生产许可证：(一)不再具备生产条件、生产许可证已经过期或者超出许可范围生产的。特种设备生产单位涂改、倒卖、出租、出借生产许可证的，责令停止生产，处五万元以上五十万元以下罚款；情节严重的，吊销生产许可证。</w:t>
            </w:r>
          </w:p>
        </w:tc>
        <w:tc>
          <w:tcPr>
            <w:tcW w:w="1140" w:type="dxa"/>
            <w:noWrap w:val="0"/>
            <w:vAlign w:val="center"/>
          </w:tcPr>
          <w:p w14:paraId="2B4974BF">
            <w:pPr>
              <w:keepNext w:val="0"/>
              <w:keepLines w:val="0"/>
              <w:pageBreakBefore w:val="0"/>
              <w:widowControl w:val="0"/>
              <w:kinsoku/>
              <w:wordWrap w:val="0"/>
              <w:overflowPunct/>
              <w:topLinePunct w:val="0"/>
              <w:autoSpaceDE/>
              <w:autoSpaceDN/>
              <w:bidi w:val="0"/>
              <w:adjustRightInd/>
              <w:snapToGrid/>
              <w:spacing w:before="0" w:after="0" w:line="240" w:lineRule="exact"/>
              <w:ind w:left="0" w:leftChars="0" w:right="0" w:rightChars="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4BC211D3">
            <w:pPr>
              <w:keepNext w:val="0"/>
              <w:keepLines w:val="0"/>
              <w:pageBreakBefore w:val="0"/>
              <w:widowControl w:val="0"/>
              <w:kinsoku/>
              <w:wordWrap w:val="0"/>
              <w:overflowPunct/>
              <w:topLinePunct w:val="0"/>
              <w:autoSpaceDE/>
              <w:autoSpaceDN/>
              <w:bidi w:val="0"/>
              <w:adjustRightInd/>
              <w:snapToGrid/>
              <w:spacing w:before="40" w:after="2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1.生产(包括设计、制造、安装、改造、修理)目录内的特种设备应当取得国家、省级市场监督管理部门的相应许可。</w:t>
            </w:r>
          </w:p>
          <w:p w14:paraId="78BE253C">
            <w:pPr>
              <w:keepNext w:val="0"/>
              <w:keepLines w:val="0"/>
              <w:pageBreakBefore w:val="0"/>
              <w:widowControl w:val="0"/>
              <w:kinsoku/>
              <w:wordWrap w:val="0"/>
              <w:overflowPunct/>
              <w:topLinePunct w:val="0"/>
              <w:autoSpaceDE/>
              <w:autoSpaceDN/>
              <w:bidi w:val="0"/>
              <w:adjustRightInd/>
              <w:snapToGrid/>
              <w:spacing w:before="0" w:after="6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2.取得许可后，必须严格按照许可范围生产，许可证有效期限届满前六个月应当依法办理换证申请或承诺声明。不再具备生产条件、生产许可证已经过期的，不得从事特种设备生产。</w:t>
            </w:r>
          </w:p>
          <w:p w14:paraId="4E70BC72">
            <w:pPr>
              <w:keepNext w:val="0"/>
              <w:keepLines w:val="0"/>
              <w:pageBreakBefore w:val="0"/>
              <w:widowControl w:val="0"/>
              <w:kinsoku/>
              <w:wordWrap w:val="0"/>
              <w:overflowPunct/>
              <w:topLinePunct w:val="0"/>
              <w:autoSpaceDE/>
              <w:autoSpaceDN/>
              <w:bidi w:val="0"/>
              <w:adjustRightInd/>
              <w:snapToGrid/>
              <w:spacing w:before="0" w:after="0" w:line="240" w:lineRule="exact"/>
              <w:ind w:left="0" w:leftChars="0" w:right="80" w:rightChars="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备注：特种设备是指对人身和财产安全有较大危险性的锅炉、压力容器(含气瓶)、压力管道、电梯、起重机械、客运索道、大型游乐设施、场(厂)内专用机动车辆等，国家对特种设备实行目录管理，具体目录内容可以上网查询。</w:t>
            </w:r>
          </w:p>
        </w:tc>
        <w:tc>
          <w:tcPr>
            <w:tcW w:w="1624" w:type="dxa"/>
            <w:noWrap w:val="0"/>
            <w:vAlign w:val="center"/>
          </w:tcPr>
          <w:p w14:paraId="4C12BAF4">
            <w:pPr>
              <w:keepNext w:val="0"/>
              <w:keepLines w:val="0"/>
              <w:pageBreakBefore w:val="0"/>
              <w:widowControl w:val="0"/>
              <w:kinsoku/>
              <w:wordWrap w:val="0"/>
              <w:overflowPunct/>
              <w:topLinePunct w:val="0"/>
              <w:autoSpaceDE/>
              <w:autoSpaceDN/>
              <w:bidi w:val="0"/>
              <w:adjustRightInd/>
              <w:snapToGrid/>
              <w:spacing w:before="0" w:after="0" w:line="240" w:lineRule="exact"/>
              <w:ind w:left="0" w:leftChars="0" w:right="0" w:rightChars="0"/>
              <w:jc w:val="left"/>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w:t>
            </w:r>
            <w:r>
              <w:rPr>
                <w:rFonts w:hint="eastAsia" w:ascii="BMHBIL+SimSun" w:hAnsi="BMHBIL+SimSun" w:cs="BMHBIL+SimSun"/>
                <w:color w:val="000000"/>
                <w:spacing w:val="1"/>
                <w:kern w:val="2"/>
                <w:sz w:val="20"/>
                <w:szCs w:val="20"/>
                <w:highlight w:val="none"/>
                <w:lang w:val="en-US" w:eastAsia="zh-CN" w:bidi="ar-SA"/>
              </w:rPr>
              <w:t>种设备安全监察</w:t>
            </w:r>
            <w:r>
              <w:rPr>
                <w:rFonts w:hint="eastAsia" w:ascii="BMHBIL+SimSun" w:hAnsi="BMHBIL+SimSun" w:cs="BMHBIL+SimSun" w:eastAsiaTheme="minorEastAsia"/>
                <w:color w:val="000000"/>
                <w:spacing w:val="1"/>
                <w:kern w:val="2"/>
                <w:sz w:val="20"/>
                <w:szCs w:val="20"/>
                <w:highlight w:val="none"/>
                <w:lang w:val="en-US" w:eastAsia="zh-CN" w:bidi="ar-SA"/>
              </w:rPr>
              <w:t>科：87320915</w:t>
            </w:r>
          </w:p>
        </w:tc>
      </w:tr>
      <w:tr w14:paraId="73C23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E35E424">
            <w:pPr>
              <w:pageBreakBefore w:val="0"/>
              <w:wordWrap w:val="0"/>
              <w:spacing w:before="0" w:after="0" w:line="180" w:lineRule="atLeast"/>
              <w:ind w:left="0" w:leftChars="0" w:right="0" w:righ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heme="minorEastAsia" w:hAnsiTheme="minorEastAsia" w:eastAsiaTheme="minorEastAsia" w:cstheme="minorEastAsia"/>
                <w:b w:val="0"/>
                <w:i w:val="0"/>
                <w:color w:val="000000"/>
                <w:spacing w:val="0"/>
                <w:sz w:val="21"/>
                <w:szCs w:val="21"/>
              </w:rPr>
              <w:t>2</w:t>
            </w:r>
          </w:p>
        </w:tc>
        <w:tc>
          <w:tcPr>
            <w:tcW w:w="1542" w:type="dxa"/>
            <w:noWrap w:val="0"/>
            <w:vAlign w:val="center"/>
          </w:tcPr>
          <w:p w14:paraId="56AB5F4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特种设备出厂时，应当随附安全技术规范要求的技术资料和文件</w:t>
            </w:r>
          </w:p>
        </w:tc>
        <w:tc>
          <w:tcPr>
            <w:tcW w:w="2251" w:type="dxa"/>
            <w:noWrap w:val="0"/>
            <w:vAlign w:val="center"/>
          </w:tcPr>
          <w:p w14:paraId="49A75AD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特种设备出厂时，未按照安全技术规范要求随附设计文件、产品质量合格证明、安装及使用维护保养说明、监督检验证明等相关技术资料和文件。</w:t>
            </w:r>
          </w:p>
        </w:tc>
        <w:tc>
          <w:tcPr>
            <w:tcW w:w="3640" w:type="dxa"/>
            <w:noWrap w:val="0"/>
            <w:vAlign w:val="center"/>
          </w:tcPr>
          <w:p w14:paraId="7123CE6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04027D8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第二十一条 特种设备出厂时，应当随附安全技术规范要求的设计文件、产品质量合格证明、安装及使用维护保养说明、监督检验证明等相关技术资料和文件，并在特种设备显著位置设置产品铭牌、安全警示标志及其说明。</w:t>
            </w:r>
          </w:p>
          <w:p w14:paraId="7818393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第七十七条 违反本法规定，特种设备出厂时，未按照安全技术规范的要求随附相关技术资料和文件的，责令限期改正；逾期未改正的，责令停止制造、销售，处二万元以上二十万元以下罚款；有违法所得的，没收违法所得。</w:t>
            </w:r>
          </w:p>
        </w:tc>
        <w:tc>
          <w:tcPr>
            <w:tcW w:w="1140" w:type="dxa"/>
            <w:noWrap w:val="0"/>
            <w:vAlign w:val="center"/>
          </w:tcPr>
          <w:p w14:paraId="7BA75FB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16298B9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特种设备出厂时，应当随附安全技术规范要求的设计文件、产品质量合格证明、安装及使用维护保养说明、监督检验证明等相关技术资料和文件，并在特种设备显著位置设置产品铭牌、安全警示标志及其说明。</w:t>
            </w:r>
          </w:p>
        </w:tc>
        <w:tc>
          <w:tcPr>
            <w:tcW w:w="1624" w:type="dxa"/>
            <w:noWrap w:val="0"/>
            <w:vAlign w:val="center"/>
          </w:tcPr>
          <w:p w14:paraId="6A8AB0F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31FA1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9149493">
            <w:pPr>
              <w:pageBreakBefore w:val="0"/>
              <w:wordWrap w:val="0"/>
              <w:spacing w:before="0" w:after="0" w:line="180" w:lineRule="atLeast"/>
              <w:ind w:left="0" w:leftChars="0" w:right="0" w:righ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heme="minorEastAsia" w:hAnsiTheme="minorEastAsia" w:eastAsiaTheme="minorEastAsia" w:cstheme="minorEastAsia"/>
                <w:b w:val="0"/>
                <w:i w:val="0"/>
                <w:color w:val="000000"/>
                <w:spacing w:val="0"/>
                <w:sz w:val="21"/>
                <w:szCs w:val="21"/>
              </w:rPr>
              <w:t>3</w:t>
            </w:r>
          </w:p>
        </w:tc>
        <w:tc>
          <w:tcPr>
            <w:tcW w:w="1542" w:type="dxa"/>
            <w:noWrap w:val="0"/>
            <w:vAlign w:val="center"/>
          </w:tcPr>
          <w:p w14:paraId="5B9A74B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特种设备的制造、安装、改造、重大修理过程应当经过监督检验</w:t>
            </w:r>
          </w:p>
        </w:tc>
        <w:tc>
          <w:tcPr>
            <w:tcW w:w="2251" w:type="dxa"/>
            <w:noWrap w:val="0"/>
            <w:vAlign w:val="center"/>
          </w:tcPr>
          <w:p w14:paraId="25F4C9C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1.锅炉、压力容器、压力管道元件等特种设备的制造过程未经监督检验或监督检验不合格即出厂；</w:t>
            </w:r>
          </w:p>
          <w:p w14:paraId="3BAF0A7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2.锅炉、压力容器、压力管道、电梯、起重机械、客运索道、大型游乐设施的安装、改造、重大修理过程未经监督检验或者监督检验不合格即交付使用。</w:t>
            </w:r>
          </w:p>
        </w:tc>
        <w:tc>
          <w:tcPr>
            <w:tcW w:w="3640" w:type="dxa"/>
            <w:noWrap w:val="0"/>
            <w:vAlign w:val="center"/>
          </w:tcPr>
          <w:p w14:paraId="11FD616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45092BA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第二十五条 锅炉、压力容器、压力管道元件等特种设备的制造过程和锅炉、压力容器、压力管道、电梯、起重机械、客运索道、大型游乐设施的安装、改造、重大修理过程，应当经特种设备检验机构按照安全技术规范的要求进行监督检验；未经监督检验或者监督检验不合格的，不得出厂或者交付使用。</w:t>
            </w:r>
          </w:p>
          <w:p w14:paraId="2DC8F8C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第七十九条 违反本法规定，特种设备的制造、安装、改造、重大修理以及锅炉清洗过程，未经监督检验的，责令限期改正；逾期未改正的，处五万元以上二十万元以下罚款；有违法所得的，没收违法所得；情节严重的，吊销生产许可证。</w:t>
            </w:r>
          </w:p>
        </w:tc>
        <w:tc>
          <w:tcPr>
            <w:tcW w:w="1140" w:type="dxa"/>
            <w:noWrap w:val="0"/>
            <w:vAlign w:val="center"/>
          </w:tcPr>
          <w:p w14:paraId="74A971B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0E06957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1.锅炉、压力容器、压力管道元件等特种设备的制造单位，在上述特种设备的制造过程中应当向当地特种设备检验机构申请监督检验。</w:t>
            </w:r>
          </w:p>
          <w:p w14:paraId="4A0539B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2.特种设备安装、改造、重大修理过程应当由有相应资质的施工单位向当地特种设备检验机构申请监督检验。</w:t>
            </w:r>
          </w:p>
        </w:tc>
        <w:tc>
          <w:tcPr>
            <w:tcW w:w="1624" w:type="dxa"/>
            <w:noWrap w:val="0"/>
            <w:vAlign w:val="center"/>
          </w:tcPr>
          <w:p w14:paraId="1C49BBF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1AC0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A3AAA1F">
            <w:pPr>
              <w:pageBreakBefore w:val="0"/>
              <w:wordWrap w:val="0"/>
              <w:spacing w:before="0" w:after="0" w:line="200" w:lineRule="atLeast"/>
              <w:ind w:left="0" w:leftChars="0" w:right="0" w:righ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heme="minorEastAsia" w:hAnsiTheme="minorEastAsia" w:eastAsiaTheme="minorEastAsia" w:cstheme="minorEastAsia"/>
                <w:b w:val="0"/>
                <w:i w:val="0"/>
                <w:color w:val="000000"/>
                <w:spacing w:val="0"/>
                <w:sz w:val="21"/>
                <w:szCs w:val="21"/>
              </w:rPr>
              <w:t>4</w:t>
            </w:r>
          </w:p>
        </w:tc>
        <w:tc>
          <w:tcPr>
            <w:tcW w:w="1542" w:type="dxa"/>
            <w:noWrap w:val="0"/>
            <w:vAlign w:val="center"/>
          </w:tcPr>
          <w:p w14:paraId="78D05D1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特种设备安装、改造、修理施工前应当书面告知市场监管部门</w:t>
            </w:r>
          </w:p>
        </w:tc>
        <w:tc>
          <w:tcPr>
            <w:tcW w:w="2251" w:type="dxa"/>
            <w:noWrap w:val="0"/>
            <w:vAlign w:val="center"/>
          </w:tcPr>
          <w:p w14:paraId="147C912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特种设备安装、改造、修理施工前未书面告知市场监管部门(如：安装电梯或者修理压力容器等，施工前未向市场监督部门办理开工告知)。</w:t>
            </w:r>
          </w:p>
        </w:tc>
        <w:tc>
          <w:tcPr>
            <w:tcW w:w="3640" w:type="dxa"/>
            <w:noWrap w:val="0"/>
            <w:vAlign w:val="center"/>
          </w:tcPr>
          <w:p w14:paraId="4C46605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08CAAA3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第二十三条 特种设备安装、改造、修理的施工单位应当在施工前将拟进行的特种设备安装、改造、修理情况书面告知直辖市或者设区的市级人民政府负责特种设备安全监督管理的部门。</w:t>
            </w:r>
          </w:p>
          <w:p w14:paraId="3F9A29E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第七十八条 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c>
          <w:tcPr>
            <w:tcW w:w="1140" w:type="dxa"/>
            <w:noWrap w:val="0"/>
            <w:vAlign w:val="center"/>
          </w:tcPr>
          <w:p w14:paraId="4DD9C35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22C6664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特种设备安装、改造、修理的施工单位在施工前，应当将施工单位资质、施工时间及拟安装、改造、修理的特种设备相关资料等及时书面告知所在地的市场监管部门。</w:t>
            </w:r>
          </w:p>
        </w:tc>
        <w:tc>
          <w:tcPr>
            <w:tcW w:w="1624" w:type="dxa"/>
            <w:noWrap w:val="0"/>
            <w:vAlign w:val="center"/>
          </w:tcPr>
          <w:p w14:paraId="4A4F8FF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173BC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30483B7">
            <w:pPr>
              <w:pageBreakBefore w:val="0"/>
              <w:wordWrap w:val="0"/>
              <w:spacing w:before="0" w:after="0" w:line="200" w:lineRule="atLeast"/>
              <w:ind w:left="0" w:leftChars="0" w:right="0" w:rightChars="0"/>
              <w:jc w:val="center"/>
              <w:textAlignment w:val="baseline"/>
              <w:rPr>
                <w:rFonts w:hint="default" w:ascii="Times New Roman" w:hAnsi="Times New Roman" w:eastAsia="方正黑体_GBK" w:cs="Times New Roman"/>
                <w:snapToGrid w:val="0"/>
                <w:color w:val="auto"/>
                <w:kern w:val="0"/>
                <w:sz w:val="21"/>
                <w:szCs w:val="21"/>
                <w:vertAlign w:val="baseline"/>
                <w:lang w:val="en-US" w:eastAsia="zh-CN"/>
              </w:rPr>
            </w:pPr>
            <w:r>
              <w:rPr>
                <w:rFonts w:hint="eastAsia" w:asciiTheme="minorEastAsia" w:hAnsiTheme="minorEastAsia" w:eastAsiaTheme="minorEastAsia" w:cstheme="minorEastAsia"/>
                <w:b w:val="0"/>
                <w:i w:val="0"/>
                <w:color w:val="000000"/>
                <w:spacing w:val="0"/>
                <w:sz w:val="21"/>
                <w:szCs w:val="21"/>
              </w:rPr>
              <w:t>5</w:t>
            </w:r>
          </w:p>
        </w:tc>
        <w:tc>
          <w:tcPr>
            <w:tcW w:w="1542" w:type="dxa"/>
            <w:noWrap w:val="0"/>
            <w:vAlign w:val="center"/>
          </w:tcPr>
          <w:p w14:paraId="0997131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特种设备安装、改造、修理竣工验收后三十日内应当将相关技术资料和文件移交特种设备使用单位</w:t>
            </w:r>
          </w:p>
        </w:tc>
        <w:tc>
          <w:tcPr>
            <w:tcW w:w="2251" w:type="dxa"/>
            <w:noWrap w:val="0"/>
            <w:vAlign w:val="center"/>
          </w:tcPr>
          <w:p w14:paraId="667427D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特种设备安装、改造、修理的施工单位在竣工验收后三十日内未将相关技术资料和文件移交特种设备使用单位。</w:t>
            </w:r>
          </w:p>
        </w:tc>
        <w:tc>
          <w:tcPr>
            <w:tcW w:w="3640" w:type="dxa"/>
            <w:noWrap w:val="0"/>
            <w:vAlign w:val="center"/>
          </w:tcPr>
          <w:p w14:paraId="5AB6A10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76FD97A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第二十四条 特种设备安装、改造、修理竣工后，安装、改造、修理的施工单位应当在验收后三十日内将相关技术资料和文件移交特种设备使用单位。特种设备使用单位应当将其存入该特种设备的安全技术档案。第七十八条 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c>
          <w:tcPr>
            <w:tcW w:w="1140" w:type="dxa"/>
            <w:noWrap w:val="0"/>
            <w:vAlign w:val="center"/>
          </w:tcPr>
          <w:p w14:paraId="27828A0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4A95CEF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特种设备安装、改造、修理竣工后，应当经特种设备检验机构监督检验合格，施工单位在验收后三十日内将特种设备出厂资料、监督检验合格报告等相关技术资料和文件移交特种设备使用单位。</w:t>
            </w:r>
          </w:p>
        </w:tc>
        <w:tc>
          <w:tcPr>
            <w:tcW w:w="1624" w:type="dxa"/>
            <w:noWrap w:val="0"/>
            <w:vAlign w:val="center"/>
          </w:tcPr>
          <w:p w14:paraId="7FF8024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default"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6FCDE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F8F45A6">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6</w:t>
            </w:r>
          </w:p>
        </w:tc>
        <w:tc>
          <w:tcPr>
            <w:tcW w:w="1542" w:type="dxa"/>
            <w:noWrap w:val="0"/>
            <w:vAlign w:val="center"/>
          </w:tcPr>
          <w:p w14:paraId="50D4539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566F55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特种设备销售单位应当建立并执行检查验收和销售记录制度，销售的特种设备应当取得许可生产并经检验合格</w:t>
            </w:r>
          </w:p>
        </w:tc>
        <w:tc>
          <w:tcPr>
            <w:tcW w:w="2251" w:type="dxa"/>
            <w:noWrap w:val="0"/>
            <w:vAlign w:val="center"/>
          </w:tcPr>
          <w:p w14:paraId="09233C2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EC3F07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1.销售未取得许可生产的特种设备；</w:t>
            </w:r>
          </w:p>
          <w:p w14:paraId="38164AF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2.销售未经检验或者检验不合格的特种设备；</w:t>
            </w:r>
          </w:p>
          <w:p w14:paraId="10ED899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3.销售国家明令淘汰、已经报废的特种设备；</w:t>
            </w:r>
          </w:p>
          <w:p w14:paraId="60BC7C8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4.销售未按照安全技术规范的要求进行维护保养的特种设备；5.销售相关技术资料和文件不齐全的特种设备；</w:t>
            </w:r>
          </w:p>
          <w:p w14:paraId="5ABDFC7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6.特种设备销售单位未建立检查验收和销售记录制度；</w:t>
            </w:r>
          </w:p>
          <w:p w14:paraId="56E9BD6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7.销售、转让使用过的特种设备，未向购买者或者受让者提供相关证明。</w:t>
            </w:r>
          </w:p>
        </w:tc>
        <w:tc>
          <w:tcPr>
            <w:tcW w:w="3640" w:type="dxa"/>
            <w:noWrap w:val="0"/>
            <w:vAlign w:val="center"/>
          </w:tcPr>
          <w:p w14:paraId="419AEFA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712AD7F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72668D1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第二十七条 特种设备销售单位销售的特种设备，应当符合安全技术规范及相关标准的要求，其设计文件、产品质量合格证明、安装及使用维护保养说明、监督检验证明等相关技术资料和文件应当齐全。特种设备销售单位应当建立特种设备检查验收和销售记录制度。</w:t>
            </w:r>
          </w:p>
          <w:p w14:paraId="314A647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禁止销售未取得许可生产的特种设备，未经检验和检验不合格的特种设备，或者国家明令淘汰和已经报废的特种设备。</w:t>
            </w:r>
          </w:p>
          <w:p w14:paraId="015488C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 xml:space="preserve">第八十二条第一款、第二款 </w:t>
            </w:r>
          </w:p>
          <w:p w14:paraId="181B82A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违反本法规定，特种设备经营单位有下列行为之一的，责令停止经营，没收违法经营的特种设备，处三万元以上三十万元以下罚款；有违法所得的，没收违法所得：(一)销售、出租未取得许可生产，未经检验或者检验不合格的特种设备的；(二)销售、出租国家明令淘汰、已经报废的特种设备，或者未按照安全技术规范的要求进行维护保养的特种设备的。</w:t>
            </w:r>
          </w:p>
          <w:p w14:paraId="56CEB62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违反本法规定，特种设备销售单位未建立检查验收和销售记录制度，或者进口特种设备未履行提前告知义务的，责令改正，处一万元以上十万元以下罚款。</w:t>
            </w:r>
          </w:p>
        </w:tc>
        <w:tc>
          <w:tcPr>
            <w:tcW w:w="1140" w:type="dxa"/>
            <w:noWrap w:val="0"/>
            <w:vAlign w:val="center"/>
          </w:tcPr>
          <w:p w14:paraId="117A734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655B06D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5861BA1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特种设备销售单位应当对其所售产品的合法性负责，并建立特种设备检验收和销售记录制度。进货时应当验明特种设备制造许可证、设计文件、产品质量合格证明、安装及使用维护保养说明、监督检验证明等相关技术资料和文件，同时做好记录并保存好相关凭证。销售时也应做好销售记录，载明购买单位、时间、设备本体质量、安全附件和安全保护装置配备、附随资料和文件的检查情况等。</w:t>
            </w:r>
          </w:p>
          <w:p w14:paraId="4953F51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2.销售、转让使用过的特种设备的，还应当向购买者或者受让者提供原使用单位的特种设备使用登记注销证明、安全技术档案和监督检验或者定期检验合格证明。</w:t>
            </w:r>
          </w:p>
        </w:tc>
        <w:tc>
          <w:tcPr>
            <w:tcW w:w="1624" w:type="dxa"/>
            <w:noWrap w:val="0"/>
            <w:vAlign w:val="center"/>
          </w:tcPr>
          <w:p w14:paraId="5ABA7DF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1E614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73670D73">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7</w:t>
            </w:r>
          </w:p>
        </w:tc>
        <w:tc>
          <w:tcPr>
            <w:tcW w:w="1542" w:type="dxa"/>
            <w:noWrap w:val="0"/>
            <w:vAlign w:val="center"/>
          </w:tcPr>
          <w:p w14:paraId="6C97EBD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特种设备出租单位应当出租经许可生产并经检验合格的特种设备</w:t>
            </w:r>
          </w:p>
        </w:tc>
        <w:tc>
          <w:tcPr>
            <w:tcW w:w="2251" w:type="dxa"/>
            <w:noWrap w:val="0"/>
            <w:vAlign w:val="center"/>
          </w:tcPr>
          <w:p w14:paraId="3860581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1.出租未取得许可生产、未经检验或者检验不合格的特种设备；</w:t>
            </w:r>
          </w:p>
          <w:p w14:paraId="5963AF1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2.出租国家明令淘汰、已经报废的特种设备；</w:t>
            </w:r>
          </w:p>
          <w:p w14:paraId="29378F7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3.出租未按照安全技术规范的要求进行维护保养的特种设备。</w:t>
            </w:r>
          </w:p>
        </w:tc>
        <w:tc>
          <w:tcPr>
            <w:tcW w:w="3640" w:type="dxa"/>
            <w:noWrap w:val="0"/>
            <w:vAlign w:val="center"/>
          </w:tcPr>
          <w:p w14:paraId="011E52C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26FABF0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7AA17DE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第二十八条 特种设备出租单位不得出租未取得许可生产的特种设备或者国家明令淘汰和已经报废的特种设备，以及未按照安全技术规范的要求进行维护保养和未经检验或者检验不合格的特种设备。</w:t>
            </w:r>
          </w:p>
          <w:p w14:paraId="2592E14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第二十九条 特种设备在出租期间的使用管理和维护保养义务由特种设备出租单位承担，法律另有规定或者当事人另有约定的除外。</w:t>
            </w:r>
          </w:p>
          <w:p w14:paraId="619BB6B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第八十二条第一款 违反本法规定，特种设备经营单位有下列行为之一的，责令停止经营，没收违法经营的特种设备，处三万元以上三十万元以下罚款；有违法所得的，没收违法所得：(一)销售、出租未取得许可生产，未经检验或者检验不合格的特种设备的；</w:t>
            </w:r>
          </w:p>
          <w:p w14:paraId="2C80157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(二)销售、出租国家明令淘汰、已经报废的特种设备，或者未按照安全技术规范的要求进行维护保养的特种设备。</w:t>
            </w:r>
          </w:p>
        </w:tc>
        <w:tc>
          <w:tcPr>
            <w:tcW w:w="1140" w:type="dxa"/>
            <w:noWrap w:val="0"/>
            <w:vAlign w:val="center"/>
          </w:tcPr>
          <w:p w14:paraId="6705B06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top"/>
          </w:tcPr>
          <w:p w14:paraId="1D9D5FF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p>
          <w:p w14:paraId="347A772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在出租期间的使用管理和维护保养义务由特种设备出租单位承担，法律另有规定或者当事人另有约定的除外。监管中常发现承租单位使用的特种设备未经定期检验等违法行为，且出租单位和承租单位未就出租期间特种设备的使用管理和维护保养义务进行约定或约定不明确。因此建议：1.特种设备出租单位应当向特种设备承租单位提供所出租特种设备的使用登记证明、定期检验合格证明；配备特种设备作业人员的，还应当提供作业人员资格证明。特种设备承租单位应当查验，确保合法后方能投入使用。</w:t>
            </w:r>
          </w:p>
          <w:p w14:paraId="6CC6990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2.出租方和承租方应当在合同中就出租期间特种设备的使用管理和维护保养义务作出明确约定，以确保使用的特种设备合法、安全。</w:t>
            </w:r>
          </w:p>
        </w:tc>
        <w:tc>
          <w:tcPr>
            <w:tcW w:w="1624" w:type="dxa"/>
            <w:noWrap w:val="0"/>
            <w:vAlign w:val="center"/>
          </w:tcPr>
          <w:p w14:paraId="46DCC20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299AE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AC94338">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8</w:t>
            </w:r>
          </w:p>
        </w:tc>
        <w:tc>
          <w:tcPr>
            <w:tcW w:w="1542" w:type="dxa"/>
            <w:noWrap w:val="0"/>
            <w:vAlign w:val="center"/>
          </w:tcPr>
          <w:p w14:paraId="3E806F8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特种设备使用单位应当依法办理使用登记</w:t>
            </w:r>
          </w:p>
        </w:tc>
        <w:tc>
          <w:tcPr>
            <w:tcW w:w="2251" w:type="dxa"/>
            <w:noWrap w:val="0"/>
            <w:vAlign w:val="center"/>
          </w:tcPr>
          <w:p w14:paraId="3918E18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特种设备使用单位未向市场监督管理部门申请办理使用登记。如电梯在投入使用后 30日后仍未办理使用登记，未取得使用登记证书。</w:t>
            </w:r>
          </w:p>
        </w:tc>
        <w:tc>
          <w:tcPr>
            <w:tcW w:w="3640" w:type="dxa"/>
            <w:noWrap w:val="0"/>
            <w:vAlign w:val="top"/>
          </w:tcPr>
          <w:p w14:paraId="28FF8BF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5280FD3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第三十三条 特种设备使用单位应当在特种设备投入使用前或者投入使用后三十日内，向负责特种设备安全监督管理的部门办理使用登记，取得使用登记证书。登记标志应当置于该特种设备的显著位置。第八十三条第一项违反本法规定，特种设备使</w:t>
            </w:r>
          </w:p>
          <w:p w14:paraId="7E0AD50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用单位有下列行为之一的，责令限期改正；逾期未改正的，责令停止使用有关特种设备，处一万元以上十万元以下罚款：</w:t>
            </w:r>
          </w:p>
          <w:p w14:paraId="06FB48B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(一)使用特种设备未按照规定办理使用登记的。</w:t>
            </w:r>
          </w:p>
        </w:tc>
        <w:tc>
          <w:tcPr>
            <w:tcW w:w="1140" w:type="dxa"/>
            <w:noWrap w:val="0"/>
            <w:vAlign w:val="center"/>
          </w:tcPr>
          <w:p w14:paraId="1339DDC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w:t>
            </w:r>
          </w:p>
        </w:tc>
        <w:tc>
          <w:tcPr>
            <w:tcW w:w="2145" w:type="dxa"/>
            <w:noWrap w:val="0"/>
            <w:vAlign w:val="center"/>
          </w:tcPr>
          <w:p w14:paraId="23EF8DC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特种设备使用单位应当在特种设备投入使用前或者投入使用后三十日内，向区市场监督管理部门申请办理使用登记，领取《特种设备使用登记证》，设备注销时交回使用登记证。</w:t>
            </w:r>
          </w:p>
        </w:tc>
        <w:tc>
          <w:tcPr>
            <w:tcW w:w="1624" w:type="dxa"/>
            <w:noWrap w:val="0"/>
            <w:vAlign w:val="center"/>
          </w:tcPr>
          <w:p w14:paraId="51B5A04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区市场监督管理局特种设备安全监察科：87320915</w:t>
            </w:r>
          </w:p>
        </w:tc>
      </w:tr>
      <w:tr w14:paraId="6CC82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F6E6755">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9</w:t>
            </w:r>
          </w:p>
        </w:tc>
        <w:tc>
          <w:tcPr>
            <w:tcW w:w="1542" w:type="dxa"/>
            <w:noWrap w:val="0"/>
            <w:vAlign w:val="center"/>
          </w:tcPr>
          <w:p w14:paraId="30741C3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特种设备使用单位应当使用取得许可生产、并经检验合格的特种设备</w:t>
            </w:r>
          </w:p>
        </w:tc>
        <w:tc>
          <w:tcPr>
            <w:tcW w:w="2251" w:type="dxa"/>
            <w:noWrap w:val="0"/>
            <w:vAlign w:val="center"/>
          </w:tcPr>
          <w:p w14:paraId="277E5EA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1.特种设备使用单位使用的特种设备未取得相应的生产许可证；</w:t>
            </w:r>
          </w:p>
          <w:p w14:paraId="5351285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2.特种设备使用单位使用的特种设备未经监督检验或监督检验不合格；</w:t>
            </w:r>
          </w:p>
          <w:p w14:paraId="5FF5FA6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3.特种设备使用单位使用的特种设备未经定期检验或定期检验不合格；</w:t>
            </w:r>
          </w:p>
          <w:p w14:paraId="633F4AF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4.特种设备使用单位未按安全技术规范的要求，在检验合格有效期届满前一个月向特种设备检验机构提出定期检验要求。</w:t>
            </w:r>
          </w:p>
        </w:tc>
        <w:tc>
          <w:tcPr>
            <w:tcW w:w="3640" w:type="dxa"/>
            <w:noWrap w:val="0"/>
            <w:vAlign w:val="center"/>
          </w:tcPr>
          <w:p w14:paraId="7049504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《中华人民共和国特种设备安全法》</w:t>
            </w:r>
          </w:p>
          <w:p w14:paraId="155FA16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第三十二条第一款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特种设备使用单位应当使用取得许可生产并经检验合格的特种设备。</w:t>
            </w:r>
          </w:p>
          <w:p w14:paraId="2B43914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第四十条第一款</w:t>
            </w:r>
            <w:r>
              <w:rPr>
                <w:rFonts w:hint="eastAsia" w:ascii="BMHBIL+SimSun" w:hAnsi="BMHBIL+SimSun" w:cs="BMHBIL+SimSun"/>
                <w:color w:val="000000"/>
                <w:spacing w:val="1"/>
                <w:kern w:val="2"/>
                <w:sz w:val="20"/>
                <w:szCs w:val="20"/>
                <w:highlight w:val="none"/>
                <w:lang w:val="en-US" w:eastAsia="zh-CN" w:bidi="ar-SA"/>
              </w:rPr>
              <w:t xml:space="preserve">  </w:t>
            </w:r>
            <w:r>
              <w:rPr>
                <w:rFonts w:hint="eastAsia" w:ascii="BMHBIL+SimSun" w:hAnsi="BMHBIL+SimSun" w:cs="BMHBIL+SimSun" w:eastAsiaTheme="minorEastAsia"/>
                <w:color w:val="000000"/>
                <w:spacing w:val="1"/>
                <w:kern w:val="2"/>
                <w:sz w:val="20"/>
                <w:szCs w:val="20"/>
                <w:highlight w:val="none"/>
                <w:lang w:val="en-US" w:eastAsia="zh-CN" w:bidi="ar-SA"/>
              </w:rPr>
              <w:t>特种设备使用单位应当按照安全技术规范的要求，在检验合格有效期届满前一个月向特种设备检验机构提出定期检验要求。</w:t>
            </w:r>
          </w:p>
          <w:p w14:paraId="6E9C36B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八十三条第四项违反本法规定，特种设备使用单位有下列行为之一的，责令限期改正；逾期未改正的，责令停止使用有关特种设备，处一万元以上十万元以下罚款：(四)未按照安全技术规范的要求及时申报并接受检验的。</w:t>
            </w:r>
          </w:p>
          <w:p w14:paraId="237A523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第八十四条第一项违反本法规定，特种设备使用单位有下列行为之一的，责令停止使用有关特种设备，处三万元以上三十万元以下罚款：</w:t>
            </w:r>
          </w:p>
          <w:p w14:paraId="01439AD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eastAsiaTheme="minorEastAsia"/>
                <w:color w:val="000000"/>
                <w:spacing w:val="1"/>
                <w:kern w:val="2"/>
                <w:sz w:val="20"/>
                <w:szCs w:val="20"/>
                <w:highlight w:val="none"/>
                <w:lang w:val="en-US" w:eastAsia="zh-CN" w:bidi="ar-SA"/>
              </w:rPr>
            </w:pPr>
            <w:r>
              <w:rPr>
                <w:rFonts w:hint="eastAsia" w:ascii="BMHBIL+SimSun" w:hAnsi="BMHBIL+SimSun" w:cs="BMHBIL+SimSun" w:eastAsiaTheme="minorEastAsia"/>
                <w:color w:val="000000"/>
                <w:spacing w:val="1"/>
                <w:kern w:val="2"/>
                <w:sz w:val="20"/>
                <w:szCs w:val="20"/>
                <w:highlight w:val="none"/>
                <w:lang w:val="en-US" w:eastAsia="zh-CN" w:bidi="ar-SA"/>
              </w:rPr>
              <w:t>(一)使用未取得许可生产，未经检验或者检验不合格的特种设备，或者国家明令淘汰、已经报废的特种设备的。</w:t>
            </w:r>
          </w:p>
        </w:tc>
        <w:tc>
          <w:tcPr>
            <w:tcW w:w="1140" w:type="dxa"/>
            <w:noWrap w:val="0"/>
            <w:vAlign w:val="center"/>
          </w:tcPr>
          <w:p w14:paraId="7030A4DA">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w:t>
            </w:r>
          </w:p>
        </w:tc>
        <w:tc>
          <w:tcPr>
            <w:tcW w:w="2145" w:type="dxa"/>
            <w:noWrap w:val="0"/>
            <w:vAlign w:val="top"/>
          </w:tcPr>
          <w:p w14:paraId="5F5F0E2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特种设备使用单位应当采购、使用取得许可生产(含设计、制造、安装、改造、修理，下同)，并且经检验合格的特种设备，不得采购超过设计使用年限的特种设备，禁止使用国家明令淘汰和已经报废的特种设备。</w:t>
            </w:r>
          </w:p>
          <w:p w14:paraId="72128D2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建立健全特种设备管理制度，配备特种设备管理人员，做好特种设备台账记录，明确记载特种设备检验到期时间，确保在检验合格有效期届满前一个月向特种设备检验机构申请定期检验，避免超期使用。</w:t>
            </w:r>
          </w:p>
        </w:tc>
        <w:tc>
          <w:tcPr>
            <w:tcW w:w="1624" w:type="dxa"/>
            <w:noWrap w:val="0"/>
            <w:vAlign w:val="center"/>
          </w:tcPr>
          <w:p w14:paraId="0EBE775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5730B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E5B7AA0">
            <w:pPr>
              <w:pageBreakBefore w:val="0"/>
              <w:wordWrap w:val="0"/>
              <w:spacing w:before="0" w:after="0" w:line="18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10</w:t>
            </w:r>
          </w:p>
        </w:tc>
        <w:tc>
          <w:tcPr>
            <w:tcW w:w="1542" w:type="dxa"/>
            <w:noWrap w:val="0"/>
            <w:vAlign w:val="center"/>
          </w:tcPr>
          <w:p w14:paraId="232447D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特种设备使用单位应当将使用登记标志和定期检验标志置于设备的显著位置</w:t>
            </w:r>
          </w:p>
        </w:tc>
        <w:tc>
          <w:tcPr>
            <w:tcW w:w="2251" w:type="dxa"/>
            <w:noWrap w:val="0"/>
            <w:vAlign w:val="center"/>
          </w:tcPr>
          <w:p w14:paraId="787E145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特种设备使用单位未将使用登记标志和定期检验标志置于设备显著位置。</w:t>
            </w:r>
          </w:p>
          <w:p w14:paraId="39D8C1F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如：电梯使用单位未将电梯使用标志张贴于电梯内</w:t>
            </w:r>
          </w:p>
        </w:tc>
        <w:tc>
          <w:tcPr>
            <w:tcW w:w="3640" w:type="dxa"/>
            <w:noWrap w:val="0"/>
            <w:vAlign w:val="top"/>
          </w:tcPr>
          <w:p w14:paraId="5D6AADE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3850BA4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第三十三条  特种设备使用单位应当在特种设备投入使用前或者投入使用后三十日内，向负责特种设备安全监督管理的部门办理使用登记，取得使用登记证书。登记标志应当置于该特种设备的显著位置。</w:t>
            </w:r>
          </w:p>
          <w:p w14:paraId="5E91999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第四十条第二款  特种设备检验机构接到定期检验要求后，应当按照安全技术规范的要求及时进行安全性能检验。特种设备使用单位应当将定期检验标志置于该特种设备的显著位置。</w:t>
            </w:r>
          </w:p>
          <w:p w14:paraId="58B1D8E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第八十三条第二项  违反本法规定，特种设备使用单位有下列行为之一的，责令限期改正；逾期未改正的，责令停止使用有关特种设备，处一万元以上十万元以下罚款：(二)未建立特种设备安全技术档案或者安全技术档案不符合规定要求，或者未依法设置使用登记标志、定期检验标志的。</w:t>
            </w:r>
          </w:p>
        </w:tc>
        <w:tc>
          <w:tcPr>
            <w:tcW w:w="1140" w:type="dxa"/>
            <w:noWrap w:val="0"/>
            <w:vAlign w:val="center"/>
          </w:tcPr>
          <w:p w14:paraId="690D298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64A05F9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特种设备使用单位在办理使用登记后，应及时将使用登记标志置于设备。建议张贴复印件，原件归档保存。</w:t>
            </w:r>
          </w:p>
        </w:tc>
        <w:tc>
          <w:tcPr>
            <w:tcW w:w="1624" w:type="dxa"/>
            <w:noWrap w:val="0"/>
            <w:vAlign w:val="center"/>
          </w:tcPr>
          <w:p w14:paraId="1A834B6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0ADD1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34B52F2">
            <w:pPr>
              <w:pageBreakBefore w:val="0"/>
              <w:wordWrap w:val="0"/>
              <w:spacing w:before="0" w:after="0" w:line="18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11</w:t>
            </w:r>
          </w:p>
        </w:tc>
        <w:tc>
          <w:tcPr>
            <w:tcW w:w="1542" w:type="dxa"/>
            <w:noWrap w:val="0"/>
            <w:vAlign w:val="center"/>
          </w:tcPr>
          <w:p w14:paraId="1207D9B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特种设备使用单位应当建立齐全的设备档案</w:t>
            </w:r>
          </w:p>
        </w:tc>
        <w:tc>
          <w:tcPr>
            <w:tcW w:w="2251" w:type="dxa"/>
            <w:noWrap w:val="0"/>
            <w:vAlign w:val="center"/>
          </w:tcPr>
          <w:p w14:paraId="6EE77D9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特种设备使用单位未建立安全技术档案或档案不齐全。</w:t>
            </w:r>
          </w:p>
        </w:tc>
        <w:tc>
          <w:tcPr>
            <w:tcW w:w="3640" w:type="dxa"/>
            <w:noWrap w:val="0"/>
            <w:vAlign w:val="top"/>
          </w:tcPr>
          <w:p w14:paraId="2AA2B3F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p w14:paraId="51A24D3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3926C9E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第三十五条 特种设备使用单位应当建立特种设备安全技术档案。安全技术档案应当包括以下内容：</w:t>
            </w:r>
          </w:p>
          <w:p w14:paraId="64E20B4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(一)特种设备的设计文件、产品质量合格证明、安装及使用维护保养说明、监督检验证明等相关技术资料和文件；</w:t>
            </w:r>
          </w:p>
          <w:p w14:paraId="042437F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(二)特种设备的定期检验和定期自行检查记录；(三)特种设备的日常使用状况记录；(四)特种设备及其附属仪器仪表的维护保养记录；(五)特种设备的运行故障和事故记录。</w:t>
            </w:r>
          </w:p>
          <w:p w14:paraId="17B5252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第八十三条  违反本法规定，特种设备使用单位有下列行为之一的，责令限期改正；逾期未改正的，责令停止使用有关特种设备，处一万元以上十万元以下罚款：(二)未建立特种设备安全技术档案或者安全技术档案不符合规定要求，或者未依法设置使用登记标志、定期检验标志的。</w:t>
            </w:r>
          </w:p>
        </w:tc>
        <w:tc>
          <w:tcPr>
            <w:tcW w:w="1140" w:type="dxa"/>
            <w:noWrap w:val="0"/>
            <w:vAlign w:val="center"/>
          </w:tcPr>
          <w:p w14:paraId="7DF1DBB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451613C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特种设备使用单位应当建立齐全的特种设备安全技术档案。</w:t>
            </w:r>
          </w:p>
        </w:tc>
        <w:tc>
          <w:tcPr>
            <w:tcW w:w="1624" w:type="dxa"/>
            <w:noWrap w:val="0"/>
            <w:vAlign w:val="center"/>
          </w:tcPr>
          <w:p w14:paraId="79D7AFB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29DBC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5733578">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12</w:t>
            </w:r>
          </w:p>
        </w:tc>
        <w:tc>
          <w:tcPr>
            <w:tcW w:w="1542" w:type="dxa"/>
            <w:noWrap w:val="0"/>
            <w:vAlign w:val="center"/>
          </w:tcPr>
          <w:p w14:paraId="5A9F7C6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特种设备使用单位应当对其使用的特种设备进行维护保养和定期检查</w:t>
            </w:r>
          </w:p>
        </w:tc>
        <w:tc>
          <w:tcPr>
            <w:tcW w:w="2251" w:type="dxa"/>
            <w:noWrap w:val="0"/>
            <w:vAlign w:val="center"/>
          </w:tcPr>
          <w:p w14:paraId="24DA7BE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特种设备使用单位未对其使用的特种设备进行经常性维护保养和定期自行检查，并作出记录；如：锅炉未及时填写运行记录；压力容器、压力管道未按规定进行年度检查；压力管道未有运行、检修和日常巡检记录；起重机械、厂车检修记录未及时填写。</w:t>
            </w:r>
          </w:p>
          <w:p w14:paraId="211AC4B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特种设备使用单位未对其使用的特种设备的安全附件、安全保护装置进行定期校验、检修，并作出记录。如：安全阀未有有效的校验报告或标记；压力表未有有效的检定证书或标记，电梯内设置的报警装置失效。</w:t>
            </w:r>
          </w:p>
          <w:p w14:paraId="23016FF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p w14:paraId="6931C0E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tc>
        <w:tc>
          <w:tcPr>
            <w:tcW w:w="3640" w:type="dxa"/>
            <w:noWrap w:val="0"/>
            <w:vAlign w:val="center"/>
          </w:tcPr>
          <w:p w14:paraId="6807C10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223C6C4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第三十九条 特种设备使用单位应当对其使用的特种设备进行经常性维护保养和定期自行检查，并作出记录。</w:t>
            </w:r>
          </w:p>
          <w:p w14:paraId="4362E26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特种设备使用单位应当对其使用的特种设备的安全附件、安全保护装置进行定期校验、检修，并作出记录。</w:t>
            </w:r>
          </w:p>
          <w:p w14:paraId="523D223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第八十三条第三项 违反本法规定，特种设备使用单位有下列行为之一的，责令限期改正；逾期未改正的，责令停止使用有关特种设备，处一万元以上十万元以下罚款：(三)未对其使用的特种设备进行经常性维护保养和定期自行检查，或者未对其使用的特种设备的安全附件、安全保护装置进行定期校验、检修，并作出记录的。</w:t>
            </w:r>
          </w:p>
        </w:tc>
        <w:tc>
          <w:tcPr>
            <w:tcW w:w="1140" w:type="dxa"/>
            <w:noWrap w:val="0"/>
            <w:vAlign w:val="center"/>
          </w:tcPr>
          <w:p w14:paraId="03217D5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76DD7CB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1.特种设备使用单位应当按照《特种设备使用管理规则》等要求，对特种设备进行日常维护保养或定期自行检查，并及时填写维护保养和检查记录。</w:t>
            </w:r>
          </w:p>
          <w:p w14:paraId="1521E2F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2.特种设备使用单位应按规定对安全附件、安全保护装置进行定期校验、检修，并作出记录。</w:t>
            </w:r>
          </w:p>
        </w:tc>
        <w:tc>
          <w:tcPr>
            <w:tcW w:w="1624" w:type="dxa"/>
            <w:noWrap w:val="0"/>
            <w:vAlign w:val="center"/>
          </w:tcPr>
          <w:p w14:paraId="76DB2D8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15E75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4646296">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13</w:t>
            </w:r>
          </w:p>
        </w:tc>
        <w:tc>
          <w:tcPr>
            <w:tcW w:w="1542" w:type="dxa"/>
            <w:noWrap w:val="0"/>
            <w:vAlign w:val="center"/>
          </w:tcPr>
          <w:p w14:paraId="307BD94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大型游乐设施每日投入使用前，未进行试运行和例行安全检查，应当对安全附件和安全保护装置进行检查确认</w:t>
            </w:r>
          </w:p>
        </w:tc>
        <w:tc>
          <w:tcPr>
            <w:tcW w:w="2251" w:type="dxa"/>
            <w:noWrap w:val="0"/>
            <w:vAlign w:val="center"/>
          </w:tcPr>
          <w:p w14:paraId="054F292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大型游乐设施每日投入使用前，未进行试运行和例行安全检查，未对安全附件和安全保护装置进行检查确认。</w:t>
            </w:r>
          </w:p>
        </w:tc>
        <w:tc>
          <w:tcPr>
            <w:tcW w:w="3640" w:type="dxa"/>
            <w:noWrap w:val="0"/>
            <w:vAlign w:val="center"/>
          </w:tcPr>
          <w:p w14:paraId="7870DA9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7F02C78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第四十三条第一款客运索道、大型游乐设施在每日投入使用前，其运营使用单位应当进行试运行和例行安全检查，并对安全附件和安全保护装置进行检查确认。</w:t>
            </w:r>
          </w:p>
          <w:p w14:paraId="74C8A9A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第八十七条第二项 违反本法规定，电梯、客运索道、大型游乐设施的运营使用单位有下列情形之一的，责令限期改正；逾期未改正的，责令停止使用有关特种设备或者停产停业整顿，处二万元以上十万元以下罚款：</w:t>
            </w:r>
          </w:p>
          <w:p w14:paraId="71E9EEF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(二)客运索道、大型游乐设施每日投入使用前，未进行试运行和例行安全检查，未对安全附件和安全保护装置进行检查确认的。</w:t>
            </w:r>
          </w:p>
        </w:tc>
        <w:tc>
          <w:tcPr>
            <w:tcW w:w="1140" w:type="dxa"/>
            <w:noWrap w:val="0"/>
            <w:vAlign w:val="center"/>
          </w:tcPr>
          <w:p w14:paraId="5B20D36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114C22B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大型游乐设施每日投入使用前，应当按规定进行试运行和例行安全检查，对安全附件和安全保护装置进行检查确认，并如实记录。</w:t>
            </w:r>
          </w:p>
        </w:tc>
        <w:tc>
          <w:tcPr>
            <w:tcW w:w="1624" w:type="dxa"/>
            <w:noWrap w:val="0"/>
            <w:vAlign w:val="center"/>
          </w:tcPr>
          <w:p w14:paraId="01A8DF4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438CB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3E89FB8E">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14</w:t>
            </w:r>
          </w:p>
        </w:tc>
        <w:tc>
          <w:tcPr>
            <w:tcW w:w="1542" w:type="dxa"/>
            <w:noWrap w:val="0"/>
            <w:vAlign w:val="center"/>
          </w:tcPr>
          <w:p w14:paraId="5B7A9F5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电梯、大型游乐设施的运营使用单位应当将特种设备的安全使用说明、安全注意事项和警示标志置于显著位置</w:t>
            </w:r>
          </w:p>
        </w:tc>
        <w:tc>
          <w:tcPr>
            <w:tcW w:w="2251" w:type="dxa"/>
            <w:noWrap w:val="0"/>
            <w:vAlign w:val="center"/>
          </w:tcPr>
          <w:p w14:paraId="2A83866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大型游乐设施的运营使用单位未将电梯、客运索道、大型游乐设施的安全使用说明、安全注意事项和警示标志置于易于为乘客注意的显著位置。如：未将大型游乐设施的安全注意事项和警示标志置于易为乘客注意的显著位置。</w:t>
            </w:r>
          </w:p>
        </w:tc>
        <w:tc>
          <w:tcPr>
            <w:tcW w:w="3640" w:type="dxa"/>
            <w:noWrap w:val="0"/>
            <w:vAlign w:val="top"/>
          </w:tcPr>
          <w:p w14:paraId="0FC0410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28AB725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第四十三条第二款电梯、客运索道、大型游乐设施的运营使用单位应当将电梯、客运索道、大型游乐设施的安全使用说明、安全注意事项和警示标志置于易于为乘客注意的显著位置。</w:t>
            </w:r>
          </w:p>
          <w:p w14:paraId="3704C62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第八十七条第三项 违反本法规定，电梯、客运索道、大型游乐设施的运营使用单位有下列情形之一的，责令限期改正；逾期未改正的，责令停止使用有关特种设备或者停产停业整顿，处二万元以上十万元以下罚款：</w:t>
            </w:r>
          </w:p>
          <w:p w14:paraId="6E67124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未将电梯、客运索道、大型游乐设施的安全使用说明、安全注意事项和警示标志置于易于为乘客注意的显著位置的。</w:t>
            </w:r>
          </w:p>
          <w:p w14:paraId="5DD117B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tc>
        <w:tc>
          <w:tcPr>
            <w:tcW w:w="1140" w:type="dxa"/>
            <w:noWrap w:val="0"/>
            <w:vAlign w:val="center"/>
          </w:tcPr>
          <w:p w14:paraId="07BD1B0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6827071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大型游乐设施的运营使用单位应当建立健全相关特种设备的管理制度，配备相应的特种设备管理人员，并加强日常检查，确保将电梯、大型游乐设施的安全使用说明、安全注意事项和警示标志置于易于为乘客注意的显著位置。如有损坏或脱落，应当及时补全。</w:t>
            </w:r>
          </w:p>
        </w:tc>
        <w:tc>
          <w:tcPr>
            <w:tcW w:w="1624" w:type="dxa"/>
            <w:noWrap w:val="0"/>
            <w:vAlign w:val="center"/>
          </w:tcPr>
          <w:p w14:paraId="7B8EBCA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405EF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D543C4E">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15</w:t>
            </w:r>
          </w:p>
        </w:tc>
        <w:tc>
          <w:tcPr>
            <w:tcW w:w="1542" w:type="dxa"/>
            <w:noWrap w:val="0"/>
            <w:vAlign w:val="center"/>
          </w:tcPr>
          <w:p w14:paraId="218E304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电梯、大型游乐设施的运营使用单位应当设置安全管理机构或配备专职的安全管理人员</w:t>
            </w:r>
          </w:p>
        </w:tc>
        <w:tc>
          <w:tcPr>
            <w:tcW w:w="2251" w:type="dxa"/>
            <w:noWrap w:val="0"/>
            <w:vAlign w:val="center"/>
          </w:tcPr>
          <w:p w14:paraId="71BEF7A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电梯、大型游乐设施的运营使用单位未设置安全管理机构或配备专职的安全管理人员。</w:t>
            </w:r>
          </w:p>
        </w:tc>
        <w:tc>
          <w:tcPr>
            <w:tcW w:w="3640" w:type="dxa"/>
            <w:noWrap w:val="0"/>
            <w:vAlign w:val="center"/>
          </w:tcPr>
          <w:p w14:paraId="17079A1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05F9B16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第三十六条 电梯、客运索道、大型游乐设施等为公</w:t>
            </w:r>
          </w:p>
          <w:p w14:paraId="09660D2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众提供服务的特种设备的运营使用单位，应当对特种设备的使用安全负责，设置特种设备安全管理机构或者配备专职的特种设备安全管理人员；其他特种设备使用单位，应当根据情况设置特种设备安全管理机构或者配备专职、兼职的特种设备安全管理人员。第八十七条第一项违反本法规定，电梯、客运索道、大型游乐设施的运营使用单位有下列情形之一的，责令限期改正；逾期未改正的，责令停止使用有关特种设备或者停产停业整顿，处二万元以上十万元以下罚款：(一)未设置特种设备安全管理机构或者配备专职的特种设备安全管理人员的。</w:t>
            </w:r>
          </w:p>
        </w:tc>
        <w:tc>
          <w:tcPr>
            <w:tcW w:w="1140" w:type="dxa"/>
            <w:noWrap w:val="0"/>
            <w:vAlign w:val="center"/>
          </w:tcPr>
          <w:p w14:paraId="2F641D0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74DAC3C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电梯、大型游乐设施等为公众提供服务的特种设备使用单位应当设置安全管理机构或配备专职的安全管理人员。</w:t>
            </w:r>
          </w:p>
        </w:tc>
        <w:tc>
          <w:tcPr>
            <w:tcW w:w="1624" w:type="dxa"/>
            <w:noWrap w:val="0"/>
            <w:vAlign w:val="center"/>
          </w:tcPr>
          <w:p w14:paraId="71F3AEA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77CF3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5F5CA66">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16</w:t>
            </w:r>
          </w:p>
        </w:tc>
        <w:tc>
          <w:tcPr>
            <w:tcW w:w="1542" w:type="dxa"/>
            <w:noWrap w:val="0"/>
            <w:vAlign w:val="center"/>
          </w:tcPr>
          <w:p w14:paraId="7922ABD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特种设备安全管理人员、作业人员应当取得相应的特种设备作业人员许可</w:t>
            </w:r>
          </w:p>
        </w:tc>
        <w:tc>
          <w:tcPr>
            <w:tcW w:w="2251" w:type="dxa"/>
            <w:noWrap w:val="0"/>
            <w:vAlign w:val="center"/>
          </w:tcPr>
          <w:p w14:paraId="4F9A6B7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使用未取得相应资格的人员从事特种设备安全管理、检测和作业的。如：叉车操作人员无证上岗。</w:t>
            </w:r>
          </w:p>
        </w:tc>
        <w:tc>
          <w:tcPr>
            <w:tcW w:w="3640" w:type="dxa"/>
            <w:noWrap w:val="0"/>
            <w:vAlign w:val="center"/>
          </w:tcPr>
          <w:p w14:paraId="4AC8AE1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p w14:paraId="3C05909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1BC08B4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第十四条  特种设备安全管理人员、检测人员和作业人员应当按照国家有关规定取得相应资格，方可从事相关工作。特种设备安全管理人员、检测人员和作业人员应当严格执行安全技术规范和管理制度，保证特种设备安全。</w:t>
            </w:r>
          </w:p>
          <w:p w14:paraId="25BB2B9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第八十六条第二项   违反本法规定，特种设备生产、经营、使用单位有下列情形之一的，责令限期改正；逾期未改正的，责令停止使用有关特种设备或者停产停业整顿，处一万元以上五万元以下罚款：(二)使用未取得相应资格的人员从事特种设备安全管理、检测和作业的。</w:t>
            </w:r>
          </w:p>
          <w:p w14:paraId="5ED40F3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tc>
        <w:tc>
          <w:tcPr>
            <w:tcW w:w="1140" w:type="dxa"/>
            <w:noWrap w:val="0"/>
            <w:vAlign w:val="center"/>
          </w:tcPr>
          <w:p w14:paraId="286732E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61371C5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安全管理人员、检测人员和作业人员应当按照国家有关规定取得相应特种设备作业人员资格，方可从事相关工作。特种设备安全管理人员、检测人员和作业人员应当严格执行安全技术规范和管理制度，保证特种设备安全。</w:t>
            </w:r>
          </w:p>
        </w:tc>
        <w:tc>
          <w:tcPr>
            <w:tcW w:w="1624" w:type="dxa"/>
            <w:noWrap w:val="0"/>
            <w:vAlign w:val="center"/>
          </w:tcPr>
          <w:p w14:paraId="18D29E6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5F82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D78DDF2">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17</w:t>
            </w:r>
          </w:p>
        </w:tc>
        <w:tc>
          <w:tcPr>
            <w:tcW w:w="1542" w:type="dxa"/>
            <w:noWrap w:val="0"/>
            <w:vAlign w:val="center"/>
          </w:tcPr>
          <w:p w14:paraId="3FE966A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特种设备生产、经营、使用单位应当按规定配备特种设备安全管理人员、检测人员、作业人员，并对其进行必要的安全</w:t>
            </w:r>
          </w:p>
          <w:p w14:paraId="71CCB30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教育和技</w:t>
            </w:r>
          </w:p>
          <w:p w14:paraId="3D4340E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能培训</w:t>
            </w:r>
          </w:p>
        </w:tc>
        <w:tc>
          <w:tcPr>
            <w:tcW w:w="2251" w:type="dxa"/>
            <w:noWrap w:val="0"/>
            <w:vAlign w:val="center"/>
          </w:tcPr>
          <w:p w14:paraId="6C176D7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1.未配备具有相应资格的特种设备安全管理人员、检测人员和作业人员；</w:t>
            </w:r>
          </w:p>
          <w:p w14:paraId="6253A16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2.未对特种设备安全管理人员、检测人员和作业人员，进行必要的安全教育和技能培训。</w:t>
            </w:r>
          </w:p>
        </w:tc>
        <w:tc>
          <w:tcPr>
            <w:tcW w:w="3640" w:type="dxa"/>
            <w:noWrap w:val="0"/>
            <w:vAlign w:val="center"/>
          </w:tcPr>
          <w:p w14:paraId="4B647FF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14A1CB4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第十三条第二款  特种设备生产、经营、使用单位应当按照国家有关规定配备特种设备安全管理人员、检测人员和作业人员，并对其进行必要的安全教育和技能培训。</w:t>
            </w:r>
          </w:p>
          <w:p w14:paraId="2D83691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第八十六条第一项、第三项  违反本法规定，特种设备生产、经营、使用单位有下列情形之一的，责令限期改正；逾期未改正的，责令停止使用有关特种设备或者停产停业整顿，处一万元以上五万元以下罚款：(一)未配备具有相应资格的特种设备安全管理人员、检测人员和作业人员的；(三)未对特种设备安全管理人员、检测人员和作业人员进行安全教育和技能培训的。</w:t>
            </w:r>
          </w:p>
        </w:tc>
        <w:tc>
          <w:tcPr>
            <w:tcW w:w="1140" w:type="dxa"/>
            <w:noWrap w:val="0"/>
            <w:vAlign w:val="center"/>
          </w:tcPr>
          <w:p w14:paraId="6A80B18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top"/>
          </w:tcPr>
          <w:p w14:paraId="6BD2075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1.特种设备生产、经营、使用单位应当按照国家规定配备相应的特种设备安全管理人员，明确管理部门和责任人员，制定有效的管理制度、操作规程并遵照执行。</w:t>
            </w:r>
          </w:p>
          <w:p w14:paraId="504AE86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2.特种设备生产、经营、使用单位应当按照安全技术规范的要求配备检测人员和作业人员，检测和作业人员不但要满足数量要求，同时应满足对检测和作业人员持证种类和技术能力的要求。</w:t>
            </w:r>
          </w:p>
          <w:p w14:paraId="3E0539E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3.要定期对上述人员进行必要的安全教育和技能培训，并保存好培训记录。</w:t>
            </w:r>
          </w:p>
        </w:tc>
        <w:tc>
          <w:tcPr>
            <w:tcW w:w="1624" w:type="dxa"/>
            <w:noWrap w:val="0"/>
            <w:vAlign w:val="center"/>
          </w:tcPr>
          <w:p w14:paraId="2442A77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12995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9703A0E">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18</w:t>
            </w:r>
          </w:p>
        </w:tc>
        <w:tc>
          <w:tcPr>
            <w:tcW w:w="1542" w:type="dxa"/>
            <w:noWrap w:val="0"/>
            <w:vAlign w:val="center"/>
          </w:tcPr>
          <w:p w14:paraId="04D1CB7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电梯维护保养单位应当获得相应资质，并按照安全技术规范的要求进行电梯维护保养。</w:t>
            </w:r>
          </w:p>
        </w:tc>
        <w:tc>
          <w:tcPr>
            <w:tcW w:w="2251" w:type="dxa"/>
            <w:noWrap w:val="0"/>
            <w:vAlign w:val="center"/>
          </w:tcPr>
          <w:p w14:paraId="27C088F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未经许可，擅自从事电梯维护保养；2.电梯的维护保养单位未按照规定以及安全技术规范的要求，进行电梯维护保养。如：电梯维保单位维保资质及维保人员资质未满足要求；没有有效的维保合同；维保周期不符合规定；没有维保记录；维保记录未经安全管理人员签字确认。</w:t>
            </w:r>
          </w:p>
        </w:tc>
        <w:tc>
          <w:tcPr>
            <w:tcW w:w="3640" w:type="dxa"/>
            <w:noWrap w:val="0"/>
            <w:vAlign w:val="top"/>
          </w:tcPr>
          <w:p w14:paraId="44505A9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《中华人民共和国特种设备安全法》第四十五条  电梯的维护保养应当由电梯制造单位或者依照本法取得许可的安装、改造、修理单位进行。</w:t>
            </w:r>
          </w:p>
          <w:p w14:paraId="46E7A17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电梯的维护保养单位应当在维护保养中严格执行安全技术规范的要求，保证其维护保养的电梯的安全性能，并负责落实现场安全防护措施，保证施工安全。</w:t>
            </w:r>
          </w:p>
          <w:p w14:paraId="544F2D6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第八十八条  违反本法规定，未经许可，擅自从事电梯维护保养的，责令停止违法行为，处一万元以上十万元以下罚款；有违法所得的，没收违法所得。电梯的维护保养单位未按照本法规定以及安全技术规范的要求，进行电梯维护保养的，依照前款规定处罚。</w:t>
            </w:r>
          </w:p>
        </w:tc>
        <w:tc>
          <w:tcPr>
            <w:tcW w:w="1140" w:type="dxa"/>
            <w:noWrap w:val="0"/>
            <w:vAlign w:val="center"/>
          </w:tcPr>
          <w:p w14:paraId="75FF910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1BAB605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电梯的维护保养单位应按照特种设备安全法律法规及有关规定的要求，进行电梯维护保养，确保单位和人员的资质满足法定要求，并按期维护做好维保记录。</w:t>
            </w:r>
          </w:p>
        </w:tc>
        <w:tc>
          <w:tcPr>
            <w:tcW w:w="1624" w:type="dxa"/>
            <w:noWrap w:val="0"/>
            <w:vAlign w:val="center"/>
          </w:tcPr>
          <w:p w14:paraId="6B5F65F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21CDA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4E4DAD6">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19</w:t>
            </w:r>
          </w:p>
        </w:tc>
        <w:tc>
          <w:tcPr>
            <w:tcW w:w="1542" w:type="dxa"/>
            <w:noWrap w:val="0"/>
            <w:vAlign w:val="center"/>
          </w:tcPr>
          <w:p w14:paraId="5EB2031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特种设备使用单位在特种设备出现故障或异常时，应当全面检查，消除事故隐患</w:t>
            </w:r>
          </w:p>
        </w:tc>
        <w:tc>
          <w:tcPr>
            <w:tcW w:w="2251" w:type="dxa"/>
            <w:noWrap w:val="0"/>
            <w:vAlign w:val="center"/>
          </w:tcPr>
          <w:p w14:paraId="321C61E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如：出现电梯门防夹保护装置失效、自动扶梯和自动人行道入口处急停开关无效、锅炉压力未在允许范围内、快开门式压力容器安全联锁装置失效等情况时，使用单位未全面检查，消除事故隐患。</w:t>
            </w:r>
          </w:p>
        </w:tc>
        <w:tc>
          <w:tcPr>
            <w:tcW w:w="3640" w:type="dxa"/>
            <w:noWrap w:val="0"/>
            <w:vAlign w:val="center"/>
          </w:tcPr>
          <w:p w14:paraId="61C2A6F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p w14:paraId="422111C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30F6654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第四十二条  特种设备出现故障或者发生异常情况，特种设备使用单位应当对其进行全面检查，消除事故隐患，方可继续使用。</w:t>
            </w:r>
          </w:p>
          <w:p w14:paraId="22ABC80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第八十四条第二项  违反本法规定，特种设备使用单位有下列行为之一的，责令停止使用有关特种设备，处三万元以上三十万元以下罚款：(二)特种设备出现故障或者发生异常情况，未对其进行全面检查、消除事故隐患，继续使用的。</w:t>
            </w:r>
          </w:p>
        </w:tc>
        <w:tc>
          <w:tcPr>
            <w:tcW w:w="1140" w:type="dxa"/>
            <w:noWrap w:val="0"/>
            <w:vAlign w:val="center"/>
          </w:tcPr>
          <w:p w14:paraId="7084CF8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16052CDC">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特种设备出现故障或者发生异常情况，特种设备使用单位应当对其进行全面检查，必要时进行停机，消除事故隐患，方可继续使用。</w:t>
            </w:r>
          </w:p>
        </w:tc>
        <w:tc>
          <w:tcPr>
            <w:tcW w:w="1624" w:type="dxa"/>
            <w:noWrap w:val="0"/>
            <w:vAlign w:val="center"/>
          </w:tcPr>
          <w:p w14:paraId="6870E44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28ECD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2547CD5">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20</w:t>
            </w:r>
          </w:p>
        </w:tc>
        <w:tc>
          <w:tcPr>
            <w:tcW w:w="1542" w:type="dxa"/>
            <w:noWrap w:val="0"/>
            <w:vAlign w:val="center"/>
          </w:tcPr>
          <w:p w14:paraId="0E68B45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特种设备使用单位应当制定特种设备事故应急专项预案</w:t>
            </w:r>
          </w:p>
        </w:tc>
        <w:tc>
          <w:tcPr>
            <w:tcW w:w="2251" w:type="dxa"/>
            <w:noWrap w:val="0"/>
            <w:vAlign w:val="center"/>
          </w:tcPr>
          <w:p w14:paraId="44C12CA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特种设备使用单位未制定特种设备事故应急专项预案</w:t>
            </w:r>
          </w:p>
        </w:tc>
        <w:tc>
          <w:tcPr>
            <w:tcW w:w="3640" w:type="dxa"/>
            <w:noWrap w:val="0"/>
            <w:vAlign w:val="center"/>
          </w:tcPr>
          <w:p w14:paraId="0E5E29D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241F296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第六十九条第三款  特种设备使用单位应当制定特种设备事故应急专项预案，并定期进行应急演练。</w:t>
            </w:r>
          </w:p>
          <w:p w14:paraId="45B2851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第八十三条第六项  违反本法规定，特种设备使用单位有下列行为之一的，责令限期改正；逾期未改正的，责令停止使用有关特种设备，处一万元以上十万元以下罚款：(六)未制定特种设备事故应急专项预案的。</w:t>
            </w:r>
          </w:p>
        </w:tc>
        <w:tc>
          <w:tcPr>
            <w:tcW w:w="1140" w:type="dxa"/>
            <w:noWrap w:val="0"/>
            <w:vAlign w:val="center"/>
          </w:tcPr>
          <w:p w14:paraId="4FECC7D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58B7EBB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1.特种设备使用单位应当根据本单位特种设备的数量、特性等配备适当数量的安全管理员。</w:t>
            </w:r>
          </w:p>
          <w:p w14:paraId="62DFA13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2.按照上述要求设置安全管理机构的使用单位应当配备专职安全管理员，并且取得相应的特种设备安全管理人员资格证书。</w:t>
            </w:r>
          </w:p>
          <w:p w14:paraId="53AB738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3.按上述规定应设置安全管理机构或应配备专职安全管理员的特种设备使用单位应当制定应急专项预案。</w:t>
            </w:r>
          </w:p>
        </w:tc>
        <w:tc>
          <w:tcPr>
            <w:tcW w:w="1624" w:type="dxa"/>
            <w:noWrap w:val="0"/>
            <w:vAlign w:val="center"/>
          </w:tcPr>
          <w:p w14:paraId="1941611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1CCA0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4E2F5499">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21</w:t>
            </w:r>
          </w:p>
        </w:tc>
        <w:tc>
          <w:tcPr>
            <w:tcW w:w="1542" w:type="dxa"/>
            <w:noWrap w:val="0"/>
            <w:vAlign w:val="center"/>
          </w:tcPr>
          <w:p w14:paraId="29C1426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移动式压力容器、气瓶充装单位从事充装活动必须取得相应许可</w:t>
            </w:r>
          </w:p>
        </w:tc>
        <w:tc>
          <w:tcPr>
            <w:tcW w:w="2251" w:type="dxa"/>
            <w:noWrap w:val="0"/>
            <w:vAlign w:val="center"/>
          </w:tcPr>
          <w:p w14:paraId="4319B8D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充装单位(或个人)不具备相应条件，未经许可或者在许可范围外从事充装活动。</w:t>
            </w:r>
          </w:p>
        </w:tc>
        <w:tc>
          <w:tcPr>
            <w:tcW w:w="3640" w:type="dxa"/>
            <w:noWrap w:val="0"/>
            <w:vAlign w:val="top"/>
          </w:tcPr>
          <w:p w14:paraId="4B10F4E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279152C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第四十九条第一款  移动式压力容器、气瓶充装单位，应当具备下列条件，并经负责特种设备安全监督管理的部门许可，方可从事充装活动：(一)有与充装和管理相适应的管理人员和技术人员；(二)有与充装和管理相适应的充装设备、检测手段、场地厂房、器具、安全设施；(三)有健全的充装管理制度、责任制度、处理措施。</w:t>
            </w:r>
          </w:p>
          <w:p w14:paraId="0F4200C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第八十五条第二款  违反本法规定，未经许可，擅自从事移动式压力容器或者气瓶充装活动的，予以取缔，没收违法充装的气瓶，处十万元以上五十万元以下罚款；有违法所得的，没收违法所得。</w:t>
            </w:r>
          </w:p>
        </w:tc>
        <w:tc>
          <w:tcPr>
            <w:tcW w:w="1140" w:type="dxa"/>
            <w:noWrap w:val="0"/>
            <w:vAlign w:val="center"/>
          </w:tcPr>
          <w:p w14:paraId="5881065F">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5A1C2FA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1.移动式压力容器、气瓶充装单位应当向所在地省级市场监管部门申请充装许可，取得相应的充装许可证后，方可从事充装活动。</w:t>
            </w:r>
          </w:p>
          <w:p w14:paraId="7DAEC1E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2.充装人员应当取得特种设备作业人员证书。不得使用未获证人员从事相关工作。</w:t>
            </w:r>
          </w:p>
        </w:tc>
        <w:tc>
          <w:tcPr>
            <w:tcW w:w="1624" w:type="dxa"/>
            <w:noWrap w:val="0"/>
            <w:vAlign w:val="center"/>
          </w:tcPr>
          <w:p w14:paraId="2399971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68521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EF810DF">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22</w:t>
            </w:r>
          </w:p>
        </w:tc>
        <w:tc>
          <w:tcPr>
            <w:tcW w:w="1542" w:type="dxa"/>
            <w:noWrap w:val="0"/>
            <w:vAlign w:val="center"/>
          </w:tcPr>
          <w:p w14:paraId="2C17052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移动式压力容器、气瓶充装单位应当建立充装前后的检查、记录制度。</w:t>
            </w:r>
          </w:p>
        </w:tc>
        <w:tc>
          <w:tcPr>
            <w:tcW w:w="2251" w:type="dxa"/>
            <w:noWrap w:val="0"/>
            <w:vAlign w:val="center"/>
          </w:tcPr>
          <w:p w14:paraId="1E76C7E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充装单位未按照规定实施充装前后的检查、记录制度。如：只检查部分，甚至无检查记录。</w:t>
            </w:r>
          </w:p>
        </w:tc>
        <w:tc>
          <w:tcPr>
            <w:tcW w:w="3640" w:type="dxa"/>
            <w:noWrap w:val="0"/>
            <w:vAlign w:val="center"/>
          </w:tcPr>
          <w:p w14:paraId="5BFDD89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p>
          <w:p w14:paraId="18E57FF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35F4AE1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第四十九条第二款  充装单位应当建立充装前后的检查、记录制度，禁止对不符合安全技术规范要求的移动式压力容器和气瓶进行充装。</w:t>
            </w:r>
          </w:p>
          <w:p w14:paraId="501E0BD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第八十五条第一款第一项  违反本法规定，移动式压力容器、气瓶充装单位有下列行为之一的，责令改正，处二万元以上二十万元以下罚款；情节严重的，吊销充装许可证：(一)未按照规定实施充装前后的检查、记录制度的。</w:t>
            </w:r>
          </w:p>
        </w:tc>
        <w:tc>
          <w:tcPr>
            <w:tcW w:w="1140" w:type="dxa"/>
            <w:noWrap w:val="0"/>
            <w:vAlign w:val="center"/>
          </w:tcPr>
          <w:p w14:paraId="6EFA6988">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top"/>
          </w:tcPr>
          <w:p w14:paraId="4390D4F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1.移动式压力容器、气瓶充装单位应当有健全的充装管理制度、责任制度及事故应急预案定期演练、事故处理上报、质量信息处理反馈等处理措施。</w:t>
            </w:r>
          </w:p>
          <w:p w14:paraId="4377531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2.充装单位应制定严格的充装作业操作规程，对充装的压力容器、气瓶逐只进行充装前后检查，并进行记录，以消除错装、混装、超装等造成的安全隐患，避免充装设备失效引发的安全风险。</w:t>
            </w:r>
          </w:p>
          <w:p w14:paraId="5DB2390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3.充装单位应积极使用信息化手段进行充装检查记录，做到充装过程可追溯。</w:t>
            </w:r>
          </w:p>
        </w:tc>
        <w:tc>
          <w:tcPr>
            <w:tcW w:w="1624" w:type="dxa"/>
            <w:noWrap w:val="0"/>
            <w:vAlign w:val="center"/>
          </w:tcPr>
          <w:p w14:paraId="39F2934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46A3D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5968C7F1">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23</w:t>
            </w:r>
          </w:p>
        </w:tc>
        <w:tc>
          <w:tcPr>
            <w:tcW w:w="1542" w:type="dxa"/>
            <w:noWrap w:val="0"/>
            <w:vAlign w:val="center"/>
          </w:tcPr>
          <w:p w14:paraId="3E9A5DB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移动式压力容器、气瓶充装单位应按照安全技术规范的要求进行充装活动的，禁止对不符合安全技术规范要求的移动式压力容器和气瓶进</w:t>
            </w:r>
          </w:p>
          <w:p w14:paraId="65D3E4B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行充</w:t>
            </w:r>
          </w:p>
          <w:p w14:paraId="009B5F5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装。</w:t>
            </w:r>
          </w:p>
        </w:tc>
        <w:tc>
          <w:tcPr>
            <w:tcW w:w="2251" w:type="dxa"/>
            <w:noWrap w:val="0"/>
            <w:vAlign w:val="center"/>
          </w:tcPr>
          <w:p w14:paraId="03D3500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1.移动式压力容器、气瓶充装单位未按照安全技术规范的要求进行充装活动的。2.对不符合安全技术规范要求的移动式压力容器和气瓶进行充装，如充装过期气瓶。</w:t>
            </w:r>
          </w:p>
        </w:tc>
        <w:tc>
          <w:tcPr>
            <w:tcW w:w="3640" w:type="dxa"/>
            <w:noWrap w:val="0"/>
            <w:vAlign w:val="top"/>
          </w:tcPr>
          <w:p w14:paraId="43281E9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2F062A3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第四十九条第二款  充装单位应当建立充装前后的检查、记录制度，禁止对不符合安全技术规范要求的移动式压力容器和气瓶进行充装。</w:t>
            </w:r>
          </w:p>
          <w:p w14:paraId="6C90D30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第八十五条第一款第二项  违反本法规定，移动式压力容器、气瓶充装单位有下列行为之一的，责令改正，处二万元以上二十万元以下罚款；情节严重的，吊销充装许可证：(二)对不符合安全技术规范要求的移动式压力容器和气瓶进行充装的。</w:t>
            </w:r>
          </w:p>
          <w:p w14:paraId="4F2F5E5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《特种设备安全监察条例》</w:t>
            </w:r>
          </w:p>
          <w:p w14:paraId="0FF8CAE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第八十条第二款  移动式压力容器、气瓶充装单位未按照安全技术规范的要求进行充装活动的，由特种设备安全监督管理部门责令改正，处2万元以上10万元以下罚款；情节严重的，撤销其充装资格。</w:t>
            </w:r>
          </w:p>
        </w:tc>
        <w:tc>
          <w:tcPr>
            <w:tcW w:w="1140" w:type="dxa"/>
            <w:noWrap w:val="0"/>
            <w:vAlign w:val="center"/>
          </w:tcPr>
          <w:p w14:paraId="5F36AEA4">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02ADEFC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充装单位应当按照安全技术规范的要求进行充装活动的。不得有充装过期瓶、报废瓶，或使用移动式压力容器对气瓶进行直接充装等违法行为。</w:t>
            </w:r>
          </w:p>
        </w:tc>
        <w:tc>
          <w:tcPr>
            <w:tcW w:w="1624" w:type="dxa"/>
            <w:noWrap w:val="0"/>
            <w:vAlign w:val="center"/>
          </w:tcPr>
          <w:p w14:paraId="4A064CD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6FF9B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127DB928">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24</w:t>
            </w:r>
          </w:p>
        </w:tc>
        <w:tc>
          <w:tcPr>
            <w:tcW w:w="1542" w:type="dxa"/>
            <w:noWrap w:val="0"/>
            <w:vAlign w:val="center"/>
          </w:tcPr>
          <w:p w14:paraId="7E5CFE5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特种设备生产、经营、使用单位应当配合监督检查，并不得擅自动用、调换、转移、损毁被查封、扣押的特种设备或其主要部件</w:t>
            </w:r>
          </w:p>
        </w:tc>
        <w:tc>
          <w:tcPr>
            <w:tcW w:w="2251" w:type="dxa"/>
            <w:noWrap w:val="0"/>
            <w:vAlign w:val="center"/>
          </w:tcPr>
          <w:p w14:paraId="0521DF0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1.特种设备生产、经营、使用单位拒不接受监管部门依法实施的监督检查；</w:t>
            </w:r>
          </w:p>
          <w:p w14:paraId="4304081D">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2.特种设备生产、经营、使用单位的特种设备或其主要部件被查封、扣押后，生产、经营、使用单位擅自动用、调换、转移、损毁被查封、扣押的标的物。</w:t>
            </w:r>
          </w:p>
        </w:tc>
        <w:tc>
          <w:tcPr>
            <w:tcW w:w="3640" w:type="dxa"/>
            <w:noWrap w:val="0"/>
            <w:vAlign w:val="center"/>
          </w:tcPr>
          <w:p w14:paraId="379BDA1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705FCC41">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第九十五条 违反本法规定，特种设备生产、经营、使用单位或者检验、检测机构拒不接受负责特种设备安全监督管理的部门依法实施的监督检查的，责令限期改正；逾期未改正的，责令停产停业整顿，处二万元以上二十万元以下罚款。</w:t>
            </w:r>
          </w:p>
          <w:p w14:paraId="376F4B5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生产、经营、使用单位擅自动用、调换、转移、损毁被查封、扣押的特种设备或者其主要部件的，责令改正，处五万元以上二十万元以下罚款；情节严重的，吊销生产许可证，注销特种设备使用登记证书。</w:t>
            </w:r>
          </w:p>
        </w:tc>
        <w:tc>
          <w:tcPr>
            <w:tcW w:w="1140" w:type="dxa"/>
            <w:noWrap w:val="0"/>
            <w:vAlign w:val="center"/>
          </w:tcPr>
          <w:p w14:paraId="1D33B6D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52EF6B49">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生产、经营、使用单位应当积极配合监管部门依法实施的监督检查。出现违法行为后，应当积极整改。如特种设备或其主要部件被查封、扣押，不得擅自动用、充装单位应当按照安全技术规范的要求进行充装活动的。不得有充装过期瓶、报废瓶，或使用移动式压力容器对气瓶进行直接充装等违法行为。</w:t>
            </w:r>
          </w:p>
        </w:tc>
        <w:tc>
          <w:tcPr>
            <w:tcW w:w="1624" w:type="dxa"/>
            <w:noWrap w:val="0"/>
            <w:vAlign w:val="center"/>
          </w:tcPr>
          <w:p w14:paraId="552E49D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r w14:paraId="5E7A5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noWrap w:val="0"/>
            <w:vAlign w:val="center"/>
          </w:tcPr>
          <w:p w14:paraId="039D88F7">
            <w:pPr>
              <w:pageBreakBefore w:val="0"/>
              <w:wordWrap w:val="0"/>
              <w:spacing w:before="0" w:after="0" w:line="200" w:lineRule="atLeast"/>
              <w:ind w:left="0" w:leftChars="0" w:right="0" w:rightChars="0"/>
              <w:jc w:val="center"/>
              <w:textAlignment w:val="baseline"/>
              <w:rPr>
                <w:rFonts w:hint="eastAsia" w:asciiTheme="minorEastAsia" w:hAnsiTheme="minorEastAsia" w:eastAsiaTheme="minorEastAsia" w:cstheme="minorEastAsia"/>
                <w:b w:val="0"/>
                <w:i w:val="0"/>
                <w:color w:val="000000"/>
                <w:spacing w:val="0"/>
                <w:sz w:val="21"/>
                <w:szCs w:val="21"/>
              </w:rPr>
            </w:pPr>
            <w:r>
              <w:rPr>
                <w:rFonts w:hint="eastAsia" w:asciiTheme="minorEastAsia" w:hAnsiTheme="minorEastAsia" w:eastAsiaTheme="minorEastAsia" w:cstheme="minorEastAsia"/>
                <w:b w:val="0"/>
                <w:i w:val="0"/>
                <w:color w:val="000000"/>
                <w:spacing w:val="0"/>
                <w:sz w:val="21"/>
                <w:szCs w:val="21"/>
              </w:rPr>
              <w:t>25</w:t>
            </w:r>
          </w:p>
        </w:tc>
        <w:tc>
          <w:tcPr>
            <w:tcW w:w="1542" w:type="dxa"/>
            <w:noWrap w:val="0"/>
            <w:vAlign w:val="center"/>
          </w:tcPr>
          <w:p w14:paraId="7970190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特种设备检验、检测机构应当获得特种设备安全监管部门的资质核准，检验、检测人员应当取得相应资格许可</w:t>
            </w:r>
          </w:p>
        </w:tc>
        <w:tc>
          <w:tcPr>
            <w:tcW w:w="2251" w:type="dxa"/>
            <w:noWrap w:val="0"/>
            <w:vAlign w:val="center"/>
          </w:tcPr>
          <w:p w14:paraId="55F90F8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1.检验、检测机构核准证书超期；</w:t>
            </w:r>
          </w:p>
          <w:p w14:paraId="0F6B4566">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2.超核准范围进行检测检验；</w:t>
            </w:r>
          </w:p>
          <w:p w14:paraId="3020272A">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3.相关人员未取得检验、检测人员资格，从事检验、检测工作。</w:t>
            </w:r>
          </w:p>
        </w:tc>
        <w:tc>
          <w:tcPr>
            <w:tcW w:w="3640" w:type="dxa"/>
            <w:noWrap w:val="0"/>
            <w:vAlign w:val="top"/>
          </w:tcPr>
          <w:p w14:paraId="2E89D110">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《中华人民共和国特种设备安全法》</w:t>
            </w:r>
          </w:p>
          <w:p w14:paraId="3FEFA31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第五十条 从事本法规定的监督检验、定期检验的特种设备检验机构，以及为特种设备生产、经营、使用提供检测服务的特种设备检测机构，应当具备下列条件，并经负责特种设备安全监督管理的部门核准，方可从事检验、检测工作：(一)有与检验、检测工作相适应的检验、检测人员。(二)有与检验、检测工作相适应的检验、检测仪器和设备。(三)有健全的检验、检测管理制度和责任制度。</w:t>
            </w:r>
          </w:p>
          <w:p w14:paraId="434EB7F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第五十一条第一款  特种设备检验、检测机构的检验、检测人员应当经考核，取得检验、检测人员资格，方可从事检验、检测工作。</w:t>
            </w:r>
          </w:p>
          <w:p w14:paraId="3CF6A645">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第九十三条第一款第一项  违反本法规定，特种设备检验、检测机构及其检验、检测人员有下列行为之一的，责令改正，对机构处五万元以上二十万元以下罚款，对直接负责的主管人员和其他直接责任人员处五千元以上五万元以下罚款；情节严重的，吊销机构资质和有关人员的资格：(一)未经核准或者超出核准范围、使用未取得相应资格的人员从事检验、检测的。</w:t>
            </w:r>
          </w:p>
          <w:p w14:paraId="15E5C3C2">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《特种设备安全监察条例》</w:t>
            </w:r>
          </w:p>
          <w:p w14:paraId="5976F65E">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第八十二条第一款第二项  已经取得许可、核准的特种设备生产单位、检验检测机构有下列行为之一的，由特种设备安全监督管理部门责令改正，处2万元以上10万元以下罚款；情节严重的，撤销其相应资格：(二)不再符合本条例规定或者安全技术规范要求的条件，继续从事特种设备生产、检验检测的。</w:t>
            </w:r>
          </w:p>
        </w:tc>
        <w:tc>
          <w:tcPr>
            <w:tcW w:w="1140" w:type="dxa"/>
            <w:noWrap w:val="0"/>
            <w:vAlign w:val="center"/>
          </w:tcPr>
          <w:p w14:paraId="544A204B">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center"/>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w:t>
            </w:r>
          </w:p>
        </w:tc>
        <w:tc>
          <w:tcPr>
            <w:tcW w:w="2145" w:type="dxa"/>
            <w:noWrap w:val="0"/>
            <w:vAlign w:val="center"/>
          </w:tcPr>
          <w:p w14:paraId="7AC012A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1.气瓶检验、安全阀校验等特种设备检验检测机构应严格按照核准范围进行检测检验，到期前按要求及时换证。</w:t>
            </w:r>
          </w:p>
          <w:p w14:paraId="35F460B7">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2.相关检验、检测人员应当经考核，取得检验、检测人员资格，方可从事检验、检测工作。</w:t>
            </w:r>
          </w:p>
        </w:tc>
        <w:tc>
          <w:tcPr>
            <w:tcW w:w="1624" w:type="dxa"/>
            <w:noWrap w:val="0"/>
            <w:vAlign w:val="center"/>
          </w:tcPr>
          <w:p w14:paraId="7EBB3EC3">
            <w:pPr>
              <w:keepNext w:val="0"/>
              <w:keepLines w:val="0"/>
              <w:pageBreakBefore w:val="0"/>
              <w:widowControl w:val="0"/>
              <w:kinsoku/>
              <w:wordWrap w:val="0"/>
              <w:overflowPunct/>
              <w:topLinePunct w:val="0"/>
              <w:autoSpaceDE/>
              <w:autoSpaceDN/>
              <w:bidi w:val="0"/>
              <w:adjustRightInd/>
              <w:snapToGrid/>
              <w:spacing w:before="0" w:after="0" w:line="240" w:lineRule="exact"/>
              <w:ind w:left="0" w:right="80"/>
              <w:jc w:val="both"/>
              <w:textAlignment w:val="baseline"/>
              <w:rPr>
                <w:rFonts w:hint="eastAsia" w:ascii="BMHBIL+SimSun" w:hAnsi="BMHBIL+SimSun" w:cs="BMHBIL+SimSun"/>
                <w:color w:val="000000"/>
                <w:spacing w:val="1"/>
                <w:kern w:val="2"/>
                <w:sz w:val="20"/>
                <w:szCs w:val="20"/>
                <w:highlight w:val="none"/>
                <w:lang w:val="en-US" w:eastAsia="zh-CN" w:bidi="ar-SA"/>
              </w:rPr>
            </w:pPr>
            <w:r>
              <w:rPr>
                <w:rFonts w:hint="eastAsia" w:ascii="BMHBIL+SimSun" w:hAnsi="BMHBIL+SimSun" w:cs="BMHBIL+SimSun"/>
                <w:color w:val="000000"/>
                <w:spacing w:val="1"/>
                <w:kern w:val="2"/>
                <w:sz w:val="20"/>
                <w:szCs w:val="20"/>
                <w:highlight w:val="none"/>
                <w:lang w:val="en-US" w:eastAsia="zh-CN" w:bidi="ar-SA"/>
              </w:rPr>
              <w:t>区市场监督管理局特种设备安全监察科：87320915</w:t>
            </w:r>
          </w:p>
        </w:tc>
      </w:tr>
    </w:tbl>
    <w:p w14:paraId="23E04B35">
      <w:pPr>
        <w:pageBreakBefore w:val="0"/>
        <w:wordWrap w:val="0"/>
        <w:spacing w:before="120" w:after="0" w:line="200" w:lineRule="atLeast"/>
        <w:ind w:left="0" w:right="0"/>
        <w:jc w:val="both"/>
        <w:textAlignment w:val="baseline"/>
        <w:rPr>
          <w:sz w:val="20"/>
          <w:szCs w:val="20"/>
        </w:rPr>
      </w:pPr>
      <w:r>
        <w:rPr>
          <w:rFonts w:ascii="宋体" w:hAnsi="宋体" w:eastAsia="宋体" w:cs="宋体"/>
          <w:b w:val="0"/>
          <w:i w:val="0"/>
          <w:color w:val="000000"/>
          <w:spacing w:val="0"/>
          <w:sz w:val="20"/>
          <w:szCs w:val="20"/>
        </w:rPr>
        <w:t>备注：1.该清单适用特种设备生产、经营、使用、维护保养、检验检测单位。</w:t>
      </w:r>
    </w:p>
    <w:p w14:paraId="12FCE44F">
      <w:pPr>
        <w:pageBreakBefore w:val="0"/>
        <w:wordWrap w:val="0"/>
        <w:spacing w:before="0" w:after="0" w:line="200" w:lineRule="atLeast"/>
        <w:ind w:left="420" w:right="0" w:firstLine="200" w:firstLineChars="100"/>
        <w:jc w:val="both"/>
        <w:textAlignment w:val="baseline"/>
        <w:rPr>
          <w:sz w:val="20"/>
          <w:szCs w:val="20"/>
        </w:rPr>
      </w:pPr>
      <w:r>
        <w:rPr>
          <w:rFonts w:ascii="宋体" w:hAnsi="宋体" w:eastAsia="宋体" w:cs="宋体"/>
          <w:b w:val="0"/>
          <w:i w:val="0"/>
          <w:color w:val="000000"/>
          <w:spacing w:val="0"/>
          <w:sz w:val="20"/>
          <w:szCs w:val="20"/>
        </w:rPr>
        <w:t>2.该清单并未涵盖所有特种设备安全类违法行为。</w:t>
      </w:r>
    </w:p>
    <w:p w14:paraId="732A74FA">
      <w:pPr>
        <w:ind w:firstLine="600" w:firstLineChars="300"/>
        <w:rPr>
          <w:rFonts w:hint="default"/>
          <w:sz w:val="20"/>
          <w:szCs w:val="20"/>
          <w:lang w:val="en-US" w:eastAsia="zh-CN"/>
        </w:rPr>
      </w:pPr>
      <w:r>
        <w:rPr>
          <w:rFonts w:ascii="宋体" w:hAnsi="宋体" w:eastAsia="宋体" w:cs="宋体"/>
          <w:b w:val="0"/>
          <w:i w:val="0"/>
          <w:color w:val="000000"/>
          <w:spacing w:val="0"/>
          <w:sz w:val="20"/>
          <w:szCs w:val="20"/>
        </w:rPr>
        <w:t>3.发生频率较高的为★★★，发生频率一般的为★★，发生频率较少的为★。</w:t>
      </w:r>
    </w:p>
    <w:sectPr>
      <w:pgSz w:w="16838" w:h="11906" w:orient="landscape"/>
      <w:pgMar w:top="1134" w:right="1984" w:bottom="113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BMHBIL+SimSun">
    <w:altName w:val="宋体"/>
    <w:panose1 w:val="02010600030101010101"/>
    <w:charset w:val="86"/>
    <w:family w:val="auto"/>
    <w:pitch w:val="default"/>
    <w:sig w:usb0="00000000" w:usb1="00000000" w:usb2="00000006" w:usb3="00000000" w:csb0="00040001"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书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2D5BB"/>
    <w:multiLevelType w:val="singleLevel"/>
    <w:tmpl w:val="82A2D5BB"/>
    <w:lvl w:ilvl="0" w:tentative="0">
      <w:start w:val="1"/>
      <w:numFmt w:val="decimal"/>
      <w:lvlText w:val="%1."/>
      <w:lvlJc w:val="left"/>
      <w:pPr>
        <w:tabs>
          <w:tab w:val="left" w:pos="312"/>
        </w:tabs>
      </w:pPr>
    </w:lvl>
  </w:abstractNum>
  <w:abstractNum w:abstractNumId="1">
    <w:nsid w:val="97B6856A"/>
    <w:multiLevelType w:val="singleLevel"/>
    <w:tmpl w:val="97B6856A"/>
    <w:lvl w:ilvl="0" w:tentative="0">
      <w:start w:val="11"/>
      <w:numFmt w:val="chineseCounting"/>
      <w:suff w:val="space"/>
      <w:lvlText w:val="第%1条"/>
      <w:lvlJc w:val="left"/>
      <w:rPr>
        <w:rFonts w:hint="eastAsia"/>
      </w:rPr>
    </w:lvl>
  </w:abstractNum>
  <w:abstractNum w:abstractNumId="2">
    <w:nsid w:val="A5C87B0C"/>
    <w:multiLevelType w:val="singleLevel"/>
    <w:tmpl w:val="A5C87B0C"/>
    <w:lvl w:ilvl="0" w:tentative="0">
      <w:start w:val="18"/>
      <w:numFmt w:val="chineseCounting"/>
      <w:suff w:val="space"/>
      <w:lvlText w:val="第%1条"/>
      <w:lvlJc w:val="left"/>
      <w:rPr>
        <w:rFonts w:hint="eastAsia"/>
      </w:rPr>
    </w:lvl>
  </w:abstractNum>
  <w:abstractNum w:abstractNumId="3">
    <w:nsid w:val="B22CED62"/>
    <w:multiLevelType w:val="singleLevel"/>
    <w:tmpl w:val="B22CED62"/>
    <w:lvl w:ilvl="0" w:tentative="0">
      <w:start w:val="5"/>
      <w:numFmt w:val="chineseCounting"/>
      <w:suff w:val="nothing"/>
      <w:lvlText w:val="（%1）"/>
      <w:lvlJc w:val="left"/>
      <w:rPr>
        <w:rFonts w:hint="eastAsia"/>
      </w:rPr>
    </w:lvl>
  </w:abstractNum>
  <w:abstractNum w:abstractNumId="4">
    <w:nsid w:val="C97D75ED"/>
    <w:multiLevelType w:val="singleLevel"/>
    <w:tmpl w:val="C97D75ED"/>
    <w:lvl w:ilvl="0" w:tentative="0">
      <w:start w:val="19"/>
      <w:numFmt w:val="chineseCounting"/>
      <w:suff w:val="space"/>
      <w:lvlText w:val="第%1条"/>
      <w:lvlJc w:val="left"/>
      <w:rPr>
        <w:rFonts w:hint="eastAsia"/>
      </w:rPr>
    </w:lvl>
  </w:abstractNum>
  <w:abstractNum w:abstractNumId="5">
    <w:nsid w:val="DDB47506"/>
    <w:multiLevelType w:val="singleLevel"/>
    <w:tmpl w:val="DDB47506"/>
    <w:lvl w:ilvl="0" w:tentative="0">
      <w:start w:val="1"/>
      <w:numFmt w:val="chineseCounting"/>
      <w:lvlText w:val="(%1)"/>
      <w:lvlJc w:val="left"/>
      <w:pPr>
        <w:tabs>
          <w:tab w:val="left" w:pos="312"/>
        </w:tabs>
      </w:pPr>
      <w:rPr>
        <w:rFonts w:hint="eastAsia"/>
      </w:rPr>
    </w:lvl>
  </w:abstractNum>
  <w:abstractNum w:abstractNumId="6">
    <w:nsid w:val="7DBEE4BE"/>
    <w:multiLevelType w:val="singleLevel"/>
    <w:tmpl w:val="7DBEE4BE"/>
    <w:lvl w:ilvl="0" w:tentative="0">
      <w:start w:val="15"/>
      <w:numFmt w:val="chineseCounting"/>
      <w:suff w:val="space"/>
      <w:lvlText w:val="第%1条"/>
      <w:lvlJc w:val="left"/>
      <w:rPr>
        <w:rFonts w:hint="eastAsia"/>
      </w:rPr>
    </w:lvl>
  </w:abstractNum>
  <w:num w:numId="1">
    <w:abstractNumId w:val="5"/>
  </w:num>
  <w:num w:numId="2">
    <w:abstractNumId w:val="1"/>
  </w:num>
  <w:num w:numId="3">
    <w:abstractNumId w:val="6"/>
  </w:num>
  <w:num w:numId="4">
    <w:abstractNumId w:val="0"/>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3162D2"/>
    <w:rsid w:val="045A31AF"/>
    <w:rsid w:val="08FF26FB"/>
    <w:rsid w:val="0F615B83"/>
    <w:rsid w:val="0FD541B5"/>
    <w:rsid w:val="10DB72F4"/>
    <w:rsid w:val="12C30C3D"/>
    <w:rsid w:val="12CA1FCB"/>
    <w:rsid w:val="1417538B"/>
    <w:rsid w:val="143162D2"/>
    <w:rsid w:val="1B762CF0"/>
    <w:rsid w:val="1C4E7BFF"/>
    <w:rsid w:val="1DD66365"/>
    <w:rsid w:val="23CD61CB"/>
    <w:rsid w:val="301E705B"/>
    <w:rsid w:val="36C80C21"/>
    <w:rsid w:val="3F001D2E"/>
    <w:rsid w:val="43A55671"/>
    <w:rsid w:val="4453331F"/>
    <w:rsid w:val="45237196"/>
    <w:rsid w:val="495177E7"/>
    <w:rsid w:val="4A1D0657"/>
    <w:rsid w:val="4F7F35E3"/>
    <w:rsid w:val="51BF0246"/>
    <w:rsid w:val="57935BBE"/>
    <w:rsid w:val="5E324AF8"/>
    <w:rsid w:val="5F5C0449"/>
    <w:rsid w:val="65D4615C"/>
    <w:rsid w:val="67A45ABC"/>
    <w:rsid w:val="6B9A16B0"/>
    <w:rsid w:val="705426F3"/>
    <w:rsid w:val="726B629F"/>
    <w:rsid w:val="76283D5C"/>
    <w:rsid w:val="7B084A14"/>
    <w:rsid w:val="7B136D89"/>
    <w:rsid w:val="7C7B2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仿宋"/>
      <w:kern w:val="0"/>
      <w:sz w:val="30"/>
    </w:rPr>
  </w:style>
  <w:style w:type="paragraph" w:styleId="3">
    <w:name w:val="footer"/>
    <w:basedOn w:val="1"/>
    <w:unhideWhenUsed/>
    <w:qFormat/>
    <w:uiPriority w:val="99"/>
    <w:pPr>
      <w:tabs>
        <w:tab w:val="center" w:pos="4153"/>
        <w:tab w:val="right" w:pos="8306"/>
      </w:tabs>
      <w:snapToGrid w:val="0"/>
      <w:jc w:val="left"/>
    </w:pPr>
    <w:rPr>
      <w:rFonts w:eastAsia="宋体"/>
      <w:kern w:val="0"/>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Text"/>
    <w:basedOn w:val="1"/>
    <w:semiHidden/>
    <w:qFormat/>
    <w:uiPriority w:val="0"/>
    <w:rPr>
      <w:rFonts w:ascii="宋体" w:hAnsi="宋体" w:eastAsia="宋体" w:cs="宋体"/>
      <w:sz w:val="22"/>
      <w:szCs w:val="22"/>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92</Pages>
  <Words>10888</Words>
  <Characters>11068</Characters>
  <Lines>0</Lines>
  <Paragraphs>0</Paragraphs>
  <TotalTime>1</TotalTime>
  <ScaleCrop>false</ScaleCrop>
  <LinksUpToDate>false</LinksUpToDate>
  <CharactersWithSpaces>11185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2025-07-29T09:13:00Z</dcterms:created>
  <dc:creator>北</dc:creator>
  <cp:lastModifiedBy>北</cp:lastModifiedBy>
  <cp:lastPrinted>2025-08-04T01:04:00Z</cp:lastPrinted>
  <dcterms:modified xsi:type="dcterms:W3CDTF">2025-08-04T06:37:02Z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5BFADD4F41BD475888C9CA5D252F1300_11</vt:lpwstr>
  </property>
  <property fmtid="{D5CDD505-2E9C-101B-9397-08002B2CF9AE}" pid="4" name="KSOTemplateDocerSaveRecord">
    <vt:lpwstr>eyJoZGlkIjoiZThkZGNjZjA1ZDFjZjk0NTU5ZGMwOTVhMjUyMzMzZjgiLCJ1c2VySWQiOiIxMTI0OTQ0MzUyIn0=</vt:lpwstr>
  </property>
</Properties>
</file>