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6A891">
      <w:pPr>
        <w:rPr>
          <w:rFonts w:hint="default" w:ascii="Times New Roman" w:hAnsi="Times New Roman" w:eastAsia="仿宋_GB2312" w:cs="Times New Roman"/>
          <w:color w:val="auto"/>
          <w:sz w:val="36"/>
          <w:szCs w:val="36"/>
        </w:rPr>
      </w:pPr>
      <w:r>
        <w:rPr>
          <w:rFonts w:hint="default" w:ascii="Times New Roman" w:hAnsi="Times New Roman" w:eastAsia="仿宋_GB2312" w:cs="Times New Roman"/>
          <w:color w:val="auto"/>
          <w:sz w:val="36"/>
          <w:szCs w:val="36"/>
        </w:rPr>
        <w:t xml:space="preserve">  </w:t>
      </w:r>
    </w:p>
    <w:p w14:paraId="587DB1DE">
      <w:pPr>
        <w:rPr>
          <w:rFonts w:hint="default" w:ascii="Times New Roman" w:hAnsi="Times New Roman" w:eastAsia="仿宋_GB2312" w:cs="Times New Roman"/>
          <w:color w:val="auto"/>
          <w:sz w:val="36"/>
          <w:szCs w:val="36"/>
        </w:rPr>
      </w:pPr>
    </w:p>
    <w:p w14:paraId="691D80C4">
      <w:pPr>
        <w:rPr>
          <w:rFonts w:hint="default" w:ascii="Times New Roman" w:hAnsi="Times New Roman" w:eastAsia="仿宋_GB2312" w:cs="Times New Roman"/>
          <w:color w:val="auto"/>
          <w:sz w:val="36"/>
          <w:szCs w:val="36"/>
        </w:rPr>
      </w:pPr>
    </w:p>
    <w:p w14:paraId="2BE1C75B">
      <w:pPr>
        <w:rPr>
          <w:rFonts w:hint="default" w:ascii="Times New Roman" w:hAnsi="Times New Roman" w:eastAsia="仿宋_GB2312" w:cs="Times New Roman"/>
          <w:color w:val="auto"/>
          <w:sz w:val="36"/>
          <w:szCs w:val="36"/>
        </w:rPr>
      </w:pPr>
    </w:p>
    <w:p w14:paraId="0FA9B3F8">
      <w:pPr>
        <w:rPr>
          <w:rFonts w:hint="default" w:ascii="Times New Roman" w:hAnsi="Times New Roman" w:eastAsia="仿宋_GB2312" w:cs="Times New Roman"/>
          <w:color w:val="auto"/>
          <w:sz w:val="36"/>
          <w:szCs w:val="36"/>
        </w:rPr>
      </w:pPr>
    </w:p>
    <w:p w14:paraId="7C69F6A0">
      <w:pPr>
        <w:adjustRightInd w:val="0"/>
        <w:snapToGrid w:val="0"/>
        <w:jc w:val="center"/>
        <w:outlineLvl w:val="0"/>
        <w:rPr>
          <w:rFonts w:hint="default" w:ascii="Times New Roman" w:hAnsi="Times New Roman" w:eastAsia="方正小标宋简体" w:cs="Times New Roman"/>
          <w:bCs/>
          <w:color w:val="auto"/>
          <w:sz w:val="72"/>
          <w:szCs w:val="72"/>
        </w:rPr>
      </w:pPr>
      <w:bookmarkStart w:id="0" w:name="_Toc30950"/>
      <w:r>
        <w:rPr>
          <w:rFonts w:hint="default" w:ascii="Times New Roman" w:hAnsi="Times New Roman" w:eastAsia="方正小标宋简体" w:cs="Times New Roman"/>
          <w:bCs/>
          <w:color w:val="auto"/>
          <w:sz w:val="72"/>
          <w:szCs w:val="72"/>
        </w:rPr>
        <w:t>建设项目环境影响报告表</w:t>
      </w:r>
      <w:bookmarkEnd w:id="0"/>
    </w:p>
    <w:p w14:paraId="0827478C">
      <w:pPr>
        <w:adjustRightInd w:val="0"/>
        <w:snapToGrid w:val="0"/>
        <w:spacing w:before="192" w:beforeLines="80"/>
        <w:jc w:val="center"/>
        <w:rPr>
          <w:rFonts w:hint="default" w:ascii="Times New Roman" w:hAnsi="Times New Roman" w:eastAsia="楷体_GB2312" w:cs="Times New Roman"/>
          <w:bCs/>
          <w:color w:val="auto"/>
          <w:sz w:val="48"/>
          <w:szCs w:val="48"/>
        </w:rPr>
      </w:pPr>
      <w:r>
        <w:rPr>
          <w:rFonts w:hint="default" w:ascii="Times New Roman" w:hAnsi="Times New Roman" w:eastAsia="楷体_GB2312" w:cs="Times New Roman"/>
          <w:bCs/>
          <w:color w:val="auto"/>
          <w:sz w:val="48"/>
          <w:szCs w:val="48"/>
        </w:rPr>
        <w:t>（污染影响类）</w:t>
      </w:r>
    </w:p>
    <w:p w14:paraId="65F07D3B">
      <w:pPr>
        <w:adjustRightInd w:val="0"/>
        <w:snapToGrid w:val="0"/>
        <w:spacing w:line="288" w:lineRule="auto"/>
        <w:jc w:val="center"/>
        <w:outlineLvl w:val="0"/>
        <w:rPr>
          <w:rFonts w:hint="default" w:ascii="Times New Roman" w:hAnsi="Times New Roman" w:eastAsia="华文仿宋" w:cs="Times New Roman"/>
          <w:color w:val="auto"/>
          <w:kern w:val="44"/>
          <w:sz w:val="44"/>
          <w:szCs w:val="44"/>
        </w:rPr>
      </w:pPr>
    </w:p>
    <w:p w14:paraId="56012330">
      <w:pPr>
        <w:jc w:val="center"/>
        <w:rPr>
          <w:rFonts w:hint="default" w:ascii="Times New Roman" w:hAnsi="Times New Roman" w:eastAsia="仿宋" w:cs="Times New Roman"/>
          <w:color w:val="auto"/>
          <w:sz w:val="52"/>
          <w:szCs w:val="52"/>
        </w:rPr>
      </w:pPr>
    </w:p>
    <w:p w14:paraId="04AFD1B7">
      <w:pPr>
        <w:ind w:firstLine="1040"/>
        <w:rPr>
          <w:rFonts w:hint="default" w:ascii="Times New Roman" w:hAnsi="Times New Roman" w:eastAsia="仿宋" w:cs="Times New Roman"/>
          <w:color w:val="auto"/>
          <w:sz w:val="44"/>
          <w:szCs w:val="44"/>
        </w:rPr>
      </w:pPr>
    </w:p>
    <w:p w14:paraId="680D14D2">
      <w:pPr>
        <w:ind w:firstLine="1040"/>
        <w:rPr>
          <w:rFonts w:hint="default" w:ascii="Times New Roman" w:hAnsi="Times New Roman" w:eastAsia="仿宋" w:cs="Times New Roman"/>
          <w:color w:val="auto"/>
          <w:sz w:val="44"/>
          <w:szCs w:val="44"/>
        </w:rPr>
      </w:pPr>
    </w:p>
    <w:p w14:paraId="58E4B718">
      <w:pPr>
        <w:ind w:firstLine="1040"/>
        <w:rPr>
          <w:rFonts w:hint="default" w:ascii="Times New Roman" w:hAnsi="Times New Roman" w:eastAsia="仿宋" w:cs="Times New Roman"/>
          <w:color w:val="auto"/>
          <w:sz w:val="44"/>
          <w:szCs w:val="44"/>
        </w:rPr>
      </w:pPr>
    </w:p>
    <w:p w14:paraId="595108C1">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项目名称：</w:t>
      </w:r>
      <w:r>
        <w:rPr>
          <w:rFonts w:hint="default" w:ascii="Times New Roman" w:hAnsi="Times New Roman" w:eastAsia="仿宋_GB2312" w:cs="Times New Roman"/>
          <w:color w:val="auto"/>
          <w:sz w:val="36"/>
          <w:szCs w:val="36"/>
          <w:u w:val="single"/>
        </w:rPr>
        <w:t xml:space="preserve">      陕西环宇百嘉检测服务有限公司     </w:t>
      </w:r>
    </w:p>
    <w:p w14:paraId="14C9C9AE">
      <w:pPr>
        <w:adjustRightInd w:val="0"/>
        <w:snapToGrid w:val="0"/>
        <w:spacing w:line="288" w:lineRule="auto"/>
        <w:ind w:firstLine="1800" w:firstLineChars="50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u w:val="single"/>
        </w:rPr>
        <w:t xml:space="preserve">           检测实验室建设项目           </w:t>
      </w:r>
    </w:p>
    <w:p w14:paraId="1C4ACB77">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建设单位（盖章）：</w:t>
      </w:r>
      <w:r>
        <w:rPr>
          <w:rFonts w:hint="default" w:ascii="Times New Roman" w:hAnsi="Times New Roman" w:eastAsia="仿宋_GB2312" w:cs="Times New Roman"/>
          <w:color w:val="auto"/>
          <w:sz w:val="36"/>
          <w:szCs w:val="36"/>
          <w:u w:val="single"/>
        </w:rPr>
        <w:t xml:space="preserve">陕西环宇百嘉检测服务有限公司    </w:t>
      </w:r>
    </w:p>
    <w:p w14:paraId="7C6C50FE">
      <w:pPr>
        <w:adjustRightInd w:val="0"/>
        <w:snapToGrid w:val="0"/>
        <w:spacing w:line="288" w:lineRule="auto"/>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编制日期：</w:t>
      </w:r>
      <w:r>
        <w:rPr>
          <w:rFonts w:hint="default" w:ascii="Times New Roman" w:hAnsi="Times New Roman" w:eastAsia="仿宋_GB2312" w:cs="Times New Roman"/>
          <w:color w:val="auto"/>
          <w:sz w:val="36"/>
          <w:szCs w:val="36"/>
          <w:u w:val="single"/>
        </w:rPr>
        <w:t xml:space="preserve">             二〇二五年</w:t>
      </w:r>
      <w:r>
        <w:rPr>
          <w:rFonts w:hint="eastAsia" w:eastAsia="仿宋_GB2312" w:cs="Times New Roman"/>
          <w:color w:val="auto"/>
          <w:sz w:val="36"/>
          <w:szCs w:val="36"/>
          <w:u w:val="single"/>
          <w:lang w:val="en-US" w:eastAsia="zh-CN"/>
        </w:rPr>
        <w:t>六</w:t>
      </w:r>
      <w:r>
        <w:rPr>
          <w:rFonts w:hint="default" w:ascii="Times New Roman" w:hAnsi="Times New Roman" w:eastAsia="仿宋_GB2312" w:cs="Times New Roman"/>
          <w:color w:val="auto"/>
          <w:sz w:val="36"/>
          <w:szCs w:val="36"/>
          <w:u w:val="single"/>
        </w:rPr>
        <w:t xml:space="preserve">月             </w:t>
      </w:r>
    </w:p>
    <w:p w14:paraId="626C2C63">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1" w:name="_Hlk57884087"/>
    </w:p>
    <w:p w14:paraId="6AEFC594">
      <w:pPr>
        <w:adjustRightInd w:val="0"/>
        <w:snapToGrid w:val="0"/>
        <w:spacing w:line="288" w:lineRule="auto"/>
        <w:ind w:firstLine="1040"/>
        <w:rPr>
          <w:rFonts w:hint="default" w:ascii="Times New Roman" w:hAnsi="Times New Roman" w:eastAsia="仿宋_GB2312" w:cs="Times New Roman"/>
          <w:color w:val="auto"/>
          <w:sz w:val="36"/>
          <w:szCs w:val="36"/>
        </w:rPr>
      </w:pPr>
    </w:p>
    <w:p w14:paraId="0B7BA306">
      <w:pPr>
        <w:adjustRightInd w:val="0"/>
        <w:snapToGrid w:val="0"/>
        <w:spacing w:line="288" w:lineRule="auto"/>
        <w:ind w:firstLine="1040"/>
        <w:rPr>
          <w:rFonts w:hint="default" w:ascii="Times New Roman" w:hAnsi="Times New Roman" w:eastAsia="仿宋_GB2312" w:cs="Times New Roman"/>
          <w:color w:val="auto"/>
          <w:sz w:val="36"/>
          <w:szCs w:val="36"/>
        </w:rPr>
      </w:pPr>
    </w:p>
    <w:p w14:paraId="2129D228">
      <w:pPr>
        <w:adjustRightInd w:val="0"/>
        <w:snapToGrid w:val="0"/>
        <w:spacing w:line="288" w:lineRule="auto"/>
        <w:ind w:firstLine="1040"/>
        <w:rPr>
          <w:rFonts w:hint="default" w:ascii="Times New Roman" w:hAnsi="Times New Roman" w:eastAsia="仿宋_GB2312" w:cs="Times New Roman"/>
          <w:color w:val="auto"/>
          <w:sz w:val="36"/>
          <w:szCs w:val="36"/>
        </w:rPr>
      </w:pPr>
    </w:p>
    <w:p w14:paraId="5C700C1D">
      <w:pPr>
        <w:adjustRightInd w:val="0"/>
        <w:snapToGrid w:val="0"/>
        <w:spacing w:line="288" w:lineRule="auto"/>
        <w:ind w:firstLine="1040"/>
        <w:rPr>
          <w:rFonts w:hint="default" w:ascii="Times New Roman" w:hAnsi="Times New Roman" w:eastAsia="仿宋_GB2312" w:cs="Times New Roman"/>
          <w:color w:val="auto"/>
          <w:sz w:val="36"/>
          <w:szCs w:val="36"/>
        </w:rPr>
      </w:pPr>
    </w:p>
    <w:p w14:paraId="518DAE98">
      <w:pPr>
        <w:pStyle w:val="6"/>
        <w:rPr>
          <w:rFonts w:hint="default" w:ascii="Times New Roman" w:hAnsi="Times New Roman" w:cs="Times New Roman"/>
          <w:color w:val="auto"/>
        </w:rPr>
      </w:pPr>
    </w:p>
    <w:bookmarkEnd w:id="1"/>
    <w:p w14:paraId="436FD2F0">
      <w:pPr>
        <w:adjustRightInd w:val="0"/>
        <w:snapToGrid w:val="0"/>
        <w:spacing w:line="288" w:lineRule="auto"/>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中华人民共和国生态环境部制</w:t>
      </w:r>
    </w:p>
    <w:p w14:paraId="33FC133C">
      <w:pPr>
        <w:adjustRightInd w:val="0"/>
        <w:snapToGrid w:val="0"/>
        <w:spacing w:line="288" w:lineRule="auto"/>
        <w:ind w:firstLine="1040"/>
        <w:rPr>
          <w:rFonts w:hint="default" w:ascii="Times New Roman" w:hAnsi="Times New Roman" w:eastAsia="仿宋_GB2312" w:cs="Times New Roman"/>
          <w:color w:val="auto"/>
          <w:sz w:val="36"/>
          <w:szCs w:val="36"/>
        </w:rPr>
        <w:sectPr>
          <w:headerReference r:id="rId3" w:type="default"/>
          <w:footerReference r:id="rId4" w:type="default"/>
          <w:footerReference r:id="rId5"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687ABAAA">
      <w:pPr>
        <w:pStyle w:val="25"/>
        <w:spacing w:before="0" w:beforeAutospacing="0"/>
        <w:jc w:val="center"/>
        <w:outlineLvl w:val="0"/>
        <w:rPr>
          <w:rFonts w:hint="default" w:ascii="Times New Roman" w:hAnsi="Times New Roman" w:eastAsia="黑体" w:cs="Times New Roman"/>
          <w:snapToGrid w:val="0"/>
          <w:color w:val="auto"/>
          <w:sz w:val="30"/>
          <w:szCs w:val="30"/>
        </w:rPr>
      </w:pPr>
      <w:bookmarkStart w:id="2" w:name="_Toc144"/>
      <w:r>
        <w:rPr>
          <w:rFonts w:hint="default" w:ascii="Times New Roman" w:hAnsi="Times New Roman" w:eastAsia="黑体" w:cs="Times New Roman"/>
          <w:snapToGrid w:val="0"/>
          <w:color w:val="auto"/>
          <w:sz w:val="30"/>
          <w:szCs w:val="30"/>
        </w:rPr>
        <w:t>一、建设项目基本情况</w:t>
      </w:r>
      <w:bookmarkEnd w:id="2"/>
    </w:p>
    <w:tbl>
      <w:tblPr>
        <w:tblStyle w:val="29"/>
        <w:tblW w:w="495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974"/>
        <w:gridCol w:w="2500"/>
        <w:gridCol w:w="2142"/>
        <w:gridCol w:w="3074"/>
      </w:tblGrid>
      <w:tr w14:paraId="5B0EB2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4757EBB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3969" w:type="pct"/>
            <w:gridSpan w:val="3"/>
            <w:vAlign w:val="center"/>
          </w:tcPr>
          <w:p w14:paraId="12FBA5A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陕西环宇百嘉检测服务有限公司</w:t>
            </w:r>
            <w:r>
              <w:rPr>
                <w:rFonts w:hint="eastAsia" w:cs="Times New Roman"/>
                <w:color w:val="auto"/>
                <w:sz w:val="24"/>
                <w:lang w:val="en-US" w:eastAsia="zh-CN"/>
              </w:rPr>
              <w:t>检测</w:t>
            </w:r>
            <w:r>
              <w:rPr>
                <w:rFonts w:hint="default" w:ascii="Times New Roman" w:hAnsi="Times New Roman" w:cs="Times New Roman"/>
                <w:color w:val="auto"/>
                <w:sz w:val="24"/>
              </w:rPr>
              <w:t>实验室建设项目</w:t>
            </w:r>
          </w:p>
        </w:tc>
      </w:tr>
      <w:tr w14:paraId="0E174D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5DD0F03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3969" w:type="pct"/>
            <w:gridSpan w:val="3"/>
            <w:vAlign w:val="center"/>
          </w:tcPr>
          <w:p w14:paraId="339C4BD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14:paraId="4EEB3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2F1750D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建设单位联系人</w:t>
            </w:r>
          </w:p>
        </w:tc>
        <w:tc>
          <w:tcPr>
            <w:tcW w:w="1286" w:type="pct"/>
            <w:vAlign w:val="center"/>
          </w:tcPr>
          <w:p w14:paraId="2C859DA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任攀峰</w:t>
            </w:r>
          </w:p>
        </w:tc>
        <w:tc>
          <w:tcPr>
            <w:tcW w:w="1102" w:type="pct"/>
            <w:vAlign w:val="center"/>
          </w:tcPr>
          <w:p w14:paraId="1CFDDD1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1581" w:type="pct"/>
            <w:vAlign w:val="center"/>
          </w:tcPr>
          <w:p w14:paraId="5216C75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18092090627</w:t>
            </w:r>
          </w:p>
        </w:tc>
      </w:tr>
      <w:tr w14:paraId="71F537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303A597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3969" w:type="pct"/>
            <w:gridSpan w:val="3"/>
            <w:vAlign w:val="center"/>
          </w:tcPr>
          <w:p w14:paraId="4987989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陕西省西安市莲湖区沣惠北路2666号天健望湖大观商铺3-6铺</w:t>
            </w:r>
          </w:p>
        </w:tc>
      </w:tr>
      <w:tr w14:paraId="06B82C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676DDC4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3969" w:type="pct"/>
            <w:gridSpan w:val="3"/>
            <w:vAlign w:val="center"/>
          </w:tcPr>
          <w:p w14:paraId="7CA951E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bookmarkStart w:id="3" w:name="_Hlk194925650"/>
            <w:r>
              <w:rPr>
                <w:rFonts w:hint="default" w:ascii="Times New Roman" w:hAnsi="Times New Roman" w:cs="Times New Roman"/>
                <w:color w:val="auto"/>
                <w:sz w:val="24"/>
              </w:rPr>
              <w:t>东经</w:t>
            </w:r>
            <w:r>
              <w:rPr>
                <w:rFonts w:hint="default" w:ascii="Times New Roman" w:hAnsi="Times New Roman" w:cs="Times New Roman"/>
                <w:color w:val="auto"/>
                <w:sz w:val="24"/>
                <w:u w:val="single"/>
              </w:rPr>
              <w:t>108</w:t>
            </w:r>
            <w:r>
              <w:rPr>
                <w:rFonts w:hint="default" w:ascii="Times New Roman" w:hAnsi="Times New Roman" w:cs="Times New Roman"/>
                <w:color w:val="auto"/>
                <w:sz w:val="24"/>
              </w:rPr>
              <w:t>度</w:t>
            </w:r>
            <w:r>
              <w:rPr>
                <w:rFonts w:hint="eastAsia" w:cs="Times New Roman"/>
                <w:color w:val="auto"/>
                <w:sz w:val="24"/>
                <w:u w:val="single"/>
                <w:lang w:val="en-US" w:eastAsia="zh-CN"/>
              </w:rPr>
              <w:t>53</w:t>
            </w:r>
            <w:r>
              <w:rPr>
                <w:rFonts w:hint="default" w:ascii="Times New Roman" w:hAnsi="Times New Roman" w:cs="Times New Roman"/>
                <w:color w:val="auto"/>
                <w:sz w:val="24"/>
              </w:rPr>
              <w:t>分</w:t>
            </w:r>
            <w:r>
              <w:rPr>
                <w:rFonts w:hint="eastAsia" w:cs="Times New Roman"/>
                <w:color w:val="auto"/>
                <w:sz w:val="24"/>
                <w:u w:val="single"/>
                <w:lang w:val="en-US" w:eastAsia="zh-CN"/>
              </w:rPr>
              <w:t>35.655</w:t>
            </w:r>
            <w:r>
              <w:rPr>
                <w:rFonts w:hint="default" w:ascii="Times New Roman" w:hAnsi="Times New Roman" w:cs="Times New Roman"/>
                <w:color w:val="auto"/>
                <w:sz w:val="24"/>
              </w:rPr>
              <w:t>秒，北纬</w:t>
            </w:r>
            <w:r>
              <w:rPr>
                <w:rFonts w:hint="default" w:ascii="Times New Roman" w:hAnsi="Times New Roman" w:cs="Times New Roman"/>
                <w:color w:val="auto"/>
                <w:sz w:val="24"/>
                <w:u w:val="single"/>
              </w:rPr>
              <w:t>34</w:t>
            </w:r>
            <w:r>
              <w:rPr>
                <w:rFonts w:hint="default" w:ascii="Times New Roman" w:hAnsi="Times New Roman" w:cs="Times New Roman"/>
                <w:color w:val="auto"/>
                <w:sz w:val="24"/>
              </w:rPr>
              <w:t>度</w:t>
            </w:r>
            <w:r>
              <w:rPr>
                <w:rFonts w:hint="eastAsia" w:cs="Times New Roman"/>
                <w:color w:val="auto"/>
                <w:sz w:val="24"/>
                <w:u w:val="single"/>
                <w:lang w:val="en-US" w:eastAsia="zh-CN"/>
              </w:rPr>
              <w:t>17</w:t>
            </w:r>
            <w:r>
              <w:rPr>
                <w:rFonts w:hint="default" w:ascii="Times New Roman" w:hAnsi="Times New Roman" w:cs="Times New Roman"/>
                <w:color w:val="auto"/>
                <w:sz w:val="24"/>
              </w:rPr>
              <w:t>分</w:t>
            </w:r>
            <w:r>
              <w:rPr>
                <w:rFonts w:hint="eastAsia" w:cs="Times New Roman"/>
                <w:color w:val="auto"/>
                <w:sz w:val="24"/>
                <w:u w:val="single"/>
                <w:lang w:val="en-US" w:eastAsia="zh-CN"/>
              </w:rPr>
              <w:t>25.029</w:t>
            </w:r>
            <w:r>
              <w:rPr>
                <w:rFonts w:hint="default" w:ascii="Times New Roman" w:hAnsi="Times New Roman" w:cs="Times New Roman"/>
                <w:color w:val="auto"/>
                <w:sz w:val="24"/>
              </w:rPr>
              <w:t>秒</w:t>
            </w:r>
            <w:bookmarkEnd w:id="3"/>
            <w:r>
              <w:rPr>
                <w:rFonts w:hint="default" w:ascii="Times New Roman" w:hAnsi="Times New Roman" w:cs="Times New Roman"/>
                <w:color w:val="auto"/>
                <w:sz w:val="24"/>
              </w:rPr>
              <w:t>）</w:t>
            </w:r>
          </w:p>
        </w:tc>
      </w:tr>
      <w:tr w14:paraId="3A34AB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1031" w:type="pct"/>
            <w:tcMar>
              <w:top w:w="16" w:type="dxa"/>
              <w:left w:w="16" w:type="dxa"/>
              <w:right w:w="16" w:type="dxa"/>
            </w:tcMar>
            <w:vAlign w:val="center"/>
          </w:tcPr>
          <w:p w14:paraId="62945C4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70A4D01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1286" w:type="pct"/>
            <w:vAlign w:val="center"/>
          </w:tcPr>
          <w:p w14:paraId="1DDF8A6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M7461</w:t>
            </w:r>
            <w:r>
              <w:rPr>
                <w:rFonts w:hint="eastAsia" w:cs="Times New Roman"/>
                <w:color w:val="auto"/>
                <w:sz w:val="24"/>
                <w:lang w:val="en-US" w:eastAsia="zh-CN"/>
              </w:rPr>
              <w:t xml:space="preserve"> </w:t>
            </w:r>
            <w:r>
              <w:rPr>
                <w:rFonts w:hint="default" w:ascii="Times New Roman" w:hAnsi="Times New Roman" w:cs="Times New Roman"/>
                <w:color w:val="auto"/>
                <w:sz w:val="24"/>
              </w:rPr>
              <w:t>环境保护监测</w:t>
            </w:r>
          </w:p>
        </w:tc>
        <w:tc>
          <w:tcPr>
            <w:tcW w:w="1102" w:type="pct"/>
            <w:vAlign w:val="center"/>
          </w:tcPr>
          <w:p w14:paraId="23CE669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4041A2E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1581" w:type="pct"/>
            <w:vAlign w:val="center"/>
          </w:tcPr>
          <w:p w14:paraId="3112D2F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四十五、研究和试验发展；98专业实验室、研发（试验）基地——其他（不产生实验废气、废水、危险废物的除外）</w:t>
            </w:r>
          </w:p>
        </w:tc>
      </w:tr>
      <w:tr w14:paraId="230052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1031" w:type="pct"/>
            <w:tcMar>
              <w:top w:w="16" w:type="dxa"/>
              <w:left w:w="16" w:type="dxa"/>
              <w:right w:w="16" w:type="dxa"/>
            </w:tcMar>
            <w:vAlign w:val="center"/>
          </w:tcPr>
          <w:p w14:paraId="11B6193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1286" w:type="pct"/>
            <w:vAlign w:val="center"/>
          </w:tcPr>
          <w:p w14:paraId="11F14D50">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新建（迁建）</w:t>
            </w:r>
          </w:p>
          <w:p w14:paraId="712FA7BD">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改建</w:t>
            </w:r>
          </w:p>
          <w:p w14:paraId="4C42E7E8">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扩建</w:t>
            </w:r>
          </w:p>
          <w:p w14:paraId="3DC79F00">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技术改造</w:t>
            </w:r>
          </w:p>
        </w:tc>
        <w:tc>
          <w:tcPr>
            <w:tcW w:w="1102" w:type="pct"/>
            <w:vAlign w:val="center"/>
          </w:tcPr>
          <w:p w14:paraId="2E2B962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592CE14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1581" w:type="pct"/>
            <w:vAlign w:val="center"/>
          </w:tcPr>
          <w:p w14:paraId="29CB9C6A">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 xml:space="preserve">首次申报项目             </w:t>
            </w:r>
          </w:p>
          <w:p w14:paraId="033C61C2">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不予批准后再次申报项目</w:t>
            </w:r>
          </w:p>
          <w:p w14:paraId="3E7EFB63">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 xml:space="preserve">超五年重新审核项目     </w:t>
            </w:r>
          </w:p>
          <w:p w14:paraId="287EC961">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重大变动重新报批项目</w:t>
            </w:r>
          </w:p>
        </w:tc>
      </w:tr>
      <w:tr w14:paraId="7B9173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031" w:type="pct"/>
            <w:tcMar>
              <w:top w:w="16" w:type="dxa"/>
              <w:left w:w="16" w:type="dxa"/>
              <w:right w:w="16" w:type="dxa"/>
            </w:tcMar>
            <w:vAlign w:val="center"/>
          </w:tcPr>
          <w:p w14:paraId="5E69BE2F">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w:t>
            </w:r>
          </w:p>
          <w:p w14:paraId="19B1E81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备案）部门</w:t>
            </w:r>
          </w:p>
        </w:tc>
        <w:tc>
          <w:tcPr>
            <w:tcW w:w="1286" w:type="pct"/>
            <w:vAlign w:val="center"/>
          </w:tcPr>
          <w:p w14:paraId="551708C1">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1102" w:type="pct"/>
            <w:vAlign w:val="center"/>
          </w:tcPr>
          <w:p w14:paraId="6FB7BA7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w:t>
            </w:r>
          </w:p>
          <w:p w14:paraId="767945B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备案）文号</w:t>
            </w:r>
          </w:p>
        </w:tc>
        <w:tc>
          <w:tcPr>
            <w:tcW w:w="1581" w:type="pct"/>
            <w:vAlign w:val="center"/>
          </w:tcPr>
          <w:p w14:paraId="25745945">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14:paraId="593DF6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15FC474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总投资（万元）</w:t>
            </w:r>
          </w:p>
        </w:tc>
        <w:tc>
          <w:tcPr>
            <w:tcW w:w="1286" w:type="pct"/>
            <w:vAlign w:val="center"/>
          </w:tcPr>
          <w:p w14:paraId="0A478F5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350</w:t>
            </w:r>
          </w:p>
        </w:tc>
        <w:tc>
          <w:tcPr>
            <w:tcW w:w="1102" w:type="pct"/>
            <w:tcMar>
              <w:top w:w="16" w:type="dxa"/>
              <w:left w:w="16" w:type="dxa"/>
              <w:right w:w="16" w:type="dxa"/>
            </w:tcMar>
            <w:vAlign w:val="center"/>
          </w:tcPr>
          <w:p w14:paraId="7653C67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环保投资（万元）</w:t>
            </w:r>
          </w:p>
        </w:tc>
        <w:tc>
          <w:tcPr>
            <w:tcW w:w="1581" w:type="pct"/>
            <w:vAlign w:val="center"/>
          </w:tcPr>
          <w:p w14:paraId="06F0A6D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35</w:t>
            </w:r>
          </w:p>
        </w:tc>
      </w:tr>
      <w:tr w14:paraId="076FC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1" w:type="pct"/>
            <w:tcMar>
              <w:top w:w="16" w:type="dxa"/>
              <w:left w:w="16" w:type="dxa"/>
              <w:right w:w="16" w:type="dxa"/>
            </w:tcMar>
            <w:vAlign w:val="center"/>
          </w:tcPr>
          <w:p w14:paraId="391CD52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1286" w:type="pct"/>
            <w:vAlign w:val="center"/>
          </w:tcPr>
          <w:p w14:paraId="222A4C8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10</w:t>
            </w:r>
          </w:p>
        </w:tc>
        <w:tc>
          <w:tcPr>
            <w:tcW w:w="1102" w:type="pct"/>
            <w:tcMar>
              <w:top w:w="16" w:type="dxa"/>
              <w:left w:w="16" w:type="dxa"/>
              <w:right w:w="16" w:type="dxa"/>
            </w:tcMar>
            <w:vAlign w:val="center"/>
          </w:tcPr>
          <w:p w14:paraId="4BC7A213">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施工工期</w:t>
            </w:r>
          </w:p>
        </w:tc>
        <w:tc>
          <w:tcPr>
            <w:tcW w:w="1581" w:type="pct"/>
            <w:vAlign w:val="center"/>
          </w:tcPr>
          <w:p w14:paraId="44A19F7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1个月</w:t>
            </w:r>
          </w:p>
        </w:tc>
      </w:tr>
      <w:tr w14:paraId="6FEE39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031" w:type="pct"/>
            <w:tcMar>
              <w:top w:w="16" w:type="dxa"/>
              <w:left w:w="16" w:type="dxa"/>
              <w:right w:w="16" w:type="dxa"/>
            </w:tcMar>
            <w:vAlign w:val="center"/>
          </w:tcPr>
          <w:p w14:paraId="6619BCB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1286" w:type="pct"/>
            <w:vAlign w:val="center"/>
          </w:tcPr>
          <w:p w14:paraId="0469BE02">
            <w:pPr>
              <w:adjustRightInd w:val="0"/>
              <w:snapToGrid w:val="0"/>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否</w:t>
            </w:r>
          </w:p>
          <w:p w14:paraId="67AAFA10">
            <w:pPr>
              <w:adjustRightInd w:val="0"/>
              <w:snapToGrid w:val="0"/>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是：</w:t>
            </w:r>
            <w:r>
              <w:rPr>
                <w:rFonts w:hint="default" w:ascii="Times New Roman" w:hAnsi="Times New Roman" w:cs="Times New Roman"/>
                <w:color w:val="auto"/>
                <w:sz w:val="24"/>
                <w:u w:val="single"/>
              </w:rPr>
              <w:t xml:space="preserve">             </w:t>
            </w:r>
          </w:p>
        </w:tc>
        <w:tc>
          <w:tcPr>
            <w:tcW w:w="1102" w:type="pct"/>
            <w:tcMar>
              <w:top w:w="16" w:type="dxa"/>
              <w:left w:w="16" w:type="dxa"/>
              <w:right w:w="16" w:type="dxa"/>
            </w:tcMar>
            <w:vAlign w:val="center"/>
          </w:tcPr>
          <w:p w14:paraId="25481F8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pacing w:val="-6"/>
                <w:sz w:val="24"/>
              </w:rPr>
              <w:t>用地面积（m</w:t>
            </w:r>
            <w:r>
              <w:rPr>
                <w:rFonts w:hint="default" w:ascii="Times New Roman" w:hAnsi="Times New Roman" w:cs="Times New Roman"/>
                <w:color w:val="auto"/>
                <w:spacing w:val="-6"/>
                <w:sz w:val="24"/>
                <w:vertAlign w:val="superscript"/>
              </w:rPr>
              <w:t>2</w:t>
            </w:r>
            <w:r>
              <w:rPr>
                <w:rFonts w:hint="default" w:ascii="Times New Roman" w:hAnsi="Times New Roman" w:cs="Times New Roman"/>
                <w:color w:val="auto"/>
                <w:spacing w:val="-6"/>
                <w:sz w:val="24"/>
              </w:rPr>
              <w:t>）</w:t>
            </w:r>
          </w:p>
        </w:tc>
        <w:tc>
          <w:tcPr>
            <w:tcW w:w="1581" w:type="pct"/>
            <w:vAlign w:val="center"/>
          </w:tcPr>
          <w:p w14:paraId="5AEDCD6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365.</w:t>
            </w:r>
            <w:r>
              <w:rPr>
                <w:rFonts w:hint="eastAsia" w:cs="Times New Roman"/>
                <w:color w:val="auto"/>
                <w:sz w:val="24"/>
                <w:lang w:val="en-US" w:eastAsia="zh-CN"/>
              </w:rPr>
              <w:t>21</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p>
        </w:tc>
      </w:tr>
      <w:tr w14:paraId="5710AC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pct"/>
            <w:vAlign w:val="center"/>
          </w:tcPr>
          <w:p w14:paraId="212B0160">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w:t>
            </w:r>
          </w:p>
          <w:p w14:paraId="09E08C6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情况</w:t>
            </w:r>
          </w:p>
        </w:tc>
        <w:tc>
          <w:tcPr>
            <w:tcW w:w="3969" w:type="pct"/>
            <w:gridSpan w:val="3"/>
            <w:vAlign w:val="center"/>
          </w:tcPr>
          <w:p w14:paraId="06762A2D">
            <w:pPr>
              <w:autoSpaceDE w:val="0"/>
              <w:autoSpaceDN w:val="0"/>
              <w:adjustRightInd w:val="0"/>
              <w:snapToGrid w:val="0"/>
              <w:spacing w:before="120" w:beforeLines="50"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根据《建设项目环境影响报告表编制技术指南（污染影响类）（试行）》，专项评价设置原则与本项目情况对照见表</w:t>
            </w:r>
            <w:r>
              <w:rPr>
                <w:rFonts w:hint="eastAsia" w:cs="Times New Roman"/>
                <w:color w:val="auto"/>
                <w:kern w:val="0"/>
                <w:sz w:val="24"/>
                <w:lang w:val="en-US" w:eastAsia="zh-CN"/>
              </w:rPr>
              <w:t>1-1</w:t>
            </w:r>
            <w:r>
              <w:rPr>
                <w:rFonts w:hint="default" w:ascii="Times New Roman" w:hAnsi="Times New Roman" w:cs="Times New Roman"/>
                <w:color w:val="auto"/>
                <w:kern w:val="0"/>
                <w:sz w:val="24"/>
              </w:rPr>
              <w:t>。</w:t>
            </w:r>
          </w:p>
          <w:p w14:paraId="7E3CB804">
            <w:pPr>
              <w:pStyle w:val="54"/>
              <w:widowControl w:val="0"/>
              <w:adjustRightInd w:val="0"/>
              <w:snapToGrid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rPr>
              <w:t xml:space="preserve">1-1 </w:t>
            </w:r>
            <w:r>
              <w:rPr>
                <w:rFonts w:hint="default" w:ascii="Times New Roman" w:hAnsi="Times New Roman" w:cs="Times New Roman"/>
                <w:color w:val="auto"/>
              </w:rPr>
              <w:t>专项评价设置原则及本项目情况对照一览表</w:t>
            </w:r>
          </w:p>
          <w:tbl>
            <w:tblPr>
              <w:tblStyle w:val="30"/>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0"/>
              <w:gridCol w:w="2811"/>
              <w:gridCol w:w="2616"/>
              <w:gridCol w:w="963"/>
            </w:tblGrid>
            <w:tr w14:paraId="6745106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907" w:hRule="atLeast"/>
                <w:jc w:val="center"/>
              </w:trPr>
              <w:tc>
                <w:tcPr>
                  <w:tcW w:w="740" w:type="pct"/>
                  <w:tcBorders>
                    <w:tl2br w:val="nil"/>
                    <w:tr2bl w:val="nil"/>
                  </w:tcBorders>
                  <w:vAlign w:val="center"/>
                </w:tcPr>
                <w:p w14:paraId="7A6C7014">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2"/>
                      <w:sz w:val="21"/>
                      <w:szCs w:val="21"/>
                    </w:rPr>
                    <w:t>专项评价的类别</w:t>
                  </w:r>
                </w:p>
              </w:tc>
              <w:tc>
                <w:tcPr>
                  <w:tcW w:w="1874" w:type="pct"/>
                  <w:tcBorders>
                    <w:tl2br w:val="nil"/>
                    <w:tr2bl w:val="nil"/>
                  </w:tcBorders>
                  <w:vAlign w:val="center"/>
                </w:tcPr>
                <w:p w14:paraId="2D14AE92">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2"/>
                      <w:sz w:val="21"/>
                      <w:szCs w:val="21"/>
                    </w:rPr>
                    <w:t>涉及项目类别</w:t>
                  </w:r>
                </w:p>
              </w:tc>
              <w:tc>
                <w:tcPr>
                  <w:tcW w:w="1744" w:type="pct"/>
                  <w:tcBorders>
                    <w:tl2br w:val="nil"/>
                    <w:tr2bl w:val="nil"/>
                  </w:tcBorders>
                  <w:vAlign w:val="center"/>
                </w:tcPr>
                <w:p w14:paraId="0D79E1E5">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2"/>
                      <w:sz w:val="21"/>
                      <w:szCs w:val="21"/>
                    </w:rPr>
                    <w:t>本项目情况</w:t>
                  </w:r>
                </w:p>
              </w:tc>
              <w:tc>
                <w:tcPr>
                  <w:tcW w:w="642" w:type="pct"/>
                  <w:tcBorders>
                    <w:tl2br w:val="nil"/>
                    <w:tr2bl w:val="nil"/>
                  </w:tcBorders>
                  <w:vAlign w:val="center"/>
                </w:tcPr>
                <w:p w14:paraId="17DBD347">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lang w:bidi="ar"/>
                    </w:rPr>
                  </w:pPr>
                  <w:r>
                    <w:rPr>
                      <w:rFonts w:hint="default" w:ascii="Times New Roman" w:hAnsi="Times New Roman" w:cs="Times New Roman"/>
                      <w:b/>
                      <w:bCs/>
                      <w:color w:val="auto"/>
                      <w:kern w:val="2"/>
                      <w:sz w:val="21"/>
                      <w:szCs w:val="21"/>
                    </w:rPr>
                    <w:t>是否开展专项评价</w:t>
                  </w:r>
                </w:p>
              </w:tc>
            </w:tr>
            <w:tr w14:paraId="6B87463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40" w:type="pct"/>
                  <w:tcBorders>
                    <w:tl2br w:val="nil"/>
                    <w:tr2bl w:val="nil"/>
                  </w:tcBorders>
                  <w:vAlign w:val="center"/>
                </w:tcPr>
                <w:p w14:paraId="5F930F71">
                  <w:pPr>
                    <w:widowControl/>
                    <w:adjustRightInd w:val="0"/>
                    <w:snapToGrid w:val="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大气</w:t>
                  </w:r>
                </w:p>
              </w:tc>
              <w:tc>
                <w:tcPr>
                  <w:tcW w:w="1874" w:type="pct"/>
                  <w:tcBorders>
                    <w:tl2br w:val="nil"/>
                    <w:tr2bl w:val="nil"/>
                  </w:tcBorders>
                  <w:vAlign w:val="center"/>
                </w:tcPr>
                <w:p w14:paraId="27C43B98">
                  <w:pPr>
                    <w:widowControl/>
                    <w:adjustRightInd w:val="0"/>
                    <w:snapToGrid w:val="0"/>
                    <w:jc w:val="both"/>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bidi="ar"/>
                    </w:rPr>
                    <w:t>排放废气含有毒有害污染物</w:t>
                  </w:r>
                  <w:r>
                    <w:rPr>
                      <w:rFonts w:hint="default" w:ascii="Times New Roman" w:hAnsi="Times New Roman" w:cs="Times New Roman"/>
                      <w:color w:val="auto"/>
                      <w:kern w:val="0"/>
                      <w:sz w:val="21"/>
                      <w:szCs w:val="21"/>
                      <w:vertAlign w:val="superscript"/>
                      <w:lang w:bidi="ar"/>
                    </w:rPr>
                    <w:t>1</w:t>
                  </w:r>
                  <w:r>
                    <w:rPr>
                      <w:rFonts w:hint="default" w:ascii="Times New Roman" w:hAnsi="Times New Roman" w:cs="Times New Roman"/>
                      <w:color w:val="auto"/>
                      <w:kern w:val="0"/>
                      <w:sz w:val="21"/>
                      <w:szCs w:val="21"/>
                      <w:lang w:bidi="ar"/>
                    </w:rPr>
                    <w:t>二噁英、苯并[a]芘、氰化物、氯气且厂界外500米范围内有环境空气保护目标</w:t>
                  </w:r>
                  <w:r>
                    <w:rPr>
                      <w:rFonts w:hint="default" w:ascii="Times New Roman" w:hAnsi="Times New Roman" w:cs="Times New Roman"/>
                      <w:color w:val="auto"/>
                      <w:kern w:val="0"/>
                      <w:sz w:val="21"/>
                      <w:szCs w:val="21"/>
                      <w:vertAlign w:val="superscript"/>
                      <w:lang w:bidi="ar"/>
                    </w:rPr>
                    <w:t>2</w:t>
                  </w:r>
                  <w:r>
                    <w:rPr>
                      <w:rFonts w:hint="default" w:ascii="Times New Roman" w:hAnsi="Times New Roman" w:cs="Times New Roman"/>
                      <w:color w:val="auto"/>
                      <w:kern w:val="0"/>
                      <w:sz w:val="21"/>
                      <w:szCs w:val="21"/>
                      <w:lang w:bidi="ar"/>
                    </w:rPr>
                    <w:t>的建设项目</w:t>
                  </w:r>
                  <w:r>
                    <w:rPr>
                      <w:rFonts w:hint="eastAsia" w:cs="Times New Roman"/>
                      <w:color w:val="auto"/>
                      <w:kern w:val="0"/>
                      <w:sz w:val="21"/>
                      <w:szCs w:val="21"/>
                      <w:lang w:eastAsia="zh-CN" w:bidi="ar"/>
                    </w:rPr>
                    <w:t>。</w:t>
                  </w:r>
                </w:p>
              </w:tc>
              <w:tc>
                <w:tcPr>
                  <w:tcW w:w="1744" w:type="pct"/>
                  <w:tcBorders>
                    <w:tl2br w:val="nil"/>
                    <w:tr2bl w:val="nil"/>
                  </w:tcBorders>
                  <w:vAlign w:val="center"/>
                </w:tcPr>
                <w:p w14:paraId="2E2EEC05">
                  <w:pPr>
                    <w:widowControl/>
                    <w:adjustRightInd w:val="0"/>
                    <w:snapToGrid w:val="0"/>
                    <w:jc w:val="both"/>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本项目排放废气中不含有二噁英、苯并[a]芘、氰化物、氯气</w:t>
                  </w:r>
                  <w:r>
                    <w:rPr>
                      <w:rFonts w:hint="eastAsia" w:cs="Times New Roman"/>
                      <w:color w:val="auto"/>
                      <w:kern w:val="0"/>
                      <w:sz w:val="21"/>
                      <w:szCs w:val="21"/>
                      <w:lang w:val="en-US" w:eastAsia="zh-CN" w:bidi="ar"/>
                    </w:rPr>
                    <w:t>以及</w:t>
                  </w:r>
                  <w:r>
                    <w:rPr>
                      <w:rFonts w:hint="default" w:ascii="Times New Roman" w:hAnsi="Times New Roman" w:cs="Times New Roman"/>
                      <w:color w:val="auto"/>
                      <w:kern w:val="0"/>
                      <w:sz w:val="21"/>
                      <w:szCs w:val="21"/>
                      <w:lang w:bidi="ar"/>
                    </w:rPr>
                    <w:t>有毒有害</w:t>
                  </w:r>
                  <w:r>
                    <w:rPr>
                      <w:rFonts w:hint="eastAsia" w:cs="Times New Roman"/>
                      <w:color w:val="auto"/>
                      <w:kern w:val="0"/>
                      <w:sz w:val="21"/>
                      <w:szCs w:val="21"/>
                      <w:lang w:val="en-US" w:eastAsia="zh-CN" w:bidi="ar"/>
                    </w:rPr>
                    <w:t>大气污染物名录中规定的污染物</w:t>
                  </w:r>
                  <w:r>
                    <w:rPr>
                      <w:rFonts w:hint="default" w:ascii="Times New Roman" w:hAnsi="Times New Roman" w:cs="Times New Roman"/>
                      <w:color w:val="auto"/>
                      <w:kern w:val="0"/>
                      <w:sz w:val="21"/>
                      <w:szCs w:val="21"/>
                      <w:lang w:bidi="ar"/>
                    </w:rPr>
                    <w:t>。</w:t>
                  </w:r>
                </w:p>
              </w:tc>
              <w:tc>
                <w:tcPr>
                  <w:tcW w:w="642" w:type="pct"/>
                  <w:tcBorders>
                    <w:tl2br w:val="nil"/>
                    <w:tr2bl w:val="nil"/>
                  </w:tcBorders>
                  <w:vAlign w:val="center"/>
                </w:tcPr>
                <w:p w14:paraId="59213F53">
                  <w:pPr>
                    <w:autoSpaceDE w:val="0"/>
                    <w:autoSpaceDN w:val="0"/>
                    <w:adjustRightInd w:val="0"/>
                    <w:snapToGrid w:val="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否</w:t>
                  </w:r>
                </w:p>
              </w:tc>
            </w:tr>
            <w:tr w14:paraId="131987D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40" w:type="pct"/>
                  <w:tcBorders>
                    <w:tl2br w:val="nil"/>
                    <w:tr2bl w:val="nil"/>
                  </w:tcBorders>
                  <w:vAlign w:val="center"/>
                </w:tcPr>
                <w:p w14:paraId="3F9E925D">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地表水</w:t>
                  </w:r>
                </w:p>
              </w:tc>
              <w:tc>
                <w:tcPr>
                  <w:tcW w:w="1874" w:type="pct"/>
                  <w:tcBorders>
                    <w:tl2br w:val="nil"/>
                    <w:tr2bl w:val="nil"/>
                  </w:tcBorders>
                  <w:vAlign w:val="center"/>
                </w:tcPr>
                <w:p w14:paraId="4161CB88">
                  <w:pPr>
                    <w:widowControl/>
                    <w:adjustRightInd w:val="0"/>
                    <w:snapToGrid w:val="0"/>
                    <w:jc w:val="both"/>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bidi="ar"/>
                    </w:rPr>
                    <w:t>新增工业废水直排建设项目（槽罐车外送污水处理厂的除外）；新增废水直排的污水集中处理厂</w:t>
                  </w:r>
                  <w:r>
                    <w:rPr>
                      <w:rFonts w:hint="eastAsia" w:cs="Times New Roman"/>
                      <w:color w:val="auto"/>
                      <w:kern w:val="0"/>
                      <w:sz w:val="21"/>
                      <w:szCs w:val="21"/>
                      <w:lang w:eastAsia="zh-CN" w:bidi="ar"/>
                    </w:rPr>
                    <w:t>。</w:t>
                  </w:r>
                </w:p>
              </w:tc>
              <w:tc>
                <w:tcPr>
                  <w:tcW w:w="1744" w:type="pct"/>
                  <w:tcBorders>
                    <w:tl2br w:val="nil"/>
                    <w:tr2bl w:val="nil"/>
                  </w:tcBorders>
                  <w:vAlign w:val="center"/>
                </w:tcPr>
                <w:p w14:paraId="5FCA00C3">
                  <w:pPr>
                    <w:widowControl/>
                    <w:adjustRightInd w:val="0"/>
                    <w:snapToGrid w:val="0"/>
                    <w:jc w:val="both"/>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本项目产生的废水</w:t>
                  </w:r>
                  <w:r>
                    <w:rPr>
                      <w:rFonts w:hint="eastAsia" w:cs="Times New Roman"/>
                      <w:color w:val="auto"/>
                      <w:sz w:val="21"/>
                      <w:szCs w:val="21"/>
                      <w:lang w:val="en-US" w:eastAsia="zh-CN"/>
                    </w:rPr>
                    <w:t>排入市政污水管网，最终进入西安市第一污水处理厂深度处理，</w:t>
                  </w:r>
                  <w:r>
                    <w:rPr>
                      <w:rFonts w:hint="default" w:ascii="Times New Roman" w:hAnsi="Times New Roman" w:cs="Times New Roman"/>
                      <w:color w:val="auto"/>
                      <w:kern w:val="0"/>
                      <w:sz w:val="21"/>
                      <w:szCs w:val="21"/>
                      <w:lang w:bidi="ar"/>
                    </w:rPr>
                    <w:t>为间接排放项目。</w:t>
                  </w:r>
                </w:p>
              </w:tc>
              <w:tc>
                <w:tcPr>
                  <w:tcW w:w="642" w:type="pct"/>
                  <w:tcBorders>
                    <w:tl2br w:val="nil"/>
                    <w:tr2bl w:val="nil"/>
                  </w:tcBorders>
                  <w:vAlign w:val="center"/>
                </w:tcPr>
                <w:p w14:paraId="638C294E">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否</w:t>
                  </w:r>
                </w:p>
              </w:tc>
            </w:tr>
            <w:tr w14:paraId="428EE9E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40" w:type="pct"/>
                  <w:tcBorders>
                    <w:tl2br w:val="nil"/>
                    <w:tr2bl w:val="nil"/>
                  </w:tcBorders>
                  <w:vAlign w:val="center"/>
                </w:tcPr>
                <w:p w14:paraId="557C9878">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环境风险</w:t>
                  </w:r>
                </w:p>
              </w:tc>
              <w:tc>
                <w:tcPr>
                  <w:tcW w:w="1874" w:type="pct"/>
                  <w:tcBorders>
                    <w:tl2br w:val="nil"/>
                    <w:tr2bl w:val="nil"/>
                  </w:tcBorders>
                  <w:vAlign w:val="center"/>
                </w:tcPr>
                <w:p w14:paraId="27F2263C">
                  <w:pPr>
                    <w:widowControl/>
                    <w:adjustRightInd w:val="0"/>
                    <w:snapToGrid w:val="0"/>
                    <w:jc w:val="both"/>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bidi="ar"/>
                    </w:rPr>
                    <w:t>有毒有害和易燃易爆危险物质存储量超过临界量</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的建设项目</w:t>
                  </w:r>
                  <w:r>
                    <w:rPr>
                      <w:rFonts w:hint="eastAsia" w:cs="Times New Roman"/>
                      <w:color w:val="auto"/>
                      <w:kern w:val="0"/>
                      <w:sz w:val="21"/>
                      <w:szCs w:val="21"/>
                      <w:lang w:eastAsia="zh-CN" w:bidi="ar"/>
                    </w:rPr>
                    <w:t>。</w:t>
                  </w:r>
                </w:p>
              </w:tc>
              <w:tc>
                <w:tcPr>
                  <w:tcW w:w="1744" w:type="pct"/>
                  <w:tcBorders>
                    <w:tl2br w:val="nil"/>
                    <w:tr2bl w:val="nil"/>
                  </w:tcBorders>
                  <w:vAlign w:val="center"/>
                </w:tcPr>
                <w:p w14:paraId="0FB1A231">
                  <w:pPr>
                    <w:widowControl/>
                    <w:adjustRightInd w:val="0"/>
                    <w:snapToGrid w:val="0"/>
                    <w:jc w:val="both"/>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项目风险物质的</w:t>
                  </w:r>
                  <w:r>
                    <w:rPr>
                      <w:rFonts w:hint="eastAsia" w:cs="Times New Roman"/>
                      <w:color w:val="auto"/>
                      <w:kern w:val="0"/>
                      <w:sz w:val="21"/>
                      <w:szCs w:val="21"/>
                      <w:lang w:val="en-US" w:eastAsia="zh-CN" w:bidi="ar"/>
                    </w:rPr>
                    <w:t>最大</w:t>
                  </w:r>
                  <w:r>
                    <w:rPr>
                      <w:rFonts w:hint="default" w:ascii="Times New Roman" w:hAnsi="Times New Roman" w:cs="Times New Roman"/>
                      <w:color w:val="auto"/>
                      <w:kern w:val="0"/>
                      <w:sz w:val="21"/>
                      <w:szCs w:val="21"/>
                      <w:lang w:bidi="ar"/>
                    </w:rPr>
                    <w:t>存储量均未超过临界量。</w:t>
                  </w:r>
                </w:p>
              </w:tc>
              <w:tc>
                <w:tcPr>
                  <w:tcW w:w="642" w:type="pct"/>
                  <w:tcBorders>
                    <w:tl2br w:val="nil"/>
                    <w:tr2bl w:val="nil"/>
                  </w:tcBorders>
                  <w:vAlign w:val="center"/>
                </w:tcPr>
                <w:p w14:paraId="2CA7F5D6">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否</w:t>
                  </w:r>
                </w:p>
              </w:tc>
            </w:tr>
            <w:tr w14:paraId="5395683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40" w:type="pct"/>
                  <w:tcBorders>
                    <w:tl2br w:val="nil"/>
                    <w:tr2bl w:val="nil"/>
                  </w:tcBorders>
                  <w:vAlign w:val="center"/>
                </w:tcPr>
                <w:p w14:paraId="7FAF6674">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生态</w:t>
                  </w:r>
                </w:p>
              </w:tc>
              <w:tc>
                <w:tcPr>
                  <w:tcW w:w="1874" w:type="pct"/>
                  <w:tcBorders>
                    <w:tl2br w:val="nil"/>
                    <w:tr2bl w:val="nil"/>
                  </w:tcBorders>
                  <w:vAlign w:val="center"/>
                </w:tcPr>
                <w:p w14:paraId="06FA6ACD">
                  <w:pPr>
                    <w:widowControl/>
                    <w:adjustRightInd w:val="0"/>
                    <w:snapToGrid w:val="0"/>
                    <w:jc w:val="both"/>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bidi="ar"/>
                    </w:rPr>
                    <w:t>取水口下游500米范围内有重要水生生物的自然产卵场、索饵场、越冬场和洄游通道的新增河道取水的污染类建设项目</w:t>
                  </w:r>
                  <w:r>
                    <w:rPr>
                      <w:rFonts w:hint="eastAsia" w:cs="Times New Roman"/>
                      <w:color w:val="auto"/>
                      <w:kern w:val="0"/>
                      <w:sz w:val="21"/>
                      <w:szCs w:val="21"/>
                      <w:lang w:eastAsia="zh-CN" w:bidi="ar"/>
                    </w:rPr>
                    <w:t>。</w:t>
                  </w:r>
                </w:p>
              </w:tc>
              <w:tc>
                <w:tcPr>
                  <w:tcW w:w="1744" w:type="pct"/>
                  <w:tcBorders>
                    <w:tl2br w:val="nil"/>
                    <w:tr2bl w:val="nil"/>
                  </w:tcBorders>
                  <w:vAlign w:val="center"/>
                </w:tcPr>
                <w:p w14:paraId="4FDFFB49">
                  <w:pPr>
                    <w:widowControl/>
                    <w:adjustRightInd w:val="0"/>
                    <w:snapToGrid w:val="0"/>
                    <w:jc w:val="both"/>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本项目</w:t>
                  </w:r>
                  <w:r>
                    <w:rPr>
                      <w:rFonts w:hint="eastAsia" w:cs="Times New Roman"/>
                      <w:color w:val="auto"/>
                      <w:kern w:val="0"/>
                      <w:sz w:val="21"/>
                      <w:szCs w:val="21"/>
                      <w:lang w:val="en-US" w:eastAsia="zh-CN" w:bidi="ar"/>
                    </w:rPr>
                    <w:t>用水来源于市政供水</w:t>
                  </w:r>
                  <w:r>
                    <w:rPr>
                      <w:rFonts w:hint="default" w:ascii="Times New Roman" w:hAnsi="Times New Roman" w:cs="Times New Roman"/>
                      <w:color w:val="auto"/>
                      <w:kern w:val="0"/>
                      <w:sz w:val="21"/>
                      <w:szCs w:val="21"/>
                      <w:lang w:bidi="ar"/>
                    </w:rPr>
                    <w:t>，不从河道取水。</w:t>
                  </w:r>
                </w:p>
              </w:tc>
              <w:tc>
                <w:tcPr>
                  <w:tcW w:w="642" w:type="pct"/>
                  <w:tcBorders>
                    <w:tl2br w:val="nil"/>
                    <w:tr2bl w:val="nil"/>
                  </w:tcBorders>
                  <w:vAlign w:val="center"/>
                </w:tcPr>
                <w:p w14:paraId="5EB7FDED">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否</w:t>
                  </w:r>
                </w:p>
              </w:tc>
            </w:tr>
            <w:tr w14:paraId="1722EB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40" w:type="pct"/>
                  <w:tcBorders>
                    <w:tl2br w:val="nil"/>
                    <w:tr2bl w:val="nil"/>
                  </w:tcBorders>
                  <w:vAlign w:val="center"/>
                </w:tcPr>
                <w:p w14:paraId="25CB7D71">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海洋</w:t>
                  </w:r>
                </w:p>
              </w:tc>
              <w:tc>
                <w:tcPr>
                  <w:tcW w:w="1874" w:type="pct"/>
                  <w:tcBorders>
                    <w:tl2br w:val="nil"/>
                    <w:tr2bl w:val="nil"/>
                  </w:tcBorders>
                  <w:vAlign w:val="center"/>
                </w:tcPr>
                <w:p w14:paraId="0A9816C5">
                  <w:pPr>
                    <w:widowControl/>
                    <w:adjustRightInd w:val="0"/>
                    <w:snapToGrid w:val="0"/>
                    <w:jc w:val="both"/>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bidi="ar"/>
                    </w:rPr>
                    <w:t>直接向海排放污染物的海洋工程建设项目</w:t>
                  </w:r>
                  <w:r>
                    <w:rPr>
                      <w:rFonts w:hint="eastAsia" w:cs="Times New Roman"/>
                      <w:color w:val="auto"/>
                      <w:kern w:val="0"/>
                      <w:sz w:val="21"/>
                      <w:szCs w:val="21"/>
                      <w:lang w:eastAsia="zh-CN" w:bidi="ar"/>
                    </w:rPr>
                    <w:t>。</w:t>
                  </w:r>
                </w:p>
              </w:tc>
              <w:tc>
                <w:tcPr>
                  <w:tcW w:w="1744" w:type="pct"/>
                  <w:tcBorders>
                    <w:tl2br w:val="nil"/>
                    <w:tr2bl w:val="nil"/>
                  </w:tcBorders>
                  <w:vAlign w:val="center"/>
                </w:tcPr>
                <w:p w14:paraId="07AE3852">
                  <w:pPr>
                    <w:widowControl/>
                    <w:adjustRightInd w:val="0"/>
                    <w:snapToGrid w:val="0"/>
                    <w:jc w:val="both"/>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本项目位于陕西省西安市莲湖区，位于内陆区域，不涉及海洋。</w:t>
                  </w:r>
                </w:p>
              </w:tc>
              <w:tc>
                <w:tcPr>
                  <w:tcW w:w="642" w:type="pct"/>
                  <w:tcBorders>
                    <w:tl2br w:val="nil"/>
                    <w:tr2bl w:val="nil"/>
                  </w:tcBorders>
                  <w:vAlign w:val="center"/>
                </w:tcPr>
                <w:p w14:paraId="41B35078">
                  <w:pPr>
                    <w:autoSpaceDE w:val="0"/>
                    <w:autoSpaceDN w:val="0"/>
                    <w:adjustRightInd w:val="0"/>
                    <w:snapToGrid w:val="0"/>
                    <w:spacing w:line="400" w:lineRule="exact"/>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否</w:t>
                  </w:r>
                </w:p>
              </w:tc>
            </w:tr>
            <w:tr w14:paraId="01A71AF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14:paraId="31B73A43">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注：1.废气中有毒有害污染物指纳入《有毒有害大气污染物名录》的污染物（不包括无排放标准的污染物）。</w:t>
                  </w:r>
                </w:p>
                <w:p w14:paraId="5D42F8F3">
                  <w:pPr>
                    <w:widowControl/>
                    <w:adjustRightInd w:val="0"/>
                    <w:snapToGrid w:val="0"/>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2.环境空气保护目标指自然保护区、风景名胜区、居住区、文化区和农村地区中人群较集中的区域。</w:t>
                  </w:r>
                </w:p>
                <w:p w14:paraId="6D556F98">
                  <w:pPr>
                    <w:widowControl/>
                    <w:adjustRightInd w:val="0"/>
                    <w:snapToGrid w:val="0"/>
                    <w:ind w:firstLine="420" w:firstLineChars="200"/>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3.临界量及其计算方法可参考《建设项目环境风险评价技术导则》（HJ169）附录B、附录C。</w:t>
                  </w:r>
                </w:p>
              </w:tc>
            </w:tr>
          </w:tbl>
          <w:p w14:paraId="02C19228">
            <w:pPr>
              <w:autoSpaceDE w:val="0"/>
              <w:autoSpaceDN w:val="0"/>
              <w:adjustRightInd w:val="0"/>
              <w:snapToGrid w:val="0"/>
              <w:jc w:val="center"/>
              <w:rPr>
                <w:rFonts w:hint="default" w:ascii="Times New Roman" w:hAnsi="Times New Roman" w:cs="Times New Roman"/>
                <w:color w:val="auto"/>
                <w:kern w:val="0"/>
                <w:sz w:val="24"/>
              </w:rPr>
            </w:pPr>
          </w:p>
        </w:tc>
      </w:tr>
      <w:tr w14:paraId="21B3B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1" w:type="pct"/>
            <w:vAlign w:val="center"/>
          </w:tcPr>
          <w:p w14:paraId="35BC306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规划情况</w:t>
            </w:r>
          </w:p>
        </w:tc>
        <w:tc>
          <w:tcPr>
            <w:tcW w:w="3969" w:type="pct"/>
            <w:gridSpan w:val="3"/>
            <w:shd w:val="clear" w:color="auto" w:fill="auto"/>
            <w:vAlign w:val="center"/>
          </w:tcPr>
          <w:p w14:paraId="0F99FE0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无</w:t>
            </w:r>
          </w:p>
        </w:tc>
      </w:tr>
      <w:tr w14:paraId="7E48D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31" w:type="pct"/>
            <w:vAlign w:val="center"/>
          </w:tcPr>
          <w:p w14:paraId="060A735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规划环境影响</w:t>
            </w:r>
          </w:p>
          <w:p w14:paraId="59F70407">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评价情况</w:t>
            </w:r>
          </w:p>
        </w:tc>
        <w:tc>
          <w:tcPr>
            <w:tcW w:w="3969" w:type="pct"/>
            <w:gridSpan w:val="3"/>
            <w:shd w:val="clear" w:color="auto" w:fill="auto"/>
            <w:vAlign w:val="center"/>
          </w:tcPr>
          <w:p w14:paraId="7462685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无</w:t>
            </w:r>
          </w:p>
        </w:tc>
      </w:tr>
      <w:tr w14:paraId="2FF8A0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31" w:type="pct"/>
            <w:vAlign w:val="center"/>
          </w:tcPr>
          <w:p w14:paraId="4C0ECD7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规划及规划环境</w:t>
            </w:r>
          </w:p>
          <w:p w14:paraId="6EEDD54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影响评价符合性分析</w:t>
            </w:r>
          </w:p>
        </w:tc>
        <w:tc>
          <w:tcPr>
            <w:tcW w:w="3969" w:type="pct"/>
            <w:gridSpan w:val="3"/>
            <w:shd w:val="clear" w:color="auto" w:fill="auto"/>
            <w:vAlign w:val="center"/>
          </w:tcPr>
          <w:p w14:paraId="351CE136">
            <w:pPr>
              <w:widowControl/>
              <w:adjustRightInd w:val="0"/>
              <w:snapToGrid w:val="0"/>
              <w:spacing w:before="120" w:beforeLines="50" w:line="360" w:lineRule="auto"/>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无</w:t>
            </w:r>
          </w:p>
        </w:tc>
      </w:tr>
      <w:tr w14:paraId="03816D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pct"/>
            <w:vAlign w:val="center"/>
          </w:tcPr>
          <w:p w14:paraId="702D287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其他符合性分析</w:t>
            </w:r>
          </w:p>
        </w:tc>
        <w:tc>
          <w:tcPr>
            <w:tcW w:w="3969" w:type="pct"/>
            <w:gridSpan w:val="3"/>
            <w:vAlign w:val="center"/>
          </w:tcPr>
          <w:p w14:paraId="0F77244C">
            <w:pPr>
              <w:adjustRightInd w:val="0"/>
              <w:snapToGrid w:val="0"/>
              <w:spacing w:before="120" w:beforeLines="50" w:line="360" w:lineRule="auto"/>
              <w:rPr>
                <w:rFonts w:hint="default" w:ascii="Times New Roman" w:hAnsi="Times New Roman" w:cs="Times New Roman"/>
                <w:b/>
                <w:bCs/>
                <w:color w:val="auto"/>
                <w:sz w:val="24"/>
              </w:rPr>
            </w:pPr>
            <w:r>
              <w:rPr>
                <w:rFonts w:hint="eastAsia" w:cs="Times New Roman"/>
                <w:b/>
                <w:bCs/>
                <w:color w:val="auto"/>
                <w:sz w:val="24"/>
                <w:lang w:val="en-US" w:eastAsia="zh-CN"/>
              </w:rPr>
              <w:t>（一）</w:t>
            </w:r>
            <w:r>
              <w:rPr>
                <w:rFonts w:hint="default" w:ascii="Times New Roman" w:hAnsi="Times New Roman" w:cs="Times New Roman"/>
                <w:b/>
                <w:bCs/>
                <w:color w:val="auto"/>
                <w:sz w:val="24"/>
              </w:rPr>
              <w:t>产业政策符合性</w:t>
            </w:r>
          </w:p>
          <w:p w14:paraId="2B8200DA">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根据《产业结构调整指导目录（2024年本）》，本项目为检测服务类项目，属于鼓励类</w:t>
            </w:r>
            <w:r>
              <w:rPr>
                <w:rFonts w:hint="eastAsia" w:cs="Times New Roman"/>
                <w:color w:val="auto"/>
                <w:sz w:val="24"/>
                <w:lang w:eastAsia="zh-CN"/>
              </w:rPr>
              <w:t>“</w:t>
            </w:r>
            <w:r>
              <w:rPr>
                <w:rFonts w:hint="default" w:ascii="Times New Roman" w:hAnsi="Times New Roman" w:cs="Times New Roman"/>
                <w:color w:val="auto"/>
                <w:sz w:val="24"/>
              </w:rPr>
              <w:t>三十一、科技服务</w:t>
            </w:r>
            <w:r>
              <w:rPr>
                <w:rFonts w:hint="eastAsia" w:cs="Times New Roman"/>
                <w:color w:val="auto"/>
                <w:sz w:val="24"/>
                <w:lang w:val="en-US" w:eastAsia="zh-CN"/>
              </w:rPr>
              <w:t>业1.</w:t>
            </w:r>
            <w:r>
              <w:rPr>
                <w:rFonts w:hint="default" w:ascii="Times New Roman" w:hAnsi="Times New Roman" w:cs="Times New Roman"/>
                <w:color w:val="auto"/>
                <w:sz w:val="24"/>
              </w:rPr>
              <w:t>工业设计、气象、生物及医药、新材料、新能源、节能、环保、测绘、海洋等专业科技服务，标准化服务、计量测试、质量认证和检验检测服务，科技普及</w:t>
            </w:r>
            <w:r>
              <w:rPr>
                <w:rFonts w:hint="eastAsia" w:cs="Times New Roman"/>
                <w:color w:val="auto"/>
                <w:sz w:val="24"/>
                <w:lang w:eastAsia="zh-CN"/>
              </w:rPr>
              <w:t>”</w:t>
            </w:r>
            <w:r>
              <w:rPr>
                <w:rFonts w:hint="default" w:ascii="Times New Roman" w:hAnsi="Times New Roman" w:cs="Times New Roman"/>
                <w:color w:val="auto"/>
                <w:sz w:val="24"/>
              </w:rPr>
              <w:t>；项目不属于《市场准入负面清单（202</w:t>
            </w:r>
            <w:r>
              <w:rPr>
                <w:rFonts w:hint="eastAsia" w:cs="Times New Roman"/>
                <w:color w:val="auto"/>
                <w:sz w:val="24"/>
                <w:lang w:val="en-US" w:eastAsia="zh-CN"/>
              </w:rPr>
              <w:t>5</w:t>
            </w:r>
            <w:r>
              <w:rPr>
                <w:rFonts w:hint="default" w:ascii="Times New Roman" w:hAnsi="Times New Roman" w:cs="Times New Roman"/>
                <w:color w:val="auto"/>
                <w:sz w:val="24"/>
              </w:rPr>
              <w:t>年版）》</w:t>
            </w:r>
            <w:r>
              <w:rPr>
                <w:rFonts w:hint="eastAsia" w:cs="Times New Roman"/>
                <w:color w:val="auto"/>
                <w:sz w:val="24"/>
                <w:lang w:val="en-US" w:eastAsia="zh-CN"/>
              </w:rPr>
              <w:t>中禁止准入类和许可准入类，可视为允许准入类</w:t>
            </w:r>
            <w:r>
              <w:rPr>
                <w:rFonts w:hint="default" w:ascii="Times New Roman" w:hAnsi="Times New Roman" w:cs="Times New Roman"/>
                <w:color w:val="auto"/>
                <w:sz w:val="24"/>
              </w:rPr>
              <w:t>。因此本项目符合国家产业</w:t>
            </w:r>
            <w:r>
              <w:rPr>
                <w:rFonts w:hint="eastAsia" w:cs="Times New Roman"/>
                <w:color w:val="auto"/>
                <w:sz w:val="24"/>
                <w:lang w:val="en-US" w:eastAsia="zh-CN"/>
              </w:rPr>
              <w:t>政策</w:t>
            </w:r>
            <w:r>
              <w:rPr>
                <w:rFonts w:hint="default" w:ascii="Times New Roman" w:hAnsi="Times New Roman" w:cs="Times New Roman"/>
                <w:color w:val="auto"/>
                <w:sz w:val="24"/>
              </w:rPr>
              <w:t>相关规定。</w:t>
            </w:r>
          </w:p>
          <w:p w14:paraId="65CD51C6">
            <w:pPr>
              <w:adjustRightInd w:val="0"/>
              <w:snapToGrid w:val="0"/>
              <w:spacing w:line="360" w:lineRule="auto"/>
              <w:rPr>
                <w:rFonts w:hint="default" w:ascii="Times New Roman" w:hAnsi="Times New Roman" w:cs="Times New Roman"/>
                <w:b/>
                <w:bCs/>
                <w:color w:val="auto"/>
                <w:sz w:val="24"/>
              </w:rPr>
            </w:pPr>
            <w:r>
              <w:rPr>
                <w:rFonts w:hint="eastAsia" w:cs="Times New Roman"/>
                <w:b/>
                <w:bCs/>
                <w:color w:val="auto"/>
                <w:sz w:val="24"/>
                <w:lang w:val="en-US" w:eastAsia="zh-CN"/>
              </w:rPr>
              <w:t>（二）</w:t>
            </w:r>
            <w:r>
              <w:rPr>
                <w:rFonts w:hint="default" w:ascii="Times New Roman" w:hAnsi="Times New Roman" w:cs="Times New Roman"/>
                <w:b/>
                <w:bCs/>
                <w:color w:val="auto"/>
                <w:sz w:val="24"/>
              </w:rPr>
              <w:t>选址合理性</w:t>
            </w:r>
          </w:p>
          <w:p w14:paraId="10C6FEAF">
            <w:pPr>
              <w:adjustRightInd w:val="0"/>
              <w:snapToGrid w:val="0"/>
              <w:spacing w:line="348"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1、项目选址环境合理性分析</w:t>
            </w:r>
          </w:p>
          <w:p w14:paraId="5AFB5F2A">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项目位于陕西省西安市莲湖区沣惠北路2666号天健望湖大观商铺3-6铺</w:t>
            </w:r>
            <w:r>
              <w:rPr>
                <w:rFonts w:hint="eastAsia" w:cs="Times New Roman"/>
                <w:color w:val="auto"/>
                <w:sz w:val="24"/>
                <w:lang w:eastAsia="zh-CN"/>
              </w:rPr>
              <w:t>（</w:t>
            </w:r>
            <w:r>
              <w:rPr>
                <w:rFonts w:hint="eastAsia" w:cs="Times New Roman"/>
                <w:color w:val="auto"/>
                <w:sz w:val="24"/>
                <w:lang w:val="en-US" w:eastAsia="zh-CN"/>
              </w:rPr>
              <w:t>地理位置图见附图1</w:t>
            </w:r>
            <w:r>
              <w:rPr>
                <w:rFonts w:hint="eastAsia" w:cs="Times New Roman"/>
                <w:color w:val="auto"/>
                <w:sz w:val="24"/>
                <w:lang w:eastAsia="zh-CN"/>
              </w:rPr>
              <w:t>）</w:t>
            </w:r>
            <w:r>
              <w:rPr>
                <w:rFonts w:hint="default" w:ascii="Times New Roman" w:hAnsi="Times New Roman" w:cs="Times New Roman"/>
                <w:color w:val="auto"/>
                <w:sz w:val="24"/>
              </w:rPr>
              <w:t>，租赁</w:t>
            </w:r>
            <w:r>
              <w:rPr>
                <w:rFonts w:hint="eastAsia" w:cs="Times New Roman"/>
                <w:color w:val="auto"/>
                <w:sz w:val="24"/>
                <w:lang w:val="en-US" w:eastAsia="zh-CN"/>
              </w:rPr>
              <w:t>西安市莲湖区酷得瑞冷链仓储经营部已建成的空置建筑物，</w:t>
            </w:r>
            <w:r>
              <w:rPr>
                <w:rFonts w:hint="default" w:ascii="Times New Roman" w:hAnsi="Times New Roman" w:cs="Times New Roman"/>
                <w:color w:val="auto"/>
                <w:sz w:val="24"/>
              </w:rPr>
              <w:t>建筑面积365.</w:t>
            </w:r>
            <w:r>
              <w:rPr>
                <w:rFonts w:hint="eastAsia" w:cs="Times New Roman"/>
                <w:color w:val="auto"/>
                <w:sz w:val="24"/>
                <w:lang w:val="en-US" w:eastAsia="zh-CN"/>
              </w:rPr>
              <w:t>21</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（租赁合同见附件</w:t>
            </w:r>
            <w:r>
              <w:rPr>
                <w:rFonts w:hint="eastAsia" w:cs="Times New Roman"/>
                <w:color w:val="auto"/>
                <w:sz w:val="24"/>
                <w:lang w:val="en-US" w:eastAsia="zh-CN"/>
              </w:rPr>
              <w:t>2</w:t>
            </w:r>
            <w:r>
              <w:rPr>
                <w:rFonts w:hint="default" w:ascii="Times New Roman" w:hAnsi="Times New Roman" w:cs="Times New Roman"/>
                <w:color w:val="auto"/>
                <w:sz w:val="24"/>
              </w:rPr>
              <w:t>）</w:t>
            </w:r>
            <w:r>
              <w:rPr>
                <w:rFonts w:hint="eastAsia" w:cs="Times New Roman"/>
                <w:color w:val="auto"/>
                <w:sz w:val="24"/>
                <w:lang w:eastAsia="zh-CN"/>
              </w:rPr>
              <w:t>。</w:t>
            </w:r>
            <w:r>
              <w:rPr>
                <w:rFonts w:hint="default" w:ascii="Times New Roman" w:hAnsi="Times New Roman" w:cs="Times New Roman"/>
                <w:color w:val="auto"/>
                <w:sz w:val="24"/>
              </w:rPr>
              <w:t>本项目地</w:t>
            </w:r>
            <w:r>
              <w:rPr>
                <w:rFonts w:hint="eastAsia" w:cs="Times New Roman"/>
                <w:color w:val="auto"/>
                <w:sz w:val="24"/>
                <w:lang w:val="en-US" w:eastAsia="zh-CN"/>
              </w:rPr>
              <w:t>所在商业楼共四层，项目所在地位于三层，商业楼内多为商铺，项目所在商业楼</w:t>
            </w:r>
            <w:r>
              <w:rPr>
                <w:rFonts w:hint="default" w:ascii="Times New Roman" w:hAnsi="Times New Roman" w:cs="Times New Roman"/>
                <w:color w:val="auto"/>
                <w:sz w:val="24"/>
              </w:rPr>
              <w:t>西侧为</w:t>
            </w:r>
            <w:r>
              <w:rPr>
                <w:rFonts w:hint="eastAsia" w:cs="Times New Roman"/>
                <w:color w:val="auto"/>
                <w:sz w:val="24"/>
                <w:lang w:val="en-US" w:eastAsia="zh-CN"/>
              </w:rPr>
              <w:t>沣惠北路</w:t>
            </w:r>
            <w:r>
              <w:rPr>
                <w:rFonts w:hint="default" w:ascii="Times New Roman" w:hAnsi="Times New Roman" w:cs="Times New Roman"/>
                <w:color w:val="auto"/>
                <w:sz w:val="24"/>
              </w:rPr>
              <w:t>，东侧为天健望湖大观小区内部道路，</w:t>
            </w:r>
            <w:bookmarkStart w:id="16" w:name="_GoBack"/>
            <w:bookmarkEnd w:id="16"/>
            <w:r>
              <w:rPr>
                <w:rFonts w:hint="default" w:ascii="Times New Roman" w:hAnsi="Times New Roman" w:cs="Times New Roman"/>
                <w:color w:val="auto"/>
                <w:sz w:val="24"/>
              </w:rPr>
              <w:t>南侧</w:t>
            </w:r>
            <w:r>
              <w:rPr>
                <w:rFonts w:hint="eastAsia" w:cs="Times New Roman"/>
                <w:color w:val="auto"/>
                <w:sz w:val="24"/>
                <w:lang w:val="en-US" w:eastAsia="zh-CN"/>
              </w:rPr>
              <w:t>为天健望湖大观1号楼，</w:t>
            </w:r>
            <w:r>
              <w:rPr>
                <w:rFonts w:hint="default" w:ascii="Times New Roman" w:hAnsi="Times New Roman" w:cs="Times New Roman"/>
                <w:color w:val="auto"/>
                <w:sz w:val="24"/>
              </w:rPr>
              <w:t>北侧为</w:t>
            </w:r>
            <w:r>
              <w:rPr>
                <w:rFonts w:hint="eastAsia" w:cs="Times New Roman"/>
                <w:color w:val="auto"/>
                <w:sz w:val="24"/>
                <w:lang w:val="en-US" w:eastAsia="zh-CN"/>
              </w:rPr>
              <w:t>天健望湖大观2号楼（四邻关系图见附图2），项目地距离最近居民区为天健望湖大观1号楼，距离为5m。</w:t>
            </w:r>
            <w:r>
              <w:rPr>
                <w:rFonts w:hint="default" w:ascii="Times New Roman" w:hAnsi="Times New Roman" w:cs="Times New Roman"/>
                <w:color w:val="auto"/>
                <w:sz w:val="24"/>
              </w:rPr>
              <w:t>项目所在区域水、电、气等配套设施齐全，地理位置优越，交通便利。</w:t>
            </w:r>
          </w:p>
          <w:p w14:paraId="787EB1AF">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本项目周边</w:t>
            </w:r>
            <w:r>
              <w:rPr>
                <w:rFonts w:hint="eastAsia" w:cs="Times New Roman"/>
                <w:color w:val="auto"/>
                <w:sz w:val="24"/>
                <w:lang w:val="en-US" w:eastAsia="zh-CN"/>
              </w:rPr>
              <w:t>环境保护目标主要为居民区、学校</w:t>
            </w:r>
            <w:r>
              <w:rPr>
                <w:rFonts w:hint="default" w:ascii="Times New Roman" w:hAnsi="Times New Roman" w:cs="Times New Roman"/>
                <w:color w:val="auto"/>
                <w:sz w:val="24"/>
              </w:rPr>
              <w:t>等</w:t>
            </w:r>
            <w:r>
              <w:rPr>
                <w:rFonts w:hint="eastAsia" w:cs="Times New Roman"/>
                <w:color w:val="auto"/>
                <w:sz w:val="24"/>
                <w:lang w:eastAsia="zh-CN"/>
              </w:rPr>
              <w:t>，</w:t>
            </w:r>
            <w:r>
              <w:rPr>
                <w:rFonts w:hint="default" w:ascii="Times New Roman" w:hAnsi="Times New Roman" w:cs="Times New Roman"/>
                <w:color w:val="auto"/>
                <w:sz w:val="24"/>
              </w:rPr>
              <w:t>外环境无重大制约因素</w:t>
            </w:r>
            <w:r>
              <w:rPr>
                <w:rFonts w:hint="eastAsia" w:cs="Times New Roman"/>
                <w:color w:val="auto"/>
                <w:sz w:val="24"/>
                <w:lang w:eastAsia="zh-CN"/>
              </w:rPr>
              <w:t>。</w:t>
            </w:r>
            <w:r>
              <w:rPr>
                <w:rFonts w:hint="default" w:ascii="Times New Roman" w:hAnsi="Times New Roman" w:cs="Times New Roman"/>
                <w:color w:val="auto"/>
                <w:sz w:val="24"/>
              </w:rPr>
              <w:t>项目属于检测服务类项目，</w:t>
            </w:r>
            <w:r>
              <w:rPr>
                <w:rFonts w:hint="eastAsia" w:cs="Times New Roman"/>
                <w:color w:val="auto"/>
                <w:sz w:val="24"/>
                <w:lang w:val="en-US" w:eastAsia="zh-CN"/>
              </w:rPr>
              <w:t>根据后文核算，实验</w:t>
            </w:r>
            <w:r>
              <w:rPr>
                <w:rFonts w:hint="default" w:ascii="Times New Roman" w:hAnsi="Times New Roman" w:cs="Times New Roman"/>
                <w:color w:val="auto"/>
                <w:sz w:val="24"/>
              </w:rPr>
              <w:t>过程产生的废气、废水在采取相应的措施后</w:t>
            </w:r>
            <w:r>
              <w:rPr>
                <w:rFonts w:hint="eastAsia" w:cs="Times New Roman"/>
                <w:color w:val="auto"/>
                <w:sz w:val="24"/>
                <w:lang w:eastAsia="zh-CN"/>
              </w:rPr>
              <w:t>，</w:t>
            </w:r>
            <w:r>
              <w:rPr>
                <w:rFonts w:hint="eastAsia" w:cs="Times New Roman"/>
                <w:color w:val="auto"/>
                <w:sz w:val="24"/>
                <w:lang w:val="en-US" w:eastAsia="zh-CN"/>
              </w:rPr>
              <w:t>排放量较小，</w:t>
            </w:r>
            <w:r>
              <w:rPr>
                <w:rFonts w:hint="default" w:ascii="Times New Roman" w:hAnsi="Times New Roman" w:cs="Times New Roman"/>
                <w:color w:val="auto"/>
                <w:sz w:val="24"/>
              </w:rPr>
              <w:t>能够达标排放且对周围环境影响较小，因此，在严格落实本报告提出的环保措施前提下，从环境保护角度分析，项目选址可行。</w:t>
            </w:r>
          </w:p>
          <w:p w14:paraId="2F738834">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2、实验室建筑构架合理性分析</w:t>
            </w:r>
          </w:p>
          <w:p w14:paraId="7E3CEFA7">
            <w:pPr>
              <w:adjustRightInd w:val="0"/>
              <w:snapToGrid w:val="0"/>
              <w:spacing w:line="336"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本项目属于环境检测实验室，在公共卫生项目中涉及粪大肠菌群、菌落总数、沙门氏菌、志贺氏菌等细菌微生物。项目设有微生物检测实验室，检测项目中沙门氏菌、志贺氏菌属于《人间传染的病原微生物</w:t>
            </w:r>
            <w:r>
              <w:rPr>
                <w:rFonts w:hint="eastAsia" w:cs="Times New Roman"/>
                <w:color w:val="auto"/>
                <w:sz w:val="24"/>
                <w:lang w:val="en-US" w:eastAsia="zh-CN"/>
              </w:rPr>
              <w:t>目录</w:t>
            </w:r>
            <w:r>
              <w:rPr>
                <w:rFonts w:hint="default" w:ascii="Times New Roman" w:hAnsi="Times New Roman" w:cs="Times New Roman"/>
                <w:color w:val="auto"/>
                <w:sz w:val="24"/>
              </w:rPr>
              <w:t>》</w:t>
            </w:r>
            <w:r>
              <w:rPr>
                <w:rFonts w:hint="eastAsia" w:cs="Times New Roman"/>
                <w:color w:val="auto"/>
                <w:sz w:val="24"/>
                <w:lang w:eastAsia="zh-CN"/>
              </w:rPr>
              <w:t>（</w:t>
            </w:r>
            <w:r>
              <w:rPr>
                <w:rFonts w:hint="default" w:ascii="Times New Roman" w:hAnsi="Times New Roman" w:cs="Times New Roman"/>
                <w:color w:val="auto"/>
                <w:sz w:val="24"/>
              </w:rPr>
              <w:t>国卫科教发〔2023〕24号</w:t>
            </w:r>
            <w:r>
              <w:rPr>
                <w:rFonts w:hint="eastAsia" w:cs="Times New Roman"/>
                <w:color w:val="auto"/>
                <w:sz w:val="24"/>
                <w:lang w:eastAsia="zh-CN"/>
              </w:rPr>
              <w:t>）</w:t>
            </w:r>
            <w:r>
              <w:rPr>
                <w:rFonts w:hint="default" w:ascii="Times New Roman" w:hAnsi="Times New Roman" w:cs="Times New Roman"/>
                <w:color w:val="auto"/>
                <w:sz w:val="24"/>
              </w:rPr>
              <w:t>中第三类病原</w:t>
            </w:r>
            <w:r>
              <w:rPr>
                <w:rFonts w:hint="eastAsia" w:cs="Times New Roman"/>
                <w:color w:val="auto"/>
                <w:sz w:val="24"/>
                <w:lang w:val="en-US" w:eastAsia="zh-CN"/>
              </w:rPr>
              <w:t>菌</w:t>
            </w:r>
            <w:r>
              <w:rPr>
                <w:rFonts w:hint="default" w:ascii="Times New Roman" w:hAnsi="Times New Roman" w:cs="Times New Roman"/>
                <w:color w:val="auto"/>
                <w:sz w:val="24"/>
              </w:rPr>
              <w:t>，因此本项目微生物实验室安全防护</w:t>
            </w:r>
            <w:r>
              <w:rPr>
                <w:rFonts w:hint="eastAsia" w:cs="Times New Roman"/>
                <w:color w:val="auto"/>
                <w:sz w:val="24"/>
                <w:lang w:val="en-US" w:eastAsia="zh-CN"/>
              </w:rPr>
              <w:t>等级</w:t>
            </w:r>
            <w:r>
              <w:rPr>
                <w:rFonts w:hint="default" w:ascii="Times New Roman" w:hAnsi="Times New Roman" w:cs="Times New Roman"/>
                <w:color w:val="auto"/>
                <w:sz w:val="24"/>
              </w:rPr>
              <w:t>为二级。本项目选址对比分析《实验室生物安全通用要求</w:t>
            </w:r>
            <w:r>
              <w:rPr>
                <w:rFonts w:hint="eastAsia" w:cs="Times New Roman"/>
                <w:color w:val="auto"/>
                <w:sz w:val="24"/>
                <w:lang w:eastAsia="zh-CN"/>
              </w:rPr>
              <w:t>》《</w:t>
            </w:r>
            <w:r>
              <w:rPr>
                <w:rFonts w:hint="default" w:ascii="Times New Roman" w:hAnsi="Times New Roman" w:cs="Times New Roman"/>
                <w:color w:val="auto"/>
                <w:sz w:val="24"/>
              </w:rPr>
              <w:t>生物安全实验室建筑技术规范》和《病原微生物实验室生物安全通用准则》中对P2实验室选址要求，其具体影响选址合理性分析见表1-2。</w:t>
            </w:r>
          </w:p>
          <w:p w14:paraId="02C2E5CA">
            <w:pPr>
              <w:pStyle w:val="54"/>
              <w:widowControl w:val="0"/>
              <w:adjustRightInd w:val="0"/>
              <w:snapToGrid w:val="0"/>
              <w:rPr>
                <w:rFonts w:hint="default" w:ascii="Times New Roman" w:hAnsi="Times New Roman" w:cs="Times New Roman"/>
                <w:color w:val="auto"/>
              </w:rPr>
            </w:pPr>
            <w:r>
              <w:rPr>
                <w:rFonts w:hint="default" w:ascii="Times New Roman" w:hAnsi="Times New Roman" w:cs="Times New Roman"/>
                <w:color w:val="auto"/>
              </w:rPr>
              <w:t>表1-</w:t>
            </w:r>
            <w:r>
              <w:rPr>
                <w:rFonts w:hint="default" w:ascii="Times New Roman" w:hAnsi="Times New Roman" w:cs="Times New Roman"/>
                <w:color w:val="auto"/>
                <w:lang w:val="en-US"/>
              </w:rPr>
              <w:t>2</w:t>
            </w:r>
            <w:r>
              <w:rPr>
                <w:rFonts w:hint="default" w:ascii="Times New Roman" w:hAnsi="Times New Roman" w:cs="Times New Roman"/>
                <w:color w:val="auto"/>
              </w:rPr>
              <w:t xml:space="preserve"> </w:t>
            </w:r>
            <w:r>
              <w:rPr>
                <w:rFonts w:hint="default" w:ascii="Times New Roman" w:hAnsi="Times New Roman" w:cs="Times New Roman"/>
                <w:color w:val="auto"/>
                <w:lang w:val="en-US"/>
              </w:rPr>
              <w:t>生物实验室选址要求符合性</w:t>
            </w:r>
            <w:r>
              <w:rPr>
                <w:rFonts w:hint="default" w:ascii="Times New Roman" w:hAnsi="Times New Roman" w:cs="Times New Roman"/>
                <w:color w:val="auto"/>
              </w:rPr>
              <w:t>分析</w:t>
            </w:r>
          </w:p>
          <w:tbl>
            <w:tblPr>
              <w:tblStyle w:val="29"/>
              <w:tblW w:w="4997" w:type="pct"/>
              <w:tblInd w:w="1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2955"/>
              <w:gridCol w:w="1783"/>
              <w:gridCol w:w="815"/>
            </w:tblGrid>
            <w:tr w14:paraId="0261671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296" w:type="pct"/>
                  <w:tcBorders>
                    <w:tl2br w:val="nil"/>
                    <w:tr2bl w:val="nil"/>
                  </w:tcBorders>
                  <w:vAlign w:val="center"/>
                </w:tcPr>
                <w:p w14:paraId="09F61D46">
                  <w:pPr>
                    <w:adjustRightInd w:val="0"/>
                    <w:snapToGrid w:val="0"/>
                    <w:jc w:val="center"/>
                    <w:rPr>
                      <w:rFonts w:hint="default" w:ascii="Times New Roman" w:hAnsi="Times New Roman" w:eastAsia="宋体" w:cs="Times New Roman"/>
                      <w:b/>
                      <w:bCs/>
                      <w:color w:val="auto"/>
                      <w:szCs w:val="22"/>
                      <w:lang w:val="en-US" w:eastAsia="zh-CN"/>
                    </w:rPr>
                  </w:pPr>
                  <w:r>
                    <w:rPr>
                      <w:rFonts w:hint="eastAsia" w:cs="Times New Roman"/>
                      <w:b/>
                      <w:bCs/>
                      <w:color w:val="auto"/>
                      <w:szCs w:val="22"/>
                      <w:lang w:val="en-US" w:eastAsia="zh-CN"/>
                    </w:rPr>
                    <w:t>文件名称</w:t>
                  </w:r>
                </w:p>
              </w:tc>
              <w:tc>
                <w:tcPr>
                  <w:tcW w:w="1971" w:type="pct"/>
                  <w:tcBorders>
                    <w:tl2br w:val="nil"/>
                    <w:tr2bl w:val="nil"/>
                  </w:tcBorders>
                  <w:vAlign w:val="center"/>
                </w:tcPr>
                <w:p w14:paraId="14CE4D35">
                  <w:pPr>
                    <w:adjustRightInd w:val="0"/>
                    <w:snapToGrid w:val="0"/>
                    <w:jc w:val="center"/>
                    <w:rPr>
                      <w:rFonts w:hint="default" w:ascii="Times New Roman" w:hAnsi="Times New Roman" w:cs="Times New Roman"/>
                      <w:b/>
                      <w:bCs/>
                      <w:color w:val="auto"/>
                      <w:szCs w:val="22"/>
                      <w:lang w:val="en-GB"/>
                    </w:rPr>
                  </w:pPr>
                  <w:r>
                    <w:rPr>
                      <w:rFonts w:hint="default" w:ascii="Times New Roman" w:hAnsi="Times New Roman" w:cs="Times New Roman"/>
                      <w:b/>
                      <w:bCs/>
                      <w:color w:val="auto"/>
                      <w:szCs w:val="22"/>
                      <w:lang w:val="en-GB"/>
                    </w:rPr>
                    <w:t>选址要求</w:t>
                  </w:r>
                </w:p>
              </w:tc>
              <w:tc>
                <w:tcPr>
                  <w:tcW w:w="1189" w:type="pct"/>
                  <w:tcBorders>
                    <w:tl2br w:val="nil"/>
                    <w:tr2bl w:val="nil"/>
                  </w:tcBorders>
                  <w:vAlign w:val="center"/>
                </w:tcPr>
                <w:p w14:paraId="41CDC453">
                  <w:pPr>
                    <w:adjustRightInd w:val="0"/>
                    <w:snapToGrid w:val="0"/>
                    <w:jc w:val="center"/>
                    <w:rPr>
                      <w:rFonts w:hint="default" w:ascii="Times New Roman" w:hAnsi="Times New Roman" w:cs="Times New Roman"/>
                      <w:b/>
                      <w:bCs/>
                      <w:color w:val="auto"/>
                      <w:szCs w:val="22"/>
                      <w:lang w:val="en-GB"/>
                    </w:rPr>
                  </w:pPr>
                  <w:r>
                    <w:rPr>
                      <w:rFonts w:hint="default" w:ascii="Times New Roman" w:hAnsi="Times New Roman" w:cs="Times New Roman"/>
                      <w:b/>
                      <w:bCs/>
                      <w:color w:val="auto"/>
                      <w:szCs w:val="22"/>
                      <w:lang w:val="en-GB"/>
                    </w:rPr>
                    <w:t>本项目情况</w:t>
                  </w:r>
                </w:p>
              </w:tc>
              <w:tc>
                <w:tcPr>
                  <w:tcW w:w="543" w:type="pct"/>
                  <w:tcBorders>
                    <w:tl2br w:val="nil"/>
                    <w:tr2bl w:val="nil"/>
                  </w:tcBorders>
                  <w:vAlign w:val="center"/>
                </w:tcPr>
                <w:p w14:paraId="0DF16FF9">
                  <w:pPr>
                    <w:adjustRightInd w:val="0"/>
                    <w:snapToGrid w:val="0"/>
                    <w:jc w:val="center"/>
                    <w:rPr>
                      <w:rFonts w:hint="default" w:ascii="Times New Roman" w:hAnsi="Times New Roman" w:cs="Times New Roman"/>
                      <w:b/>
                      <w:bCs/>
                      <w:color w:val="auto"/>
                      <w:szCs w:val="22"/>
                      <w:lang w:val="en-GB"/>
                    </w:rPr>
                  </w:pPr>
                  <w:r>
                    <w:rPr>
                      <w:rFonts w:hint="default" w:ascii="Times New Roman" w:hAnsi="Times New Roman" w:cs="Times New Roman"/>
                      <w:b/>
                      <w:bCs/>
                      <w:color w:val="auto"/>
                      <w:szCs w:val="22"/>
                      <w:lang w:val="en-GB"/>
                    </w:rPr>
                    <w:t>选址是否合理</w:t>
                  </w:r>
                </w:p>
              </w:tc>
            </w:tr>
            <w:tr w14:paraId="277C647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296" w:type="pct"/>
                  <w:tcBorders>
                    <w:tl2br w:val="nil"/>
                    <w:tr2bl w:val="nil"/>
                  </w:tcBorders>
                  <w:vAlign w:val="center"/>
                </w:tcPr>
                <w:p w14:paraId="6DBDC48F">
                  <w:pPr>
                    <w:widowControl/>
                    <w:adjustRightInd w:val="0"/>
                    <w:snapToGrid w:val="0"/>
                    <w:jc w:val="center"/>
                    <w:rPr>
                      <w:rFonts w:hint="eastAsia" w:ascii="Times New Roman" w:hAnsi="Times New Roman" w:eastAsia="宋体" w:cs="Times New Roman"/>
                      <w:color w:val="auto"/>
                      <w:kern w:val="0"/>
                      <w:szCs w:val="21"/>
                      <w:lang w:val="en-GB" w:eastAsia="zh-CN" w:bidi="ar"/>
                    </w:rPr>
                  </w:pPr>
                  <w:r>
                    <w:rPr>
                      <w:rFonts w:hint="default" w:ascii="Times New Roman" w:hAnsi="Times New Roman" w:cs="Times New Roman"/>
                      <w:color w:val="auto"/>
                      <w:kern w:val="0"/>
                      <w:szCs w:val="21"/>
                      <w:lang w:bidi="ar"/>
                    </w:rPr>
                    <w:t>《实验室</w:t>
                  </w:r>
                  <w:r>
                    <w:rPr>
                      <w:rFonts w:hint="eastAsia" w:cs="Times New Roman"/>
                      <w:color w:val="auto"/>
                      <w:kern w:val="0"/>
                      <w:szCs w:val="21"/>
                      <w:lang w:val="en-US" w:eastAsia="zh-CN" w:bidi="ar"/>
                    </w:rPr>
                    <w:t xml:space="preserve"> </w:t>
                  </w:r>
                  <w:r>
                    <w:rPr>
                      <w:rFonts w:hint="default" w:ascii="Times New Roman" w:hAnsi="Times New Roman" w:cs="Times New Roman"/>
                      <w:color w:val="auto"/>
                      <w:kern w:val="0"/>
                      <w:szCs w:val="21"/>
                      <w:lang w:bidi="ar"/>
                    </w:rPr>
                    <w:t>生物安全通用要求》</w:t>
                  </w:r>
                </w:p>
              </w:tc>
              <w:tc>
                <w:tcPr>
                  <w:tcW w:w="1971" w:type="pct"/>
                  <w:tcBorders>
                    <w:tl2br w:val="nil"/>
                    <w:tr2bl w:val="nil"/>
                  </w:tcBorders>
                  <w:vAlign w:val="center"/>
                </w:tcPr>
                <w:p w14:paraId="242A99EA">
                  <w:pPr>
                    <w:widowControl/>
                    <w:adjustRightInd w:val="0"/>
                    <w:snapToGrid w:val="0"/>
                    <w:rPr>
                      <w:rFonts w:hint="default" w:ascii="Times New Roman" w:hAnsi="Times New Roman" w:cs="Times New Roman"/>
                      <w:color w:val="auto"/>
                      <w:kern w:val="0"/>
                      <w:szCs w:val="21"/>
                      <w:lang w:val="en-GB" w:bidi="ar"/>
                    </w:rPr>
                  </w:pPr>
                  <w:r>
                    <w:rPr>
                      <w:rFonts w:hint="default" w:ascii="Times New Roman" w:hAnsi="Times New Roman" w:cs="Times New Roman"/>
                      <w:color w:val="auto"/>
                      <w:kern w:val="0"/>
                      <w:szCs w:val="21"/>
                      <w:lang w:bidi="ar"/>
                    </w:rPr>
                    <w:t>实验室选址、设计和建造符合国家和地方环境保护和建设主管部门等的规定和要求。</w:t>
                  </w:r>
                </w:p>
              </w:tc>
              <w:tc>
                <w:tcPr>
                  <w:tcW w:w="1189" w:type="pct"/>
                  <w:vMerge w:val="restart"/>
                  <w:tcBorders>
                    <w:tl2br w:val="nil"/>
                    <w:tr2bl w:val="nil"/>
                  </w:tcBorders>
                  <w:vAlign w:val="center"/>
                </w:tcPr>
                <w:p w14:paraId="115F6912">
                  <w:pPr>
                    <w:widowControl/>
                    <w:adjustRightInd w:val="0"/>
                    <w:snapToGrid w:val="0"/>
                    <w:rPr>
                      <w:rFonts w:hint="default" w:ascii="Times New Roman" w:hAnsi="Times New Roman" w:cs="Times New Roman"/>
                      <w:color w:val="auto"/>
                      <w:kern w:val="0"/>
                      <w:szCs w:val="21"/>
                      <w:lang w:val="en-GB" w:bidi="ar"/>
                    </w:rPr>
                  </w:pPr>
                  <w:r>
                    <w:rPr>
                      <w:rFonts w:hint="default" w:ascii="Times New Roman" w:hAnsi="Times New Roman" w:cs="Times New Roman"/>
                      <w:color w:val="auto"/>
                      <w:kern w:val="0"/>
                      <w:szCs w:val="21"/>
                      <w:lang w:bidi="ar"/>
                    </w:rPr>
                    <w:t>项目生物实验间位于企业租赁建筑物的东南角，其设计严格按照国家和地方环境保护要求进行建设，在与实验室内其他部分相通处设置有自动关闭的门。</w:t>
                  </w:r>
                </w:p>
              </w:tc>
              <w:tc>
                <w:tcPr>
                  <w:tcW w:w="543" w:type="pct"/>
                  <w:vMerge w:val="restart"/>
                  <w:tcBorders>
                    <w:tl2br w:val="nil"/>
                    <w:tr2bl w:val="nil"/>
                  </w:tcBorders>
                  <w:vAlign w:val="center"/>
                </w:tcPr>
                <w:p w14:paraId="144EA0D2">
                  <w:pPr>
                    <w:widowControl/>
                    <w:adjustRightInd w:val="0"/>
                    <w:snapToGrid w:val="0"/>
                    <w:jc w:val="center"/>
                    <w:rPr>
                      <w:rFonts w:hint="default" w:ascii="Times New Roman" w:hAnsi="Times New Roman" w:cs="Times New Roman"/>
                      <w:color w:val="auto"/>
                      <w:kern w:val="0"/>
                      <w:szCs w:val="21"/>
                      <w:lang w:val="en-GB" w:bidi="ar"/>
                    </w:rPr>
                  </w:pPr>
                  <w:r>
                    <w:rPr>
                      <w:rFonts w:hint="default" w:ascii="Times New Roman" w:hAnsi="Times New Roman" w:cs="Times New Roman"/>
                      <w:color w:val="auto"/>
                      <w:kern w:val="0"/>
                      <w:szCs w:val="21"/>
                      <w:lang w:val="en-GB" w:bidi="ar"/>
                    </w:rPr>
                    <w:t>选址合理</w:t>
                  </w:r>
                </w:p>
              </w:tc>
            </w:tr>
            <w:tr w14:paraId="4A1C489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296" w:type="pct"/>
                  <w:tcBorders>
                    <w:tl2br w:val="nil"/>
                    <w:tr2bl w:val="nil"/>
                  </w:tcBorders>
                  <w:vAlign w:val="center"/>
                </w:tcPr>
                <w:p w14:paraId="6A280532">
                  <w:pPr>
                    <w:widowControl/>
                    <w:adjustRightInd w:val="0"/>
                    <w:snapToGrid w:val="0"/>
                    <w:jc w:val="center"/>
                    <w:rPr>
                      <w:rFonts w:hint="eastAsia" w:ascii="Times New Roman" w:hAnsi="Times New Roman" w:eastAsia="宋体" w:cs="Times New Roman"/>
                      <w:color w:val="auto"/>
                      <w:kern w:val="0"/>
                      <w:szCs w:val="21"/>
                      <w:lang w:val="en-GB" w:eastAsia="zh-CN" w:bidi="ar"/>
                    </w:rPr>
                  </w:pPr>
                  <w:r>
                    <w:rPr>
                      <w:rFonts w:hint="default" w:ascii="Times New Roman" w:hAnsi="Times New Roman" w:cs="Times New Roman"/>
                      <w:color w:val="auto"/>
                      <w:kern w:val="0"/>
                      <w:szCs w:val="21"/>
                      <w:lang w:bidi="ar"/>
                    </w:rPr>
                    <w:t>《生物安全实验室建筑技术规范》</w:t>
                  </w:r>
                </w:p>
              </w:tc>
              <w:tc>
                <w:tcPr>
                  <w:tcW w:w="1971" w:type="pct"/>
                  <w:tcBorders>
                    <w:tl2br w:val="nil"/>
                    <w:tr2bl w:val="nil"/>
                  </w:tcBorders>
                  <w:vAlign w:val="center"/>
                </w:tcPr>
                <w:p w14:paraId="1C5C3DB0">
                  <w:pPr>
                    <w:widowControl/>
                    <w:adjustRightInd w:val="0"/>
                    <w:snapToGrid w:val="0"/>
                    <w:rPr>
                      <w:rFonts w:hint="default" w:ascii="Times New Roman" w:hAnsi="Times New Roman" w:cs="Times New Roman"/>
                      <w:color w:val="auto"/>
                      <w:kern w:val="0"/>
                      <w:szCs w:val="21"/>
                      <w:lang w:val="en-GB" w:bidi="ar"/>
                    </w:rPr>
                  </w:pPr>
                  <w:r>
                    <w:rPr>
                      <w:rFonts w:hint="default" w:ascii="Times New Roman" w:hAnsi="Times New Roman" w:cs="Times New Roman"/>
                      <w:color w:val="auto"/>
                      <w:kern w:val="0"/>
                      <w:szCs w:val="21"/>
                      <w:lang w:bidi="ar"/>
                    </w:rPr>
                    <w:t>二级实验室对选址和建筑间距无要求，可共用建筑物，与建筑物其他部门可相通，但应设置可自动关闭的带锁的门。</w:t>
                  </w:r>
                </w:p>
              </w:tc>
              <w:tc>
                <w:tcPr>
                  <w:tcW w:w="1189" w:type="pct"/>
                  <w:vMerge w:val="continue"/>
                  <w:tcBorders>
                    <w:tl2br w:val="nil"/>
                    <w:tr2bl w:val="nil"/>
                  </w:tcBorders>
                  <w:vAlign w:val="center"/>
                </w:tcPr>
                <w:p w14:paraId="19B73958">
                  <w:pPr>
                    <w:adjustRightInd w:val="0"/>
                    <w:snapToGrid w:val="0"/>
                    <w:rPr>
                      <w:rFonts w:hint="default" w:ascii="Times New Roman" w:hAnsi="Times New Roman" w:cs="Times New Roman"/>
                      <w:color w:val="auto"/>
                      <w:szCs w:val="21"/>
                      <w:lang w:val="en-GB"/>
                    </w:rPr>
                  </w:pPr>
                </w:p>
              </w:tc>
              <w:tc>
                <w:tcPr>
                  <w:tcW w:w="543" w:type="pct"/>
                  <w:vMerge w:val="continue"/>
                  <w:tcBorders>
                    <w:tl2br w:val="nil"/>
                    <w:tr2bl w:val="nil"/>
                  </w:tcBorders>
                  <w:vAlign w:val="center"/>
                </w:tcPr>
                <w:p w14:paraId="251FA57C">
                  <w:pPr>
                    <w:adjustRightInd w:val="0"/>
                    <w:snapToGrid w:val="0"/>
                    <w:jc w:val="center"/>
                    <w:rPr>
                      <w:rFonts w:hint="default" w:ascii="Times New Roman" w:hAnsi="Times New Roman" w:cs="Times New Roman"/>
                      <w:color w:val="auto"/>
                      <w:szCs w:val="21"/>
                      <w:lang w:val="en-GB"/>
                    </w:rPr>
                  </w:pPr>
                </w:p>
              </w:tc>
            </w:tr>
            <w:tr w14:paraId="2B1D062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296" w:type="pct"/>
                  <w:tcBorders>
                    <w:tl2br w:val="nil"/>
                    <w:tr2bl w:val="nil"/>
                  </w:tcBorders>
                  <w:vAlign w:val="center"/>
                </w:tcPr>
                <w:p w14:paraId="3A19615C">
                  <w:pPr>
                    <w:widowControl/>
                    <w:adjustRightInd w:val="0"/>
                    <w:snapToGrid w:val="0"/>
                    <w:jc w:val="center"/>
                    <w:rPr>
                      <w:rFonts w:hint="eastAsia" w:ascii="Times New Roman" w:hAnsi="Times New Roman" w:eastAsia="宋体" w:cs="Times New Roman"/>
                      <w:color w:val="auto"/>
                      <w:kern w:val="0"/>
                      <w:szCs w:val="21"/>
                      <w:lang w:eastAsia="zh-CN" w:bidi="ar"/>
                    </w:rPr>
                  </w:pPr>
                  <w:r>
                    <w:rPr>
                      <w:rFonts w:hint="default" w:ascii="Times New Roman" w:hAnsi="Times New Roman" w:cs="Times New Roman"/>
                      <w:color w:val="auto"/>
                      <w:kern w:val="0"/>
                      <w:szCs w:val="21"/>
                      <w:lang w:bidi="ar"/>
                    </w:rPr>
                    <w:t>《病原微生物实验室生物安全通用准则》</w:t>
                  </w:r>
                </w:p>
              </w:tc>
              <w:tc>
                <w:tcPr>
                  <w:tcW w:w="1971" w:type="pct"/>
                  <w:tcBorders>
                    <w:tl2br w:val="nil"/>
                    <w:tr2bl w:val="nil"/>
                  </w:tcBorders>
                  <w:vAlign w:val="center"/>
                </w:tcPr>
                <w:p w14:paraId="7AB8C91B">
                  <w:pPr>
                    <w:widowControl/>
                    <w:adjustRightInd w:val="0"/>
                    <w:snapToGrid w:val="0"/>
                    <w:rPr>
                      <w:rFonts w:hint="default" w:ascii="Times New Roman" w:hAnsi="Times New Roman" w:cs="Times New Roman"/>
                      <w:color w:val="auto"/>
                      <w:kern w:val="0"/>
                      <w:szCs w:val="21"/>
                      <w:lang w:val="zh-CN" w:bidi="ar"/>
                    </w:rPr>
                  </w:pPr>
                  <w:r>
                    <w:rPr>
                      <w:rFonts w:hint="default" w:ascii="Times New Roman" w:hAnsi="Times New Roman" w:cs="Times New Roman"/>
                      <w:color w:val="auto"/>
                      <w:kern w:val="0"/>
                      <w:szCs w:val="21"/>
                      <w:lang w:bidi="ar"/>
                    </w:rPr>
                    <w:t>实验室选址、设计和建造应符合国家和地方建设规划、生物安全、环境保护和建筑技术规范等规定和要求。</w:t>
                  </w:r>
                </w:p>
              </w:tc>
              <w:tc>
                <w:tcPr>
                  <w:tcW w:w="1189" w:type="pct"/>
                  <w:vMerge w:val="continue"/>
                  <w:tcBorders>
                    <w:tl2br w:val="nil"/>
                    <w:tr2bl w:val="nil"/>
                  </w:tcBorders>
                  <w:vAlign w:val="center"/>
                </w:tcPr>
                <w:p w14:paraId="1E0803FA">
                  <w:pPr>
                    <w:pStyle w:val="65"/>
                    <w:snapToGrid w:val="0"/>
                    <w:jc w:val="both"/>
                    <w:rPr>
                      <w:rFonts w:hint="default" w:ascii="Times New Roman" w:hAnsi="Times New Roman" w:cs="Times New Roman"/>
                      <w:color w:val="auto"/>
                      <w:sz w:val="21"/>
                      <w:szCs w:val="21"/>
                      <w:lang w:val="en-GB"/>
                    </w:rPr>
                  </w:pPr>
                </w:p>
              </w:tc>
              <w:tc>
                <w:tcPr>
                  <w:tcW w:w="543" w:type="pct"/>
                  <w:vMerge w:val="continue"/>
                  <w:tcBorders>
                    <w:tl2br w:val="nil"/>
                    <w:tr2bl w:val="nil"/>
                  </w:tcBorders>
                  <w:vAlign w:val="center"/>
                </w:tcPr>
                <w:p w14:paraId="348D4857">
                  <w:pPr>
                    <w:adjustRightInd w:val="0"/>
                    <w:snapToGrid w:val="0"/>
                    <w:jc w:val="center"/>
                    <w:rPr>
                      <w:rFonts w:hint="default" w:ascii="Times New Roman" w:hAnsi="Times New Roman" w:cs="Times New Roman"/>
                      <w:color w:val="auto"/>
                      <w:szCs w:val="21"/>
                      <w:lang w:val="en-GB"/>
                    </w:rPr>
                  </w:pPr>
                </w:p>
              </w:tc>
            </w:tr>
          </w:tbl>
          <w:p w14:paraId="1380CF45">
            <w:pPr>
              <w:adjustRightInd w:val="0"/>
              <w:snapToGrid w:val="0"/>
              <w:spacing w:line="360" w:lineRule="auto"/>
              <w:rPr>
                <w:rFonts w:hint="default" w:ascii="Times New Roman" w:hAnsi="Times New Roman" w:cs="Times New Roman"/>
                <w:b/>
                <w:bCs/>
                <w:color w:val="auto"/>
                <w:sz w:val="24"/>
              </w:rPr>
            </w:pPr>
            <w:r>
              <w:rPr>
                <w:rFonts w:hint="default" w:ascii="Times New Roman" w:hAnsi="Times New Roman" w:cs="Times New Roman"/>
                <w:b/>
                <w:bCs/>
                <w:color w:val="auto"/>
                <w:sz w:val="24"/>
              </w:rPr>
              <w:t>（三）本项目与“三线一单”相符性分析</w:t>
            </w:r>
          </w:p>
          <w:p w14:paraId="42F3A82B">
            <w:pPr>
              <w:adjustRightInd w:val="0"/>
              <w:snapToGrid w:val="0"/>
              <w:spacing w:line="360" w:lineRule="auto"/>
              <w:ind w:firstLine="480" w:firstLineChars="200"/>
              <w:rPr>
                <w:rFonts w:hint="eastAsia" w:ascii="Times New Roman" w:hAnsi="Times New Roman" w:eastAsia="宋体" w:cs="Times New Roman"/>
                <w:color w:val="auto"/>
                <w:sz w:val="24"/>
                <w:szCs w:val="32"/>
                <w:lang w:val="en-US" w:eastAsia="zh-CN"/>
              </w:rPr>
            </w:pPr>
            <w:r>
              <w:rPr>
                <w:rFonts w:hint="default" w:ascii="Times New Roman" w:hAnsi="Times New Roman" w:cs="Times New Roman"/>
                <w:color w:val="auto"/>
                <w:sz w:val="24"/>
                <w:szCs w:val="32"/>
                <w:lang w:val="zh-CN"/>
              </w:rPr>
              <w:t>本项目与《</w:t>
            </w:r>
            <w:r>
              <w:rPr>
                <w:rFonts w:hint="default" w:ascii="Times New Roman" w:hAnsi="Times New Roman" w:cs="Times New Roman"/>
                <w:color w:val="auto"/>
                <w:sz w:val="24"/>
                <w:szCs w:val="32"/>
                <w:lang w:val="zh-CN" w:eastAsia="zh-CN"/>
              </w:rPr>
              <w:t>2023年西安市生态环境分区管控调整方案</w:t>
            </w:r>
            <w:r>
              <w:rPr>
                <w:rFonts w:hint="default" w:ascii="Times New Roman" w:hAnsi="Times New Roman" w:cs="Times New Roman"/>
                <w:color w:val="auto"/>
                <w:sz w:val="24"/>
                <w:szCs w:val="32"/>
                <w:lang w:val="zh-CN"/>
              </w:rPr>
              <w:t>》的符合性分析如</w:t>
            </w:r>
            <w:r>
              <w:rPr>
                <w:rFonts w:hint="eastAsia" w:cs="Times New Roman"/>
                <w:color w:val="auto"/>
                <w:sz w:val="24"/>
                <w:szCs w:val="32"/>
                <w:lang w:val="en-US" w:eastAsia="zh-CN"/>
              </w:rPr>
              <w:t>下。</w:t>
            </w:r>
          </w:p>
          <w:p w14:paraId="3B7B466E">
            <w:pPr>
              <w:adjustRightInd w:val="0"/>
              <w:snapToGrid w:val="0"/>
              <w:spacing w:line="360" w:lineRule="auto"/>
              <w:ind w:firstLine="482" w:firstLineChars="200"/>
              <w:rPr>
                <w:rFonts w:hint="default" w:ascii="Times New Roman" w:hAnsi="Times New Roman" w:cs="Times New Roman"/>
                <w:color w:val="auto"/>
                <w:sz w:val="24"/>
                <w:szCs w:val="32"/>
                <w:lang w:val="zh-CN"/>
              </w:rPr>
            </w:pPr>
            <w:r>
              <w:rPr>
                <w:rFonts w:hint="default" w:ascii="Times New Roman" w:hAnsi="Times New Roman" w:cs="Times New Roman"/>
                <w:b/>
                <w:bCs/>
                <w:color w:val="auto"/>
                <w:sz w:val="24"/>
                <w:szCs w:val="32"/>
              </w:rPr>
              <w:t>1、</w:t>
            </w:r>
            <w:r>
              <w:rPr>
                <w:rFonts w:hint="default" w:ascii="Times New Roman" w:hAnsi="Times New Roman" w:cs="Times New Roman"/>
                <w:b/>
                <w:bCs/>
                <w:color w:val="auto"/>
                <w:sz w:val="24"/>
                <w:szCs w:val="32"/>
                <w:lang w:val="zh-CN"/>
              </w:rPr>
              <w:t>“一图”：指的是规划或建设项目与环境管控单元对照分析示意图。</w:t>
            </w:r>
          </w:p>
          <w:p w14:paraId="76FBD653">
            <w:pPr>
              <w:adjustRightInd w:val="0"/>
              <w:snapToGrid w:val="0"/>
              <w:spacing w:line="360" w:lineRule="auto"/>
              <w:ind w:firstLine="480" w:firstLineChars="200"/>
              <w:rPr>
                <w:rFonts w:hint="default" w:ascii="Times New Roman" w:hAnsi="Times New Roman" w:cs="Times New Roman"/>
                <w:color w:val="auto"/>
                <w:sz w:val="24"/>
              </w:rPr>
            </w:pPr>
            <w:r>
              <w:rPr>
                <w:rFonts w:hint="eastAsia"/>
                <w:color w:val="auto"/>
                <w:spacing w:val="0"/>
                <w:sz w:val="24"/>
                <w:szCs w:val="32"/>
                <w:lang w:val="zh-CN"/>
              </w:rPr>
              <w:t>根据项目与西安市生态环境管控单元分布示意图的比对结果（</w:t>
            </w:r>
            <w:r>
              <w:rPr>
                <w:rFonts w:hint="eastAsia"/>
                <w:color w:val="auto"/>
                <w:spacing w:val="0"/>
                <w:sz w:val="24"/>
                <w:szCs w:val="32"/>
              </w:rPr>
              <w:t>附件</w:t>
            </w:r>
            <w:r>
              <w:rPr>
                <w:rFonts w:hint="eastAsia"/>
                <w:color w:val="auto"/>
                <w:spacing w:val="0"/>
                <w:sz w:val="24"/>
                <w:szCs w:val="32"/>
                <w:lang w:val="en-US" w:eastAsia="zh-CN"/>
              </w:rPr>
              <w:t>4</w:t>
            </w:r>
            <w:r>
              <w:rPr>
                <w:rFonts w:hint="eastAsia"/>
                <w:color w:val="auto"/>
                <w:spacing w:val="0"/>
                <w:sz w:val="24"/>
                <w:szCs w:val="32"/>
                <w:lang w:val="zh-CN"/>
              </w:rPr>
              <w:t>），</w:t>
            </w:r>
            <w:r>
              <w:rPr>
                <w:rFonts w:hint="eastAsia"/>
                <w:color w:val="auto"/>
                <w:spacing w:val="0"/>
                <w:sz w:val="24"/>
                <w:szCs w:val="32"/>
                <w:lang w:val="en-US" w:eastAsia="zh-CN"/>
              </w:rPr>
              <w:t>本项目</w:t>
            </w:r>
            <w:r>
              <w:rPr>
                <w:rFonts w:hint="eastAsia"/>
                <w:color w:val="auto"/>
                <w:spacing w:val="0"/>
                <w:sz w:val="24"/>
                <w:szCs w:val="32"/>
                <w:lang w:val="zh-CN"/>
              </w:rPr>
              <w:t>位于西安市重点管控单元，项目实施过程中应落实重点管控单元的相关要求，项目与西安市生态环境管控单元分布图比对结果见图</w:t>
            </w:r>
            <w:r>
              <w:rPr>
                <w:rFonts w:hint="eastAsia"/>
                <w:color w:val="auto"/>
                <w:spacing w:val="0"/>
                <w:sz w:val="24"/>
                <w:szCs w:val="32"/>
              </w:rPr>
              <w:t>1-1</w:t>
            </w:r>
            <w:r>
              <w:rPr>
                <w:rFonts w:hint="default" w:ascii="Times New Roman" w:hAnsi="Times New Roman" w:cs="Times New Roman"/>
                <w:color w:val="auto"/>
                <w:sz w:val="24"/>
                <w:szCs w:val="32"/>
                <w:lang w:val="zh-CN"/>
              </w:rPr>
              <w:t>。</w:t>
            </w:r>
          </w:p>
          <w:p w14:paraId="570667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lang w:val="zh-CN"/>
              </w:rPr>
            </w:pPr>
            <w:r>
              <w:rPr>
                <w:rFonts w:hint="default" w:ascii="Times New Roman" w:hAnsi="Times New Roman" w:cs="Times New Roman"/>
                <w:b/>
                <w:bCs/>
                <w:color w:val="auto"/>
                <w:lang w:val="zh-CN"/>
              </w:rPr>
              <w:drawing>
                <wp:inline distT="0" distB="0" distL="114300" distR="114300">
                  <wp:extent cx="4745355" cy="6710045"/>
                  <wp:effectExtent l="0" t="0" r="17145" b="14605"/>
                  <wp:docPr id="2" name="图片 2" descr="三线一单底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三线一单底图"/>
                          <pic:cNvPicPr>
                            <a:picLocks noChangeAspect="1"/>
                          </pic:cNvPicPr>
                        </pic:nvPicPr>
                        <pic:blipFill>
                          <a:blip r:embed="rId10"/>
                          <a:stretch>
                            <a:fillRect/>
                          </a:stretch>
                        </pic:blipFill>
                        <pic:spPr>
                          <a:xfrm>
                            <a:off x="0" y="0"/>
                            <a:ext cx="4745355" cy="6710045"/>
                          </a:xfrm>
                          <a:prstGeom prst="rect">
                            <a:avLst/>
                          </a:prstGeom>
                        </pic:spPr>
                      </pic:pic>
                    </a:graphicData>
                  </a:graphic>
                </wp:inline>
              </w:drawing>
            </w:r>
          </w:p>
          <w:p w14:paraId="226E7B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4"/>
                <w:lang w:val="en-US" w:eastAsia="zh-CN"/>
              </w:rPr>
            </w:pPr>
            <w:r>
              <w:rPr>
                <w:rFonts w:hint="default" w:ascii="Times New Roman" w:hAnsi="Times New Roman" w:cs="Times New Roman"/>
                <w:b/>
                <w:bCs/>
                <w:color w:val="auto"/>
                <w:lang w:val="zh-CN"/>
              </w:rPr>
              <w:t>图</w:t>
            </w:r>
            <w:r>
              <w:rPr>
                <w:rFonts w:hint="default" w:ascii="Times New Roman" w:hAnsi="Times New Roman" w:cs="Times New Roman"/>
                <w:b/>
                <w:bCs/>
                <w:color w:val="auto"/>
              </w:rPr>
              <w:t>1</w:t>
            </w:r>
            <w:r>
              <w:rPr>
                <w:rFonts w:hint="eastAsia" w:cs="Times New Roman"/>
                <w:b/>
                <w:bCs/>
                <w:color w:val="auto"/>
                <w:lang w:val="en-US" w:eastAsia="zh-CN"/>
              </w:rPr>
              <w:t xml:space="preserve">-1 </w:t>
            </w:r>
            <w:r>
              <w:rPr>
                <w:rFonts w:hint="default" w:ascii="Times New Roman" w:hAnsi="Times New Roman" w:cs="Times New Roman"/>
                <w:b/>
                <w:bCs/>
                <w:color w:val="auto"/>
              </w:rPr>
              <w:t>本项目与西安市生态环境管控单元比对示意图</w:t>
            </w:r>
          </w:p>
        </w:tc>
      </w:tr>
    </w:tbl>
    <w:p w14:paraId="1747E3C6">
      <w:pPr>
        <w:rPr>
          <w:rFonts w:hint="default" w:ascii="Times New Roman" w:hAnsi="Times New Roman" w:cs="Times New Roman"/>
          <w:color w:val="auto"/>
        </w:rPr>
      </w:pPr>
      <w:r>
        <w:rPr>
          <w:rFonts w:hint="default" w:ascii="Times New Roman" w:hAnsi="Times New Roman" w:cs="Times New Roman"/>
          <w:color w:val="auto"/>
        </w:rPr>
        <w:br w:type="page"/>
      </w:r>
    </w:p>
    <w:p w14:paraId="3BF9E205">
      <w:pPr>
        <w:autoSpaceDE w:val="0"/>
        <w:autoSpaceDN w:val="0"/>
        <w:adjustRightInd w:val="0"/>
        <w:snapToGrid w:val="0"/>
        <w:jc w:val="center"/>
        <w:rPr>
          <w:rFonts w:hint="default" w:ascii="Times New Roman" w:hAnsi="Times New Roman" w:cs="Times New Roman"/>
          <w:color w:val="auto"/>
          <w:kern w:val="0"/>
          <w:sz w:val="24"/>
        </w:rPr>
        <w:sectPr>
          <w:footerReference r:id="rId6" w:type="default"/>
          <w:pgSz w:w="11906" w:h="16838"/>
          <w:pgMar w:top="1440" w:right="1080" w:bottom="1440" w:left="1080"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9"/>
        <w:tblW w:w="490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3446"/>
      </w:tblGrid>
      <w:tr w14:paraId="53D39A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94" w:hRule="atLeast"/>
          <w:jc w:val="center"/>
        </w:trPr>
        <w:tc>
          <w:tcPr>
            <w:tcW w:w="161" w:type="pct"/>
            <w:vAlign w:val="center"/>
          </w:tcPr>
          <w:p w14:paraId="7C60B16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其他符合性分析</w:t>
            </w:r>
          </w:p>
        </w:tc>
        <w:tc>
          <w:tcPr>
            <w:tcW w:w="4838" w:type="pct"/>
            <w:vAlign w:val="center"/>
          </w:tcPr>
          <w:p w14:paraId="2482C996">
            <w:pPr>
              <w:adjustRightInd w:val="0"/>
              <w:snapToGrid w:val="0"/>
              <w:spacing w:line="360" w:lineRule="auto"/>
              <w:ind w:firstLine="482" w:firstLineChars="200"/>
              <w:rPr>
                <w:rFonts w:hint="default" w:ascii="Times New Roman" w:hAnsi="Times New Roman" w:cs="Times New Roman"/>
                <w:color w:val="auto"/>
                <w:sz w:val="24"/>
                <w:szCs w:val="32"/>
                <w:lang w:val="zh-CN"/>
              </w:rPr>
            </w:pPr>
            <w:r>
              <w:rPr>
                <w:rFonts w:hint="default" w:ascii="Times New Roman" w:hAnsi="Times New Roman" w:cs="Times New Roman"/>
                <w:b/>
                <w:bCs/>
                <w:color w:val="auto"/>
                <w:sz w:val="24"/>
                <w:szCs w:val="32"/>
              </w:rPr>
              <w:t>2、</w:t>
            </w:r>
            <w:r>
              <w:rPr>
                <w:rFonts w:hint="default" w:ascii="Times New Roman" w:hAnsi="Times New Roman" w:cs="Times New Roman"/>
                <w:b/>
                <w:bCs/>
                <w:color w:val="auto"/>
                <w:sz w:val="24"/>
                <w:szCs w:val="32"/>
                <w:lang w:val="zh-CN"/>
              </w:rPr>
              <w:t>“一表”：指的是项目或规划范围涉及的生态环境管控单元准入清单。</w:t>
            </w:r>
          </w:p>
          <w:p w14:paraId="487C3B0F">
            <w:pPr>
              <w:adjustRightInd w:val="0"/>
              <w:snapToGrid w:val="0"/>
              <w:spacing w:line="360" w:lineRule="auto"/>
              <w:ind w:firstLine="480" w:firstLineChars="200"/>
              <w:rPr>
                <w:rFonts w:hint="default" w:ascii="Times New Roman" w:hAnsi="Times New Roman" w:cs="Times New Roman"/>
                <w:color w:val="auto"/>
                <w:sz w:val="24"/>
                <w:szCs w:val="32"/>
                <w:lang w:val="zh-CN"/>
              </w:rPr>
            </w:pPr>
            <w:r>
              <w:rPr>
                <w:rFonts w:hint="default" w:ascii="Times New Roman" w:hAnsi="Times New Roman" w:cs="Times New Roman"/>
                <w:color w:val="auto"/>
                <w:sz w:val="24"/>
                <w:szCs w:val="32"/>
                <w:lang w:val="zh-CN"/>
              </w:rPr>
              <w:t>本项目位于重点管控单元，项目与西安市“三线一单”分区管控方案对比结果见表1-3。</w:t>
            </w:r>
          </w:p>
          <w:p w14:paraId="60F297CC">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表1-3项目与西安市“三线一单”生态环境分区管控方案对比分析表</w:t>
            </w:r>
          </w:p>
          <w:tbl>
            <w:tblPr>
              <w:tblStyle w:val="2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7"/>
              <w:gridCol w:w="345"/>
              <w:gridCol w:w="650"/>
              <w:gridCol w:w="666"/>
              <w:gridCol w:w="700"/>
              <w:gridCol w:w="5367"/>
              <w:gridCol w:w="817"/>
              <w:gridCol w:w="3616"/>
              <w:gridCol w:w="762"/>
            </w:tblGrid>
            <w:tr w14:paraId="4A36D1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116" w:type="pct"/>
                  <w:tcBorders>
                    <w:tl2br w:val="nil"/>
                    <w:tr2bl w:val="nil"/>
                  </w:tcBorders>
                  <w:vAlign w:val="center"/>
                </w:tcPr>
                <w:p w14:paraId="55B655C8">
                  <w:pPr>
                    <w:pStyle w:val="58"/>
                    <w:spacing w:before="0" w:after="0" w:line="240" w:lineRule="auto"/>
                    <w:ind w:right="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b/>
                      <w:bCs/>
                      <w:color w:val="auto"/>
                      <w:sz w:val="21"/>
                      <w:szCs w:val="21"/>
                    </w:rPr>
                    <w:t>市</w:t>
                  </w:r>
                </w:p>
              </w:tc>
              <w:tc>
                <w:tcPr>
                  <w:tcW w:w="130" w:type="pct"/>
                  <w:tcBorders>
                    <w:tl2br w:val="nil"/>
                    <w:tr2bl w:val="nil"/>
                  </w:tcBorders>
                  <w:vAlign w:val="center"/>
                </w:tcPr>
                <w:p w14:paraId="4F05D058">
                  <w:pPr>
                    <w:pStyle w:val="58"/>
                    <w:spacing w:before="0" w:after="0" w:line="240" w:lineRule="auto"/>
                    <w:ind w:right="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b/>
                      <w:bCs/>
                      <w:color w:val="auto"/>
                      <w:sz w:val="21"/>
                      <w:szCs w:val="21"/>
                    </w:rPr>
                    <w:t>区县</w:t>
                  </w:r>
                </w:p>
              </w:tc>
              <w:tc>
                <w:tcPr>
                  <w:tcW w:w="245" w:type="pct"/>
                  <w:tcBorders>
                    <w:tl2br w:val="nil"/>
                    <w:tr2bl w:val="nil"/>
                  </w:tcBorders>
                  <w:vAlign w:val="center"/>
                </w:tcPr>
                <w:p w14:paraId="2D168F05">
                  <w:pPr>
                    <w:pStyle w:val="58"/>
                    <w:spacing w:before="0" w:after="0" w:line="240" w:lineRule="auto"/>
                    <w:ind w:right="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b/>
                      <w:bCs/>
                      <w:color w:val="auto"/>
                      <w:sz w:val="21"/>
                      <w:szCs w:val="21"/>
                    </w:rPr>
                    <w:t>环境管控单元名称</w:t>
                  </w:r>
                </w:p>
              </w:tc>
              <w:tc>
                <w:tcPr>
                  <w:tcW w:w="251" w:type="pct"/>
                  <w:tcBorders>
                    <w:tl2br w:val="nil"/>
                    <w:tr2bl w:val="nil"/>
                  </w:tcBorders>
                  <w:vAlign w:val="center"/>
                </w:tcPr>
                <w:p w14:paraId="55797E7E">
                  <w:pPr>
                    <w:pStyle w:val="58"/>
                    <w:spacing w:before="0" w:after="0" w:line="240" w:lineRule="auto"/>
                    <w:ind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单元要素属性</w:t>
                  </w:r>
                </w:p>
              </w:tc>
              <w:tc>
                <w:tcPr>
                  <w:tcW w:w="2292" w:type="pct"/>
                  <w:gridSpan w:val="2"/>
                  <w:tcBorders>
                    <w:tl2br w:val="nil"/>
                    <w:tr2bl w:val="nil"/>
                  </w:tcBorders>
                  <w:vAlign w:val="center"/>
                </w:tcPr>
                <w:p w14:paraId="7E77D771">
                  <w:pPr>
                    <w:pStyle w:val="58"/>
                    <w:spacing w:before="0" w:after="0" w:line="240" w:lineRule="auto"/>
                    <w:ind w:right="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b/>
                      <w:bCs/>
                      <w:color w:val="auto"/>
                      <w:sz w:val="21"/>
                      <w:szCs w:val="21"/>
                    </w:rPr>
                    <w:t>管控要求</w:t>
                  </w:r>
                </w:p>
              </w:tc>
              <w:tc>
                <w:tcPr>
                  <w:tcW w:w="308" w:type="pct"/>
                  <w:tcBorders>
                    <w:tl2br w:val="nil"/>
                    <w:tr2bl w:val="nil"/>
                  </w:tcBorders>
                  <w:vAlign w:val="center"/>
                </w:tcPr>
                <w:p w14:paraId="5691048F">
                  <w:pPr>
                    <w:pStyle w:val="58"/>
                    <w:spacing w:before="0" w:after="0" w:line="240" w:lineRule="auto"/>
                    <w:ind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面积</w:t>
                  </w:r>
                </w:p>
              </w:tc>
              <w:tc>
                <w:tcPr>
                  <w:tcW w:w="1366" w:type="pct"/>
                  <w:tcBorders>
                    <w:tl2br w:val="nil"/>
                    <w:tr2bl w:val="nil"/>
                  </w:tcBorders>
                  <w:vAlign w:val="center"/>
                </w:tcPr>
                <w:p w14:paraId="1468BB31">
                  <w:pPr>
                    <w:pStyle w:val="58"/>
                    <w:spacing w:before="0" w:after="0" w:line="240" w:lineRule="auto"/>
                    <w:ind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项目情况</w:t>
                  </w:r>
                </w:p>
              </w:tc>
              <w:tc>
                <w:tcPr>
                  <w:tcW w:w="287" w:type="pct"/>
                  <w:tcBorders>
                    <w:tl2br w:val="nil"/>
                    <w:tr2bl w:val="nil"/>
                  </w:tcBorders>
                  <w:vAlign w:val="center"/>
                </w:tcPr>
                <w:p w14:paraId="10E20718">
                  <w:pPr>
                    <w:pStyle w:val="58"/>
                    <w:spacing w:before="0" w:after="0" w:line="240" w:lineRule="auto"/>
                    <w:ind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符合性</w:t>
                  </w:r>
                </w:p>
              </w:tc>
            </w:tr>
            <w:tr w14:paraId="3C74FF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116" w:type="pct"/>
                  <w:vMerge w:val="restart"/>
                  <w:tcBorders>
                    <w:tl2br w:val="nil"/>
                    <w:tr2bl w:val="nil"/>
                  </w:tcBorders>
                  <w:vAlign w:val="center"/>
                </w:tcPr>
                <w:p w14:paraId="340A34ED">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西安市</w:t>
                  </w:r>
                </w:p>
              </w:tc>
              <w:tc>
                <w:tcPr>
                  <w:tcW w:w="130" w:type="pct"/>
                  <w:vMerge w:val="restart"/>
                  <w:tcBorders>
                    <w:tl2br w:val="nil"/>
                    <w:tr2bl w:val="nil"/>
                  </w:tcBorders>
                  <w:vAlign w:val="center"/>
                </w:tcPr>
                <w:p w14:paraId="069D29AA">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莲湖区</w:t>
                  </w:r>
                </w:p>
              </w:tc>
              <w:tc>
                <w:tcPr>
                  <w:tcW w:w="245" w:type="pct"/>
                  <w:vMerge w:val="restart"/>
                  <w:tcBorders>
                    <w:tl2br w:val="nil"/>
                    <w:tr2bl w:val="nil"/>
                  </w:tcBorders>
                  <w:vAlign w:val="center"/>
                </w:tcPr>
                <w:p w14:paraId="56540FC3">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重点管控单元</w:t>
                  </w:r>
                </w:p>
              </w:tc>
              <w:tc>
                <w:tcPr>
                  <w:tcW w:w="251" w:type="pct"/>
                  <w:vMerge w:val="restart"/>
                  <w:tcBorders>
                    <w:tl2br w:val="nil"/>
                    <w:tr2bl w:val="nil"/>
                  </w:tcBorders>
                  <w:vAlign w:val="center"/>
                </w:tcPr>
                <w:p w14:paraId="3EFD839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水环境城镇</w:t>
                  </w:r>
                  <w:r>
                    <w:rPr>
                      <w:rFonts w:hint="eastAsia" w:cs="Times New Roman"/>
                      <w:color w:val="auto"/>
                      <w:szCs w:val="21"/>
                      <w:lang w:val="en-US" w:eastAsia="zh-CN"/>
                    </w:rPr>
                    <w:t>生活</w:t>
                  </w:r>
                  <w:r>
                    <w:rPr>
                      <w:rFonts w:hint="default" w:ascii="Times New Roman" w:hAnsi="Times New Roman" w:cs="Times New Roman"/>
                      <w:color w:val="auto"/>
                      <w:szCs w:val="21"/>
                    </w:rPr>
                    <w:t>污染重点管控区</w:t>
                  </w:r>
                </w:p>
              </w:tc>
              <w:tc>
                <w:tcPr>
                  <w:tcW w:w="264" w:type="pct"/>
                  <w:tcBorders>
                    <w:tl2br w:val="nil"/>
                    <w:tr2bl w:val="nil"/>
                  </w:tcBorders>
                  <w:vAlign w:val="center"/>
                </w:tcPr>
                <w:p w14:paraId="1911928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空间布局约束</w:t>
                  </w:r>
                </w:p>
              </w:tc>
              <w:tc>
                <w:tcPr>
                  <w:tcW w:w="2028" w:type="pct"/>
                  <w:tcBorders>
                    <w:tl2br w:val="nil"/>
                    <w:tr2bl w:val="nil"/>
                  </w:tcBorders>
                  <w:vAlign w:val="center"/>
                </w:tcPr>
                <w:p w14:paraId="5458CB02">
                  <w:pPr>
                    <w:widowControl/>
                    <w:adjustRightInd w:val="0"/>
                    <w:snapToGrid w:val="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1.持续推进城中村、老旧城区、城乡结合部污水截流、收集和城市雨污管道新建、改建。</w:t>
                  </w:r>
                </w:p>
              </w:tc>
              <w:tc>
                <w:tcPr>
                  <w:tcW w:w="308" w:type="pct"/>
                  <w:vMerge w:val="restart"/>
                  <w:tcBorders>
                    <w:tl2br w:val="nil"/>
                    <w:tr2bl w:val="nil"/>
                  </w:tcBorders>
                  <w:vAlign w:val="center"/>
                </w:tcPr>
                <w:p w14:paraId="6D70E5DD">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365.</w:t>
                  </w:r>
                  <w:r>
                    <w:rPr>
                      <w:rFonts w:hint="eastAsia" w:cs="Times New Roman"/>
                      <w:color w:val="auto"/>
                      <w:sz w:val="21"/>
                      <w:szCs w:val="21"/>
                      <w:lang w:val="en-US" w:eastAsia="zh-CN"/>
                    </w:rPr>
                    <w:t>21</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1366" w:type="pct"/>
                  <w:vMerge w:val="restart"/>
                  <w:tcBorders>
                    <w:tl2br w:val="nil"/>
                    <w:tr2bl w:val="nil"/>
                  </w:tcBorders>
                  <w:vAlign w:val="center"/>
                </w:tcPr>
                <w:p w14:paraId="1F2F3CD5">
                  <w:pPr>
                    <w:pStyle w:val="58"/>
                    <w:spacing w:before="0" w:after="0" w:line="240" w:lineRule="auto"/>
                    <w:ind w:right="0"/>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GB"/>
                    </w:rPr>
                    <w:t>本项目实验室废液收集后作为危险废物，定期交由有资质单位处置。实验器材清洗废水</w:t>
                  </w:r>
                  <w:r>
                    <w:rPr>
                      <w:rFonts w:hint="eastAsia" w:cs="Times New Roman"/>
                      <w:color w:val="auto"/>
                      <w:sz w:val="21"/>
                      <w:szCs w:val="21"/>
                      <w:lang w:val="en-US" w:eastAsia="zh-CN"/>
                    </w:rPr>
                    <w:t>和实验室的清洁废水</w:t>
                  </w:r>
                  <w:r>
                    <w:rPr>
                      <w:rFonts w:hint="default" w:ascii="Times New Roman" w:hAnsi="Times New Roman" w:cs="Times New Roman"/>
                      <w:color w:val="auto"/>
                      <w:sz w:val="21"/>
                      <w:szCs w:val="21"/>
                      <w:lang w:val="en-GB"/>
                    </w:rPr>
                    <w:t>收集经</w:t>
                  </w:r>
                  <w:r>
                    <w:rPr>
                      <w:rFonts w:hint="eastAsia" w:cs="Times New Roman"/>
                      <w:color w:val="auto"/>
                      <w:sz w:val="21"/>
                      <w:szCs w:val="21"/>
                      <w:lang w:val="en-US" w:eastAsia="zh-CN"/>
                    </w:rPr>
                    <w:t>酸碱中和池处理</w:t>
                  </w:r>
                  <w:r>
                    <w:rPr>
                      <w:rFonts w:hint="default" w:ascii="Times New Roman" w:hAnsi="Times New Roman" w:cs="Times New Roman"/>
                      <w:color w:val="auto"/>
                      <w:sz w:val="21"/>
                      <w:szCs w:val="21"/>
                      <w:lang w:val="en-GB"/>
                    </w:rPr>
                    <w:t>后与纯水制备浓水、生活污水一同进入</w:t>
                  </w:r>
                  <w:r>
                    <w:rPr>
                      <w:rFonts w:hint="eastAsia" w:cs="Times New Roman"/>
                      <w:color w:val="auto"/>
                      <w:sz w:val="21"/>
                      <w:szCs w:val="21"/>
                      <w:highlight w:val="none"/>
                      <w:lang w:val="en-US" w:eastAsia="zh-CN"/>
                    </w:rPr>
                    <w:t>公共化粪池</w:t>
                  </w:r>
                  <w:r>
                    <w:rPr>
                      <w:rFonts w:hint="default" w:ascii="Times New Roman" w:hAnsi="Times New Roman" w:cs="Times New Roman"/>
                      <w:color w:val="auto"/>
                      <w:sz w:val="21"/>
                      <w:szCs w:val="21"/>
                      <w:lang w:val="en-GB"/>
                    </w:rPr>
                    <w:t>处理，</w:t>
                  </w:r>
                  <w:r>
                    <w:rPr>
                      <w:rFonts w:hint="eastAsia" w:cs="Times New Roman"/>
                      <w:color w:val="auto"/>
                      <w:sz w:val="21"/>
                      <w:szCs w:val="21"/>
                      <w:lang w:val="en-US" w:eastAsia="zh-CN"/>
                    </w:rPr>
                    <w:t>后排入市政污水管网最终进入西安市第一污水处理厂</w:t>
                  </w:r>
                  <w:r>
                    <w:rPr>
                      <w:rFonts w:hint="default" w:ascii="Times New Roman" w:hAnsi="Times New Roman" w:cs="Times New Roman"/>
                      <w:color w:val="auto"/>
                      <w:sz w:val="21"/>
                      <w:szCs w:val="21"/>
                      <w:lang w:val="en-GB"/>
                    </w:rPr>
                    <w:t>进一步处理。经计算本项目各污染物排放浓度可满足《污水综合排放标准》（GB8978-1996）</w:t>
                  </w:r>
                  <w:r>
                    <w:rPr>
                      <w:rFonts w:hint="eastAsia" w:cs="Times New Roman"/>
                      <w:color w:val="auto"/>
                      <w:sz w:val="21"/>
                      <w:szCs w:val="21"/>
                      <w:lang w:val="en-US" w:eastAsia="zh-CN"/>
                    </w:rPr>
                    <w:t>三级</w:t>
                  </w:r>
                  <w:r>
                    <w:rPr>
                      <w:rFonts w:hint="default" w:ascii="Times New Roman" w:hAnsi="Times New Roman" w:cs="Times New Roman"/>
                      <w:color w:val="auto"/>
                      <w:sz w:val="21"/>
                      <w:szCs w:val="21"/>
                      <w:lang w:val="en-GB"/>
                    </w:rPr>
                    <w:t>标准要求</w:t>
                  </w:r>
                  <w:r>
                    <w:rPr>
                      <w:rFonts w:hint="eastAsia" w:cs="Times New Roman"/>
                      <w:color w:val="auto"/>
                      <w:sz w:val="21"/>
                      <w:szCs w:val="21"/>
                      <w:lang w:val="en-US" w:eastAsia="zh-CN"/>
                    </w:rPr>
                    <w:t>和《污水排入城镇下水道水质标准》（GB/T31962-2015）A级标准。西安市第一污水处理厂出水达到《陕西省黄河流域污水综合排放标准》（DB61/224-2018）排放限值要求。</w:t>
                  </w:r>
                </w:p>
              </w:tc>
              <w:tc>
                <w:tcPr>
                  <w:tcW w:w="287" w:type="pct"/>
                  <w:vMerge w:val="restart"/>
                  <w:tcBorders>
                    <w:tl2br w:val="nil"/>
                    <w:tr2bl w:val="nil"/>
                  </w:tcBorders>
                  <w:vAlign w:val="center"/>
                </w:tcPr>
                <w:p w14:paraId="723D806E">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43677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4" w:hRule="atLeast"/>
                <w:jc w:val="center"/>
              </w:trPr>
              <w:tc>
                <w:tcPr>
                  <w:tcW w:w="116" w:type="pct"/>
                  <w:vMerge w:val="continue"/>
                  <w:tcBorders>
                    <w:tl2br w:val="nil"/>
                    <w:tr2bl w:val="nil"/>
                  </w:tcBorders>
                  <w:vAlign w:val="center"/>
                </w:tcPr>
                <w:p w14:paraId="6F8D427B">
                  <w:pPr>
                    <w:pStyle w:val="58"/>
                    <w:spacing w:before="0" w:after="0" w:line="240" w:lineRule="auto"/>
                    <w:ind w:right="0"/>
                    <w:jc w:val="center"/>
                    <w:rPr>
                      <w:rFonts w:hint="default" w:ascii="Times New Roman" w:hAnsi="Times New Roman" w:cs="Times New Roman"/>
                      <w:color w:val="auto"/>
                      <w:sz w:val="21"/>
                      <w:szCs w:val="21"/>
                    </w:rPr>
                  </w:pPr>
                </w:p>
              </w:tc>
              <w:tc>
                <w:tcPr>
                  <w:tcW w:w="130" w:type="pct"/>
                  <w:vMerge w:val="continue"/>
                  <w:tcBorders>
                    <w:tl2br w:val="nil"/>
                    <w:tr2bl w:val="nil"/>
                  </w:tcBorders>
                  <w:vAlign w:val="center"/>
                </w:tcPr>
                <w:p w14:paraId="193C6405">
                  <w:pPr>
                    <w:pStyle w:val="58"/>
                    <w:spacing w:before="0" w:after="0" w:line="240" w:lineRule="auto"/>
                    <w:ind w:right="0"/>
                    <w:jc w:val="center"/>
                    <w:rPr>
                      <w:rFonts w:hint="default" w:ascii="Times New Roman" w:hAnsi="Times New Roman" w:cs="Times New Roman"/>
                      <w:color w:val="auto"/>
                      <w:sz w:val="21"/>
                      <w:szCs w:val="21"/>
                    </w:rPr>
                  </w:pPr>
                </w:p>
              </w:tc>
              <w:tc>
                <w:tcPr>
                  <w:tcW w:w="245" w:type="pct"/>
                  <w:vMerge w:val="continue"/>
                  <w:tcBorders>
                    <w:tl2br w:val="nil"/>
                    <w:tr2bl w:val="nil"/>
                  </w:tcBorders>
                  <w:vAlign w:val="center"/>
                </w:tcPr>
                <w:p w14:paraId="3CD5C6B1">
                  <w:pPr>
                    <w:pStyle w:val="58"/>
                    <w:spacing w:before="0" w:after="0" w:line="240" w:lineRule="auto"/>
                    <w:ind w:right="0"/>
                    <w:jc w:val="center"/>
                    <w:rPr>
                      <w:rFonts w:hint="default" w:ascii="Times New Roman" w:hAnsi="Times New Roman" w:cs="Times New Roman"/>
                      <w:color w:val="auto"/>
                      <w:sz w:val="21"/>
                      <w:szCs w:val="21"/>
                    </w:rPr>
                  </w:pPr>
                </w:p>
              </w:tc>
              <w:tc>
                <w:tcPr>
                  <w:tcW w:w="251" w:type="pct"/>
                  <w:vMerge w:val="continue"/>
                  <w:tcBorders>
                    <w:tl2br w:val="nil"/>
                    <w:tr2bl w:val="nil"/>
                  </w:tcBorders>
                  <w:vAlign w:val="center"/>
                </w:tcPr>
                <w:p w14:paraId="70345AF3">
                  <w:pPr>
                    <w:adjustRightInd w:val="0"/>
                    <w:snapToGrid w:val="0"/>
                    <w:jc w:val="center"/>
                    <w:rPr>
                      <w:rFonts w:hint="default" w:ascii="Times New Roman" w:hAnsi="Times New Roman" w:cs="Times New Roman"/>
                      <w:color w:val="auto"/>
                      <w:szCs w:val="21"/>
                    </w:rPr>
                  </w:pPr>
                </w:p>
              </w:tc>
              <w:tc>
                <w:tcPr>
                  <w:tcW w:w="264" w:type="pct"/>
                  <w:tcBorders>
                    <w:tl2br w:val="nil"/>
                    <w:tr2bl w:val="nil"/>
                  </w:tcBorders>
                  <w:vAlign w:val="center"/>
                </w:tcPr>
                <w:p w14:paraId="367B368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污染物排放管控</w:t>
                  </w:r>
                </w:p>
              </w:tc>
              <w:tc>
                <w:tcPr>
                  <w:tcW w:w="2028" w:type="pct"/>
                  <w:tcBorders>
                    <w:tl2br w:val="nil"/>
                    <w:tr2bl w:val="nil"/>
                  </w:tcBorders>
                  <w:vAlign w:val="center"/>
                </w:tcPr>
                <w:p w14:paraId="670F4759">
                  <w:pPr>
                    <w:widowControl/>
                    <w:adjustRightInd w:val="0"/>
                    <w:snapToGrid w:val="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1.加强城镇污水收集处理设施建设与提标改造。城镇生活污水处理达到《陕西省黄河流域污水综合排放标准》（DB61/224-2018）排放限值要求。</w:t>
                  </w:r>
                </w:p>
                <w:p w14:paraId="60532B48">
                  <w:pPr>
                    <w:widowControl/>
                    <w:adjustRightInd w:val="0"/>
                    <w:snapToGrid w:val="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2.城镇</w:t>
                  </w:r>
                  <w:r>
                    <w:rPr>
                      <w:rFonts w:hint="eastAsia" w:cs="Times New Roman"/>
                      <w:color w:val="auto"/>
                      <w:kern w:val="0"/>
                      <w:szCs w:val="21"/>
                      <w:lang w:val="en-US" w:eastAsia="zh-CN" w:bidi="ar"/>
                    </w:rPr>
                    <w:t>新</w:t>
                  </w:r>
                  <w:r>
                    <w:rPr>
                      <w:rFonts w:hint="default" w:ascii="Times New Roman" w:hAnsi="Times New Roman" w:cs="Times New Roman"/>
                      <w:color w:val="auto"/>
                      <w:kern w:val="0"/>
                      <w:szCs w:val="21"/>
                      <w:lang w:bidi="ar"/>
                    </w:rPr>
                    <w:t>区管网建设及老旧城区管网升级改造中实行雨污分流，鼓励推进初期雨水收集、处理和资源化利用，建设人工湿地水质净化工程，对处理达标后的尾水进一步净化。</w:t>
                  </w:r>
                </w:p>
                <w:p w14:paraId="2FE754D9">
                  <w:pPr>
                    <w:widowControl/>
                    <w:adjustRightInd w:val="0"/>
                    <w:snapToGrid w:val="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3.污水处理厂出水用于绿化、农灌等用途的，合理确定管控要求，确保达到相应污水再生利用标准。</w:t>
                  </w:r>
                </w:p>
              </w:tc>
              <w:tc>
                <w:tcPr>
                  <w:tcW w:w="308" w:type="pct"/>
                  <w:vMerge w:val="continue"/>
                  <w:tcBorders>
                    <w:tl2br w:val="nil"/>
                    <w:tr2bl w:val="nil"/>
                  </w:tcBorders>
                  <w:vAlign w:val="center"/>
                </w:tcPr>
                <w:p w14:paraId="58AEDC14">
                  <w:pPr>
                    <w:pStyle w:val="58"/>
                    <w:spacing w:before="0" w:after="0" w:line="240" w:lineRule="auto"/>
                    <w:ind w:right="0"/>
                    <w:jc w:val="center"/>
                    <w:rPr>
                      <w:rFonts w:hint="default" w:ascii="Times New Roman" w:hAnsi="Times New Roman" w:cs="Times New Roman"/>
                      <w:color w:val="auto"/>
                      <w:sz w:val="21"/>
                      <w:szCs w:val="21"/>
                    </w:rPr>
                  </w:pPr>
                </w:p>
              </w:tc>
              <w:tc>
                <w:tcPr>
                  <w:tcW w:w="1366" w:type="pct"/>
                  <w:vMerge w:val="continue"/>
                  <w:tcBorders>
                    <w:tl2br w:val="nil"/>
                    <w:tr2bl w:val="nil"/>
                  </w:tcBorders>
                  <w:vAlign w:val="center"/>
                </w:tcPr>
                <w:p w14:paraId="473DBD89">
                  <w:pPr>
                    <w:pStyle w:val="58"/>
                    <w:spacing w:before="0" w:after="0" w:line="240" w:lineRule="auto"/>
                    <w:ind w:right="0"/>
                    <w:rPr>
                      <w:rFonts w:hint="default" w:ascii="Times New Roman" w:hAnsi="Times New Roman" w:cs="Times New Roman"/>
                      <w:color w:val="auto"/>
                      <w:sz w:val="21"/>
                      <w:szCs w:val="21"/>
                    </w:rPr>
                  </w:pPr>
                </w:p>
              </w:tc>
              <w:tc>
                <w:tcPr>
                  <w:tcW w:w="287" w:type="pct"/>
                  <w:vMerge w:val="continue"/>
                  <w:tcBorders>
                    <w:tl2br w:val="nil"/>
                    <w:tr2bl w:val="nil"/>
                  </w:tcBorders>
                  <w:vAlign w:val="center"/>
                </w:tcPr>
                <w:p w14:paraId="269D1B8B">
                  <w:pPr>
                    <w:pStyle w:val="58"/>
                    <w:spacing w:before="0" w:after="0" w:line="240" w:lineRule="auto"/>
                    <w:ind w:right="0"/>
                    <w:jc w:val="center"/>
                    <w:rPr>
                      <w:rFonts w:hint="default" w:ascii="Times New Roman" w:hAnsi="Times New Roman" w:cs="Times New Roman"/>
                      <w:color w:val="auto"/>
                      <w:sz w:val="21"/>
                      <w:szCs w:val="21"/>
                    </w:rPr>
                  </w:pPr>
                </w:p>
              </w:tc>
            </w:tr>
            <w:tr w14:paraId="0675C2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116" w:type="pct"/>
                  <w:vMerge w:val="continue"/>
                  <w:tcBorders>
                    <w:tl2br w:val="nil"/>
                    <w:tr2bl w:val="nil"/>
                  </w:tcBorders>
                  <w:vAlign w:val="center"/>
                </w:tcPr>
                <w:p w14:paraId="6FE7533B">
                  <w:pPr>
                    <w:pStyle w:val="58"/>
                    <w:spacing w:before="0" w:after="0" w:line="240" w:lineRule="auto"/>
                    <w:ind w:right="0"/>
                    <w:jc w:val="center"/>
                    <w:rPr>
                      <w:rFonts w:hint="default" w:ascii="Times New Roman" w:hAnsi="Times New Roman" w:cs="Times New Roman"/>
                      <w:color w:val="auto"/>
                      <w:sz w:val="21"/>
                      <w:szCs w:val="21"/>
                    </w:rPr>
                  </w:pPr>
                </w:p>
              </w:tc>
              <w:tc>
                <w:tcPr>
                  <w:tcW w:w="130" w:type="pct"/>
                  <w:vMerge w:val="continue"/>
                  <w:tcBorders>
                    <w:tl2br w:val="nil"/>
                    <w:tr2bl w:val="nil"/>
                  </w:tcBorders>
                  <w:vAlign w:val="center"/>
                </w:tcPr>
                <w:p w14:paraId="1870F067">
                  <w:pPr>
                    <w:pStyle w:val="58"/>
                    <w:spacing w:before="0" w:after="0" w:line="240" w:lineRule="auto"/>
                    <w:ind w:right="0"/>
                    <w:jc w:val="center"/>
                    <w:rPr>
                      <w:rFonts w:hint="default" w:ascii="Times New Roman" w:hAnsi="Times New Roman" w:cs="Times New Roman"/>
                      <w:color w:val="auto"/>
                      <w:sz w:val="21"/>
                      <w:szCs w:val="21"/>
                    </w:rPr>
                  </w:pPr>
                </w:p>
              </w:tc>
              <w:tc>
                <w:tcPr>
                  <w:tcW w:w="245" w:type="pct"/>
                  <w:vMerge w:val="continue"/>
                  <w:tcBorders>
                    <w:tl2br w:val="nil"/>
                    <w:tr2bl w:val="nil"/>
                  </w:tcBorders>
                  <w:vAlign w:val="center"/>
                </w:tcPr>
                <w:p w14:paraId="3FC35D89">
                  <w:pPr>
                    <w:pStyle w:val="58"/>
                    <w:spacing w:before="0" w:after="0" w:line="240" w:lineRule="auto"/>
                    <w:ind w:right="0"/>
                    <w:jc w:val="center"/>
                    <w:rPr>
                      <w:rFonts w:hint="default" w:ascii="Times New Roman" w:hAnsi="Times New Roman" w:cs="Times New Roman"/>
                      <w:color w:val="auto"/>
                      <w:sz w:val="21"/>
                      <w:szCs w:val="21"/>
                    </w:rPr>
                  </w:pPr>
                </w:p>
              </w:tc>
              <w:tc>
                <w:tcPr>
                  <w:tcW w:w="251" w:type="pct"/>
                  <w:vMerge w:val="restart"/>
                  <w:tcBorders>
                    <w:tl2br w:val="nil"/>
                    <w:tr2bl w:val="nil"/>
                  </w:tcBorders>
                  <w:vAlign w:val="center"/>
                </w:tcPr>
                <w:p w14:paraId="44E81A8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大气环境受体敏感重点管控区</w:t>
                  </w:r>
                </w:p>
              </w:tc>
              <w:tc>
                <w:tcPr>
                  <w:tcW w:w="264" w:type="pct"/>
                  <w:tcBorders>
                    <w:tl2br w:val="nil"/>
                    <w:tr2bl w:val="nil"/>
                  </w:tcBorders>
                  <w:vAlign w:val="center"/>
                </w:tcPr>
                <w:p w14:paraId="10D43ED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空间布局约束</w:t>
                  </w:r>
                </w:p>
              </w:tc>
              <w:tc>
                <w:tcPr>
                  <w:tcW w:w="2028" w:type="pct"/>
                  <w:tcBorders>
                    <w:tl2br w:val="nil"/>
                    <w:tr2bl w:val="nil"/>
                  </w:tcBorders>
                  <w:vAlign w:val="center"/>
                </w:tcPr>
                <w:p w14:paraId="7C59C321">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1.严格控制新增《陕西省“两高”项目管理暂行目录》行业项目（民生等项目除外，后续对“两高”范围国家如有新规定的，从其规定）。</w:t>
                  </w:r>
                </w:p>
                <w:p w14:paraId="7F46AAEC">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2.严禁新增钢铁、焦化、水泥熟料、平板玻璃、电解铝、氧化铝、煤化工产能。</w:t>
                  </w:r>
                </w:p>
                <w:p w14:paraId="6BBBC68A">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3.推动重污染企业搬迁入园或依法关闭。</w:t>
                  </w:r>
                </w:p>
              </w:tc>
              <w:tc>
                <w:tcPr>
                  <w:tcW w:w="308" w:type="pct"/>
                  <w:vMerge w:val="continue"/>
                  <w:tcBorders>
                    <w:tl2br w:val="nil"/>
                    <w:tr2bl w:val="nil"/>
                  </w:tcBorders>
                  <w:vAlign w:val="center"/>
                </w:tcPr>
                <w:p w14:paraId="1DBC9059">
                  <w:pPr>
                    <w:pStyle w:val="58"/>
                    <w:spacing w:before="0" w:after="0" w:line="240" w:lineRule="auto"/>
                    <w:ind w:right="0"/>
                    <w:jc w:val="center"/>
                    <w:rPr>
                      <w:rFonts w:hint="default" w:ascii="Times New Roman" w:hAnsi="Times New Roman" w:cs="Times New Roman"/>
                      <w:color w:val="auto"/>
                      <w:sz w:val="21"/>
                      <w:szCs w:val="21"/>
                    </w:rPr>
                  </w:pPr>
                </w:p>
              </w:tc>
              <w:tc>
                <w:tcPr>
                  <w:tcW w:w="1366" w:type="pct"/>
                  <w:tcBorders>
                    <w:tl2br w:val="nil"/>
                    <w:tr2bl w:val="nil"/>
                  </w:tcBorders>
                  <w:vAlign w:val="center"/>
                </w:tcPr>
                <w:p w14:paraId="65FA75AE">
                  <w:pPr>
                    <w:pStyle w:val="58"/>
                    <w:spacing w:before="0" w:after="0" w:line="240" w:lineRule="auto"/>
                    <w:ind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w:t>
                  </w:r>
                  <w:r>
                    <w:rPr>
                      <w:rFonts w:hint="default" w:ascii="Times New Roman" w:hAnsi="Times New Roman" w:cs="Times New Roman"/>
                      <w:color w:val="auto"/>
                      <w:sz w:val="21"/>
                      <w:szCs w:val="21"/>
                      <w:lang w:val="en-GB"/>
                    </w:rPr>
                    <w:t>为检测实验室项目，</w:t>
                  </w:r>
                  <w:r>
                    <w:rPr>
                      <w:rFonts w:hint="default" w:ascii="Times New Roman" w:hAnsi="Times New Roman" w:cs="Times New Roman"/>
                      <w:color w:val="auto"/>
                      <w:sz w:val="21"/>
                      <w:szCs w:val="21"/>
                    </w:rPr>
                    <w:t>不属于</w:t>
                  </w:r>
                  <w:r>
                    <w:rPr>
                      <w:rFonts w:hint="eastAsia" w:cs="Times New Roman"/>
                      <w:color w:val="auto"/>
                      <w:sz w:val="21"/>
                      <w:szCs w:val="21"/>
                      <w:lang w:eastAsia="zh-CN"/>
                    </w:rPr>
                    <w:t>“</w:t>
                  </w:r>
                  <w:r>
                    <w:rPr>
                      <w:rFonts w:hint="eastAsia" w:cs="Times New Roman"/>
                      <w:color w:val="auto"/>
                      <w:sz w:val="21"/>
                      <w:szCs w:val="21"/>
                      <w:lang w:val="en-US" w:eastAsia="zh-CN"/>
                    </w:rPr>
                    <w:t>两高</w:t>
                  </w:r>
                  <w:r>
                    <w:rPr>
                      <w:rFonts w:hint="eastAsia" w:cs="Times New Roman"/>
                      <w:color w:val="auto"/>
                      <w:sz w:val="21"/>
                      <w:szCs w:val="21"/>
                      <w:lang w:eastAsia="zh-CN"/>
                    </w:rPr>
                    <w:t>”</w:t>
                  </w:r>
                  <w:r>
                    <w:rPr>
                      <w:rFonts w:hint="default" w:ascii="Times New Roman" w:hAnsi="Times New Roman" w:cs="Times New Roman"/>
                      <w:color w:val="auto"/>
                      <w:sz w:val="21"/>
                      <w:szCs w:val="21"/>
                    </w:rPr>
                    <w:t>项目</w:t>
                  </w:r>
                  <w:r>
                    <w:rPr>
                      <w:rFonts w:hint="eastAsia" w:cs="Times New Roman"/>
                      <w:color w:val="auto"/>
                      <w:sz w:val="21"/>
                      <w:szCs w:val="21"/>
                      <w:lang w:eastAsia="zh-CN"/>
                    </w:rPr>
                    <w:t>，</w:t>
                  </w:r>
                  <w:r>
                    <w:rPr>
                      <w:rFonts w:hint="eastAsia" w:cs="Times New Roman"/>
                      <w:color w:val="auto"/>
                      <w:sz w:val="21"/>
                      <w:szCs w:val="21"/>
                      <w:lang w:val="en-US" w:eastAsia="zh-CN"/>
                    </w:rPr>
                    <w:t>也不属于严禁新增产能项目</w:t>
                  </w:r>
                  <w:r>
                    <w:rPr>
                      <w:rFonts w:hint="default" w:ascii="Times New Roman" w:hAnsi="Times New Roman" w:cs="Times New Roman"/>
                      <w:color w:val="auto"/>
                      <w:sz w:val="21"/>
                      <w:szCs w:val="21"/>
                    </w:rPr>
                    <w:t>。</w:t>
                  </w:r>
                </w:p>
              </w:tc>
              <w:tc>
                <w:tcPr>
                  <w:tcW w:w="287" w:type="pct"/>
                  <w:vMerge w:val="restart"/>
                  <w:tcBorders>
                    <w:tl2br w:val="nil"/>
                    <w:tr2bl w:val="nil"/>
                  </w:tcBorders>
                  <w:vAlign w:val="center"/>
                </w:tcPr>
                <w:p w14:paraId="54817BC3">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43FB66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3" w:hRule="atLeast"/>
                <w:jc w:val="center"/>
              </w:trPr>
              <w:tc>
                <w:tcPr>
                  <w:tcW w:w="116" w:type="pct"/>
                  <w:vMerge w:val="continue"/>
                  <w:tcBorders>
                    <w:tl2br w:val="nil"/>
                    <w:tr2bl w:val="nil"/>
                  </w:tcBorders>
                  <w:vAlign w:val="center"/>
                </w:tcPr>
                <w:p w14:paraId="6EBC4012">
                  <w:pPr>
                    <w:pStyle w:val="58"/>
                    <w:spacing w:before="0" w:after="0" w:line="240" w:lineRule="auto"/>
                    <w:ind w:right="0"/>
                    <w:jc w:val="center"/>
                    <w:rPr>
                      <w:rFonts w:hint="default" w:ascii="Times New Roman" w:hAnsi="Times New Roman" w:cs="Times New Roman"/>
                      <w:color w:val="auto"/>
                      <w:sz w:val="21"/>
                      <w:szCs w:val="21"/>
                    </w:rPr>
                  </w:pPr>
                </w:p>
              </w:tc>
              <w:tc>
                <w:tcPr>
                  <w:tcW w:w="130" w:type="pct"/>
                  <w:vMerge w:val="continue"/>
                  <w:tcBorders>
                    <w:tl2br w:val="nil"/>
                    <w:tr2bl w:val="nil"/>
                  </w:tcBorders>
                  <w:vAlign w:val="center"/>
                </w:tcPr>
                <w:p w14:paraId="46F2DEF6">
                  <w:pPr>
                    <w:pStyle w:val="58"/>
                    <w:spacing w:before="0" w:after="0" w:line="240" w:lineRule="auto"/>
                    <w:ind w:right="0"/>
                    <w:jc w:val="center"/>
                    <w:rPr>
                      <w:rFonts w:hint="default" w:ascii="Times New Roman" w:hAnsi="Times New Roman" w:cs="Times New Roman"/>
                      <w:color w:val="auto"/>
                      <w:sz w:val="21"/>
                      <w:szCs w:val="21"/>
                    </w:rPr>
                  </w:pPr>
                </w:p>
              </w:tc>
              <w:tc>
                <w:tcPr>
                  <w:tcW w:w="245" w:type="pct"/>
                  <w:vMerge w:val="continue"/>
                  <w:tcBorders>
                    <w:tl2br w:val="nil"/>
                    <w:tr2bl w:val="nil"/>
                  </w:tcBorders>
                  <w:vAlign w:val="center"/>
                </w:tcPr>
                <w:p w14:paraId="6E6056E9">
                  <w:pPr>
                    <w:pStyle w:val="58"/>
                    <w:spacing w:before="0" w:after="0" w:line="240" w:lineRule="auto"/>
                    <w:ind w:right="0"/>
                    <w:jc w:val="center"/>
                    <w:rPr>
                      <w:rFonts w:hint="default" w:ascii="Times New Roman" w:hAnsi="Times New Roman" w:cs="Times New Roman"/>
                      <w:color w:val="auto"/>
                      <w:sz w:val="21"/>
                      <w:szCs w:val="21"/>
                    </w:rPr>
                  </w:pPr>
                </w:p>
              </w:tc>
              <w:tc>
                <w:tcPr>
                  <w:tcW w:w="251" w:type="pct"/>
                  <w:vMerge w:val="continue"/>
                  <w:tcBorders>
                    <w:tl2br w:val="nil"/>
                    <w:tr2bl w:val="nil"/>
                  </w:tcBorders>
                  <w:vAlign w:val="center"/>
                </w:tcPr>
                <w:p w14:paraId="00F316CB">
                  <w:pPr>
                    <w:adjustRightInd w:val="0"/>
                    <w:snapToGrid w:val="0"/>
                    <w:jc w:val="center"/>
                    <w:rPr>
                      <w:rFonts w:hint="default" w:ascii="Times New Roman" w:hAnsi="Times New Roman" w:cs="Times New Roman"/>
                      <w:color w:val="auto"/>
                      <w:szCs w:val="21"/>
                    </w:rPr>
                  </w:pPr>
                </w:p>
              </w:tc>
              <w:tc>
                <w:tcPr>
                  <w:tcW w:w="264" w:type="pct"/>
                  <w:tcBorders>
                    <w:tl2br w:val="nil"/>
                    <w:tr2bl w:val="nil"/>
                  </w:tcBorders>
                  <w:vAlign w:val="center"/>
                </w:tcPr>
                <w:p w14:paraId="008AE45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污染物排放管控</w:t>
                  </w:r>
                </w:p>
              </w:tc>
              <w:tc>
                <w:tcPr>
                  <w:tcW w:w="2028" w:type="pct"/>
                  <w:tcBorders>
                    <w:tl2br w:val="nil"/>
                    <w:tr2bl w:val="nil"/>
                  </w:tcBorders>
                  <w:vAlign w:val="center"/>
                </w:tcPr>
                <w:p w14:paraId="2D0D0986">
                  <w:pPr>
                    <w:numPr>
                      <w:ilvl w:val="0"/>
                      <w:numId w:val="0"/>
                    </w:numPr>
                    <w:adjustRightInd w:val="0"/>
                    <w:snapToGrid w:val="0"/>
                    <w:rPr>
                      <w:rFonts w:hint="default" w:ascii="Times New Roman" w:hAnsi="Times New Roman" w:cs="Times New Roman"/>
                      <w:color w:val="auto"/>
                      <w:szCs w:val="21"/>
                    </w:rPr>
                  </w:pPr>
                  <w:r>
                    <w:rPr>
                      <w:rFonts w:hint="default" w:ascii="Times New Roman" w:hAnsi="Times New Roman" w:eastAsia="宋体" w:cs="Times New Roman"/>
                      <w:color w:val="auto"/>
                      <w:kern w:val="2"/>
                      <w:sz w:val="21"/>
                      <w:szCs w:val="21"/>
                      <w:lang w:val="en-US" w:eastAsia="zh-CN" w:bidi="ar-SA"/>
                    </w:rPr>
                    <w:t>1.</w:t>
                  </w:r>
                  <w:r>
                    <w:rPr>
                      <w:rFonts w:hint="default" w:ascii="Times New Roman" w:hAnsi="Times New Roman" w:cs="Times New Roman"/>
                      <w:color w:val="auto"/>
                      <w:szCs w:val="21"/>
                    </w:rPr>
                    <w:t>城市建成区产生油烟的餐饮服务单位全部安装油烟净化装置并保持正常运行和定期维护。</w:t>
                  </w:r>
                </w:p>
                <w:p w14:paraId="59B42FE6">
                  <w:pPr>
                    <w:numPr>
                      <w:ilvl w:val="0"/>
                      <w:numId w:val="0"/>
                    </w:num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2.持续因地制宜实施</w:t>
                  </w:r>
                  <w:r>
                    <w:rPr>
                      <w:rFonts w:hint="eastAsia" w:cs="Times New Roman"/>
                      <w:color w:val="auto"/>
                      <w:szCs w:val="21"/>
                      <w:lang w:eastAsia="zh-CN"/>
                    </w:rPr>
                    <w:t>“</w:t>
                  </w:r>
                  <w:r>
                    <w:rPr>
                      <w:rFonts w:hint="default" w:ascii="Times New Roman" w:hAnsi="Times New Roman" w:cs="Times New Roman"/>
                      <w:color w:val="auto"/>
                      <w:szCs w:val="21"/>
                    </w:rPr>
                    <w:t>煤改气</w:t>
                  </w:r>
                  <w:r>
                    <w:rPr>
                      <w:rFonts w:hint="eastAsia" w:cs="Times New Roman"/>
                      <w:color w:val="auto"/>
                      <w:szCs w:val="21"/>
                      <w:lang w:eastAsia="zh-CN"/>
                    </w:rPr>
                    <w:t>”“</w:t>
                  </w:r>
                  <w:r>
                    <w:rPr>
                      <w:rFonts w:hint="default" w:ascii="Times New Roman" w:hAnsi="Times New Roman" w:cs="Times New Roman"/>
                      <w:color w:val="auto"/>
                      <w:szCs w:val="21"/>
                    </w:rPr>
                    <w:t>油改气</w:t>
                  </w:r>
                  <w:r>
                    <w:rPr>
                      <w:rFonts w:hint="eastAsia" w:cs="Times New Roman"/>
                      <w:color w:val="auto"/>
                      <w:szCs w:val="21"/>
                      <w:lang w:eastAsia="zh-CN"/>
                    </w:rPr>
                    <w:t>”</w:t>
                  </w:r>
                  <w:r>
                    <w:rPr>
                      <w:rFonts w:hint="default" w:ascii="Times New Roman" w:hAnsi="Times New Roman" w:cs="Times New Roman"/>
                      <w:color w:val="auto"/>
                      <w:szCs w:val="21"/>
                    </w:rPr>
                    <w:t>、电能、地热、生物质等清洁能源取暖措施。</w:t>
                  </w:r>
                </w:p>
                <w:p w14:paraId="67C1292B">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3.鼓励将老旧车辆和非道路移动机械替换为清洁能源车辆。推进新能源或清洁能源汽车使用。</w:t>
                  </w:r>
                </w:p>
              </w:tc>
              <w:tc>
                <w:tcPr>
                  <w:tcW w:w="308" w:type="pct"/>
                  <w:vMerge w:val="continue"/>
                  <w:tcBorders>
                    <w:tl2br w:val="nil"/>
                    <w:tr2bl w:val="nil"/>
                  </w:tcBorders>
                  <w:vAlign w:val="center"/>
                </w:tcPr>
                <w:p w14:paraId="78553F4B">
                  <w:pPr>
                    <w:pStyle w:val="58"/>
                    <w:spacing w:before="0" w:after="0" w:line="240" w:lineRule="auto"/>
                    <w:ind w:right="0"/>
                    <w:jc w:val="center"/>
                    <w:rPr>
                      <w:rFonts w:hint="default" w:ascii="Times New Roman" w:hAnsi="Times New Roman" w:cs="Times New Roman"/>
                      <w:color w:val="auto"/>
                      <w:sz w:val="21"/>
                      <w:szCs w:val="21"/>
                    </w:rPr>
                  </w:pPr>
                </w:p>
              </w:tc>
              <w:tc>
                <w:tcPr>
                  <w:tcW w:w="1366" w:type="pct"/>
                  <w:tcBorders>
                    <w:tl2br w:val="nil"/>
                    <w:tr2bl w:val="nil"/>
                  </w:tcBorders>
                  <w:vAlign w:val="center"/>
                </w:tcPr>
                <w:p w14:paraId="796A16EE">
                  <w:pPr>
                    <w:pStyle w:val="58"/>
                    <w:spacing w:before="0" w:after="0" w:line="240" w:lineRule="auto"/>
                    <w:ind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本项目为检测实验室项目，企业内不涉及食堂和供热锅炉等设施，</w:t>
                  </w:r>
                  <w:r>
                    <w:rPr>
                      <w:rFonts w:hint="eastAsia" w:cs="Times New Roman"/>
                      <w:color w:val="auto"/>
                      <w:sz w:val="21"/>
                      <w:szCs w:val="21"/>
                      <w:lang w:val="en-US" w:eastAsia="zh-CN"/>
                    </w:rPr>
                    <w:t>制冷取暖采用分体式空调</w:t>
                  </w:r>
                  <w:r>
                    <w:rPr>
                      <w:rFonts w:hint="eastAsia" w:cs="Times New Roman"/>
                      <w:color w:val="auto"/>
                      <w:sz w:val="21"/>
                      <w:szCs w:val="21"/>
                      <w:lang w:eastAsia="zh-CN"/>
                    </w:rPr>
                    <w:t>。</w:t>
                  </w:r>
                </w:p>
              </w:tc>
              <w:tc>
                <w:tcPr>
                  <w:tcW w:w="287" w:type="pct"/>
                  <w:vMerge w:val="continue"/>
                  <w:tcBorders>
                    <w:tl2br w:val="nil"/>
                    <w:tr2bl w:val="nil"/>
                  </w:tcBorders>
                  <w:vAlign w:val="center"/>
                </w:tcPr>
                <w:p w14:paraId="75FE9DDF">
                  <w:pPr>
                    <w:pStyle w:val="58"/>
                    <w:spacing w:before="0" w:after="0" w:line="240" w:lineRule="auto"/>
                    <w:ind w:right="0"/>
                    <w:jc w:val="center"/>
                    <w:rPr>
                      <w:rFonts w:hint="default" w:ascii="Times New Roman" w:hAnsi="Times New Roman" w:cs="Times New Roman"/>
                      <w:color w:val="auto"/>
                      <w:sz w:val="21"/>
                      <w:szCs w:val="21"/>
                    </w:rPr>
                  </w:pPr>
                </w:p>
              </w:tc>
            </w:tr>
            <w:tr w14:paraId="67B37F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2" w:hRule="atLeast"/>
                <w:jc w:val="center"/>
              </w:trPr>
              <w:tc>
                <w:tcPr>
                  <w:tcW w:w="116" w:type="pct"/>
                  <w:vMerge w:val="continue"/>
                  <w:tcBorders>
                    <w:tl2br w:val="nil"/>
                    <w:tr2bl w:val="nil"/>
                  </w:tcBorders>
                  <w:vAlign w:val="center"/>
                </w:tcPr>
                <w:p w14:paraId="19373C13">
                  <w:pPr>
                    <w:pStyle w:val="58"/>
                    <w:spacing w:before="0" w:after="0" w:line="240" w:lineRule="auto"/>
                    <w:ind w:right="0"/>
                    <w:jc w:val="center"/>
                    <w:textAlignment w:val="auto"/>
                    <w:rPr>
                      <w:rFonts w:hint="default" w:ascii="Times New Roman" w:hAnsi="Times New Roman" w:cs="Times New Roman"/>
                      <w:color w:val="auto"/>
                      <w:sz w:val="21"/>
                      <w:szCs w:val="21"/>
                    </w:rPr>
                  </w:pPr>
                </w:p>
              </w:tc>
              <w:tc>
                <w:tcPr>
                  <w:tcW w:w="130" w:type="pct"/>
                  <w:vMerge w:val="continue"/>
                  <w:tcBorders>
                    <w:tl2br w:val="nil"/>
                    <w:tr2bl w:val="nil"/>
                  </w:tcBorders>
                  <w:vAlign w:val="center"/>
                </w:tcPr>
                <w:p w14:paraId="77086689">
                  <w:pPr>
                    <w:pStyle w:val="58"/>
                    <w:spacing w:before="0" w:after="0" w:line="240" w:lineRule="auto"/>
                    <w:ind w:right="0"/>
                    <w:jc w:val="center"/>
                    <w:textAlignment w:val="auto"/>
                    <w:rPr>
                      <w:rFonts w:hint="default" w:ascii="Times New Roman" w:hAnsi="Times New Roman" w:cs="Times New Roman"/>
                      <w:color w:val="auto"/>
                      <w:sz w:val="21"/>
                      <w:szCs w:val="21"/>
                    </w:rPr>
                  </w:pPr>
                </w:p>
              </w:tc>
              <w:tc>
                <w:tcPr>
                  <w:tcW w:w="245" w:type="pct"/>
                  <w:vMerge w:val="continue"/>
                  <w:tcBorders>
                    <w:tl2br w:val="nil"/>
                    <w:tr2bl w:val="nil"/>
                  </w:tcBorders>
                  <w:vAlign w:val="center"/>
                </w:tcPr>
                <w:p w14:paraId="18529A78">
                  <w:pPr>
                    <w:pStyle w:val="58"/>
                    <w:spacing w:before="0" w:after="0" w:line="240" w:lineRule="auto"/>
                    <w:ind w:right="0"/>
                    <w:jc w:val="center"/>
                    <w:textAlignment w:val="auto"/>
                    <w:rPr>
                      <w:rFonts w:hint="default" w:ascii="Times New Roman" w:hAnsi="Times New Roman" w:cs="Times New Roman"/>
                      <w:color w:val="auto"/>
                      <w:sz w:val="21"/>
                      <w:szCs w:val="21"/>
                    </w:rPr>
                  </w:pPr>
                </w:p>
              </w:tc>
              <w:tc>
                <w:tcPr>
                  <w:tcW w:w="251" w:type="pct"/>
                  <w:tcBorders>
                    <w:tl2br w:val="nil"/>
                    <w:tr2bl w:val="nil"/>
                  </w:tcBorders>
                  <w:vAlign w:val="center"/>
                </w:tcPr>
                <w:p w14:paraId="33FCBB7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高污染燃料禁燃区</w:t>
                  </w:r>
                </w:p>
              </w:tc>
              <w:tc>
                <w:tcPr>
                  <w:tcW w:w="264" w:type="pct"/>
                  <w:tcBorders>
                    <w:tl2br w:val="nil"/>
                    <w:tr2bl w:val="nil"/>
                  </w:tcBorders>
                  <w:vAlign w:val="center"/>
                </w:tcPr>
                <w:p w14:paraId="5158E78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资源开发效率要求</w:t>
                  </w:r>
                </w:p>
              </w:tc>
              <w:tc>
                <w:tcPr>
                  <w:tcW w:w="2028" w:type="pct"/>
                  <w:tcBorders>
                    <w:tl2br w:val="nil"/>
                    <w:tr2bl w:val="nil"/>
                  </w:tcBorders>
                  <w:vAlign w:val="center"/>
                </w:tcPr>
                <w:p w14:paraId="0A20BD2F">
                  <w:pPr>
                    <w:tabs>
                      <w:tab w:val="left" w:pos="265"/>
                    </w:tabs>
                    <w:autoSpaceDE w:val="0"/>
                    <w:autoSpaceDN w:val="0"/>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1.禁止销售、使用高污染燃料。禁止新建、扩建燃用高污染燃料的设施。已建成的，应当在市人民政府规定的期限内停止使用或者改用天然气、页岩气、煤层气、液化石油气、干热岩、电、太阳能或者其他清洁能源。</w:t>
                  </w:r>
                </w:p>
                <w:p w14:paraId="2ECA4549">
                  <w:pPr>
                    <w:tabs>
                      <w:tab w:val="left" w:pos="265"/>
                    </w:tabs>
                    <w:autoSpaceDE w:val="0"/>
                    <w:autoSpaceDN w:val="0"/>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2.禁止燃放烟花爆竹。</w:t>
                  </w:r>
                </w:p>
              </w:tc>
              <w:tc>
                <w:tcPr>
                  <w:tcW w:w="308" w:type="pct"/>
                  <w:vMerge w:val="continue"/>
                  <w:tcBorders>
                    <w:tl2br w:val="nil"/>
                    <w:tr2bl w:val="nil"/>
                  </w:tcBorders>
                  <w:vAlign w:val="center"/>
                </w:tcPr>
                <w:p w14:paraId="20D0C209">
                  <w:pPr>
                    <w:pStyle w:val="58"/>
                    <w:spacing w:before="0" w:after="0" w:line="240" w:lineRule="auto"/>
                    <w:ind w:right="0"/>
                    <w:jc w:val="center"/>
                    <w:textAlignment w:val="auto"/>
                    <w:rPr>
                      <w:rFonts w:hint="default" w:ascii="Times New Roman" w:hAnsi="Times New Roman" w:cs="Times New Roman"/>
                      <w:color w:val="auto"/>
                      <w:kern w:val="0"/>
                      <w:sz w:val="21"/>
                      <w:szCs w:val="21"/>
                      <w:lang w:bidi="ar"/>
                    </w:rPr>
                  </w:pPr>
                </w:p>
              </w:tc>
              <w:tc>
                <w:tcPr>
                  <w:tcW w:w="1366" w:type="pct"/>
                  <w:tcBorders>
                    <w:tl2br w:val="nil"/>
                    <w:tr2bl w:val="nil"/>
                  </w:tcBorders>
                  <w:vAlign w:val="center"/>
                </w:tcPr>
                <w:p w14:paraId="03B095CF">
                  <w:pPr>
                    <w:pStyle w:val="58"/>
                    <w:spacing w:before="0" w:after="0" w:line="240" w:lineRule="auto"/>
                    <w:ind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本项目为检测实验室项目，</w:t>
                  </w:r>
                  <w:r>
                    <w:rPr>
                      <w:rFonts w:hint="eastAsia" w:cs="Times New Roman"/>
                      <w:color w:val="auto"/>
                      <w:sz w:val="21"/>
                      <w:szCs w:val="21"/>
                      <w:lang w:val="en-US" w:eastAsia="zh-CN"/>
                    </w:rPr>
                    <w:t>使用电能</w:t>
                  </w:r>
                  <w:r>
                    <w:rPr>
                      <w:rFonts w:hint="default" w:ascii="Times New Roman" w:hAnsi="Times New Roman" w:cs="Times New Roman"/>
                      <w:color w:val="auto"/>
                      <w:sz w:val="21"/>
                      <w:szCs w:val="21"/>
                    </w:rPr>
                    <w:t>，不涉及高污染燃料的使用。</w:t>
                  </w:r>
                </w:p>
              </w:tc>
              <w:tc>
                <w:tcPr>
                  <w:tcW w:w="287" w:type="pct"/>
                  <w:tcBorders>
                    <w:tl2br w:val="nil"/>
                    <w:tr2bl w:val="nil"/>
                  </w:tcBorders>
                  <w:vAlign w:val="center"/>
                </w:tcPr>
                <w:p w14:paraId="286FE511">
                  <w:pPr>
                    <w:adjustRightInd w:val="0"/>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符合</w:t>
                  </w:r>
                </w:p>
              </w:tc>
            </w:tr>
          </w:tbl>
          <w:p w14:paraId="2A3B061F">
            <w:pPr>
              <w:keepNext w:val="0"/>
              <w:keepLines w:val="0"/>
              <w:pageBreakBefore w:val="0"/>
              <w:widowControl w:val="0"/>
              <w:kinsoku/>
              <w:wordWrap/>
              <w:overflowPunct/>
              <w:topLinePunct w:val="0"/>
              <w:autoSpaceDE/>
              <w:autoSpaceDN/>
              <w:bidi w:val="0"/>
              <w:adjustRightInd w:val="0"/>
              <w:snapToGrid/>
              <w:spacing w:before="157" w:beforeLines="50" w:line="360" w:lineRule="auto"/>
              <w:ind w:firstLine="482" w:firstLineChars="200"/>
              <w:textAlignment w:val="auto"/>
              <w:rPr>
                <w:rFonts w:hint="default" w:ascii="Times New Roman" w:hAnsi="Times New Roman" w:cs="Times New Roman"/>
                <w:color w:val="auto"/>
                <w:sz w:val="24"/>
                <w:szCs w:val="32"/>
                <w:lang w:val="zh-CN"/>
              </w:rPr>
            </w:pPr>
            <w:r>
              <w:rPr>
                <w:rFonts w:hint="default" w:ascii="Times New Roman" w:hAnsi="Times New Roman" w:cs="Times New Roman"/>
                <w:b/>
                <w:bCs/>
                <w:color w:val="auto"/>
                <w:sz w:val="24"/>
                <w:szCs w:val="32"/>
                <w:lang w:val="zh-CN"/>
              </w:rPr>
              <w:t>（</w:t>
            </w:r>
            <w:r>
              <w:rPr>
                <w:rFonts w:hint="default" w:ascii="Times New Roman" w:hAnsi="Times New Roman" w:cs="Times New Roman"/>
                <w:b/>
                <w:bCs/>
                <w:color w:val="auto"/>
                <w:sz w:val="24"/>
                <w:szCs w:val="32"/>
              </w:rPr>
              <w:t>3</w:t>
            </w:r>
            <w:r>
              <w:rPr>
                <w:rFonts w:hint="default" w:ascii="Times New Roman" w:hAnsi="Times New Roman" w:cs="Times New Roman"/>
                <w:b/>
                <w:bCs/>
                <w:color w:val="auto"/>
                <w:sz w:val="24"/>
                <w:szCs w:val="32"/>
                <w:lang w:val="zh-CN"/>
              </w:rPr>
              <w:t>）“一说明”：指的是依据“一图”和“一表”结果，论证规划或建设项目符合性的说明。</w:t>
            </w:r>
          </w:p>
          <w:p w14:paraId="356695B9">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根据一图一表分析可知，本项目位于</w:t>
            </w:r>
            <w:r>
              <w:rPr>
                <w:rFonts w:hint="default" w:ascii="Times New Roman" w:hAnsi="Times New Roman" w:cs="Times New Roman"/>
                <w:color w:val="auto"/>
                <w:sz w:val="24"/>
              </w:rPr>
              <w:t>莲湖区沣惠北路2666号天健望湖大观商铺3-6铺</w:t>
            </w:r>
            <w:r>
              <w:rPr>
                <w:rFonts w:hint="default" w:ascii="Times New Roman" w:hAnsi="Times New Roman" w:cs="Times New Roman"/>
                <w:color w:val="auto"/>
                <w:kern w:val="0"/>
                <w:sz w:val="24"/>
              </w:rPr>
              <w:t>，属于重点管控单元，项目建设满足管控单元在空间布局约束、污染物排放管控</w:t>
            </w:r>
            <w:r>
              <w:rPr>
                <w:rFonts w:hint="eastAsia" w:cs="Times New Roman"/>
                <w:color w:val="auto"/>
                <w:kern w:val="0"/>
                <w:sz w:val="24"/>
                <w:lang w:eastAsia="zh-CN"/>
              </w:rPr>
              <w:t>、</w:t>
            </w:r>
            <w:r>
              <w:rPr>
                <w:rFonts w:hint="eastAsia" w:cs="Times New Roman"/>
                <w:color w:val="auto"/>
                <w:kern w:val="0"/>
                <w:sz w:val="24"/>
                <w:lang w:val="en-US" w:eastAsia="zh-CN"/>
              </w:rPr>
              <w:t>资源开发效率要求</w:t>
            </w:r>
            <w:r>
              <w:rPr>
                <w:rFonts w:hint="default" w:ascii="Times New Roman" w:hAnsi="Times New Roman" w:cs="Times New Roman"/>
                <w:color w:val="auto"/>
                <w:kern w:val="0"/>
                <w:sz w:val="24"/>
              </w:rPr>
              <w:t>等管控维度的要求。</w:t>
            </w:r>
          </w:p>
          <w:p w14:paraId="3B8AB878">
            <w:pPr>
              <w:tabs>
                <w:tab w:val="left" w:pos="838"/>
              </w:tabs>
              <w:autoSpaceDE w:val="0"/>
              <w:autoSpaceDN w:val="0"/>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综上所述，本项目建设符合“三线一单”相关要求。</w:t>
            </w:r>
          </w:p>
        </w:tc>
      </w:tr>
    </w:tbl>
    <w:p w14:paraId="77D72DD7">
      <w:pPr>
        <w:rPr>
          <w:rFonts w:hint="default" w:ascii="Times New Roman" w:hAnsi="Times New Roman" w:cs="Times New Roman"/>
          <w:color w:val="auto"/>
          <w:kern w:val="0"/>
          <w:sz w:val="24"/>
        </w:rPr>
        <w:sectPr>
          <w:pgSz w:w="16838" w:h="11906" w:orient="landscape"/>
          <w:pgMar w:top="1083" w:right="1440" w:bottom="1083" w:left="1440" w:header="851" w:footer="1077" w:gutter="0"/>
          <w:pgBorders>
            <w:top w:val="none" w:sz="0" w:space="0"/>
            <w:left w:val="none" w:sz="0" w:space="0"/>
            <w:bottom w:val="none" w:sz="0" w:space="0"/>
            <w:right w:val="none" w:sz="0" w:space="0"/>
          </w:pgBorders>
          <w:cols w:space="0" w:num="1"/>
          <w:docGrid w:linePitch="312" w:charSpace="0"/>
        </w:sectPr>
      </w:pPr>
    </w:p>
    <w:tbl>
      <w:tblPr>
        <w:tblStyle w:val="29"/>
        <w:tblW w:w="486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3"/>
        <w:gridCol w:w="9178"/>
      </w:tblGrid>
      <w:tr w14:paraId="09176B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59" w:hRule="atLeast"/>
          <w:jc w:val="center"/>
        </w:trPr>
        <w:tc>
          <w:tcPr>
            <w:tcW w:w="260" w:type="pct"/>
            <w:vAlign w:val="center"/>
          </w:tcPr>
          <w:p w14:paraId="15069BC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其他符合性分析</w:t>
            </w:r>
          </w:p>
        </w:tc>
        <w:tc>
          <w:tcPr>
            <w:tcW w:w="4739" w:type="pct"/>
            <w:vAlign w:val="center"/>
          </w:tcPr>
          <w:p w14:paraId="3993C357">
            <w:pPr>
              <w:adjustRightInd w:val="0"/>
              <w:snapToGrid w:val="0"/>
              <w:spacing w:line="360" w:lineRule="auto"/>
              <w:rPr>
                <w:rFonts w:hint="default" w:ascii="Times New Roman" w:hAnsi="Times New Roman" w:cs="Times New Roman"/>
                <w:b/>
                <w:bCs/>
                <w:color w:val="auto"/>
                <w:sz w:val="24"/>
              </w:rPr>
            </w:pPr>
            <w:r>
              <w:rPr>
                <w:rFonts w:hint="default" w:ascii="Times New Roman" w:hAnsi="Times New Roman" w:cs="Times New Roman"/>
                <w:b/>
                <w:bCs/>
                <w:color w:val="auto"/>
                <w:sz w:val="24"/>
              </w:rPr>
              <w:t>（四）项目与相关规划、政策符合性分析</w:t>
            </w:r>
          </w:p>
          <w:p w14:paraId="74B9BF76">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本项目与相关环保</w:t>
            </w:r>
            <w:r>
              <w:rPr>
                <w:rFonts w:hint="eastAsia" w:cs="Times New Roman"/>
                <w:color w:val="auto"/>
                <w:sz w:val="24"/>
                <w:lang w:val="en-US" w:eastAsia="zh-CN"/>
              </w:rPr>
              <w:t>政策</w:t>
            </w:r>
            <w:r>
              <w:rPr>
                <w:rFonts w:hint="default" w:ascii="Times New Roman" w:hAnsi="Times New Roman" w:cs="Times New Roman"/>
                <w:color w:val="auto"/>
                <w:sz w:val="24"/>
              </w:rPr>
              <w:t>符合性见下表1-4。</w:t>
            </w:r>
          </w:p>
          <w:p w14:paraId="14F3106D">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表1-4  与相关环保政策符合性分析</w:t>
            </w:r>
          </w:p>
          <w:tbl>
            <w:tblPr>
              <w:tblStyle w:val="29"/>
              <w:tblW w:w="4997"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3597"/>
              <w:gridCol w:w="2790"/>
              <w:gridCol w:w="710"/>
            </w:tblGrid>
            <w:tr w14:paraId="73C51B7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3046" w:type="pct"/>
                  <w:gridSpan w:val="2"/>
                  <w:tcBorders>
                    <w:tl2br w:val="nil"/>
                    <w:tr2bl w:val="nil"/>
                  </w:tcBorders>
                  <w:vAlign w:val="center"/>
                </w:tcPr>
                <w:p w14:paraId="4BC9D121">
                  <w:pPr>
                    <w:adjustRightInd w:val="0"/>
                    <w:snapToGrid w:val="0"/>
                    <w:jc w:val="center"/>
                    <w:rPr>
                      <w:rFonts w:hint="default" w:ascii="Times New Roman" w:hAnsi="Times New Roman" w:cs="Times New Roman"/>
                      <w:b/>
                      <w:bCs/>
                      <w:color w:val="auto"/>
                      <w:szCs w:val="21"/>
                      <w:lang w:val="en-GB"/>
                    </w:rPr>
                  </w:pPr>
                  <w:r>
                    <w:rPr>
                      <w:rFonts w:hint="default" w:ascii="Times New Roman" w:hAnsi="Times New Roman" w:cs="Times New Roman"/>
                      <w:b/>
                      <w:bCs/>
                      <w:color w:val="auto"/>
                      <w:szCs w:val="21"/>
                      <w:lang w:val="en-GB"/>
                    </w:rPr>
                    <w:t>政策</w:t>
                  </w:r>
                </w:p>
              </w:tc>
              <w:tc>
                <w:tcPr>
                  <w:tcW w:w="1557" w:type="pct"/>
                  <w:tcBorders>
                    <w:tl2br w:val="nil"/>
                    <w:tr2bl w:val="nil"/>
                  </w:tcBorders>
                  <w:vAlign w:val="center"/>
                </w:tcPr>
                <w:p w14:paraId="1868CD49">
                  <w:pPr>
                    <w:keepNext w:val="0"/>
                    <w:keepLines w:val="0"/>
                    <w:pageBreakBefore w:val="0"/>
                    <w:kinsoku/>
                    <w:wordWrap/>
                    <w:overflowPunct/>
                    <w:topLinePunct w:val="0"/>
                    <w:bidi w:val="0"/>
                    <w:adjustRightInd w:val="0"/>
                    <w:snapToGrid w:val="0"/>
                    <w:ind w:left="0" w:leftChars="0"/>
                    <w:jc w:val="center"/>
                    <w:textAlignment w:val="auto"/>
                    <w:rPr>
                      <w:rFonts w:hint="default" w:ascii="Times New Roman" w:hAnsi="Times New Roman" w:cs="Times New Roman"/>
                      <w:b/>
                      <w:bCs/>
                      <w:color w:val="auto"/>
                      <w:szCs w:val="21"/>
                      <w:lang w:val="en-GB"/>
                    </w:rPr>
                  </w:pPr>
                  <w:r>
                    <w:rPr>
                      <w:rFonts w:hint="default" w:ascii="Times New Roman" w:hAnsi="Times New Roman" w:cs="Times New Roman"/>
                      <w:b/>
                      <w:bCs/>
                      <w:color w:val="auto"/>
                      <w:szCs w:val="21"/>
                      <w:lang w:val="en-GB"/>
                    </w:rPr>
                    <w:t>本项目情况</w:t>
                  </w:r>
                </w:p>
              </w:tc>
              <w:tc>
                <w:tcPr>
                  <w:tcW w:w="396" w:type="pct"/>
                  <w:tcBorders>
                    <w:tl2br w:val="nil"/>
                    <w:tr2bl w:val="nil"/>
                  </w:tcBorders>
                  <w:vAlign w:val="center"/>
                </w:tcPr>
                <w:p w14:paraId="07982B63">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b/>
                      <w:bCs/>
                      <w:color w:val="auto"/>
                      <w:szCs w:val="21"/>
                      <w:lang w:val="en-GB"/>
                    </w:rPr>
                  </w:pPr>
                  <w:r>
                    <w:rPr>
                      <w:rFonts w:hint="default" w:ascii="Times New Roman" w:hAnsi="Times New Roman" w:cs="Times New Roman"/>
                      <w:b/>
                      <w:bCs/>
                      <w:color w:val="auto"/>
                      <w:szCs w:val="21"/>
                      <w:lang w:val="en-GB"/>
                    </w:rPr>
                    <w:t>符合性</w:t>
                  </w:r>
                </w:p>
              </w:tc>
            </w:tr>
            <w:tr w14:paraId="06DAE4E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1038" w:type="pct"/>
                  <w:vMerge w:val="restart"/>
                  <w:tcBorders>
                    <w:tl2br w:val="nil"/>
                    <w:tr2bl w:val="nil"/>
                  </w:tcBorders>
                  <w:vAlign w:val="center"/>
                </w:tcPr>
                <w:p w14:paraId="6BBBFF18">
                  <w:pPr>
                    <w:adjustRightInd w:val="0"/>
                    <w:snapToGrid w:val="0"/>
                    <w:jc w:val="center"/>
                    <w:rPr>
                      <w:rFonts w:hint="default" w:ascii="Times New Roman" w:hAnsi="Times New Roman" w:cs="Times New Roman"/>
                      <w:color w:val="auto"/>
                      <w:szCs w:val="21"/>
                      <w:lang w:val="en-GB"/>
                    </w:rPr>
                  </w:pPr>
                  <w:r>
                    <w:rPr>
                      <w:rFonts w:hint="default" w:ascii="Times New Roman" w:hAnsi="Times New Roman" w:cs="Times New Roman"/>
                      <w:color w:val="auto"/>
                      <w:szCs w:val="21"/>
                      <w:lang w:val="en-GB"/>
                    </w:rPr>
                    <w:t>《陕西省“十四五”生态环境保护规划》（陕政办发〔2021〕25号）</w:t>
                  </w:r>
                </w:p>
              </w:tc>
              <w:tc>
                <w:tcPr>
                  <w:tcW w:w="2007" w:type="pct"/>
                  <w:tcBorders>
                    <w:tl2br w:val="nil"/>
                    <w:tr2bl w:val="nil"/>
                  </w:tcBorders>
                  <w:vAlign w:val="center"/>
                </w:tcPr>
                <w:p w14:paraId="26362B97">
                  <w:pPr>
                    <w:keepNext w:val="0"/>
                    <w:keepLines w:val="0"/>
                    <w:pageBreakBefore w:val="0"/>
                    <w:kinsoku/>
                    <w:overflowPunct/>
                    <w:topLinePunct w:val="0"/>
                    <w:bidi w:val="0"/>
                    <w:adjustRightInd w:val="0"/>
                    <w:snapToGrid w:val="0"/>
                    <w:ind w:left="0" w:leftChars="0"/>
                    <w:textAlignment w:val="auto"/>
                    <w:rPr>
                      <w:rFonts w:hint="default" w:ascii="Times New Roman" w:hAnsi="Times New Roman" w:cs="Times New Roman"/>
                      <w:color w:val="auto"/>
                      <w:szCs w:val="21"/>
                      <w:lang w:val="en-GB"/>
                    </w:rPr>
                  </w:pPr>
                  <w:r>
                    <w:rPr>
                      <w:rFonts w:hint="default" w:ascii="Times New Roman" w:hAnsi="Times New Roman" w:cs="Times New Roman"/>
                      <w:color w:val="auto"/>
                      <w:szCs w:val="21"/>
                      <w:lang w:val="en-GB"/>
                    </w:rPr>
                    <w:t>深化落实环评制度。不断健全环境影响评价等生态源头预防体系，对重点区域、重点流域、重点行业依法开展规划环境</w:t>
                  </w:r>
                  <w:r>
                    <w:rPr>
                      <w:rFonts w:hint="eastAsia" w:cs="Times New Roman"/>
                      <w:color w:val="auto"/>
                      <w:szCs w:val="21"/>
                      <w:lang w:val="en-GB" w:eastAsia="zh-CN"/>
                    </w:rPr>
                    <w:t>影响</w:t>
                  </w:r>
                  <w:r>
                    <w:rPr>
                      <w:rFonts w:hint="default" w:ascii="Times New Roman" w:hAnsi="Times New Roman" w:cs="Times New Roman"/>
                      <w:color w:val="auto"/>
                      <w:szCs w:val="21"/>
                      <w:lang w:val="en-GB"/>
                    </w:rPr>
                    <w:t>评价，严格建设项目生态环境准入。</w:t>
                  </w:r>
                </w:p>
              </w:tc>
              <w:tc>
                <w:tcPr>
                  <w:tcW w:w="1557" w:type="pct"/>
                  <w:tcBorders>
                    <w:tl2br w:val="nil"/>
                    <w:tr2bl w:val="nil"/>
                  </w:tcBorders>
                  <w:vAlign w:val="center"/>
                </w:tcPr>
                <w:p w14:paraId="0732FAAE">
                  <w:pPr>
                    <w:keepNext w:val="0"/>
                    <w:keepLines w:val="0"/>
                    <w:pageBreakBefore w:val="0"/>
                    <w:kinsoku/>
                    <w:wordWrap/>
                    <w:overflowPunct/>
                    <w:topLinePunct w:val="0"/>
                    <w:bidi w:val="0"/>
                    <w:adjustRightInd w:val="0"/>
                    <w:snapToGrid w:val="0"/>
                    <w:ind w:left="0" w:leftChars="0"/>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GB"/>
                    </w:rPr>
                    <w:t>本项目为检测实验室项目，</w:t>
                  </w:r>
                  <w:r>
                    <w:rPr>
                      <w:rFonts w:hint="eastAsia" w:cs="Times New Roman"/>
                      <w:color w:val="auto"/>
                      <w:szCs w:val="21"/>
                      <w:lang w:val="en-US" w:eastAsia="zh-CN"/>
                    </w:rPr>
                    <w:t>根据《建设项目环境影响评价分类管理名录》，本项目应编制环境影响报告表。</w:t>
                  </w:r>
                </w:p>
              </w:tc>
              <w:tc>
                <w:tcPr>
                  <w:tcW w:w="396" w:type="pct"/>
                  <w:tcBorders>
                    <w:tl2br w:val="nil"/>
                    <w:tr2bl w:val="nil"/>
                  </w:tcBorders>
                  <w:vAlign w:val="center"/>
                </w:tcPr>
                <w:p w14:paraId="49C788E0">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Cs w:val="21"/>
                      <w:lang w:val="en-GB"/>
                    </w:rPr>
                  </w:pPr>
                  <w:r>
                    <w:rPr>
                      <w:rFonts w:hint="default" w:ascii="Times New Roman" w:hAnsi="Times New Roman" w:cs="Times New Roman"/>
                      <w:color w:val="auto"/>
                      <w:szCs w:val="21"/>
                      <w:lang w:val="en-GB"/>
                    </w:rPr>
                    <w:t>符合</w:t>
                  </w:r>
                </w:p>
              </w:tc>
            </w:tr>
            <w:tr w14:paraId="29827D1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4" w:hRule="atLeast"/>
              </w:trPr>
              <w:tc>
                <w:tcPr>
                  <w:tcW w:w="1038" w:type="pct"/>
                  <w:vMerge w:val="continue"/>
                  <w:tcBorders>
                    <w:tl2br w:val="nil"/>
                    <w:tr2bl w:val="nil"/>
                  </w:tcBorders>
                  <w:vAlign w:val="center"/>
                </w:tcPr>
                <w:p w14:paraId="168C1822">
                  <w:pPr>
                    <w:adjustRightInd w:val="0"/>
                    <w:snapToGrid w:val="0"/>
                    <w:jc w:val="center"/>
                    <w:rPr>
                      <w:rFonts w:hint="default" w:ascii="Times New Roman" w:hAnsi="Times New Roman" w:cs="Times New Roman"/>
                      <w:color w:val="auto"/>
                      <w:szCs w:val="21"/>
                      <w:lang w:val="en-GB"/>
                    </w:rPr>
                  </w:pPr>
                </w:p>
              </w:tc>
              <w:tc>
                <w:tcPr>
                  <w:tcW w:w="2007" w:type="pct"/>
                  <w:tcBorders>
                    <w:tl2br w:val="nil"/>
                    <w:tr2bl w:val="nil"/>
                  </w:tcBorders>
                  <w:vAlign w:val="center"/>
                </w:tcPr>
                <w:p w14:paraId="22254388">
                  <w:pPr>
                    <w:pStyle w:val="81"/>
                    <w:keepNext w:val="0"/>
                    <w:keepLines w:val="0"/>
                    <w:pageBreakBefore w:val="0"/>
                    <w:kinsoku/>
                    <w:overflowPunct/>
                    <w:topLinePunct w:val="0"/>
                    <w:bidi w:val="0"/>
                    <w:adjustRightInd w:val="0"/>
                    <w:snapToGrid w:val="0"/>
                    <w:spacing w:line="240" w:lineRule="auto"/>
                    <w:ind w:left="0" w:leftChars="0" w:firstLine="0"/>
                    <w:textAlignment w:val="auto"/>
                    <w:rPr>
                      <w:rFonts w:hint="default" w:ascii="Times New Roman" w:hAnsi="Times New Roman" w:cs="Times New Roman"/>
                      <w:color w:val="auto"/>
                      <w:sz w:val="21"/>
                      <w:szCs w:val="21"/>
                      <w:lang w:val="en-GB" w:eastAsia="zh-CN"/>
                    </w:rPr>
                  </w:pPr>
                  <w:r>
                    <w:rPr>
                      <w:rFonts w:hint="default" w:ascii="Times New Roman" w:hAnsi="Times New Roman" w:cs="Times New Roman"/>
                      <w:color w:val="auto"/>
                      <w:sz w:val="21"/>
                      <w:szCs w:val="21"/>
                      <w:lang w:val="en-GB" w:eastAsia="zh-CN"/>
                    </w:rPr>
                    <w:t>推进重点行业挥发性有机物综合整治。建立石化、化工、工业涂装、包装印刷、家具、电子制造、工程机械制造等重点行业源头、过程和末端全过程控制体系，实施挥发性有机物总量控制。</w:t>
                  </w:r>
                </w:p>
              </w:tc>
              <w:tc>
                <w:tcPr>
                  <w:tcW w:w="1557" w:type="pct"/>
                  <w:tcBorders>
                    <w:tl2br w:val="nil"/>
                    <w:tr2bl w:val="nil"/>
                  </w:tcBorders>
                  <w:vAlign w:val="center"/>
                </w:tcPr>
                <w:p w14:paraId="0A9C6AB0">
                  <w:pPr>
                    <w:keepNext w:val="0"/>
                    <w:keepLines w:val="0"/>
                    <w:pageBreakBefore w:val="0"/>
                    <w:kinsoku/>
                    <w:wordWrap/>
                    <w:overflowPunct/>
                    <w:topLinePunct w:val="0"/>
                    <w:bidi w:val="0"/>
                    <w:adjustRightInd w:val="0"/>
                    <w:snapToGrid w:val="0"/>
                    <w:ind w:left="0" w:leftChars="0"/>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本项目为检测实验室建设项目，不属于重点行业，本项目运营期产生的有机废气经活性炭吸附处理后无组织排放。</w:t>
                  </w:r>
                </w:p>
              </w:tc>
              <w:tc>
                <w:tcPr>
                  <w:tcW w:w="396" w:type="pct"/>
                  <w:tcBorders>
                    <w:tl2br w:val="nil"/>
                    <w:tr2bl w:val="nil"/>
                  </w:tcBorders>
                  <w:vAlign w:val="center"/>
                </w:tcPr>
                <w:p w14:paraId="2DB590D8">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Cs w:val="21"/>
                      <w:lang w:val="en-GB"/>
                    </w:rPr>
                  </w:pPr>
                  <w:r>
                    <w:rPr>
                      <w:rFonts w:hint="default" w:ascii="Times New Roman" w:hAnsi="Times New Roman" w:cs="Times New Roman"/>
                      <w:color w:val="auto"/>
                      <w:szCs w:val="21"/>
                      <w:lang w:val="en-GB"/>
                    </w:rPr>
                    <w:t>符合</w:t>
                  </w:r>
                </w:p>
              </w:tc>
            </w:tr>
            <w:tr w14:paraId="639F0AE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1038" w:type="pct"/>
                  <w:vMerge w:val="restart"/>
                  <w:tcBorders>
                    <w:tl2br w:val="nil"/>
                    <w:tr2bl w:val="nil"/>
                  </w:tcBorders>
                  <w:vAlign w:val="center"/>
                </w:tcPr>
                <w:p w14:paraId="0E04E3C6">
                  <w:pPr>
                    <w:adjustRightInd w:val="0"/>
                    <w:snapToGrid w:val="0"/>
                    <w:jc w:val="center"/>
                    <w:rPr>
                      <w:rFonts w:hint="default" w:ascii="Times New Roman" w:hAnsi="Times New Roman" w:cs="Times New Roman"/>
                      <w:color w:val="auto"/>
                      <w:szCs w:val="21"/>
                      <w:lang w:val="en-GB"/>
                    </w:rPr>
                  </w:pPr>
                  <w:r>
                    <w:rPr>
                      <w:rFonts w:hint="default" w:ascii="Times New Roman" w:hAnsi="Times New Roman" w:cs="Times New Roman"/>
                      <w:color w:val="auto"/>
                      <w:szCs w:val="21"/>
                      <w:lang w:val="en-GB"/>
                    </w:rPr>
                    <w:t>《西安市“十四五”生态环境保护规划》（市政发〔2021〕21号）</w:t>
                  </w:r>
                </w:p>
              </w:tc>
              <w:tc>
                <w:tcPr>
                  <w:tcW w:w="2007" w:type="pct"/>
                  <w:tcBorders>
                    <w:tl2br w:val="nil"/>
                    <w:tr2bl w:val="nil"/>
                  </w:tcBorders>
                  <w:vAlign w:val="center"/>
                </w:tcPr>
                <w:p w14:paraId="3FDF2EFF">
                  <w:pPr>
                    <w:pStyle w:val="8"/>
                    <w:keepNext w:val="0"/>
                    <w:keepLines w:val="0"/>
                    <w:pageBreakBefore w:val="0"/>
                    <w:kinsoku/>
                    <w:overflowPunct/>
                    <w:topLinePunct w:val="0"/>
                    <w:bidi w:val="0"/>
                    <w:adjustRightInd w:val="0"/>
                    <w:snapToGrid w:val="0"/>
                    <w:spacing w:before="0" w:after="0" w:line="240" w:lineRule="auto"/>
                    <w:ind w:left="0" w:leftChars="0" w:right="0"/>
                    <w:textAlignment w:val="auto"/>
                    <w:rPr>
                      <w:rFonts w:hint="default" w:ascii="Times New Roman" w:hAnsi="Times New Roman" w:cs="Times New Roman"/>
                      <w:color w:val="auto"/>
                      <w:sz w:val="21"/>
                      <w:szCs w:val="21"/>
                      <w:lang w:val="en-GB"/>
                    </w:rPr>
                  </w:pPr>
                  <w:r>
                    <w:rPr>
                      <w:rFonts w:hint="default" w:ascii="Times New Roman" w:hAnsi="Times New Roman" w:cs="Times New Roman"/>
                      <w:color w:val="auto"/>
                      <w:sz w:val="21"/>
                      <w:szCs w:val="21"/>
                      <w:lang w:val="en-GB"/>
                    </w:rPr>
                    <w:t>强化VOCs综合整治。将挥发性有机物纳入污染物排放总量控制体系，有效减少重点污染源、全社会挥发性有机物和NOx排放总量。</w:t>
                  </w:r>
                </w:p>
              </w:tc>
              <w:tc>
                <w:tcPr>
                  <w:tcW w:w="1557" w:type="pct"/>
                  <w:tcBorders>
                    <w:tl2br w:val="nil"/>
                    <w:tr2bl w:val="nil"/>
                  </w:tcBorders>
                  <w:vAlign w:val="center"/>
                </w:tcPr>
                <w:p w14:paraId="701AB5EA">
                  <w:pPr>
                    <w:keepNext w:val="0"/>
                    <w:keepLines w:val="0"/>
                    <w:pageBreakBefore w:val="0"/>
                    <w:kinsoku/>
                    <w:wordWrap/>
                    <w:overflowPunct/>
                    <w:topLinePunct w:val="0"/>
                    <w:bidi w:val="0"/>
                    <w:adjustRightInd w:val="0"/>
                    <w:snapToGrid w:val="0"/>
                    <w:ind w:left="0" w:leftChars="0"/>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本项目实验过程中产生的有机废气经通风柜收集至活性炭吸附装置处理后无组织排放。</w:t>
                  </w:r>
                </w:p>
              </w:tc>
              <w:tc>
                <w:tcPr>
                  <w:tcW w:w="396" w:type="pct"/>
                  <w:tcBorders>
                    <w:tl2br w:val="nil"/>
                    <w:tr2bl w:val="nil"/>
                  </w:tcBorders>
                  <w:vAlign w:val="center"/>
                </w:tcPr>
                <w:p w14:paraId="4BC1C493">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Cs w:val="21"/>
                      <w:lang w:val="en-GB"/>
                    </w:rPr>
                  </w:pPr>
                  <w:r>
                    <w:rPr>
                      <w:rFonts w:hint="default" w:ascii="Times New Roman" w:hAnsi="Times New Roman" w:cs="Times New Roman"/>
                      <w:color w:val="auto"/>
                      <w:szCs w:val="21"/>
                      <w:lang w:val="en-GB"/>
                    </w:rPr>
                    <w:t>符合</w:t>
                  </w:r>
                </w:p>
              </w:tc>
            </w:tr>
            <w:tr w14:paraId="44114AB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6" w:hRule="atLeast"/>
              </w:trPr>
              <w:tc>
                <w:tcPr>
                  <w:tcW w:w="1038" w:type="pct"/>
                  <w:vMerge w:val="continue"/>
                  <w:tcBorders>
                    <w:tl2br w:val="nil"/>
                    <w:tr2bl w:val="nil"/>
                  </w:tcBorders>
                  <w:vAlign w:val="center"/>
                </w:tcPr>
                <w:p w14:paraId="3B710D23">
                  <w:pPr>
                    <w:adjustRightInd w:val="0"/>
                    <w:snapToGrid w:val="0"/>
                    <w:jc w:val="center"/>
                    <w:rPr>
                      <w:color w:val="auto"/>
                    </w:rPr>
                  </w:pPr>
                </w:p>
              </w:tc>
              <w:tc>
                <w:tcPr>
                  <w:tcW w:w="2007" w:type="pct"/>
                  <w:tcBorders>
                    <w:tl2br w:val="nil"/>
                    <w:tr2bl w:val="nil"/>
                  </w:tcBorders>
                  <w:vAlign w:val="center"/>
                </w:tcPr>
                <w:p w14:paraId="75DCF9F5">
                  <w:pPr>
                    <w:keepNext w:val="0"/>
                    <w:keepLines w:val="0"/>
                    <w:pageBreakBefore w:val="0"/>
                    <w:kinsoku/>
                    <w:overflowPunct/>
                    <w:topLinePunct w:val="0"/>
                    <w:bidi w:val="0"/>
                    <w:adjustRightInd w:val="0"/>
                    <w:snapToGrid w:val="0"/>
                    <w:ind w:left="0" w:leftChars="0"/>
                    <w:jc w:val="both"/>
                    <w:textAlignment w:val="auto"/>
                    <w:rPr>
                      <w:rFonts w:hint="default" w:ascii="Times New Roman" w:hAnsi="Times New Roman" w:cs="Times New Roman"/>
                      <w:color w:val="auto"/>
                      <w:sz w:val="21"/>
                      <w:szCs w:val="21"/>
                      <w:lang w:val="en-GB"/>
                    </w:rPr>
                  </w:pPr>
                  <w:r>
                    <w:rPr>
                      <w:rFonts w:hint="default" w:ascii="Times New Roman" w:hAnsi="Times New Roman" w:cs="Times New Roman"/>
                      <w:color w:val="auto"/>
                      <w:sz w:val="21"/>
                      <w:szCs w:val="21"/>
                      <w:lang w:val="en-GB"/>
                    </w:rPr>
                    <w:t>建立完善重点行业源头、过程和末端VOCs全过程控制体系，实施VOCs总量控制。严格落实产品强制标准中VOCs含量限值；引导企业加强对含VOCs物料的存储、转移和输送等环节的全方位密闭管理，以及对设备与管线组件泄漏、敞开液面逸散以及工艺过程等方面的全过程精细化管控，实现VOCs排放量明显下降。</w:t>
                  </w:r>
                </w:p>
              </w:tc>
              <w:tc>
                <w:tcPr>
                  <w:tcW w:w="1557" w:type="pct"/>
                  <w:tcBorders>
                    <w:tl2br w:val="nil"/>
                    <w:tr2bl w:val="nil"/>
                  </w:tcBorders>
                  <w:vAlign w:val="center"/>
                </w:tcPr>
                <w:p w14:paraId="4BAF5603">
                  <w:pPr>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本项目有机溶剂日常密闭储存在试剂间，有机溶剂使用均在通风柜中进行，产生的有机废气经通风柜收集活性炭吸附处理后无组织排放。</w:t>
                  </w:r>
                </w:p>
              </w:tc>
              <w:tc>
                <w:tcPr>
                  <w:tcW w:w="396" w:type="pct"/>
                  <w:tcBorders>
                    <w:tl2br w:val="nil"/>
                    <w:tr2bl w:val="nil"/>
                  </w:tcBorders>
                  <w:vAlign w:val="center"/>
                </w:tcPr>
                <w:p w14:paraId="1A4A62BE">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符合</w:t>
                  </w:r>
                </w:p>
              </w:tc>
            </w:tr>
            <w:tr w14:paraId="6EBEB78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1038" w:type="pct"/>
                  <w:vMerge w:val="restart"/>
                  <w:tcBorders>
                    <w:tl2br w:val="nil"/>
                    <w:tr2bl w:val="nil"/>
                  </w:tcBorders>
                  <w:shd w:val="clear" w:color="auto" w:fill="auto"/>
                  <w:vAlign w:val="center"/>
                </w:tcPr>
                <w:p w14:paraId="08477F97">
                  <w:pPr>
                    <w:wordWrap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rPr>
                    <w:t>《</w:t>
                  </w:r>
                  <w:r>
                    <w:rPr>
                      <w:color w:val="auto"/>
                    </w:rPr>
                    <w:t>西安市人民政府关于印发西安市空气质量达标规划（2023</w:t>
                  </w:r>
                  <w:r>
                    <w:rPr>
                      <w:rFonts w:hint="eastAsia"/>
                      <w:color w:val="auto"/>
                    </w:rPr>
                    <w:t>-</w:t>
                  </w:r>
                  <w:r>
                    <w:rPr>
                      <w:color w:val="auto"/>
                    </w:rPr>
                    <w:t>2030年）的通知</w:t>
                  </w:r>
                  <w:r>
                    <w:rPr>
                      <w:rFonts w:hint="eastAsia"/>
                      <w:color w:val="auto"/>
                    </w:rPr>
                    <w:t>》（市政发〔2023〕10号）</w:t>
                  </w:r>
                </w:p>
                <w:p w14:paraId="1EB217A1">
                  <w:pPr>
                    <w:adjustRightInd w:val="0"/>
                    <w:snapToGrid w:val="0"/>
                    <w:jc w:val="center"/>
                    <w:rPr>
                      <w:color w:val="auto"/>
                    </w:rPr>
                  </w:pPr>
                </w:p>
              </w:tc>
              <w:tc>
                <w:tcPr>
                  <w:tcW w:w="2007" w:type="pct"/>
                  <w:tcBorders>
                    <w:tl2br w:val="nil"/>
                    <w:tr2bl w:val="nil"/>
                  </w:tcBorders>
                  <w:shd w:val="clear" w:color="auto" w:fill="auto"/>
                  <w:vAlign w:val="center"/>
                </w:tcPr>
                <w:p w14:paraId="457630E9">
                  <w:pPr>
                    <w:keepNext w:val="0"/>
                    <w:keepLines w:val="0"/>
                    <w:pageBreakBefore w:val="0"/>
                    <w:kinsoku/>
                    <w:wordWrap w:val="0"/>
                    <w:overflowPunct/>
                    <w:topLinePunct w:val="0"/>
                    <w:bidi w:val="0"/>
                    <w:adjustRightInd w:val="0"/>
                    <w:snapToGrid w:val="0"/>
                    <w:ind w:left="0" w:leftChars="0"/>
                    <w:jc w:val="both"/>
                    <w:textAlignment w:val="auto"/>
                    <w:rPr>
                      <w:rFonts w:hint="default" w:ascii="Times New Roman" w:hAnsi="Times New Roman" w:eastAsia="宋体" w:cs="Times New Roman"/>
                      <w:color w:val="auto"/>
                      <w:kern w:val="2"/>
                      <w:sz w:val="21"/>
                      <w:szCs w:val="21"/>
                      <w:lang w:val="en-GB" w:eastAsia="zh-CN" w:bidi="ar-SA"/>
                    </w:rPr>
                  </w:pPr>
                  <w:r>
                    <w:rPr>
                      <w:rFonts w:hAnsi="仿宋_GB2312"/>
                      <w:color w:val="auto"/>
                    </w:rPr>
                    <w:t>根据国土空间规划分区和用途管制，实施“三线一单”（生态保护红线、环境质量底线、资源利用上线和生态环境准入清单）生态环境分区管控制度。</w:t>
                  </w:r>
                </w:p>
              </w:tc>
              <w:tc>
                <w:tcPr>
                  <w:tcW w:w="1557" w:type="pct"/>
                  <w:tcBorders>
                    <w:tl2br w:val="nil"/>
                    <w:tr2bl w:val="nil"/>
                  </w:tcBorders>
                  <w:shd w:val="clear" w:color="auto" w:fill="auto"/>
                  <w:vAlign w:val="center"/>
                </w:tcPr>
                <w:p w14:paraId="06E0014D">
                  <w:pPr>
                    <w:keepNext w:val="0"/>
                    <w:keepLines w:val="0"/>
                    <w:pageBreakBefore w:val="0"/>
                    <w:kinsoku/>
                    <w:wordWrap/>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根据前文分析，本项目符合西安市“三线一单”</w:t>
                  </w:r>
                  <w:r>
                    <w:rPr>
                      <w:rFonts w:hint="eastAsia" w:cs="Times New Roman"/>
                      <w:color w:val="auto"/>
                      <w:kern w:val="2"/>
                      <w:sz w:val="21"/>
                      <w:szCs w:val="21"/>
                      <w:lang w:val="en-US" w:eastAsia="zh-CN" w:bidi="ar-SA"/>
                    </w:rPr>
                    <w:t>生态环境分区管控要求</w:t>
                  </w:r>
                  <w:r>
                    <w:rPr>
                      <w:rFonts w:hint="eastAsia" w:ascii="Times New Roman" w:hAnsi="Times New Roman" w:cs="Times New Roman"/>
                      <w:color w:val="auto"/>
                      <w:kern w:val="2"/>
                      <w:sz w:val="21"/>
                      <w:szCs w:val="21"/>
                      <w:lang w:val="en-US" w:eastAsia="zh-CN" w:bidi="ar-SA"/>
                    </w:rPr>
                    <w:t>。</w:t>
                  </w:r>
                </w:p>
              </w:tc>
              <w:tc>
                <w:tcPr>
                  <w:tcW w:w="396" w:type="pct"/>
                  <w:tcBorders>
                    <w:tl2br w:val="nil"/>
                    <w:tr2bl w:val="nil"/>
                  </w:tcBorders>
                  <w:shd w:val="clear" w:color="auto" w:fill="auto"/>
                  <w:vAlign w:val="center"/>
                </w:tcPr>
                <w:p w14:paraId="758B3D23">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符合</w:t>
                  </w:r>
                </w:p>
              </w:tc>
            </w:tr>
            <w:tr w14:paraId="5895C7F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38" w:type="pct"/>
                  <w:vMerge w:val="continue"/>
                  <w:tcBorders>
                    <w:tl2br w:val="nil"/>
                    <w:tr2bl w:val="nil"/>
                  </w:tcBorders>
                  <w:vAlign w:val="center"/>
                </w:tcPr>
                <w:p w14:paraId="448B7CFF">
                  <w:pPr>
                    <w:adjustRightInd w:val="0"/>
                    <w:snapToGrid w:val="0"/>
                    <w:jc w:val="center"/>
                    <w:rPr>
                      <w:color w:val="auto"/>
                    </w:rPr>
                  </w:pPr>
                </w:p>
              </w:tc>
              <w:tc>
                <w:tcPr>
                  <w:tcW w:w="2007" w:type="pct"/>
                  <w:tcBorders>
                    <w:tl2br w:val="nil"/>
                    <w:tr2bl w:val="nil"/>
                  </w:tcBorders>
                  <w:shd w:val="clear" w:color="auto" w:fill="auto"/>
                  <w:vAlign w:val="center"/>
                </w:tcPr>
                <w:p w14:paraId="0C96189A">
                  <w:pPr>
                    <w:keepNext w:val="0"/>
                    <w:keepLines w:val="0"/>
                    <w:pageBreakBefore w:val="0"/>
                    <w:kinsoku/>
                    <w:overflowPunct/>
                    <w:topLinePunct w:val="0"/>
                    <w:bidi w:val="0"/>
                    <w:adjustRightInd w:val="0"/>
                    <w:snapToGrid w:val="0"/>
                    <w:ind w:left="0" w:leftChars="0"/>
                    <w:jc w:val="both"/>
                    <w:textAlignment w:val="auto"/>
                    <w:rPr>
                      <w:rFonts w:hint="default" w:ascii="Times New Roman" w:hAnsi="Times New Roman" w:eastAsia="宋体" w:cs="Times New Roman"/>
                      <w:color w:val="auto"/>
                      <w:kern w:val="2"/>
                      <w:sz w:val="21"/>
                      <w:szCs w:val="21"/>
                      <w:lang w:val="en-GB" w:eastAsia="zh-CN" w:bidi="ar-SA"/>
                    </w:rPr>
                  </w:pPr>
                  <w:r>
                    <w:rPr>
                      <w:rFonts w:hAnsi="仿宋_GB2312"/>
                      <w:color w:val="auto"/>
                    </w:rPr>
                    <w:t>新建项目不再采用单一低温等离子、光氧化、光催化等治理技术，非水溶性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1557" w:type="pct"/>
                  <w:tcBorders>
                    <w:tl2br w:val="nil"/>
                    <w:tr2bl w:val="nil"/>
                  </w:tcBorders>
                  <w:shd w:val="clear" w:color="auto" w:fill="auto"/>
                  <w:vAlign w:val="center"/>
                </w:tcPr>
                <w:p w14:paraId="669CF9EF">
                  <w:pPr>
                    <w:pStyle w:val="65"/>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eastAsia="宋体_x0008_...." w:cs="Times New Roman"/>
                      <w:color w:val="auto"/>
                      <w:sz w:val="21"/>
                      <w:szCs w:val="21"/>
                      <w:lang w:val="en-US" w:eastAsia="zh-CN" w:bidi="ar-SA"/>
                    </w:rPr>
                  </w:pPr>
                  <w:r>
                    <w:rPr>
                      <w:rFonts w:hint="default" w:ascii="Times New Roman" w:hAnsi="Times New Roman" w:cs="Times New Roman"/>
                      <w:color w:val="auto"/>
                      <w:sz w:val="21"/>
                      <w:szCs w:val="21"/>
                      <w:lang w:val="en-US" w:eastAsia="zh-CN" w:bidi="ar-SA"/>
                    </w:rPr>
                    <w:t>本项目为新建项目，运营期产生的有机废气采用活性炭吸附装置处理，不属于单一低温等离子、光氧化、光催化等治理技术。本项目为检测实验室建设项目，不属于新改扩建重点行业，无需进行绩效评级。</w:t>
                  </w:r>
                </w:p>
              </w:tc>
              <w:tc>
                <w:tcPr>
                  <w:tcW w:w="396" w:type="pct"/>
                  <w:tcBorders>
                    <w:tl2br w:val="nil"/>
                    <w:tr2bl w:val="nil"/>
                  </w:tcBorders>
                  <w:shd w:val="clear" w:color="auto" w:fill="auto"/>
                  <w:vAlign w:val="center"/>
                </w:tcPr>
                <w:p w14:paraId="1E4041C8">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_x0008_...." w:cs="Times New Roman"/>
                      <w:color w:val="auto"/>
                      <w:sz w:val="21"/>
                      <w:szCs w:val="21"/>
                      <w:lang w:val="en-US" w:eastAsia="zh-CN" w:bidi="ar-SA"/>
                    </w:rPr>
                  </w:pPr>
                  <w:r>
                    <w:rPr>
                      <w:rFonts w:hint="default" w:ascii="Times New Roman" w:hAnsi="Times New Roman" w:cs="Times New Roman"/>
                      <w:color w:val="auto"/>
                      <w:sz w:val="21"/>
                      <w:szCs w:val="21"/>
                      <w:lang w:val="en-US" w:eastAsia="zh-CN" w:bidi="ar-SA"/>
                    </w:rPr>
                    <w:t>符合</w:t>
                  </w:r>
                </w:p>
              </w:tc>
            </w:tr>
            <w:tr w14:paraId="4DE43BF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1038" w:type="pct"/>
                  <w:vMerge w:val="restart"/>
                  <w:tcBorders>
                    <w:tl2br w:val="nil"/>
                    <w:tr2bl w:val="nil"/>
                  </w:tcBorders>
                  <w:vAlign w:val="center"/>
                </w:tcPr>
                <w:p w14:paraId="6FE6E7A6">
                  <w:pPr>
                    <w:adjustRightInd w:val="0"/>
                    <w:snapToGrid w:val="0"/>
                    <w:jc w:val="center"/>
                    <w:rPr>
                      <w:rFonts w:hint="eastAsia" w:eastAsia="宋体"/>
                      <w:color w:val="auto"/>
                      <w:lang w:eastAsia="zh-CN"/>
                    </w:rPr>
                  </w:pPr>
                  <w:r>
                    <w:rPr>
                      <w:rFonts w:hint="eastAsia"/>
                      <w:color w:val="auto"/>
                      <w:lang w:eastAsia="zh-CN"/>
                    </w:rPr>
                    <w:t>《</w:t>
                  </w:r>
                  <w:r>
                    <w:rPr>
                      <w:rFonts w:hint="eastAsia"/>
                      <w:color w:val="auto"/>
                      <w:lang w:val="en-US" w:eastAsia="zh-CN"/>
                    </w:rPr>
                    <w:t>西安市大气污染治理专项行动2024年工作方案</w:t>
                  </w:r>
                  <w:r>
                    <w:rPr>
                      <w:rFonts w:hint="eastAsia"/>
                      <w:color w:val="auto"/>
                      <w:lang w:eastAsia="zh-CN"/>
                    </w:rPr>
                    <w:t>》（</w:t>
                  </w:r>
                  <w:r>
                    <w:rPr>
                      <w:rFonts w:hint="eastAsia"/>
                      <w:color w:val="auto"/>
                      <w:lang w:val="en-US" w:eastAsia="zh-CN"/>
                    </w:rPr>
                    <w:t>市政办函〔2024〕25号</w:t>
                  </w:r>
                  <w:r>
                    <w:rPr>
                      <w:rFonts w:hint="eastAsia"/>
                      <w:color w:val="auto"/>
                      <w:lang w:eastAsia="zh-CN"/>
                    </w:rPr>
                    <w:t>）</w:t>
                  </w:r>
                </w:p>
              </w:tc>
              <w:tc>
                <w:tcPr>
                  <w:tcW w:w="2007" w:type="pct"/>
                  <w:tcBorders>
                    <w:tl2br w:val="nil"/>
                    <w:tr2bl w:val="nil"/>
                  </w:tcBorders>
                  <w:shd w:val="clear" w:color="auto" w:fill="auto"/>
                  <w:vAlign w:val="center"/>
                </w:tcPr>
                <w:p w14:paraId="0C600F1A">
                  <w:pPr>
                    <w:keepNext w:val="0"/>
                    <w:keepLines w:val="0"/>
                    <w:pageBreakBefore w:val="0"/>
                    <w:kinsoku/>
                    <w:overflowPunct/>
                    <w:topLinePunct w:val="0"/>
                    <w:bidi w:val="0"/>
                    <w:adjustRightInd w:val="0"/>
                    <w:snapToGrid w:val="0"/>
                    <w:ind w:left="0" w:leftChars="0"/>
                    <w:jc w:val="both"/>
                    <w:textAlignment w:val="auto"/>
                    <w:rPr>
                      <w:rFonts w:hint="default" w:hAnsi="仿宋_GB2312" w:eastAsia="宋体"/>
                      <w:color w:val="auto"/>
                      <w:lang w:val="en-US" w:eastAsia="zh-CN"/>
                    </w:rPr>
                  </w:pPr>
                  <w:r>
                    <w:rPr>
                      <w:rFonts w:hint="eastAsia" w:hAnsi="仿宋_GB2312"/>
                      <w:color w:val="auto"/>
                      <w:lang w:val="en-US" w:eastAsia="zh-CN"/>
                    </w:rPr>
                    <w:t>大力发展清洁取暖方式。新建居民住宅、商业综合体等必须使用清洁能源取暖（地热能、空气源热泵、污水源热泵等）。</w:t>
                  </w:r>
                </w:p>
              </w:tc>
              <w:tc>
                <w:tcPr>
                  <w:tcW w:w="1557" w:type="pct"/>
                  <w:tcBorders>
                    <w:tl2br w:val="nil"/>
                    <w:tr2bl w:val="nil"/>
                  </w:tcBorders>
                  <w:shd w:val="clear" w:color="auto" w:fill="auto"/>
                  <w:vAlign w:val="center"/>
                </w:tcPr>
                <w:p w14:paraId="66CBDC35">
                  <w:pPr>
                    <w:pStyle w:val="65"/>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cs="Times New Roman"/>
                      <w:color w:val="auto"/>
                      <w:sz w:val="21"/>
                      <w:szCs w:val="21"/>
                      <w:lang w:val="en-US" w:eastAsia="zh-CN" w:bidi="ar-SA"/>
                    </w:rPr>
                  </w:pPr>
                  <w:r>
                    <w:rPr>
                      <w:rFonts w:hint="eastAsia" w:ascii="Times New Roman" w:cs="Times New Roman"/>
                      <w:color w:val="auto"/>
                      <w:sz w:val="21"/>
                      <w:szCs w:val="21"/>
                      <w:lang w:val="en-US" w:eastAsia="zh-CN" w:bidi="ar-SA"/>
                    </w:rPr>
                    <w:t>本项目取暖制冷采用分体式空调，采用电能，属于清洁取暖方式。</w:t>
                  </w:r>
                </w:p>
              </w:tc>
              <w:tc>
                <w:tcPr>
                  <w:tcW w:w="396" w:type="pct"/>
                  <w:tcBorders>
                    <w:tl2br w:val="nil"/>
                    <w:tr2bl w:val="nil"/>
                  </w:tcBorders>
                  <w:shd w:val="clear" w:color="auto" w:fill="auto"/>
                  <w:vAlign w:val="center"/>
                </w:tcPr>
                <w:p w14:paraId="5F4E46BB">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 w:val="21"/>
                      <w:szCs w:val="21"/>
                      <w:lang w:val="en-US" w:eastAsia="zh-CN" w:bidi="ar-SA"/>
                    </w:rPr>
                  </w:pPr>
                  <w:r>
                    <w:rPr>
                      <w:rFonts w:hint="eastAsia" w:ascii="Times New Roman" w:cs="Times New Roman"/>
                      <w:color w:val="auto"/>
                      <w:sz w:val="21"/>
                      <w:szCs w:val="21"/>
                      <w:lang w:val="en-US" w:eastAsia="zh-CN" w:bidi="ar-SA"/>
                    </w:rPr>
                    <w:t>符合</w:t>
                  </w:r>
                </w:p>
              </w:tc>
            </w:tr>
            <w:tr w14:paraId="34AC7B3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9" w:hRule="atLeast"/>
              </w:trPr>
              <w:tc>
                <w:tcPr>
                  <w:tcW w:w="1038" w:type="pct"/>
                  <w:vMerge w:val="continue"/>
                  <w:tcBorders>
                    <w:tl2br w:val="nil"/>
                    <w:tr2bl w:val="nil"/>
                  </w:tcBorders>
                  <w:vAlign w:val="center"/>
                </w:tcPr>
                <w:p w14:paraId="5E920DA8">
                  <w:pPr>
                    <w:pStyle w:val="65"/>
                    <w:snapToGrid w:val="0"/>
                    <w:jc w:val="center"/>
                    <w:rPr>
                      <w:color w:val="auto"/>
                    </w:rPr>
                  </w:pPr>
                </w:p>
              </w:tc>
              <w:tc>
                <w:tcPr>
                  <w:tcW w:w="2007" w:type="pct"/>
                  <w:tcBorders>
                    <w:tl2br w:val="nil"/>
                    <w:tr2bl w:val="nil"/>
                  </w:tcBorders>
                  <w:shd w:val="clear" w:color="auto" w:fill="auto"/>
                  <w:vAlign w:val="center"/>
                </w:tcPr>
                <w:p w14:paraId="7C0679C1">
                  <w:pPr>
                    <w:pStyle w:val="65"/>
                    <w:keepNext w:val="0"/>
                    <w:keepLines w:val="0"/>
                    <w:pageBreakBefore w:val="0"/>
                    <w:kinsoku/>
                    <w:overflowPunct/>
                    <w:topLinePunct w:val="0"/>
                    <w:bidi w:val="0"/>
                    <w:adjustRightInd w:val="0"/>
                    <w:snapToGrid w:val="0"/>
                    <w:ind w:left="0" w:leftChars="0"/>
                    <w:jc w:val="both"/>
                    <w:textAlignment w:val="auto"/>
                    <w:rPr>
                      <w:rFonts w:hint="eastAsia" w:hAnsi="仿宋_GB2312"/>
                      <w:color w:val="auto"/>
                      <w:lang w:val="en-US" w:eastAsia="zh-CN"/>
                    </w:rPr>
                  </w:pPr>
                  <w:r>
                    <w:rPr>
                      <w:rFonts w:hint="eastAsia" w:ascii="宋体" w:hAnsi="宋体" w:eastAsia="宋体" w:cs="宋体"/>
                      <w:color w:val="auto"/>
                      <w:sz w:val="21"/>
                      <w:szCs w:val="21"/>
                      <w:lang w:val="en-US" w:eastAsia="zh-CN"/>
                    </w:rPr>
                    <w:t>加大政策支持力度，依托省内科研院所和大中型企业的专业力量，提升生态环保产业科技创新能力，推动实施非化石能源、新型电力系统、智慧能源示范、高端能化装备制造、氢能储能创新示范等工程，发展壮大节能环保、新能源汽车等产业，在环境监测、环保装备、环境咨询等领域培育若干个科技含量高、竞争能力强、行业影响广的环保产业企业，带动装备升级、产品上档、节能环保产业化水平，逐步形成以环保治理为主的产业集群，引导全市环保产业从污染末端治理向服务经济绿色改造转变，形成绿色发展新动能。</w:t>
                  </w:r>
                </w:p>
              </w:tc>
              <w:tc>
                <w:tcPr>
                  <w:tcW w:w="1557" w:type="pct"/>
                  <w:tcBorders>
                    <w:tl2br w:val="nil"/>
                    <w:tr2bl w:val="nil"/>
                  </w:tcBorders>
                  <w:shd w:val="clear" w:color="auto" w:fill="auto"/>
                  <w:vAlign w:val="center"/>
                </w:tcPr>
                <w:p w14:paraId="66CAA804">
                  <w:pPr>
                    <w:pStyle w:val="65"/>
                    <w:keepNext w:val="0"/>
                    <w:keepLines w:val="0"/>
                    <w:pageBreakBefore w:val="0"/>
                    <w:kinsoku/>
                    <w:wordWrap/>
                    <w:overflowPunct/>
                    <w:topLinePunct w:val="0"/>
                    <w:bidi w:val="0"/>
                    <w:adjustRightInd w:val="0"/>
                    <w:snapToGrid w:val="0"/>
                    <w:ind w:left="0" w:lef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本项目属于环境监测服务类项目，符合方案要求。</w:t>
                  </w:r>
                </w:p>
              </w:tc>
              <w:tc>
                <w:tcPr>
                  <w:tcW w:w="396" w:type="pct"/>
                  <w:tcBorders>
                    <w:tl2br w:val="nil"/>
                    <w:tr2bl w:val="nil"/>
                  </w:tcBorders>
                  <w:shd w:val="clear" w:color="auto" w:fill="auto"/>
                  <w:vAlign w:val="center"/>
                </w:tcPr>
                <w:p w14:paraId="6FD41D88">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符合</w:t>
                  </w:r>
                </w:p>
              </w:tc>
            </w:tr>
            <w:tr w14:paraId="5D0F834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3" w:hRule="atLeast"/>
              </w:trPr>
              <w:tc>
                <w:tcPr>
                  <w:tcW w:w="1038" w:type="pct"/>
                  <w:tcBorders>
                    <w:tl2br w:val="nil"/>
                    <w:tr2bl w:val="nil"/>
                  </w:tcBorders>
                  <w:shd w:val="clear" w:color="auto" w:fill="auto"/>
                  <w:vAlign w:val="center"/>
                </w:tcPr>
                <w:p w14:paraId="257D2E33">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rFonts w:ascii="宋体" w:hAnsi="宋体" w:eastAsia="宋体" w:cs="Times New Roman"/>
                      <w:color w:val="auto"/>
                      <w:kern w:val="0"/>
                      <w:sz w:val="24"/>
                      <w:szCs w:val="20"/>
                      <w:lang w:val="en-US" w:eastAsia="zh-CN" w:bidi="ar-SA"/>
                    </w:rPr>
                  </w:pPr>
                  <w:r>
                    <w:rPr>
                      <w:rFonts w:hint="default" w:ascii="Times New Roman" w:hAnsi="Times New Roman" w:cs="Times New Roman"/>
                      <w:color w:val="auto"/>
                      <w:sz w:val="21"/>
                      <w:szCs w:val="21"/>
                      <w:lang w:val="en-US" w:eastAsia="zh-CN"/>
                    </w:rPr>
                    <w:t>《西安市挥发性有机物污染整治专项实施方案（2023-2027年）》</w:t>
                  </w:r>
                </w:p>
              </w:tc>
              <w:tc>
                <w:tcPr>
                  <w:tcW w:w="2007" w:type="pct"/>
                  <w:tcBorders>
                    <w:tl2br w:val="nil"/>
                    <w:tr2bl w:val="nil"/>
                  </w:tcBorders>
                  <w:shd w:val="clear" w:color="auto" w:fill="auto"/>
                  <w:vAlign w:val="center"/>
                </w:tcPr>
                <w:p w14:paraId="4C9C9255">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left"/>
                    <w:textAlignment w:val="auto"/>
                    <w:outlineLvl w:val="9"/>
                    <w:rPr>
                      <w:rFonts w:ascii="宋体" w:hAnsi="仿宋_GB2312" w:eastAsia="宋体" w:cs="Times New Roman"/>
                      <w:color w:val="auto"/>
                      <w:kern w:val="0"/>
                      <w:sz w:val="24"/>
                      <w:szCs w:val="20"/>
                      <w:lang w:val="en-US" w:eastAsia="zh-CN" w:bidi="ar-SA"/>
                    </w:rPr>
                  </w:pPr>
                  <w:r>
                    <w:rPr>
                      <w:rFonts w:hint="default" w:ascii="Times New Roman" w:hAnsi="Times New Roman" w:cs="Times New Roman"/>
                      <w:color w:val="auto"/>
                      <w:sz w:val="21"/>
                      <w:szCs w:val="21"/>
                      <w:lang w:val="en-US" w:eastAsia="zh-CN"/>
                    </w:rPr>
                    <w:t>强化涉活性炭NMHC处理工艺治理。采用活性炭吸附技术的，其中颗粒碳碘吸附值不低于800mg/g或四氯化碳吸附率不低于60%，蜂窝活性炭碘吸附值不低于600mg/g或四氯化碳吸附率不低于30%，按设计要求足量添加、定期更换，动态更新挥发性有机物治理设施台账。组织开展活性炭技术等NMHC治理设施排查，对达不到要求的，应当更换或升级改造，实现稳定达标排放。</w:t>
                  </w:r>
                </w:p>
              </w:tc>
              <w:tc>
                <w:tcPr>
                  <w:tcW w:w="1557" w:type="pct"/>
                  <w:tcBorders>
                    <w:tl2br w:val="nil"/>
                    <w:tr2bl w:val="nil"/>
                  </w:tcBorders>
                  <w:shd w:val="clear" w:color="auto" w:fill="auto"/>
                  <w:vAlign w:val="center"/>
                </w:tcPr>
                <w:p w14:paraId="73D1B184">
                  <w:pPr>
                    <w:pStyle w:val="65"/>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eastAsia="宋体_x0008_...." w:cs="Times New Roman"/>
                      <w:color w:val="auto"/>
                      <w:sz w:val="21"/>
                      <w:szCs w:val="21"/>
                      <w:lang w:val="en-GB" w:eastAsia="zh-CN" w:bidi="ar-SA"/>
                    </w:rPr>
                  </w:pPr>
                  <w:r>
                    <w:rPr>
                      <w:rFonts w:hint="default" w:ascii="Times New Roman" w:hAnsi="Times New Roman" w:eastAsia="宋体_x0008_...." w:cs="Times New Roman"/>
                      <w:color w:val="auto"/>
                      <w:sz w:val="21"/>
                      <w:szCs w:val="21"/>
                      <w:lang w:val="en-GB" w:eastAsia="zh-CN" w:bidi="ar-SA"/>
                    </w:rPr>
                    <w:t>本项目实验产生的有机废气经</w:t>
                  </w:r>
                  <w:r>
                    <w:rPr>
                      <w:rFonts w:hint="eastAsia" w:ascii="Times New Roman" w:cs="Times New Roman"/>
                      <w:color w:val="auto"/>
                      <w:sz w:val="21"/>
                      <w:szCs w:val="21"/>
                      <w:lang w:val="en-GB" w:eastAsia="zh-CN" w:bidi="ar-SA"/>
                    </w:rPr>
                    <w:t>通风柜</w:t>
                  </w:r>
                  <w:r>
                    <w:rPr>
                      <w:rFonts w:hint="default" w:ascii="Times New Roman" w:hAnsi="Times New Roman" w:eastAsia="宋体_x0008_...." w:cs="Times New Roman"/>
                      <w:color w:val="auto"/>
                      <w:sz w:val="21"/>
                      <w:szCs w:val="21"/>
                      <w:lang w:val="en-GB" w:eastAsia="zh-CN" w:bidi="ar-SA"/>
                    </w:rPr>
                    <w:t>收集后通过活性炭吸附装置处理后</w:t>
                  </w:r>
                  <w:r>
                    <w:rPr>
                      <w:rFonts w:hint="eastAsia" w:ascii="Times New Roman" w:cs="Times New Roman"/>
                      <w:color w:val="auto"/>
                      <w:sz w:val="21"/>
                      <w:szCs w:val="21"/>
                      <w:lang w:val="en-US" w:eastAsia="zh-CN" w:bidi="ar-SA"/>
                    </w:rPr>
                    <w:t>无组织排放。</w:t>
                  </w:r>
                  <w:r>
                    <w:rPr>
                      <w:rFonts w:hint="eastAsia" w:ascii="Times New Roman" w:hAnsi="Times New Roman" w:cs="Times New Roman"/>
                      <w:color w:val="auto"/>
                      <w:sz w:val="21"/>
                      <w:szCs w:val="21"/>
                      <w:lang w:val="en-US" w:eastAsia="zh-CN" w:bidi="ar-SA"/>
                    </w:rPr>
                    <w:t>环评要求</w:t>
                  </w:r>
                  <w:r>
                    <w:rPr>
                      <w:rFonts w:hint="default" w:ascii="Times New Roman" w:hAnsi="Times New Roman" w:eastAsia="宋体_x0008_...." w:cs="Times New Roman"/>
                      <w:color w:val="auto"/>
                      <w:sz w:val="21"/>
                      <w:szCs w:val="21"/>
                      <w:lang w:val="en-GB" w:eastAsia="zh-CN" w:bidi="ar-SA"/>
                    </w:rPr>
                    <w:t>应选择碘值不低于800mg/g的颗粒碳或碘值不低于600mg/g的蜂窝炭，并按设计要求足量添加、及时更换。</w:t>
                  </w:r>
                </w:p>
              </w:tc>
              <w:tc>
                <w:tcPr>
                  <w:tcW w:w="396" w:type="pct"/>
                  <w:tcBorders>
                    <w:tl2br w:val="nil"/>
                    <w:tr2bl w:val="nil"/>
                  </w:tcBorders>
                  <w:shd w:val="clear" w:color="auto" w:fill="auto"/>
                  <w:vAlign w:val="center"/>
                </w:tcPr>
                <w:p w14:paraId="79A865B3">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_x0008_...." w:cs="Times New Roman"/>
                      <w:color w:val="auto"/>
                      <w:sz w:val="21"/>
                      <w:szCs w:val="21"/>
                      <w:lang w:val="en-US" w:eastAsia="zh-CN" w:bidi="ar-SA"/>
                    </w:rPr>
                  </w:pPr>
                  <w:r>
                    <w:rPr>
                      <w:rFonts w:hint="eastAsia" w:ascii="Times New Roman" w:hAnsi="Times New Roman" w:cs="Times New Roman"/>
                      <w:color w:val="auto"/>
                      <w:sz w:val="21"/>
                      <w:szCs w:val="21"/>
                      <w:lang w:val="en-US" w:eastAsia="zh-CN" w:bidi="ar-SA"/>
                    </w:rPr>
                    <w:t>符合</w:t>
                  </w:r>
                </w:p>
              </w:tc>
            </w:tr>
            <w:tr w14:paraId="3882D1C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1038" w:type="pct"/>
                  <w:vMerge w:val="restart"/>
                  <w:tcBorders>
                    <w:tl2br w:val="nil"/>
                    <w:tr2bl w:val="nil"/>
                  </w:tcBorders>
                  <w:shd w:val="clear" w:color="auto" w:fill="auto"/>
                  <w:vAlign w:val="center"/>
                </w:tcPr>
                <w:p w14:paraId="10F8FBC2">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rFonts w:ascii="宋体" w:hAnsi="仿宋_GB2312" w:eastAsia="宋体" w:cs="Times New Roman"/>
                      <w:color w:val="auto"/>
                      <w:kern w:val="0"/>
                      <w:sz w:val="24"/>
                      <w:szCs w:val="20"/>
                      <w:lang w:val="en-US" w:eastAsia="zh-CN" w:bidi="ar-SA"/>
                    </w:rPr>
                  </w:pPr>
                  <w:r>
                    <w:rPr>
                      <w:rFonts w:hint="eastAsia" w:ascii="Times New Roman" w:hAnsi="Times New Roman" w:cs="Times New Roman"/>
                      <w:color w:val="auto"/>
                      <w:sz w:val="21"/>
                      <w:szCs w:val="21"/>
                      <w:lang w:val="en-US" w:eastAsia="zh-CN"/>
                    </w:rPr>
                    <w:t>《西安市生态环境局办公室关于加强涉气项目环境影响评价管理的通知》（市环办发〔2023〕47号）</w:t>
                  </w:r>
                </w:p>
                <w:p w14:paraId="117D793E">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p>
              </w:tc>
              <w:tc>
                <w:tcPr>
                  <w:tcW w:w="2007" w:type="pct"/>
                  <w:tcBorders>
                    <w:tl2br w:val="nil"/>
                    <w:tr2bl w:val="nil"/>
                  </w:tcBorders>
                  <w:shd w:val="clear" w:color="auto" w:fill="auto"/>
                  <w:vAlign w:val="center"/>
                </w:tcPr>
                <w:p w14:paraId="14B90CFF">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left"/>
                    <w:textAlignment w:val="auto"/>
                    <w:outlineLvl w:val="9"/>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严格涉气项目环评审批。严禁新增煤电（含自备煤厂）装机规模，不再新建燃煤集中供热站。新改扩建化工、石材、建材、有色等项目应充分满足区域和规划环评要求。</w:t>
                  </w:r>
                </w:p>
              </w:tc>
              <w:tc>
                <w:tcPr>
                  <w:tcW w:w="1557" w:type="pct"/>
                  <w:tcBorders>
                    <w:tl2br w:val="nil"/>
                    <w:tr2bl w:val="nil"/>
                  </w:tcBorders>
                  <w:shd w:val="clear" w:color="auto" w:fill="auto"/>
                  <w:vAlign w:val="center"/>
                </w:tcPr>
                <w:p w14:paraId="2AB08436">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both"/>
                    <w:textAlignment w:val="auto"/>
                    <w:outlineLvl w:val="9"/>
                    <w:rPr>
                      <w:rFonts w:hint="default" w:ascii="Times New Roman" w:hAnsi="Times New Roman" w:eastAsia="宋体_x0008_...." w:cs="Times New Roman"/>
                      <w:color w:val="auto"/>
                      <w:sz w:val="24"/>
                      <w:szCs w:val="21"/>
                      <w:lang w:val="en-GB" w:eastAsia="zh-CN" w:bidi="ar-SA"/>
                    </w:rPr>
                  </w:pPr>
                  <w:r>
                    <w:rPr>
                      <w:rFonts w:hint="eastAsia" w:ascii="Times New Roman" w:hAnsi="Times New Roman" w:cs="Times New Roman"/>
                      <w:color w:val="auto"/>
                      <w:kern w:val="2"/>
                      <w:sz w:val="21"/>
                      <w:szCs w:val="21"/>
                      <w:highlight w:val="none"/>
                      <w:lang w:val="en-US" w:eastAsia="zh-CN" w:bidi="ar-SA"/>
                    </w:rPr>
                    <w:t>本项目供暖采用空调供暖，本项目为新建检测实验室项目，不属于新改扩建化工、石材、建材、有色等项目。</w:t>
                  </w:r>
                </w:p>
              </w:tc>
              <w:tc>
                <w:tcPr>
                  <w:tcW w:w="396" w:type="pct"/>
                  <w:tcBorders>
                    <w:tl2br w:val="nil"/>
                    <w:tr2bl w:val="nil"/>
                  </w:tcBorders>
                  <w:shd w:val="clear" w:color="auto" w:fill="auto"/>
                  <w:vAlign w:val="center"/>
                </w:tcPr>
                <w:p w14:paraId="0FE118B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_x0008_...." w:cs="Times New Roman"/>
                      <w:color w:val="auto"/>
                      <w:sz w:val="24"/>
                      <w:szCs w:val="21"/>
                      <w:lang w:val="en-GB" w:eastAsia="zh-CN" w:bidi="ar-SA"/>
                    </w:rPr>
                  </w:pPr>
                  <w:r>
                    <w:rPr>
                      <w:rFonts w:hint="eastAsia" w:ascii="Times New Roman" w:hAnsi="Times New Roman" w:eastAsia="宋体" w:cs="Times New Roman"/>
                      <w:color w:val="auto"/>
                      <w:kern w:val="0"/>
                      <w:sz w:val="21"/>
                      <w:szCs w:val="21"/>
                      <w:lang w:eastAsia="zh-CN"/>
                    </w:rPr>
                    <w:t>符合</w:t>
                  </w:r>
                </w:p>
              </w:tc>
            </w:tr>
            <w:tr w14:paraId="68C4772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9" w:hRule="atLeast"/>
              </w:trPr>
              <w:tc>
                <w:tcPr>
                  <w:tcW w:w="1038" w:type="pct"/>
                  <w:vMerge w:val="continue"/>
                  <w:tcBorders>
                    <w:tl2br w:val="nil"/>
                    <w:tr2bl w:val="nil"/>
                  </w:tcBorders>
                  <w:shd w:val="clear" w:color="auto" w:fill="auto"/>
                  <w:vAlign w:val="center"/>
                </w:tcPr>
                <w:p w14:paraId="22249781">
                  <w:pPr>
                    <w:pStyle w:val="65"/>
                    <w:snapToGrid w:val="0"/>
                    <w:jc w:val="center"/>
                    <w:rPr>
                      <w:color w:val="auto"/>
                    </w:rPr>
                  </w:pPr>
                </w:p>
              </w:tc>
              <w:tc>
                <w:tcPr>
                  <w:tcW w:w="2007" w:type="pct"/>
                  <w:tcBorders>
                    <w:tl2br w:val="nil"/>
                    <w:tr2bl w:val="nil"/>
                  </w:tcBorders>
                  <w:shd w:val="clear" w:color="auto" w:fill="auto"/>
                  <w:vAlign w:val="center"/>
                </w:tcPr>
                <w:p w14:paraId="44A0E9D5">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left"/>
                    <w:textAlignment w:val="auto"/>
                    <w:outlineLvl w:val="9"/>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强化VOCs治理。新建项目不再采用低温等离子、光氧化、光催化等单一处理方式，非水溶性挥发性有机物废气不再采用喷淋吸收方式处理。采用活性炭吸附技术的，其中颗粒碳碘吸附值不低于800mg/g或四氯化碳吸附率不低于60%，蜂窝活性炭碘吸附值不低于600mg/g或四氯化碳吸附率不低于30%，按设计要求足量添加，定期更换。</w:t>
                  </w:r>
                </w:p>
              </w:tc>
              <w:tc>
                <w:tcPr>
                  <w:tcW w:w="1557" w:type="pct"/>
                  <w:tcBorders>
                    <w:tl2br w:val="nil"/>
                    <w:tr2bl w:val="nil"/>
                  </w:tcBorders>
                  <w:shd w:val="clear" w:color="auto" w:fill="auto"/>
                  <w:vAlign w:val="center"/>
                </w:tcPr>
                <w:p w14:paraId="7C1014E7">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both"/>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kern w:val="2"/>
                      <w:sz w:val="21"/>
                      <w:szCs w:val="21"/>
                      <w:highlight w:val="none"/>
                      <w:lang w:val="en-US" w:eastAsia="zh-CN" w:bidi="ar-SA"/>
                    </w:rPr>
                    <w:t>本项目</w:t>
                  </w:r>
                  <w:r>
                    <w:rPr>
                      <w:rFonts w:hint="eastAsia" w:ascii="Times New Roman" w:hAnsi="Times New Roman" w:cs="Times New Roman"/>
                      <w:color w:val="auto"/>
                      <w:kern w:val="2"/>
                      <w:sz w:val="21"/>
                      <w:szCs w:val="21"/>
                      <w:highlight w:val="none"/>
                      <w:lang w:val="en-US" w:eastAsia="zh-CN" w:bidi="ar-SA"/>
                    </w:rPr>
                    <w:t>实验</w:t>
                  </w:r>
                  <w:r>
                    <w:rPr>
                      <w:rFonts w:hint="default" w:ascii="Times New Roman" w:hAnsi="Times New Roman" w:cs="Times New Roman"/>
                      <w:color w:val="auto"/>
                      <w:kern w:val="2"/>
                      <w:sz w:val="21"/>
                      <w:szCs w:val="21"/>
                      <w:highlight w:val="none"/>
                      <w:lang w:val="en-US" w:eastAsia="zh-CN" w:bidi="ar-SA"/>
                    </w:rPr>
                    <w:t>产生的有机废气</w:t>
                  </w:r>
                  <w:r>
                    <w:rPr>
                      <w:rFonts w:hint="eastAsia" w:ascii="Times New Roman" w:hAnsi="Times New Roman" w:cs="Times New Roman"/>
                      <w:color w:val="auto"/>
                      <w:kern w:val="2"/>
                      <w:sz w:val="21"/>
                      <w:szCs w:val="21"/>
                      <w:highlight w:val="none"/>
                      <w:lang w:val="en-US" w:eastAsia="zh-CN" w:bidi="ar-SA"/>
                    </w:rPr>
                    <w:t>经通风柜收集</w:t>
                  </w:r>
                  <w:r>
                    <w:rPr>
                      <w:rFonts w:hint="default" w:ascii="Times New Roman" w:hAnsi="Times New Roman" w:cs="Times New Roman"/>
                      <w:color w:val="auto"/>
                      <w:kern w:val="2"/>
                      <w:sz w:val="21"/>
                      <w:szCs w:val="21"/>
                      <w:highlight w:val="none"/>
                      <w:lang w:val="en-US" w:eastAsia="zh-CN" w:bidi="ar-SA"/>
                    </w:rPr>
                    <w:t>后通过</w:t>
                  </w:r>
                  <w:r>
                    <w:rPr>
                      <w:rFonts w:hint="eastAsia" w:ascii="Times New Roman" w:hAnsi="Times New Roman" w:cs="Times New Roman"/>
                      <w:color w:val="auto"/>
                      <w:kern w:val="2"/>
                      <w:sz w:val="21"/>
                      <w:szCs w:val="21"/>
                      <w:highlight w:val="none"/>
                      <w:lang w:val="en-US" w:eastAsia="zh-CN" w:bidi="ar-SA"/>
                    </w:rPr>
                    <w:t>活性炭吸附装置</w:t>
                  </w:r>
                  <w:r>
                    <w:rPr>
                      <w:rFonts w:hint="default" w:ascii="Times New Roman" w:hAnsi="Times New Roman" w:cs="Times New Roman"/>
                      <w:color w:val="auto"/>
                      <w:kern w:val="2"/>
                      <w:sz w:val="21"/>
                      <w:szCs w:val="21"/>
                      <w:highlight w:val="none"/>
                      <w:lang w:val="en-US" w:eastAsia="zh-CN" w:bidi="ar-SA"/>
                    </w:rPr>
                    <w:t>处理后通过</w:t>
                  </w:r>
                  <w:r>
                    <w:rPr>
                      <w:rFonts w:hint="eastAsia" w:ascii="Times New Roman" w:hAnsi="Times New Roman" w:cs="Times New Roman"/>
                      <w:color w:val="auto"/>
                      <w:kern w:val="2"/>
                      <w:sz w:val="21"/>
                      <w:szCs w:val="21"/>
                      <w:highlight w:val="none"/>
                      <w:lang w:val="en-US" w:eastAsia="zh-CN" w:bidi="ar-SA"/>
                    </w:rPr>
                    <w:t>排风口无组织排放，不属于单一低温等离子、光氧化、光催化等治理技术。本</w:t>
                  </w:r>
                  <w:r>
                    <w:rPr>
                      <w:rFonts w:hint="default" w:ascii="Times New Roman" w:hAnsi="Times New Roman" w:cs="Times New Roman"/>
                      <w:color w:val="auto"/>
                      <w:kern w:val="2"/>
                      <w:sz w:val="21"/>
                      <w:szCs w:val="21"/>
                      <w:highlight w:val="none"/>
                      <w:lang w:val="en-US" w:eastAsia="zh-CN" w:bidi="ar-SA"/>
                    </w:rPr>
                    <w:t>项目</w:t>
                  </w:r>
                  <w:r>
                    <w:rPr>
                      <w:rFonts w:hint="eastAsia" w:ascii="Times New Roman" w:hAnsi="Times New Roman" w:cs="Times New Roman"/>
                      <w:color w:val="auto"/>
                      <w:kern w:val="2"/>
                      <w:sz w:val="21"/>
                      <w:szCs w:val="21"/>
                      <w:highlight w:val="none"/>
                      <w:lang w:val="en-US" w:eastAsia="zh-CN" w:bidi="ar-SA"/>
                    </w:rPr>
                    <w:t>应</w:t>
                  </w:r>
                  <w:r>
                    <w:rPr>
                      <w:rFonts w:hint="default" w:ascii="Times New Roman" w:hAnsi="Times New Roman" w:cs="Times New Roman"/>
                      <w:color w:val="auto"/>
                      <w:kern w:val="2"/>
                      <w:sz w:val="21"/>
                      <w:szCs w:val="21"/>
                      <w:highlight w:val="none"/>
                      <w:lang w:val="en-US" w:eastAsia="zh-CN" w:bidi="ar-SA"/>
                    </w:rPr>
                    <w:t>选择碘值不低于</w:t>
                  </w:r>
                  <w:r>
                    <w:rPr>
                      <w:rFonts w:hint="eastAsia" w:ascii="Times New Roman" w:hAnsi="Times New Roman" w:cs="Times New Roman"/>
                      <w:color w:val="auto"/>
                      <w:kern w:val="2"/>
                      <w:sz w:val="21"/>
                      <w:szCs w:val="21"/>
                      <w:highlight w:val="none"/>
                      <w:lang w:val="en-US" w:eastAsia="zh-CN" w:bidi="ar-SA"/>
                    </w:rPr>
                    <w:t>800</w:t>
                  </w:r>
                  <w:r>
                    <w:rPr>
                      <w:rFonts w:hint="default" w:ascii="Times New Roman" w:hAnsi="Times New Roman" w:cs="Times New Roman"/>
                      <w:color w:val="auto"/>
                      <w:kern w:val="2"/>
                      <w:sz w:val="21"/>
                      <w:szCs w:val="21"/>
                      <w:highlight w:val="none"/>
                      <w:lang w:val="en-US" w:eastAsia="zh-CN" w:bidi="ar-SA"/>
                    </w:rPr>
                    <w:t>mg/g的</w:t>
                  </w:r>
                  <w:r>
                    <w:rPr>
                      <w:rFonts w:hint="eastAsia" w:ascii="Times New Roman" w:hAnsi="Times New Roman" w:cs="Times New Roman"/>
                      <w:color w:val="auto"/>
                      <w:kern w:val="2"/>
                      <w:sz w:val="21"/>
                      <w:szCs w:val="21"/>
                      <w:highlight w:val="none"/>
                      <w:lang w:val="en-US" w:eastAsia="zh-CN" w:bidi="ar-SA"/>
                    </w:rPr>
                    <w:t>颗粒碳或</w:t>
                  </w:r>
                  <w:r>
                    <w:rPr>
                      <w:rFonts w:hint="default" w:ascii="Times New Roman" w:hAnsi="Times New Roman" w:cs="Times New Roman"/>
                      <w:color w:val="auto"/>
                      <w:kern w:val="2"/>
                      <w:sz w:val="21"/>
                      <w:szCs w:val="21"/>
                      <w:highlight w:val="none"/>
                      <w:lang w:val="en-US" w:eastAsia="zh-CN" w:bidi="ar-SA"/>
                    </w:rPr>
                    <w:t>碘值不低于</w:t>
                  </w:r>
                  <w:r>
                    <w:rPr>
                      <w:rFonts w:hint="eastAsia" w:ascii="Times New Roman" w:hAnsi="Times New Roman" w:cs="Times New Roman"/>
                      <w:color w:val="auto"/>
                      <w:kern w:val="2"/>
                      <w:sz w:val="21"/>
                      <w:szCs w:val="21"/>
                      <w:highlight w:val="none"/>
                      <w:lang w:val="en-US" w:eastAsia="zh-CN" w:bidi="ar-SA"/>
                    </w:rPr>
                    <w:t>600</w:t>
                  </w:r>
                  <w:r>
                    <w:rPr>
                      <w:rFonts w:hint="default" w:ascii="Times New Roman" w:hAnsi="Times New Roman" w:cs="Times New Roman"/>
                      <w:color w:val="auto"/>
                      <w:kern w:val="2"/>
                      <w:sz w:val="21"/>
                      <w:szCs w:val="21"/>
                      <w:highlight w:val="none"/>
                      <w:lang w:val="en-US" w:eastAsia="zh-CN" w:bidi="ar-SA"/>
                    </w:rPr>
                    <w:t>mg/g的</w:t>
                  </w:r>
                  <w:r>
                    <w:rPr>
                      <w:rFonts w:hint="eastAsia" w:ascii="Times New Roman" w:hAnsi="Times New Roman" w:cs="Times New Roman"/>
                      <w:color w:val="auto"/>
                      <w:kern w:val="2"/>
                      <w:sz w:val="21"/>
                      <w:szCs w:val="21"/>
                      <w:highlight w:val="none"/>
                      <w:lang w:val="en-US" w:eastAsia="zh-CN" w:bidi="ar-SA"/>
                    </w:rPr>
                    <w:t>蜂窝炭</w:t>
                  </w:r>
                  <w:r>
                    <w:rPr>
                      <w:rFonts w:hint="default" w:ascii="Times New Roman" w:hAnsi="Times New Roman" w:cs="Times New Roman"/>
                      <w:color w:val="auto"/>
                      <w:kern w:val="2"/>
                      <w:sz w:val="21"/>
                      <w:szCs w:val="21"/>
                      <w:highlight w:val="none"/>
                      <w:lang w:val="en-US" w:eastAsia="zh-CN" w:bidi="ar-SA"/>
                    </w:rPr>
                    <w:t>，并按设计要求足量添加、及时更换。</w:t>
                  </w:r>
                </w:p>
              </w:tc>
              <w:tc>
                <w:tcPr>
                  <w:tcW w:w="396" w:type="pct"/>
                  <w:tcBorders>
                    <w:tl2br w:val="nil"/>
                    <w:tr2bl w:val="nil"/>
                  </w:tcBorders>
                  <w:shd w:val="clear" w:color="auto" w:fill="auto"/>
                  <w:vAlign w:val="center"/>
                </w:tcPr>
                <w:p w14:paraId="3D22F0E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kern w:val="0"/>
                      <w:sz w:val="21"/>
                      <w:szCs w:val="21"/>
                      <w:lang w:eastAsia="zh-CN"/>
                    </w:rPr>
                    <w:t>符合</w:t>
                  </w:r>
                </w:p>
              </w:tc>
            </w:tr>
            <w:tr w14:paraId="403E64A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038" w:type="pct"/>
                  <w:vMerge w:val="restart"/>
                  <w:tcBorders>
                    <w:tl2br w:val="nil"/>
                    <w:tr2bl w:val="nil"/>
                  </w:tcBorders>
                  <w:shd w:val="clear" w:color="auto" w:fill="auto"/>
                  <w:vAlign w:val="center"/>
                </w:tcPr>
                <w:p w14:paraId="053C7A2D">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color w:val="auto"/>
                    </w:rPr>
                  </w:pPr>
                  <w:r>
                    <w:rPr>
                      <w:rFonts w:hint="eastAsia" w:ascii="Times New Roman" w:hAnsi="Times New Roman" w:cs="Times New Roman"/>
                      <w:color w:val="auto"/>
                      <w:sz w:val="21"/>
                      <w:szCs w:val="21"/>
                      <w:lang w:val="en-US" w:eastAsia="zh-CN"/>
                    </w:rPr>
                    <w:t>《西安市推进实现“十四五”空气质量目标暨大气污染治理专项行动</w:t>
                  </w:r>
                  <w:r>
                    <w:rPr>
                      <w:rFonts w:hint="default" w:ascii="Times New Roman" w:hAnsi="Times New Roman" w:cs="Times New Roman"/>
                      <w:color w:val="auto"/>
                      <w:sz w:val="21"/>
                      <w:szCs w:val="21"/>
                      <w:lang w:val="en-US" w:eastAsia="zh-CN"/>
                    </w:rPr>
                    <w:t xml:space="preserve">2025 </w:t>
                  </w:r>
                  <w:r>
                    <w:rPr>
                      <w:rFonts w:hint="eastAsia" w:ascii="Times New Roman" w:hAnsi="Times New Roman" w:cs="Times New Roman"/>
                      <w:color w:val="auto"/>
                      <w:sz w:val="21"/>
                      <w:szCs w:val="21"/>
                      <w:lang w:val="en-US" w:eastAsia="zh-CN"/>
                    </w:rPr>
                    <w:t>年工作方案》（市政办函〔2025〕12 号）</w:t>
                  </w:r>
                </w:p>
              </w:tc>
              <w:tc>
                <w:tcPr>
                  <w:tcW w:w="2007" w:type="pct"/>
                  <w:tcBorders>
                    <w:tl2br w:val="nil"/>
                    <w:tr2bl w:val="nil"/>
                  </w:tcBorders>
                  <w:shd w:val="clear" w:color="auto" w:fill="auto"/>
                  <w:vAlign w:val="center"/>
                </w:tcPr>
                <w:p w14:paraId="135AC2C0">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left"/>
                    <w:textAlignment w:val="auto"/>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加大政策支持力度，在环境监测、环保装备、环境咨询、深度治理等领域培育若干龙头企业。</w:t>
                  </w:r>
                </w:p>
              </w:tc>
              <w:tc>
                <w:tcPr>
                  <w:tcW w:w="1557" w:type="pct"/>
                  <w:tcBorders>
                    <w:tl2br w:val="nil"/>
                    <w:tr2bl w:val="nil"/>
                  </w:tcBorders>
                  <w:shd w:val="clear" w:color="auto" w:fill="auto"/>
                  <w:vAlign w:val="center"/>
                </w:tcPr>
                <w:p w14:paraId="71B15AF8">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both"/>
                    <w:textAlignment w:val="auto"/>
                    <w:outlineLvl w:val="9"/>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本项目为环境监测类项目，属于方案中政策支持类项目。</w:t>
                  </w:r>
                </w:p>
              </w:tc>
              <w:tc>
                <w:tcPr>
                  <w:tcW w:w="396" w:type="pct"/>
                  <w:tcBorders>
                    <w:tl2br w:val="nil"/>
                    <w:tr2bl w:val="nil"/>
                  </w:tcBorders>
                  <w:shd w:val="clear" w:color="auto" w:fill="auto"/>
                  <w:vAlign w:val="center"/>
                </w:tcPr>
                <w:p w14:paraId="1CC3F96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符合</w:t>
                  </w:r>
                </w:p>
              </w:tc>
            </w:tr>
            <w:tr w14:paraId="2311EC5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1038" w:type="pct"/>
                  <w:vMerge w:val="continue"/>
                  <w:tcBorders>
                    <w:tl2br w:val="nil"/>
                    <w:tr2bl w:val="nil"/>
                  </w:tcBorders>
                  <w:shd w:val="clear" w:color="auto" w:fill="auto"/>
                  <w:vAlign w:val="center"/>
                </w:tcPr>
                <w:p w14:paraId="137B9F3B">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color w:val="auto"/>
                    </w:rPr>
                  </w:pPr>
                </w:p>
              </w:tc>
              <w:tc>
                <w:tcPr>
                  <w:tcW w:w="2007" w:type="pct"/>
                  <w:tcBorders>
                    <w:tl2br w:val="nil"/>
                    <w:tr2bl w:val="nil"/>
                  </w:tcBorders>
                  <w:shd w:val="clear" w:color="auto" w:fill="auto"/>
                  <w:vAlign w:val="center"/>
                </w:tcPr>
                <w:p w14:paraId="120159E5">
                  <w:pPr>
                    <w:keepNext w:val="0"/>
                    <w:keepLines w:val="0"/>
                    <w:pageBreakBefore w:val="0"/>
                    <w:kinsoku/>
                    <w:wordWrap/>
                    <w:overflowPunct/>
                    <w:topLinePunct w:val="0"/>
                    <w:autoSpaceDE/>
                    <w:autoSpaceDN/>
                    <w:bidi w:val="0"/>
                    <w:adjustRightInd w:val="0"/>
                    <w:snapToGrid w:val="0"/>
                    <w:spacing w:line="240" w:lineRule="auto"/>
                    <w:ind w:left="0" w:leftChars="0" w:right="0" w:rightChars="0"/>
                    <w:jc w:val="both"/>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在工业企业、汽修、市政工程等方面集中开展低挥发性原辅材料源头替代工作</w:t>
                  </w:r>
                  <w:r>
                    <w:rPr>
                      <w:rFonts w:hint="eastAsia" w:cs="Times New Roman"/>
                      <w:color w:val="auto"/>
                      <w:sz w:val="21"/>
                      <w:szCs w:val="21"/>
                      <w:lang w:val="en-US" w:eastAsia="zh-CN"/>
                    </w:rPr>
                    <w:t>。</w:t>
                  </w:r>
                </w:p>
              </w:tc>
              <w:tc>
                <w:tcPr>
                  <w:tcW w:w="1557" w:type="pct"/>
                  <w:tcBorders>
                    <w:tl2br w:val="nil"/>
                    <w:tr2bl w:val="nil"/>
                  </w:tcBorders>
                  <w:shd w:val="clear" w:color="auto" w:fill="auto"/>
                  <w:vAlign w:val="center"/>
                </w:tcPr>
                <w:p w14:paraId="4CA7C830">
                  <w:pPr>
                    <w:keepNext w:val="0"/>
                    <w:keepLines w:val="0"/>
                    <w:pageBreakBefore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本项目为环境检测项目，实验过程中需要使用到有机溶剂，使用时全程在通风柜中进行，收集后经活性炭吸附处理后无组织排放。</w:t>
                  </w:r>
                </w:p>
              </w:tc>
              <w:tc>
                <w:tcPr>
                  <w:tcW w:w="396" w:type="pct"/>
                  <w:tcBorders>
                    <w:tl2br w:val="nil"/>
                    <w:tr2bl w:val="nil"/>
                  </w:tcBorders>
                  <w:shd w:val="clear" w:color="auto" w:fill="auto"/>
                  <w:vAlign w:val="center"/>
                </w:tcPr>
                <w:p w14:paraId="4C3B0E8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符合</w:t>
                  </w:r>
                </w:p>
              </w:tc>
            </w:tr>
            <w:tr w14:paraId="4E63A6D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9" w:hRule="atLeast"/>
              </w:trPr>
              <w:tc>
                <w:tcPr>
                  <w:tcW w:w="1038" w:type="pct"/>
                  <w:tcBorders>
                    <w:tl2br w:val="nil"/>
                    <w:tr2bl w:val="nil"/>
                  </w:tcBorders>
                  <w:shd w:val="clear" w:color="auto" w:fill="auto"/>
                  <w:vAlign w:val="center"/>
                </w:tcPr>
                <w:p w14:paraId="41A83FB5">
                  <w:pPr>
                    <w:pStyle w:val="65"/>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《西安市莲湖区国民经济和社会发展第十四个五年规划和2035年远景目标纲要》</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莲政发〔2021〕11号</w:t>
                  </w:r>
                  <w:r>
                    <w:rPr>
                      <w:rFonts w:hint="eastAsia" w:ascii="Times New Roman" w:hAnsi="Times New Roman" w:cs="Times New Roman"/>
                      <w:color w:val="auto"/>
                      <w:sz w:val="21"/>
                      <w:szCs w:val="21"/>
                      <w:lang w:eastAsia="zh-CN"/>
                    </w:rPr>
                    <w:t>）</w:t>
                  </w:r>
                </w:p>
              </w:tc>
              <w:tc>
                <w:tcPr>
                  <w:tcW w:w="2007" w:type="pct"/>
                  <w:tcBorders>
                    <w:tl2br w:val="nil"/>
                    <w:tr2bl w:val="nil"/>
                  </w:tcBorders>
                  <w:shd w:val="clear" w:color="auto" w:fill="auto"/>
                  <w:vAlign w:val="center"/>
                </w:tcPr>
                <w:p w14:paraId="6B4952BE">
                  <w:pPr>
                    <w:pStyle w:val="2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left"/>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发展科技服务业。对接产业发展需求，吸引各类专业性研发设计机构聚集发展。围绕医学检测、食品检测、失效分析检测等重点领域，提升辖区内利君制药、西控科技企业流量专业计量站等检验检测水平，吸引专业检验检测机构落户，推动线上检验检测服务发展。</w:t>
                  </w:r>
                </w:p>
              </w:tc>
              <w:tc>
                <w:tcPr>
                  <w:tcW w:w="1557" w:type="pct"/>
                  <w:tcBorders>
                    <w:tl2br w:val="nil"/>
                    <w:tr2bl w:val="nil"/>
                  </w:tcBorders>
                  <w:shd w:val="clear" w:color="auto" w:fill="auto"/>
                  <w:vAlign w:val="center"/>
                </w:tcPr>
                <w:p w14:paraId="5D43E361">
                  <w:pPr>
                    <w:pStyle w:val="65"/>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本项目为检测实验室建设项目，主要进行公共卫生检测、户外广告牌检测、饮食业油烟检测等。</w:t>
                  </w:r>
                </w:p>
              </w:tc>
              <w:tc>
                <w:tcPr>
                  <w:tcW w:w="396" w:type="pct"/>
                  <w:tcBorders>
                    <w:tl2br w:val="nil"/>
                    <w:tr2bl w:val="nil"/>
                  </w:tcBorders>
                  <w:shd w:val="clear" w:color="auto" w:fill="auto"/>
                  <w:vAlign w:val="center"/>
                </w:tcPr>
                <w:p w14:paraId="1C6B8FDE">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符合</w:t>
                  </w:r>
                </w:p>
              </w:tc>
            </w:tr>
            <w:tr w14:paraId="313584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1038" w:type="pct"/>
                  <w:vMerge w:val="restart"/>
                  <w:tcBorders>
                    <w:tl2br w:val="nil"/>
                    <w:tr2bl w:val="nil"/>
                  </w:tcBorders>
                  <w:shd w:val="clear" w:color="auto" w:fill="auto"/>
                  <w:vAlign w:val="center"/>
                </w:tcPr>
                <w:p w14:paraId="0DDDE073">
                  <w:pPr>
                    <w:pStyle w:val="65"/>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《莲湖区推进实现“十四五”空气质量目标暨大气污染治理专项行动2025年工作方案》</w:t>
                  </w:r>
                  <w:r>
                    <w:rPr>
                      <w:rFonts w:hint="default" w:ascii="Times New Roman" w:hAnsi="Times New Roman" w:eastAsia="宋体" w:cs="Times New Roman"/>
                      <w:color w:val="auto"/>
                      <w:sz w:val="21"/>
                      <w:szCs w:val="21"/>
                      <w:lang w:eastAsia="zh-CN"/>
                    </w:rPr>
                    <w:t>（莲政办函〔2025〕10号）</w:t>
                  </w:r>
                </w:p>
              </w:tc>
              <w:tc>
                <w:tcPr>
                  <w:tcW w:w="2007" w:type="pct"/>
                  <w:tcBorders>
                    <w:tl2br w:val="nil"/>
                    <w:tr2bl w:val="nil"/>
                  </w:tcBorders>
                  <w:shd w:val="clear" w:color="auto" w:fill="auto"/>
                  <w:vAlign w:val="center"/>
                </w:tcPr>
                <w:p w14:paraId="3EF8BD73">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严格新、改、扩建涉气重点行业绩效评级限制条件。新改扩建涉气重点行业企业应达到环保绩效A级、绩效引领性水平。</w:t>
                  </w:r>
                </w:p>
              </w:tc>
              <w:tc>
                <w:tcPr>
                  <w:tcW w:w="1557" w:type="pct"/>
                  <w:tcBorders>
                    <w:tl2br w:val="nil"/>
                    <w:tr2bl w:val="nil"/>
                  </w:tcBorders>
                  <w:shd w:val="clear" w:color="auto" w:fill="auto"/>
                  <w:vAlign w:val="center"/>
                </w:tcPr>
                <w:p w14:paraId="1DCB01AB">
                  <w:pPr>
                    <w:keepNext w:val="0"/>
                    <w:keepLines w:val="0"/>
                    <w:pageBreakBefore w:val="0"/>
                    <w:kinsoku/>
                    <w:wordWrap/>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本项目为环境检测项目，不属于涉气重点行业和重点领域，</w:t>
                  </w:r>
                  <w:r>
                    <w:rPr>
                      <w:rFonts w:hint="eastAsia" w:cs="Times New Roman"/>
                      <w:color w:val="auto"/>
                      <w:szCs w:val="21"/>
                      <w:lang w:val="en-US" w:eastAsia="zh-CN"/>
                    </w:rPr>
                    <w:t>无需进行绩效评级</w:t>
                  </w:r>
                  <w:r>
                    <w:rPr>
                      <w:rFonts w:hint="default" w:ascii="Times New Roman" w:hAnsi="Times New Roman" w:cs="Times New Roman"/>
                      <w:color w:val="auto"/>
                      <w:szCs w:val="21"/>
                    </w:rPr>
                    <w:t>。</w:t>
                  </w:r>
                </w:p>
              </w:tc>
              <w:tc>
                <w:tcPr>
                  <w:tcW w:w="396" w:type="pct"/>
                  <w:tcBorders>
                    <w:tl2br w:val="nil"/>
                    <w:tr2bl w:val="nil"/>
                  </w:tcBorders>
                  <w:shd w:val="clear" w:color="auto" w:fill="auto"/>
                  <w:vAlign w:val="center"/>
                </w:tcPr>
                <w:p w14:paraId="0ACF281D">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符合</w:t>
                  </w:r>
                </w:p>
              </w:tc>
            </w:tr>
            <w:tr w14:paraId="3A389C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1038" w:type="pct"/>
                  <w:vMerge w:val="continue"/>
                  <w:tcBorders>
                    <w:tl2br w:val="nil"/>
                    <w:tr2bl w:val="nil"/>
                  </w:tcBorders>
                  <w:shd w:val="clear" w:color="auto" w:fill="auto"/>
                  <w:vAlign w:val="center"/>
                </w:tcPr>
                <w:p w14:paraId="72DB52A9">
                  <w:pPr>
                    <w:pStyle w:val="65"/>
                    <w:snapToGrid w:val="0"/>
                    <w:jc w:val="center"/>
                    <w:rPr>
                      <w:color w:val="auto"/>
                    </w:rPr>
                  </w:pPr>
                </w:p>
              </w:tc>
              <w:tc>
                <w:tcPr>
                  <w:tcW w:w="2007" w:type="pct"/>
                  <w:tcBorders>
                    <w:tl2br w:val="nil"/>
                    <w:tr2bl w:val="nil"/>
                  </w:tcBorders>
                  <w:shd w:val="clear" w:color="auto" w:fill="auto"/>
                  <w:vAlign w:val="center"/>
                </w:tcPr>
                <w:p w14:paraId="40230923">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推动环保产业发展。加大政策支持力度，在环境监测、环保装备、环境咨询、深度治理等领域培育若干龙头企业。</w:t>
                  </w:r>
                </w:p>
              </w:tc>
              <w:tc>
                <w:tcPr>
                  <w:tcW w:w="1557" w:type="pct"/>
                  <w:tcBorders>
                    <w:tl2br w:val="nil"/>
                    <w:tr2bl w:val="nil"/>
                  </w:tcBorders>
                  <w:shd w:val="clear" w:color="auto" w:fill="auto"/>
                  <w:vAlign w:val="center"/>
                </w:tcPr>
                <w:p w14:paraId="690BFAF1">
                  <w:pPr>
                    <w:keepNext w:val="0"/>
                    <w:keepLines w:val="0"/>
                    <w:pageBreakBefore w:val="0"/>
                    <w:kinsoku/>
                    <w:wordWrap/>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本项目属于</w:t>
                  </w:r>
                  <w:r>
                    <w:rPr>
                      <w:rFonts w:hint="eastAsia" w:cs="Times New Roman"/>
                      <w:color w:val="auto"/>
                      <w:kern w:val="2"/>
                      <w:sz w:val="21"/>
                      <w:szCs w:val="21"/>
                      <w:lang w:val="en-US" w:eastAsia="zh-CN" w:bidi="ar-SA"/>
                    </w:rPr>
                    <w:t>环保行业中的</w:t>
                  </w:r>
                  <w:r>
                    <w:rPr>
                      <w:rFonts w:hint="eastAsia" w:ascii="Times New Roman" w:hAnsi="Times New Roman" w:cs="Times New Roman"/>
                      <w:color w:val="auto"/>
                      <w:kern w:val="2"/>
                      <w:sz w:val="21"/>
                      <w:szCs w:val="21"/>
                      <w:lang w:val="en-US" w:eastAsia="zh-CN" w:bidi="ar-SA"/>
                    </w:rPr>
                    <w:t>环境监测</w:t>
                  </w:r>
                  <w:r>
                    <w:rPr>
                      <w:rFonts w:hint="eastAsia" w:cs="Times New Roman"/>
                      <w:color w:val="auto"/>
                      <w:kern w:val="2"/>
                      <w:sz w:val="21"/>
                      <w:szCs w:val="21"/>
                      <w:lang w:val="en-US" w:eastAsia="zh-CN" w:bidi="ar-SA"/>
                    </w:rPr>
                    <w:t>领域</w:t>
                  </w:r>
                  <w:r>
                    <w:rPr>
                      <w:rFonts w:hint="eastAsia" w:ascii="Times New Roman" w:hAnsi="Times New Roman" w:cs="Times New Roman"/>
                      <w:color w:val="auto"/>
                      <w:kern w:val="2"/>
                      <w:sz w:val="21"/>
                      <w:szCs w:val="21"/>
                      <w:lang w:val="en-US" w:eastAsia="zh-CN" w:bidi="ar-SA"/>
                    </w:rPr>
                    <w:t>，符合要求。</w:t>
                  </w:r>
                </w:p>
              </w:tc>
              <w:tc>
                <w:tcPr>
                  <w:tcW w:w="396" w:type="pct"/>
                  <w:tcBorders>
                    <w:tl2br w:val="nil"/>
                    <w:tr2bl w:val="nil"/>
                  </w:tcBorders>
                  <w:shd w:val="clear" w:color="auto" w:fill="auto"/>
                  <w:vAlign w:val="center"/>
                </w:tcPr>
                <w:p w14:paraId="77D87FCF">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符合</w:t>
                  </w:r>
                </w:p>
              </w:tc>
            </w:tr>
            <w:tr w14:paraId="63281A6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4" w:hRule="atLeast"/>
              </w:trPr>
              <w:tc>
                <w:tcPr>
                  <w:tcW w:w="1038" w:type="pct"/>
                  <w:vMerge w:val="restart"/>
                  <w:tcBorders>
                    <w:tl2br w:val="nil"/>
                    <w:tr2bl w:val="nil"/>
                  </w:tcBorders>
                  <w:vAlign w:val="center"/>
                </w:tcPr>
                <w:p w14:paraId="315F0F62">
                  <w:pPr>
                    <w:pStyle w:val="65"/>
                    <w:snapToGrid w:val="0"/>
                    <w:jc w:val="center"/>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val="en-GB"/>
                    </w:rPr>
                    <w:t>《检验检测实验室设计与建设技术要求第一部分：通用要求》（GB/T 32146.1-2015）</w:t>
                  </w:r>
                </w:p>
              </w:tc>
              <w:tc>
                <w:tcPr>
                  <w:tcW w:w="2007" w:type="pct"/>
                  <w:tcBorders>
                    <w:tl2br w:val="nil"/>
                    <w:tr2bl w:val="nil"/>
                  </w:tcBorders>
                  <w:vAlign w:val="center"/>
                </w:tcPr>
                <w:p w14:paraId="1387178D">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GB"/>
                    </w:rPr>
                    <w:t>7.5.2 实验室废液处理：实验室废液按废液性质、成分及污染的程度应进行不同的处理，污水排入城市排水系统时，应符合GB8978中的规定。</w:t>
                  </w:r>
                </w:p>
              </w:tc>
              <w:tc>
                <w:tcPr>
                  <w:tcW w:w="1557" w:type="pct"/>
                  <w:tcBorders>
                    <w:tl2br w:val="nil"/>
                    <w:tr2bl w:val="nil"/>
                  </w:tcBorders>
                  <w:vAlign w:val="center"/>
                </w:tcPr>
                <w:p w14:paraId="75B49BD5">
                  <w:pPr>
                    <w:keepNext w:val="0"/>
                    <w:keepLines w:val="0"/>
                    <w:pageBreakBefore w:val="0"/>
                    <w:kinsoku/>
                    <w:wordWrap/>
                    <w:overflowPunct/>
                    <w:topLinePunct w:val="0"/>
                    <w:bidi w:val="0"/>
                    <w:adjustRightInd w:val="0"/>
                    <w:snapToGrid w:val="0"/>
                    <w:ind w:left="0" w:leftChars="0"/>
                    <w:jc w:val="left"/>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GB"/>
                    </w:rPr>
                    <w:t>本项目实验室废液收集后作为危险废物，定期交由有资质单位处置。</w:t>
                  </w:r>
                  <w:r>
                    <w:rPr>
                      <w:rFonts w:hint="eastAsia" w:cs="Times New Roman"/>
                      <w:color w:val="auto"/>
                      <w:szCs w:val="21"/>
                      <w:lang w:val="en-US" w:eastAsia="zh-CN"/>
                    </w:rPr>
                    <w:t>实验室的清洁</w:t>
                  </w:r>
                  <w:r>
                    <w:rPr>
                      <w:rFonts w:hint="default" w:ascii="Times New Roman" w:hAnsi="Times New Roman" w:cs="Times New Roman"/>
                      <w:color w:val="auto"/>
                      <w:szCs w:val="21"/>
                      <w:lang w:val="en-GB"/>
                    </w:rPr>
                    <w:t>废水和实验器材清洗废水收集经</w:t>
                  </w:r>
                  <w:r>
                    <w:rPr>
                      <w:rFonts w:hint="eastAsia" w:cs="Times New Roman"/>
                      <w:color w:val="auto"/>
                      <w:szCs w:val="21"/>
                      <w:lang w:val="en-US" w:eastAsia="zh-CN"/>
                    </w:rPr>
                    <w:t>酸碱中和池预处理</w:t>
                  </w:r>
                  <w:r>
                    <w:rPr>
                      <w:rFonts w:hint="default" w:ascii="Times New Roman" w:hAnsi="Times New Roman" w:cs="Times New Roman"/>
                      <w:color w:val="auto"/>
                      <w:szCs w:val="21"/>
                      <w:lang w:val="en-GB"/>
                    </w:rPr>
                    <w:t>后与纯水制备浓水、生活污水一同进入</w:t>
                  </w:r>
                  <w:r>
                    <w:rPr>
                      <w:rFonts w:hint="eastAsia" w:cs="Times New Roman"/>
                      <w:color w:val="auto"/>
                      <w:szCs w:val="21"/>
                      <w:lang w:val="en-US" w:eastAsia="zh-CN"/>
                    </w:rPr>
                    <w:t>公共</w:t>
                  </w:r>
                  <w:r>
                    <w:rPr>
                      <w:rFonts w:hint="default" w:ascii="Times New Roman" w:hAnsi="Times New Roman" w:cs="Times New Roman"/>
                      <w:color w:val="auto"/>
                      <w:szCs w:val="21"/>
                      <w:lang w:val="en-GB"/>
                    </w:rPr>
                    <w:t>化粪池处理，</w:t>
                  </w:r>
                  <w:r>
                    <w:rPr>
                      <w:rFonts w:hint="eastAsia" w:cs="Times New Roman"/>
                      <w:color w:val="auto"/>
                      <w:szCs w:val="21"/>
                      <w:lang w:val="en-US" w:eastAsia="zh-CN"/>
                    </w:rPr>
                    <w:t>后经市政污水管网排入西安市第一污水处理厂</w:t>
                  </w:r>
                  <w:r>
                    <w:rPr>
                      <w:rFonts w:hint="default" w:ascii="Times New Roman" w:hAnsi="Times New Roman" w:cs="Times New Roman"/>
                      <w:color w:val="auto"/>
                      <w:szCs w:val="21"/>
                      <w:lang w:val="en-GB"/>
                    </w:rPr>
                    <w:t>进一步处理。</w:t>
                  </w:r>
                </w:p>
              </w:tc>
              <w:tc>
                <w:tcPr>
                  <w:tcW w:w="396" w:type="pct"/>
                  <w:tcBorders>
                    <w:tl2br w:val="nil"/>
                    <w:tr2bl w:val="nil"/>
                  </w:tcBorders>
                  <w:vAlign w:val="center"/>
                </w:tcPr>
                <w:p w14:paraId="281FB117">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val="en-GB"/>
                    </w:rPr>
                    <w:t>符合</w:t>
                  </w:r>
                </w:p>
              </w:tc>
            </w:tr>
            <w:tr w14:paraId="76980A7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8" w:hRule="atLeast"/>
              </w:trPr>
              <w:tc>
                <w:tcPr>
                  <w:tcW w:w="1038" w:type="pct"/>
                  <w:vMerge w:val="continue"/>
                  <w:tcBorders>
                    <w:tl2br w:val="nil"/>
                    <w:tr2bl w:val="nil"/>
                  </w:tcBorders>
                  <w:vAlign w:val="center"/>
                </w:tcPr>
                <w:p w14:paraId="2DD4FC79">
                  <w:pPr>
                    <w:pStyle w:val="65"/>
                    <w:snapToGrid w:val="0"/>
                    <w:jc w:val="center"/>
                    <w:rPr>
                      <w:rFonts w:hint="default" w:ascii="Times New Roman" w:hAnsi="Times New Roman" w:cs="Times New Roman"/>
                      <w:color w:val="auto"/>
                      <w:szCs w:val="21"/>
                    </w:rPr>
                  </w:pPr>
                </w:p>
              </w:tc>
              <w:tc>
                <w:tcPr>
                  <w:tcW w:w="2007" w:type="pct"/>
                  <w:tcBorders>
                    <w:tl2br w:val="nil"/>
                    <w:tr2bl w:val="nil"/>
                  </w:tcBorders>
                  <w:vAlign w:val="center"/>
                </w:tcPr>
                <w:p w14:paraId="5F173A3E">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GB"/>
                    </w:rPr>
                    <w:t>7.5.</w:t>
                  </w:r>
                  <w:r>
                    <w:rPr>
                      <w:rFonts w:hint="default" w:ascii="Times New Roman" w:hAnsi="Times New Roman" w:cs="Times New Roman"/>
                      <w:color w:val="auto"/>
                      <w:szCs w:val="21"/>
                    </w:rPr>
                    <w:t>3</w:t>
                  </w:r>
                  <w:r>
                    <w:rPr>
                      <w:rFonts w:hint="default" w:ascii="Times New Roman" w:hAnsi="Times New Roman" w:cs="Times New Roman"/>
                      <w:color w:val="auto"/>
                      <w:szCs w:val="21"/>
                      <w:lang w:val="en-GB"/>
                    </w:rPr>
                    <w:t xml:space="preserve"> 实验室废气处理：实验室废气主要为两大类，酸雾和有机气体。产生两类污染的操作宜在不同的通风柜中进行，处理后的废气应符合GB16297、GB14554等国家相关的规定。</w:t>
                  </w:r>
                </w:p>
              </w:tc>
              <w:tc>
                <w:tcPr>
                  <w:tcW w:w="1557" w:type="pct"/>
                  <w:tcBorders>
                    <w:tl2br w:val="nil"/>
                    <w:tr2bl w:val="nil"/>
                  </w:tcBorders>
                  <w:vAlign w:val="center"/>
                </w:tcPr>
                <w:p w14:paraId="646E9D0A">
                  <w:pPr>
                    <w:keepNext w:val="0"/>
                    <w:keepLines w:val="0"/>
                    <w:pageBreakBefore w:val="0"/>
                    <w:kinsoku/>
                    <w:wordWrap/>
                    <w:overflowPunct/>
                    <w:topLinePunct w:val="0"/>
                    <w:bidi w:val="0"/>
                    <w:adjustRightInd w:val="0"/>
                    <w:snapToGrid w:val="0"/>
                    <w:ind w:left="0" w:leftChars="0"/>
                    <w:jc w:val="both"/>
                    <w:textAlignment w:val="auto"/>
                    <w:rPr>
                      <w:rFonts w:hint="eastAsia" w:ascii="Times New Roman" w:hAnsi="Times New Roman" w:eastAsia="宋体" w:cs="Times New Roman"/>
                      <w:color w:val="auto"/>
                      <w:szCs w:val="21"/>
                      <w:lang w:eastAsia="zh-CN"/>
                    </w:rPr>
                  </w:pPr>
                  <w:r>
                    <w:rPr>
                      <w:rFonts w:hint="default" w:ascii="Times New Roman" w:hAnsi="Times New Roman" w:cs="Times New Roman"/>
                      <w:color w:val="auto"/>
                      <w:szCs w:val="21"/>
                      <w:lang w:val="en-GB"/>
                    </w:rPr>
                    <w:t>本项目实验</w:t>
                  </w:r>
                  <w:r>
                    <w:rPr>
                      <w:rFonts w:hint="eastAsia" w:cs="Times New Roman"/>
                      <w:color w:val="auto"/>
                      <w:szCs w:val="21"/>
                      <w:lang w:val="en-US" w:eastAsia="zh-CN"/>
                    </w:rPr>
                    <w:t>均</w:t>
                  </w:r>
                  <w:r>
                    <w:rPr>
                      <w:rFonts w:hint="default" w:ascii="Times New Roman" w:hAnsi="Times New Roman" w:cs="Times New Roman"/>
                      <w:color w:val="auto"/>
                      <w:szCs w:val="21"/>
                      <w:lang w:val="en-GB"/>
                    </w:rPr>
                    <w:t>在</w:t>
                  </w:r>
                  <w:r>
                    <w:rPr>
                      <w:rFonts w:hint="eastAsia" w:cs="Times New Roman"/>
                      <w:color w:val="auto"/>
                      <w:szCs w:val="21"/>
                      <w:lang w:val="en-GB" w:eastAsia="zh-CN"/>
                    </w:rPr>
                    <w:t>通风柜</w:t>
                  </w:r>
                  <w:r>
                    <w:rPr>
                      <w:rFonts w:hint="default" w:ascii="Times New Roman" w:hAnsi="Times New Roman" w:cs="Times New Roman"/>
                      <w:color w:val="auto"/>
                      <w:szCs w:val="21"/>
                      <w:lang w:val="en-GB"/>
                    </w:rPr>
                    <w:t>内进行，</w:t>
                  </w:r>
                  <w:r>
                    <w:rPr>
                      <w:rFonts w:hint="eastAsia" w:cs="Times New Roman"/>
                      <w:color w:val="auto"/>
                      <w:szCs w:val="21"/>
                      <w:lang w:val="en-US" w:eastAsia="zh-CN"/>
                    </w:rPr>
                    <w:t>通风柜</w:t>
                  </w:r>
                  <w:r>
                    <w:rPr>
                      <w:rFonts w:hint="default" w:ascii="Times New Roman" w:hAnsi="Times New Roman" w:cs="Times New Roman"/>
                      <w:color w:val="auto"/>
                      <w:szCs w:val="21"/>
                      <w:lang w:val="en-GB"/>
                    </w:rPr>
                    <w:t>收集的</w:t>
                  </w:r>
                  <w:r>
                    <w:rPr>
                      <w:rFonts w:hint="eastAsia" w:cs="Times New Roman"/>
                      <w:color w:val="auto"/>
                      <w:szCs w:val="21"/>
                      <w:lang w:val="en-US" w:eastAsia="zh-CN"/>
                    </w:rPr>
                    <w:t>酸雾</w:t>
                  </w:r>
                  <w:r>
                    <w:rPr>
                      <w:rFonts w:hint="default" w:ascii="Times New Roman" w:hAnsi="Times New Roman" w:cs="Times New Roman"/>
                      <w:color w:val="auto"/>
                      <w:szCs w:val="21"/>
                      <w:lang w:val="en-GB"/>
                    </w:rPr>
                    <w:t>和有机废气</w:t>
                  </w:r>
                  <w:r>
                    <w:rPr>
                      <w:rFonts w:hint="eastAsia" w:cs="Times New Roman"/>
                      <w:color w:val="auto"/>
                      <w:szCs w:val="21"/>
                      <w:lang w:val="en-US" w:eastAsia="zh-CN"/>
                    </w:rPr>
                    <w:t>经废气收集管道收集</w:t>
                  </w:r>
                  <w:r>
                    <w:rPr>
                      <w:rFonts w:hint="default" w:ascii="Times New Roman" w:hAnsi="Times New Roman" w:cs="Times New Roman"/>
                      <w:color w:val="auto"/>
                      <w:szCs w:val="21"/>
                      <w:lang w:val="en-GB"/>
                    </w:rPr>
                    <w:t>，经</w:t>
                  </w:r>
                  <w:r>
                    <w:rPr>
                      <w:rFonts w:hint="eastAsia" w:cs="Times New Roman"/>
                      <w:color w:val="auto"/>
                      <w:szCs w:val="21"/>
                      <w:lang w:val="en-US" w:eastAsia="zh-CN"/>
                    </w:rPr>
                    <w:t>SDG碳吸附+</w:t>
                  </w:r>
                  <w:r>
                    <w:rPr>
                      <w:rFonts w:hint="default" w:ascii="Times New Roman" w:hAnsi="Times New Roman" w:cs="Times New Roman"/>
                      <w:color w:val="auto"/>
                      <w:szCs w:val="21"/>
                      <w:lang w:val="en-GB"/>
                    </w:rPr>
                    <w:t>活性炭吸附装置处理</w:t>
                  </w:r>
                  <w:r>
                    <w:rPr>
                      <w:rFonts w:hint="eastAsia" w:cs="Times New Roman"/>
                      <w:color w:val="auto"/>
                      <w:szCs w:val="21"/>
                      <w:lang w:val="en-US" w:eastAsia="zh-CN"/>
                    </w:rPr>
                    <w:t>后排风口无组织排放</w:t>
                  </w:r>
                  <w:r>
                    <w:rPr>
                      <w:rFonts w:hint="eastAsia" w:cs="Times New Roman"/>
                      <w:color w:val="auto"/>
                      <w:szCs w:val="21"/>
                      <w:lang w:val="en-GB" w:eastAsia="zh-CN"/>
                    </w:rPr>
                    <w:t>。</w:t>
                  </w:r>
                </w:p>
              </w:tc>
              <w:tc>
                <w:tcPr>
                  <w:tcW w:w="396" w:type="pct"/>
                  <w:tcBorders>
                    <w:tl2br w:val="nil"/>
                    <w:tr2bl w:val="nil"/>
                  </w:tcBorders>
                  <w:vAlign w:val="center"/>
                </w:tcPr>
                <w:p w14:paraId="27E5BC0E">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val="en-GB"/>
                    </w:rPr>
                    <w:t>符合</w:t>
                  </w:r>
                </w:p>
              </w:tc>
            </w:tr>
            <w:tr w14:paraId="0BF4EB0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1" w:hRule="atLeast"/>
              </w:trPr>
              <w:tc>
                <w:tcPr>
                  <w:tcW w:w="1038" w:type="pct"/>
                  <w:vMerge w:val="continue"/>
                  <w:tcBorders>
                    <w:tl2br w:val="nil"/>
                    <w:tr2bl w:val="nil"/>
                  </w:tcBorders>
                  <w:vAlign w:val="center"/>
                </w:tcPr>
                <w:p w14:paraId="51AA7FFC">
                  <w:pPr>
                    <w:pStyle w:val="65"/>
                    <w:snapToGrid w:val="0"/>
                    <w:jc w:val="center"/>
                    <w:rPr>
                      <w:rFonts w:hint="default" w:ascii="Times New Roman" w:hAnsi="Times New Roman" w:cs="Times New Roman"/>
                      <w:color w:val="auto"/>
                      <w:szCs w:val="21"/>
                    </w:rPr>
                  </w:pPr>
                </w:p>
              </w:tc>
              <w:tc>
                <w:tcPr>
                  <w:tcW w:w="2007" w:type="pct"/>
                  <w:tcBorders>
                    <w:tl2br w:val="nil"/>
                    <w:tr2bl w:val="nil"/>
                  </w:tcBorders>
                  <w:vAlign w:val="center"/>
                </w:tcPr>
                <w:p w14:paraId="570A5AAE">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GB"/>
                    </w:rPr>
                    <w:t>7.5.</w:t>
                  </w:r>
                  <w:r>
                    <w:rPr>
                      <w:rFonts w:hint="default" w:ascii="Times New Roman" w:hAnsi="Times New Roman" w:cs="Times New Roman"/>
                      <w:color w:val="auto"/>
                      <w:szCs w:val="21"/>
                    </w:rPr>
                    <w:t>4</w:t>
                  </w:r>
                  <w:r>
                    <w:rPr>
                      <w:rFonts w:hint="default" w:ascii="Times New Roman" w:hAnsi="Times New Roman" w:cs="Times New Roman"/>
                      <w:color w:val="auto"/>
                      <w:szCs w:val="21"/>
                      <w:lang w:val="en-GB"/>
                    </w:rPr>
                    <w:t xml:space="preserve"> 实验室固废处理：对于高毒性的可溶性固废，实验室应设专门容器分别加以收集，</w:t>
                  </w:r>
                  <w:r>
                    <w:rPr>
                      <w:rFonts w:hint="eastAsia" w:cs="Times New Roman"/>
                      <w:color w:val="auto"/>
                      <w:szCs w:val="21"/>
                      <w:lang w:val="en-GB" w:eastAsia="zh-CN"/>
                    </w:rPr>
                    <w:t>严禁</w:t>
                  </w:r>
                  <w:r>
                    <w:rPr>
                      <w:rFonts w:hint="default" w:ascii="Times New Roman" w:hAnsi="Times New Roman" w:cs="Times New Roman"/>
                      <w:color w:val="auto"/>
                      <w:szCs w:val="21"/>
                      <w:lang w:val="en-GB"/>
                    </w:rPr>
                    <w:t>埋入地下，污染地面水体。其他固废可按照国家相关法律法规进行处理。具体应符合GB18599等国家相关的规定。</w:t>
                  </w:r>
                </w:p>
              </w:tc>
              <w:tc>
                <w:tcPr>
                  <w:tcW w:w="1557" w:type="pct"/>
                  <w:tcBorders>
                    <w:tl2br w:val="nil"/>
                    <w:tr2bl w:val="nil"/>
                  </w:tcBorders>
                  <w:vAlign w:val="center"/>
                </w:tcPr>
                <w:p w14:paraId="068B4648">
                  <w:pPr>
                    <w:keepNext w:val="0"/>
                    <w:keepLines w:val="0"/>
                    <w:pageBreakBefore w:val="0"/>
                    <w:widowControl w:val="0"/>
                    <w:kinsoku/>
                    <w:wordWrap/>
                    <w:overflowPunct/>
                    <w:topLinePunct w:val="0"/>
                    <w:autoSpaceDE/>
                    <w:autoSpaceDN/>
                    <w:bidi w:val="0"/>
                    <w:adjustRightInd w:val="0"/>
                    <w:snapToGrid w:val="0"/>
                    <w:ind w:left="0" w:leftChars="0"/>
                    <w:jc w:val="both"/>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GB"/>
                    </w:rPr>
                    <w:t>项目实验室对危险</w:t>
                  </w:r>
                  <w:r>
                    <w:rPr>
                      <w:rFonts w:hint="eastAsia" w:cs="Times New Roman"/>
                      <w:color w:val="auto"/>
                      <w:szCs w:val="21"/>
                      <w:lang w:val="en-US" w:eastAsia="zh-CN"/>
                    </w:rPr>
                    <w:t>废物</w:t>
                  </w:r>
                  <w:r>
                    <w:rPr>
                      <w:rFonts w:hint="default" w:ascii="Times New Roman" w:hAnsi="Times New Roman" w:cs="Times New Roman"/>
                      <w:color w:val="auto"/>
                      <w:szCs w:val="21"/>
                      <w:lang w:val="en-GB"/>
                    </w:rPr>
                    <w:t>分类收集后暂存于危险废物贮存库，定期交有资质单位外运处置。</w:t>
                  </w:r>
                  <w:r>
                    <w:rPr>
                      <w:rFonts w:hint="eastAsia" w:cs="Times New Roman"/>
                      <w:color w:val="auto"/>
                      <w:szCs w:val="21"/>
                      <w:lang w:val="en-US" w:eastAsia="zh-CN"/>
                    </w:rPr>
                    <w:t>环评</w:t>
                  </w:r>
                  <w:r>
                    <w:rPr>
                      <w:rFonts w:hint="default" w:ascii="Times New Roman" w:hAnsi="Times New Roman" w:cs="Times New Roman"/>
                      <w:color w:val="auto"/>
                      <w:szCs w:val="21"/>
                      <w:lang w:val="en-GB"/>
                    </w:rPr>
                    <w:t>要求项目危险废物分类收集、暂存、转运、管理等环节严格按照《危险废物贮存污染控制标准》（GB18597-2023）中相关规定执行。</w:t>
                  </w:r>
                </w:p>
              </w:tc>
              <w:tc>
                <w:tcPr>
                  <w:tcW w:w="396" w:type="pct"/>
                  <w:tcBorders>
                    <w:tl2br w:val="nil"/>
                    <w:tr2bl w:val="nil"/>
                  </w:tcBorders>
                  <w:vAlign w:val="center"/>
                </w:tcPr>
                <w:p w14:paraId="6FF3793F">
                  <w:pPr>
                    <w:pStyle w:val="65"/>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val="en-GB"/>
                    </w:rPr>
                    <w:t>符合</w:t>
                  </w:r>
                </w:p>
              </w:tc>
            </w:tr>
            <w:tr w14:paraId="6597E3C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6" w:hRule="atLeast"/>
              </w:trPr>
              <w:tc>
                <w:tcPr>
                  <w:tcW w:w="1038" w:type="pct"/>
                  <w:vMerge w:val="restart"/>
                  <w:tcBorders>
                    <w:tl2br w:val="nil"/>
                    <w:tr2bl w:val="nil"/>
                  </w:tcBorders>
                  <w:shd w:val="clear" w:color="auto" w:fill="auto"/>
                  <w:vAlign w:val="center"/>
                </w:tcPr>
                <w:p w14:paraId="60D4A0AE">
                  <w:pPr>
                    <w:pStyle w:val="65"/>
                    <w:snapToGrid w:val="0"/>
                    <w:jc w:val="center"/>
                    <w:rPr>
                      <w:rFonts w:hint="default" w:ascii="Times New Roman" w:hAnsi="Times New Roman" w:eastAsia="宋体" w:cs="Times New Roman"/>
                      <w:color w:val="auto"/>
                      <w:sz w:val="21"/>
                      <w:szCs w:val="21"/>
                      <w:lang w:val="en-GB"/>
                    </w:rPr>
                  </w:pPr>
                  <w:r>
                    <w:rPr>
                      <w:rFonts w:hint="default" w:ascii="Times New Roman" w:hAnsi="Times New Roman" w:eastAsia="宋体" w:cs="Times New Roman"/>
                      <w:color w:val="auto"/>
                      <w:sz w:val="21"/>
                      <w:szCs w:val="21"/>
                      <w:lang w:val="en-GB"/>
                    </w:rPr>
                    <w:t>《病原微生物实验室生物安全通用准则》</w:t>
                  </w:r>
                </w:p>
                <w:p w14:paraId="30B16B65">
                  <w:pPr>
                    <w:pStyle w:val="65"/>
                    <w:snapToGrid w:val="0"/>
                    <w:jc w:val="center"/>
                    <w:rPr>
                      <w:rFonts w:hint="default" w:ascii="Times New Roman" w:hAnsi="Times New Roman" w:cs="Times New Roman"/>
                      <w:color w:val="auto"/>
                      <w:szCs w:val="21"/>
                    </w:rPr>
                  </w:pPr>
                </w:p>
              </w:tc>
              <w:tc>
                <w:tcPr>
                  <w:tcW w:w="2007" w:type="pct"/>
                  <w:tcBorders>
                    <w:tl2br w:val="nil"/>
                    <w:tr2bl w:val="nil"/>
                  </w:tcBorders>
                  <w:shd w:val="clear" w:color="auto" w:fill="auto"/>
                  <w:vAlign w:val="center"/>
                </w:tcPr>
                <w:p w14:paraId="077B9499">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GB" w:eastAsia="zh-CN" w:bidi="ar-SA"/>
                    </w:rPr>
                  </w:pPr>
                  <w:r>
                    <w:rPr>
                      <w:rFonts w:hint="default" w:ascii="Times New Roman" w:hAnsi="Times New Roman" w:cs="Times New Roman"/>
                      <w:color w:val="auto"/>
                      <w:szCs w:val="21"/>
                      <w:lang w:val="en-GB"/>
                    </w:rPr>
                    <w:t>实验室主入口的门、放置生物安全柜实验间的门应可自动关闭；实验室主入口的门应有进入控制措施。实验室工作区域外应有存放备用物品的条件。</w:t>
                  </w:r>
                </w:p>
              </w:tc>
              <w:tc>
                <w:tcPr>
                  <w:tcW w:w="1557" w:type="pct"/>
                  <w:tcBorders>
                    <w:tl2br w:val="nil"/>
                    <w:tr2bl w:val="nil"/>
                  </w:tcBorders>
                  <w:shd w:val="clear" w:color="auto" w:fill="auto"/>
                  <w:vAlign w:val="center"/>
                </w:tcPr>
                <w:p w14:paraId="3E4983F7">
                  <w:pPr>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eastAsia="宋体" w:cs="Times New Roman"/>
                      <w:color w:val="auto"/>
                      <w:kern w:val="2"/>
                      <w:sz w:val="21"/>
                      <w:szCs w:val="21"/>
                      <w:lang w:val="en-GB" w:eastAsia="zh-CN" w:bidi="ar-SA"/>
                    </w:rPr>
                  </w:pPr>
                  <w:r>
                    <w:rPr>
                      <w:rFonts w:hint="default" w:ascii="Times New Roman" w:hAnsi="Times New Roman" w:cs="Times New Roman"/>
                      <w:color w:val="auto"/>
                      <w:szCs w:val="21"/>
                      <w:lang w:val="en-GB"/>
                    </w:rPr>
                    <w:t>本项目设有单独微生物实验室，设置自动关闭带锁门。微生物实验室内设置有</w:t>
                  </w:r>
                  <w:r>
                    <w:rPr>
                      <w:rFonts w:hint="eastAsia" w:cs="Times New Roman"/>
                      <w:color w:val="auto"/>
                      <w:szCs w:val="21"/>
                      <w:lang w:val="en-US" w:eastAsia="zh-CN"/>
                    </w:rPr>
                    <w:t>准备间，用以</w:t>
                  </w:r>
                  <w:r>
                    <w:rPr>
                      <w:rFonts w:hint="default" w:ascii="Times New Roman" w:hAnsi="Times New Roman" w:cs="Times New Roman"/>
                      <w:color w:val="auto"/>
                      <w:szCs w:val="21"/>
                      <w:lang w:val="en-GB"/>
                    </w:rPr>
                    <w:t>物资储备。</w:t>
                  </w:r>
                </w:p>
              </w:tc>
              <w:tc>
                <w:tcPr>
                  <w:tcW w:w="396" w:type="pct"/>
                  <w:tcBorders>
                    <w:tl2br w:val="nil"/>
                    <w:tr2bl w:val="nil"/>
                  </w:tcBorders>
                  <w:shd w:val="clear" w:color="auto" w:fill="auto"/>
                  <w:vAlign w:val="center"/>
                </w:tcPr>
                <w:p w14:paraId="7DDBF546">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 w:cs="Times New Roman"/>
                      <w:color w:val="auto"/>
                      <w:kern w:val="2"/>
                      <w:sz w:val="21"/>
                      <w:szCs w:val="21"/>
                      <w:lang w:val="en-GB" w:eastAsia="zh-CN" w:bidi="ar-SA"/>
                    </w:rPr>
                  </w:pPr>
                  <w:r>
                    <w:rPr>
                      <w:rFonts w:hint="default" w:ascii="Times New Roman" w:hAnsi="Times New Roman" w:cs="Times New Roman"/>
                      <w:color w:val="auto"/>
                      <w:szCs w:val="21"/>
                      <w:lang w:val="en-GB"/>
                    </w:rPr>
                    <w:t>符合</w:t>
                  </w:r>
                </w:p>
              </w:tc>
            </w:tr>
            <w:tr w14:paraId="14691D3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038" w:type="pct"/>
                  <w:vMerge w:val="continue"/>
                  <w:tcBorders>
                    <w:tl2br w:val="nil"/>
                    <w:tr2bl w:val="nil"/>
                  </w:tcBorders>
                  <w:vAlign w:val="center"/>
                </w:tcPr>
                <w:p w14:paraId="572C386B">
                  <w:pPr>
                    <w:pStyle w:val="65"/>
                    <w:snapToGrid w:val="0"/>
                    <w:jc w:val="center"/>
                    <w:rPr>
                      <w:rFonts w:hint="default" w:ascii="Times New Roman" w:hAnsi="Times New Roman" w:cs="Times New Roman"/>
                      <w:color w:val="auto"/>
                      <w:szCs w:val="21"/>
                    </w:rPr>
                  </w:pPr>
                </w:p>
              </w:tc>
              <w:tc>
                <w:tcPr>
                  <w:tcW w:w="2007" w:type="pct"/>
                  <w:tcBorders>
                    <w:tl2br w:val="nil"/>
                    <w:tr2bl w:val="nil"/>
                  </w:tcBorders>
                  <w:shd w:val="clear" w:color="auto" w:fill="auto"/>
                  <w:vAlign w:val="center"/>
                </w:tcPr>
                <w:p w14:paraId="1E6DE520">
                  <w:pPr>
                    <w:keepNext w:val="0"/>
                    <w:keepLines w:val="0"/>
                    <w:pageBreakBefore w:val="0"/>
                    <w:kinsoku/>
                    <w:overflowPunct/>
                    <w:topLinePunct w:val="0"/>
                    <w:bidi w:val="0"/>
                    <w:adjustRightInd w:val="0"/>
                    <w:snapToGrid w:val="0"/>
                    <w:ind w:left="0" w:leftChars="0"/>
                    <w:jc w:val="left"/>
                    <w:textAlignment w:val="auto"/>
                    <w:rPr>
                      <w:rFonts w:hint="default" w:ascii="Times New Roman" w:hAnsi="Times New Roman" w:eastAsia="宋体" w:cs="Times New Roman"/>
                      <w:color w:val="auto"/>
                      <w:kern w:val="2"/>
                      <w:sz w:val="21"/>
                      <w:szCs w:val="21"/>
                      <w:lang w:val="en-GB" w:eastAsia="zh-CN" w:bidi="ar-SA"/>
                    </w:rPr>
                  </w:pPr>
                  <w:r>
                    <w:rPr>
                      <w:rFonts w:hint="default" w:ascii="Times New Roman" w:hAnsi="Times New Roman" w:cs="Times New Roman"/>
                      <w:color w:val="auto"/>
                      <w:szCs w:val="21"/>
                      <w:lang w:val="en-GB"/>
                    </w:rPr>
                    <w:t>应在操作病原微生物及样本的实验区内配备二级生物安全柜，应按产品的设计、使用说明书的要求安装和使用生物安全柜。</w:t>
                  </w:r>
                </w:p>
              </w:tc>
              <w:tc>
                <w:tcPr>
                  <w:tcW w:w="1557" w:type="pct"/>
                  <w:tcBorders>
                    <w:tl2br w:val="nil"/>
                    <w:tr2bl w:val="nil"/>
                  </w:tcBorders>
                  <w:shd w:val="clear" w:color="auto" w:fill="auto"/>
                  <w:vAlign w:val="center"/>
                </w:tcPr>
                <w:p w14:paraId="3EB88B14">
                  <w:pPr>
                    <w:keepNext w:val="0"/>
                    <w:keepLines w:val="0"/>
                    <w:pageBreakBefore w:val="0"/>
                    <w:kinsoku/>
                    <w:wordWrap/>
                    <w:overflowPunct/>
                    <w:topLinePunct w:val="0"/>
                    <w:bidi w:val="0"/>
                    <w:adjustRightInd w:val="0"/>
                    <w:snapToGrid w:val="0"/>
                    <w:ind w:left="0" w:leftChars="0"/>
                    <w:jc w:val="both"/>
                    <w:textAlignment w:val="auto"/>
                    <w:rPr>
                      <w:rFonts w:hint="default" w:ascii="Times New Roman" w:hAnsi="Times New Roman" w:eastAsia="宋体" w:cs="Times New Roman"/>
                      <w:color w:val="auto"/>
                      <w:kern w:val="2"/>
                      <w:sz w:val="21"/>
                      <w:szCs w:val="21"/>
                      <w:lang w:val="en-GB" w:eastAsia="zh-CN" w:bidi="ar-SA"/>
                    </w:rPr>
                  </w:pPr>
                  <w:r>
                    <w:rPr>
                      <w:rFonts w:hint="default" w:ascii="Times New Roman" w:hAnsi="Times New Roman" w:cs="Times New Roman"/>
                      <w:color w:val="auto"/>
                      <w:szCs w:val="21"/>
                      <w:lang w:val="en-GB"/>
                    </w:rPr>
                    <w:t>本项目设置有二级生物安全柜，并按照产品的设计、使用说明书的要求安装和使用生物安全柜。</w:t>
                  </w:r>
                </w:p>
              </w:tc>
              <w:tc>
                <w:tcPr>
                  <w:tcW w:w="396" w:type="pct"/>
                  <w:tcBorders>
                    <w:tl2br w:val="nil"/>
                    <w:tr2bl w:val="nil"/>
                  </w:tcBorders>
                  <w:shd w:val="clear" w:color="auto" w:fill="auto"/>
                  <w:vAlign w:val="center"/>
                </w:tcPr>
                <w:p w14:paraId="60498F89">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ascii="Times New Roman" w:hAnsi="Times New Roman" w:eastAsia="宋体" w:cs="Times New Roman"/>
                      <w:color w:val="auto"/>
                      <w:kern w:val="2"/>
                      <w:sz w:val="21"/>
                      <w:szCs w:val="21"/>
                      <w:lang w:val="en-GB" w:eastAsia="zh-CN" w:bidi="ar-SA"/>
                    </w:rPr>
                  </w:pPr>
                  <w:r>
                    <w:rPr>
                      <w:rFonts w:hint="default" w:ascii="Times New Roman" w:hAnsi="Times New Roman" w:cs="Times New Roman"/>
                      <w:color w:val="auto"/>
                      <w:szCs w:val="21"/>
                      <w:lang w:val="en-GB"/>
                    </w:rPr>
                    <w:t>符合</w:t>
                  </w:r>
                </w:p>
              </w:tc>
            </w:tr>
            <w:tr w14:paraId="609A274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038" w:type="pct"/>
                  <w:vMerge w:val="restart"/>
                  <w:tcBorders>
                    <w:tl2br w:val="nil"/>
                    <w:tr2bl w:val="nil"/>
                  </w:tcBorders>
                  <w:vAlign w:val="center"/>
                </w:tcPr>
                <w:p w14:paraId="61FE9CE0">
                  <w:pPr>
                    <w:adjustRightInd w:val="0"/>
                    <w:snapToGrid w:val="0"/>
                    <w:ind w:left="105" w:leftChars="50" w:right="105" w:rightChars="50"/>
                    <w:jc w:val="center"/>
                    <w:rPr>
                      <w:color w:val="auto"/>
                    </w:rPr>
                  </w:pPr>
                  <w:r>
                    <w:rPr>
                      <w:rFonts w:hint="default"/>
                      <w:color w:val="auto"/>
                    </w:rPr>
                    <w:t>《实验室</w:t>
                  </w:r>
                  <w:r>
                    <w:rPr>
                      <w:rFonts w:hint="eastAsia"/>
                      <w:color w:val="auto"/>
                      <w:lang w:val="en-US" w:eastAsia="zh-CN"/>
                    </w:rPr>
                    <w:t xml:space="preserve"> </w:t>
                  </w:r>
                  <w:r>
                    <w:rPr>
                      <w:rFonts w:hint="default"/>
                      <w:color w:val="auto"/>
                    </w:rPr>
                    <w:t>生物安全通用要求》</w:t>
                  </w:r>
                  <w:r>
                    <w:rPr>
                      <w:rFonts w:hint="eastAsia"/>
                      <w:color w:val="auto"/>
                      <w:lang w:eastAsia="zh-CN"/>
                    </w:rPr>
                    <w:t>（</w:t>
                  </w:r>
                  <w:r>
                    <w:rPr>
                      <w:rFonts w:hint="eastAsia"/>
                      <w:color w:val="auto"/>
                      <w:lang w:val="en-US" w:eastAsia="zh-CN"/>
                    </w:rPr>
                    <w:t>GB19489-2008</w:t>
                  </w:r>
                  <w:r>
                    <w:rPr>
                      <w:rFonts w:hint="eastAsia"/>
                      <w:color w:val="auto"/>
                      <w:lang w:eastAsia="zh-CN"/>
                    </w:rPr>
                    <w:t>）</w:t>
                  </w:r>
                </w:p>
              </w:tc>
              <w:tc>
                <w:tcPr>
                  <w:tcW w:w="2007" w:type="pct"/>
                  <w:tcBorders>
                    <w:tl2br w:val="nil"/>
                    <w:tr2bl w:val="nil"/>
                  </w:tcBorders>
                  <w:shd w:val="clear" w:color="auto" w:fill="auto"/>
                  <w:vAlign w:val="center"/>
                </w:tcPr>
                <w:p w14:paraId="55CC057D">
                  <w:pPr>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default" w:cs="Times New Roman"/>
                      <w:color w:val="auto"/>
                      <w:sz w:val="21"/>
                      <w:szCs w:val="21"/>
                      <w:lang w:val="en-US" w:eastAsia="zh-CN"/>
                    </w:rPr>
                  </w:pPr>
                  <w:r>
                    <w:rPr>
                      <w:rFonts w:hint="eastAsia" w:cs="Times New Roman"/>
                      <w:color w:val="auto"/>
                      <w:sz w:val="21"/>
                      <w:szCs w:val="21"/>
                      <w:lang w:val="en-US" w:eastAsia="zh-CN"/>
                    </w:rPr>
                    <w:t>实验室主入口的门、放置生物安全柜实验间的门应可自动关闭；实验室主入口的门应有进入控制措施。</w:t>
                  </w:r>
                </w:p>
              </w:tc>
              <w:tc>
                <w:tcPr>
                  <w:tcW w:w="1557" w:type="pct"/>
                  <w:tcBorders>
                    <w:tl2br w:val="nil"/>
                    <w:tr2bl w:val="nil"/>
                  </w:tcBorders>
                  <w:shd w:val="clear" w:color="auto" w:fill="auto"/>
                  <w:vAlign w:val="center"/>
                </w:tcPr>
                <w:p w14:paraId="2C1B67BA">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本项目微生物实验区的门可自动关闭，并设有门禁装置。</w:t>
                  </w:r>
                </w:p>
              </w:tc>
              <w:tc>
                <w:tcPr>
                  <w:tcW w:w="396" w:type="pct"/>
                  <w:tcBorders>
                    <w:tl2br w:val="nil"/>
                    <w:tr2bl w:val="nil"/>
                  </w:tcBorders>
                  <w:shd w:val="clear" w:color="auto" w:fill="auto"/>
                  <w:vAlign w:val="center"/>
                </w:tcPr>
                <w:p w14:paraId="556E3E68">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符合</w:t>
                  </w:r>
                </w:p>
              </w:tc>
            </w:tr>
            <w:tr w14:paraId="18FAE07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038" w:type="pct"/>
                  <w:vMerge w:val="continue"/>
                  <w:tcBorders>
                    <w:tl2br w:val="nil"/>
                    <w:tr2bl w:val="nil"/>
                  </w:tcBorders>
                  <w:vAlign w:val="center"/>
                </w:tcPr>
                <w:p w14:paraId="0BA3016F">
                  <w:pPr>
                    <w:adjustRightInd w:val="0"/>
                    <w:snapToGrid w:val="0"/>
                    <w:ind w:left="105" w:leftChars="50" w:right="105" w:rightChars="50"/>
                    <w:jc w:val="center"/>
                    <w:rPr>
                      <w:rFonts w:hint="default"/>
                      <w:color w:val="auto"/>
                    </w:rPr>
                  </w:pPr>
                </w:p>
              </w:tc>
              <w:tc>
                <w:tcPr>
                  <w:tcW w:w="2007" w:type="pct"/>
                  <w:tcBorders>
                    <w:tl2br w:val="nil"/>
                    <w:tr2bl w:val="nil"/>
                  </w:tcBorders>
                  <w:shd w:val="clear" w:color="auto" w:fill="auto"/>
                  <w:vAlign w:val="center"/>
                </w:tcPr>
                <w:p w14:paraId="7BC19993">
                  <w:pPr>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default" w:cs="Times New Roman"/>
                      <w:color w:val="auto"/>
                      <w:sz w:val="21"/>
                      <w:szCs w:val="21"/>
                      <w:lang w:val="en-US" w:eastAsia="zh-CN"/>
                    </w:rPr>
                  </w:pPr>
                  <w:r>
                    <w:rPr>
                      <w:rFonts w:hint="eastAsia" w:cs="Times New Roman"/>
                      <w:color w:val="auto"/>
                      <w:sz w:val="21"/>
                      <w:szCs w:val="21"/>
                      <w:lang w:val="en-US" w:eastAsia="zh-CN"/>
                    </w:rPr>
                    <w:t>实验室工作区域外应有存放备用物品的条件。</w:t>
                  </w:r>
                </w:p>
              </w:tc>
              <w:tc>
                <w:tcPr>
                  <w:tcW w:w="1557" w:type="pct"/>
                  <w:tcBorders>
                    <w:tl2br w:val="nil"/>
                    <w:tr2bl w:val="nil"/>
                  </w:tcBorders>
                  <w:shd w:val="clear" w:color="auto" w:fill="auto"/>
                  <w:vAlign w:val="center"/>
                </w:tcPr>
                <w:p w14:paraId="220F9016">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微生物实验区设有准备间，存放备用物品。</w:t>
                  </w:r>
                </w:p>
              </w:tc>
              <w:tc>
                <w:tcPr>
                  <w:tcW w:w="396" w:type="pct"/>
                  <w:tcBorders>
                    <w:tl2br w:val="nil"/>
                    <w:tr2bl w:val="nil"/>
                  </w:tcBorders>
                  <w:shd w:val="clear" w:color="auto" w:fill="auto"/>
                  <w:vAlign w:val="center"/>
                </w:tcPr>
                <w:p w14:paraId="52F74C13">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符合</w:t>
                  </w:r>
                </w:p>
              </w:tc>
            </w:tr>
            <w:tr w14:paraId="0E368EA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038" w:type="pct"/>
                  <w:vMerge w:val="continue"/>
                  <w:tcBorders>
                    <w:tl2br w:val="nil"/>
                    <w:tr2bl w:val="nil"/>
                  </w:tcBorders>
                  <w:vAlign w:val="center"/>
                </w:tcPr>
                <w:p w14:paraId="55023DDE">
                  <w:pPr>
                    <w:adjustRightInd w:val="0"/>
                    <w:snapToGrid w:val="0"/>
                    <w:ind w:left="105" w:leftChars="50" w:right="105" w:rightChars="50"/>
                    <w:jc w:val="center"/>
                    <w:rPr>
                      <w:rFonts w:hint="default"/>
                      <w:color w:val="auto"/>
                    </w:rPr>
                  </w:pPr>
                </w:p>
              </w:tc>
              <w:tc>
                <w:tcPr>
                  <w:tcW w:w="2007" w:type="pct"/>
                  <w:tcBorders>
                    <w:tl2br w:val="nil"/>
                    <w:tr2bl w:val="nil"/>
                  </w:tcBorders>
                  <w:shd w:val="clear" w:color="auto" w:fill="auto"/>
                  <w:vAlign w:val="center"/>
                </w:tcPr>
                <w:p w14:paraId="08F73451">
                  <w:pPr>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default" w:cs="Times New Roman"/>
                      <w:color w:val="auto"/>
                      <w:sz w:val="21"/>
                      <w:szCs w:val="21"/>
                      <w:lang w:val="en-US" w:eastAsia="zh-CN"/>
                    </w:rPr>
                  </w:pPr>
                  <w:r>
                    <w:rPr>
                      <w:rFonts w:hint="eastAsia" w:cs="Times New Roman"/>
                      <w:color w:val="auto"/>
                      <w:sz w:val="21"/>
                      <w:szCs w:val="21"/>
                      <w:lang w:val="en-US" w:eastAsia="zh-CN"/>
                    </w:rPr>
                    <w:t>应在实验室工作区配备洗眼装置。</w:t>
                  </w:r>
                </w:p>
              </w:tc>
              <w:tc>
                <w:tcPr>
                  <w:tcW w:w="1557" w:type="pct"/>
                  <w:tcBorders>
                    <w:tl2br w:val="nil"/>
                    <w:tr2bl w:val="nil"/>
                  </w:tcBorders>
                  <w:shd w:val="clear" w:color="auto" w:fill="auto"/>
                  <w:vAlign w:val="center"/>
                </w:tcPr>
                <w:p w14:paraId="6FA36749">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环评要求企业在建设期应在微生物实验室工作区配备洗眼装置。</w:t>
                  </w:r>
                </w:p>
              </w:tc>
              <w:tc>
                <w:tcPr>
                  <w:tcW w:w="396" w:type="pct"/>
                  <w:tcBorders>
                    <w:tl2br w:val="nil"/>
                    <w:tr2bl w:val="nil"/>
                  </w:tcBorders>
                  <w:shd w:val="clear" w:color="auto" w:fill="auto"/>
                  <w:vAlign w:val="center"/>
                </w:tcPr>
                <w:p w14:paraId="6235BEBA">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符合</w:t>
                  </w:r>
                </w:p>
              </w:tc>
            </w:tr>
            <w:tr w14:paraId="2D21B74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9" w:hRule="atLeast"/>
              </w:trPr>
              <w:tc>
                <w:tcPr>
                  <w:tcW w:w="1038" w:type="pct"/>
                  <w:vMerge w:val="continue"/>
                  <w:tcBorders>
                    <w:tl2br w:val="nil"/>
                    <w:tr2bl w:val="nil"/>
                  </w:tcBorders>
                  <w:vAlign w:val="center"/>
                </w:tcPr>
                <w:p w14:paraId="3CA4409C">
                  <w:pPr>
                    <w:adjustRightInd w:val="0"/>
                    <w:snapToGrid w:val="0"/>
                    <w:ind w:left="105" w:leftChars="50" w:right="105" w:rightChars="50"/>
                    <w:jc w:val="center"/>
                    <w:rPr>
                      <w:rFonts w:hint="default"/>
                      <w:color w:val="auto"/>
                    </w:rPr>
                  </w:pPr>
                </w:p>
              </w:tc>
              <w:tc>
                <w:tcPr>
                  <w:tcW w:w="2007" w:type="pct"/>
                  <w:tcBorders>
                    <w:tl2br w:val="nil"/>
                    <w:tr2bl w:val="nil"/>
                  </w:tcBorders>
                  <w:shd w:val="clear" w:color="auto" w:fill="auto"/>
                  <w:vAlign w:val="center"/>
                </w:tcPr>
                <w:p w14:paraId="42739B81">
                  <w:pPr>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s="Times New Roman"/>
                      <w:color w:val="auto"/>
                      <w:sz w:val="21"/>
                      <w:szCs w:val="21"/>
                      <w:lang w:val="en-US" w:eastAsia="zh-CN"/>
                    </w:rPr>
                  </w:pPr>
                  <w:r>
                    <w:rPr>
                      <w:rFonts w:hint="eastAsia" w:cs="Times New Roman"/>
                      <w:color w:val="auto"/>
                      <w:sz w:val="21"/>
                      <w:szCs w:val="21"/>
                      <w:lang w:val="en-US" w:eastAsia="zh-CN"/>
                    </w:rPr>
                    <w:t xml:space="preserve">应按产品的设计要求安装和使用生物安全柜。如果生物安全柜的排风在室内循环，室内应具备 </w:t>
                  </w:r>
                </w:p>
                <w:p w14:paraId="245BB47A">
                  <w:pPr>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s="Times New Roman"/>
                      <w:color w:val="auto"/>
                      <w:sz w:val="21"/>
                      <w:szCs w:val="21"/>
                      <w:lang w:val="en-US" w:eastAsia="zh-CN"/>
                    </w:rPr>
                  </w:pPr>
                  <w:r>
                    <w:rPr>
                      <w:rFonts w:hint="eastAsia" w:cs="Times New Roman"/>
                      <w:color w:val="auto"/>
                      <w:sz w:val="21"/>
                      <w:szCs w:val="21"/>
                      <w:lang w:val="en-US" w:eastAsia="zh-CN"/>
                    </w:rPr>
                    <w:t>通风换气的条件；如果使用需要管道排风的生物安全柜，应通过独立于建筑物其他公共通风系统的管道排出。</w:t>
                  </w:r>
                </w:p>
              </w:tc>
              <w:tc>
                <w:tcPr>
                  <w:tcW w:w="1557" w:type="pct"/>
                  <w:tcBorders>
                    <w:tl2br w:val="nil"/>
                    <w:tr2bl w:val="nil"/>
                  </w:tcBorders>
                  <w:shd w:val="clear" w:color="auto" w:fill="auto"/>
                  <w:vAlign w:val="center"/>
                </w:tcPr>
                <w:p w14:paraId="58141681">
                  <w:pPr>
                    <w:keepNext w:val="0"/>
                    <w:keepLines w:val="0"/>
                    <w:pageBreakBefore w:val="0"/>
                    <w:widowControl w:val="0"/>
                    <w:kinsoku/>
                    <w:wordWrap/>
                    <w:overflowPunct/>
                    <w:topLinePunct w:val="0"/>
                    <w:autoSpaceDE/>
                    <w:autoSpaceDN/>
                    <w:bidi w:val="0"/>
                    <w:adjustRightInd w:val="0"/>
                    <w:snapToGrid w:val="0"/>
                    <w:ind w:left="0" w:leftChars="0" w:right="0" w:right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本项目已设置生物安全柜，生物安全柜自带高效过滤器，产生的废气经生物安全柜自带高效过滤器净化后无组织排放。</w:t>
                  </w:r>
                </w:p>
              </w:tc>
              <w:tc>
                <w:tcPr>
                  <w:tcW w:w="396" w:type="pct"/>
                  <w:tcBorders>
                    <w:tl2br w:val="nil"/>
                    <w:tr2bl w:val="nil"/>
                  </w:tcBorders>
                  <w:shd w:val="clear" w:color="auto" w:fill="auto"/>
                  <w:vAlign w:val="center"/>
                </w:tcPr>
                <w:p w14:paraId="7B2C1D16">
                  <w:pPr>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符合</w:t>
                  </w:r>
                </w:p>
              </w:tc>
            </w:tr>
          </w:tbl>
          <w:p w14:paraId="2E97DA49">
            <w:pPr>
              <w:tabs>
                <w:tab w:val="left" w:pos="838"/>
              </w:tabs>
              <w:autoSpaceDE w:val="0"/>
              <w:autoSpaceDN w:val="0"/>
              <w:adjustRightInd w:val="0"/>
              <w:snapToGrid w:val="0"/>
              <w:spacing w:line="360" w:lineRule="auto"/>
              <w:rPr>
                <w:rFonts w:hint="eastAsia" w:ascii="Times New Roman" w:hAnsi="Times New Roman" w:eastAsia="宋体" w:cs="Times New Roman"/>
                <w:color w:val="auto"/>
                <w:spacing w:val="-1"/>
                <w:lang w:eastAsia="zh-CN"/>
              </w:rPr>
            </w:pPr>
          </w:p>
        </w:tc>
      </w:tr>
    </w:tbl>
    <w:p w14:paraId="629437B1">
      <w:pPr>
        <w:spacing w:line="360" w:lineRule="auto"/>
        <w:outlineLvl w:val="0"/>
        <w:rPr>
          <w:rFonts w:hint="default" w:ascii="Times New Roman" w:hAnsi="Times New Roman" w:eastAsia="黑体" w:cs="Times New Roman"/>
          <w:color w:val="auto"/>
          <w:sz w:val="30"/>
        </w:rPr>
        <w:sectPr>
          <w:pgSz w:w="11906" w:h="16838"/>
          <w:pgMar w:top="1440" w:right="1083" w:bottom="1440" w:left="1083" w:header="851" w:footer="1077" w:gutter="0"/>
          <w:pgBorders>
            <w:top w:val="none" w:sz="0" w:space="0"/>
            <w:left w:val="none" w:sz="0" w:space="0"/>
            <w:bottom w:val="none" w:sz="0" w:space="0"/>
            <w:right w:val="none" w:sz="0" w:space="0"/>
          </w:pgBorders>
          <w:cols w:space="0" w:num="1"/>
          <w:docGrid w:linePitch="312" w:charSpace="0"/>
        </w:sectPr>
      </w:pPr>
    </w:p>
    <w:p w14:paraId="6B295DE9">
      <w:pPr>
        <w:pStyle w:val="25"/>
        <w:spacing w:before="0" w:beforeAutospacing="0"/>
        <w:jc w:val="center"/>
        <w:outlineLvl w:val="0"/>
        <w:rPr>
          <w:rFonts w:hint="default" w:ascii="Times New Roman" w:hAnsi="Times New Roman" w:eastAsia="黑体" w:cs="Times New Roman"/>
          <w:snapToGrid w:val="0"/>
          <w:color w:val="auto"/>
          <w:sz w:val="30"/>
          <w:szCs w:val="30"/>
        </w:rPr>
      </w:pPr>
      <w:bookmarkStart w:id="4" w:name="_Toc18704"/>
      <w:r>
        <w:rPr>
          <w:rFonts w:hint="default" w:ascii="Times New Roman" w:hAnsi="Times New Roman" w:eastAsia="黑体" w:cs="Times New Roman"/>
          <w:snapToGrid w:val="0"/>
          <w:color w:val="auto"/>
          <w:sz w:val="30"/>
          <w:szCs w:val="30"/>
        </w:rPr>
        <w:t>二、建设项目工程分析</w:t>
      </w:r>
      <w:bookmarkEnd w:id="4"/>
    </w:p>
    <w:tbl>
      <w:tblPr>
        <w:tblStyle w:val="29"/>
        <w:tblW w:w="490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8"/>
        <w:gridCol w:w="9257"/>
      </w:tblGrid>
      <w:tr w14:paraId="1C8100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264" w:type="pct"/>
            <w:vAlign w:val="center"/>
          </w:tcPr>
          <w:p w14:paraId="2D04A0F7">
            <w:pPr>
              <w:pStyle w:val="25"/>
              <w:adjustRightInd w:val="0"/>
              <w:snapToGrid w:val="0"/>
              <w:spacing w:before="0" w:beforeAutospacing="0" w:after="0" w:afterAutospacing="0"/>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建设内容</w:t>
            </w:r>
          </w:p>
        </w:tc>
        <w:tc>
          <w:tcPr>
            <w:tcW w:w="4735" w:type="pct"/>
          </w:tcPr>
          <w:p w14:paraId="173ECBD9">
            <w:pPr>
              <w:adjustRightInd w:val="0"/>
              <w:snapToGrid w:val="0"/>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w:t>
            </w:r>
            <w:r>
              <w:rPr>
                <w:rFonts w:hint="eastAsia" w:cs="Times New Roman"/>
                <w:b/>
                <w:color w:val="auto"/>
                <w:sz w:val="24"/>
                <w:lang w:val="en-US" w:eastAsia="zh-CN"/>
              </w:rPr>
              <w:t>一</w:t>
            </w:r>
            <w:r>
              <w:rPr>
                <w:rFonts w:hint="default" w:ascii="Times New Roman" w:hAnsi="Times New Roman" w:cs="Times New Roman"/>
                <w:b/>
                <w:color w:val="auto"/>
                <w:sz w:val="24"/>
              </w:rPr>
              <w:t>）项目组成与建设内容</w:t>
            </w:r>
          </w:p>
          <w:p w14:paraId="43F983BE">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本项目租赁</w:t>
            </w:r>
            <w:r>
              <w:rPr>
                <w:rFonts w:hint="eastAsia" w:cs="Times New Roman"/>
                <w:color w:val="auto"/>
                <w:sz w:val="24"/>
                <w:lang w:val="en-US" w:eastAsia="zh-CN"/>
              </w:rPr>
              <w:t>陕西省西安市莲湖区沣惠北路2666号天健望湖大观商铺3-6铺</w:t>
            </w:r>
            <w:r>
              <w:rPr>
                <w:rFonts w:hint="default" w:ascii="Times New Roman" w:hAnsi="Times New Roman" w:cs="Times New Roman"/>
                <w:color w:val="auto"/>
                <w:sz w:val="24"/>
              </w:rPr>
              <w:t>，</w:t>
            </w:r>
            <w:r>
              <w:rPr>
                <w:rFonts w:hint="eastAsia" w:cs="Times New Roman"/>
                <w:color w:val="auto"/>
                <w:sz w:val="24"/>
                <w:lang w:val="en-US" w:eastAsia="zh-CN"/>
              </w:rPr>
              <w:t>目前该商铺为空置建筑物，</w:t>
            </w:r>
            <w:r>
              <w:rPr>
                <w:rFonts w:hint="default" w:ascii="Times New Roman" w:hAnsi="Times New Roman" w:cs="Times New Roman"/>
                <w:color w:val="auto"/>
                <w:sz w:val="24"/>
              </w:rPr>
              <w:t>总建筑面积</w:t>
            </w:r>
            <w:r>
              <w:rPr>
                <w:rFonts w:hint="eastAsia" w:cs="Times New Roman"/>
                <w:color w:val="auto"/>
                <w:sz w:val="24"/>
                <w:lang w:eastAsia="zh-CN"/>
              </w:rPr>
              <w:t>365.21</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，设</w:t>
            </w:r>
            <w:r>
              <w:rPr>
                <w:rFonts w:hint="eastAsia" w:cs="Times New Roman"/>
                <w:color w:val="auto"/>
                <w:sz w:val="24"/>
                <w:lang w:val="en-US" w:eastAsia="zh-CN"/>
              </w:rPr>
              <w:t>办公室</w:t>
            </w:r>
            <w:r>
              <w:rPr>
                <w:rFonts w:hint="eastAsia" w:cs="Times New Roman"/>
                <w:color w:val="auto"/>
                <w:sz w:val="24"/>
                <w:lang w:eastAsia="zh-CN"/>
              </w:rPr>
              <w:t>、</w:t>
            </w:r>
            <w:r>
              <w:rPr>
                <w:rFonts w:hint="default" w:ascii="Times New Roman" w:hAnsi="Times New Roman" w:cs="Times New Roman"/>
                <w:color w:val="auto"/>
                <w:sz w:val="24"/>
              </w:rPr>
              <w:t>实验区</w:t>
            </w:r>
            <w:r>
              <w:rPr>
                <w:rFonts w:hint="eastAsia" w:cs="Times New Roman"/>
                <w:color w:val="auto"/>
                <w:sz w:val="24"/>
                <w:lang w:val="en-US" w:eastAsia="zh-CN"/>
              </w:rPr>
              <w:t>等，开展油烟、户外广告设施、发光二极管（LED）显示屏、公共卫生检测实验。</w:t>
            </w:r>
            <w:r>
              <w:rPr>
                <w:rFonts w:hint="default" w:ascii="Times New Roman" w:hAnsi="Times New Roman" w:cs="Times New Roman"/>
                <w:color w:val="auto"/>
                <w:sz w:val="24"/>
              </w:rPr>
              <w:t>项目主要由主体工程、辅助工程、储运工程、公用工程及环保工程组成，主要工程建设内容见表</w:t>
            </w:r>
            <w:r>
              <w:rPr>
                <w:rFonts w:hint="eastAsia" w:cs="Times New Roman"/>
                <w:color w:val="auto"/>
                <w:sz w:val="24"/>
                <w:lang w:val="en-US" w:eastAsia="zh-CN"/>
              </w:rPr>
              <w:t>2-1。</w:t>
            </w:r>
          </w:p>
          <w:p w14:paraId="04A8D624">
            <w:pPr>
              <w:pStyle w:val="61"/>
              <w:widowControl/>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表2-1 项目建设内容组成一览表</w:t>
            </w:r>
          </w:p>
          <w:tbl>
            <w:tblPr>
              <w:tblStyle w:val="29"/>
              <w:tblW w:w="5000" w:type="pct"/>
              <w:jc w:val="center"/>
              <w:tblBorders>
                <w:top w:val="single" w:color="auto" w:sz="4"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491"/>
              <w:gridCol w:w="5482"/>
              <w:gridCol w:w="1425"/>
            </w:tblGrid>
            <w:tr w14:paraId="2A15082C">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0" w:type="pct"/>
                  <w:gridSpan w:val="2"/>
                  <w:tcBorders>
                    <w:tl2br w:val="nil"/>
                    <w:tr2bl w:val="nil"/>
                  </w:tcBorders>
                  <w:vAlign w:val="center"/>
                </w:tcPr>
                <w:p w14:paraId="5C2BE6BD">
                  <w:pPr>
                    <w:autoSpaceDE w:val="0"/>
                    <w:adjustRightInd w:val="0"/>
                    <w:snapToGrid w:val="0"/>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项目组成</w:t>
                  </w:r>
                </w:p>
              </w:tc>
              <w:tc>
                <w:tcPr>
                  <w:tcW w:w="3031" w:type="pct"/>
                  <w:tcBorders>
                    <w:tl2br w:val="nil"/>
                    <w:tr2bl w:val="nil"/>
                  </w:tcBorders>
                  <w:vAlign w:val="center"/>
                </w:tcPr>
                <w:p w14:paraId="1B3FBB53">
                  <w:pPr>
                    <w:autoSpaceDE w:val="0"/>
                    <w:adjustRightInd w:val="0"/>
                    <w:snapToGrid w:val="0"/>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建设内容</w:t>
                  </w:r>
                </w:p>
              </w:tc>
              <w:tc>
                <w:tcPr>
                  <w:tcW w:w="788" w:type="pct"/>
                  <w:tcBorders>
                    <w:tl2br w:val="nil"/>
                    <w:tr2bl w:val="nil"/>
                  </w:tcBorders>
                  <w:vAlign w:val="center"/>
                </w:tcPr>
                <w:p w14:paraId="770230BF">
                  <w:pPr>
                    <w:autoSpaceDE w:val="0"/>
                    <w:adjustRightInd w:val="0"/>
                    <w:snapToGrid w:val="0"/>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备注</w:t>
                  </w:r>
                </w:p>
              </w:tc>
            </w:tr>
            <w:tr w14:paraId="40EA2E68">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restart"/>
                  <w:tcBorders>
                    <w:tl2br w:val="nil"/>
                    <w:tr2bl w:val="nil"/>
                  </w:tcBorders>
                  <w:vAlign w:val="center"/>
                </w:tcPr>
                <w:p w14:paraId="03E75256">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824" w:type="pct"/>
                  <w:tcBorders>
                    <w:tl2br w:val="nil"/>
                    <w:tr2bl w:val="nil"/>
                  </w:tcBorders>
                  <w:vAlign w:val="center"/>
                </w:tcPr>
                <w:p w14:paraId="5C4E5241">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微</w:t>
                  </w:r>
                  <w:r>
                    <w:rPr>
                      <w:rFonts w:hint="default" w:ascii="Times New Roman" w:hAnsi="Times New Roman" w:cs="Times New Roman"/>
                      <w:color w:val="auto"/>
                      <w:sz w:val="21"/>
                      <w:szCs w:val="21"/>
                    </w:rPr>
                    <w:t>生物实验</w:t>
                  </w:r>
                  <w:r>
                    <w:rPr>
                      <w:rFonts w:hint="default" w:ascii="Times New Roman" w:hAnsi="Times New Roman" w:cs="Times New Roman"/>
                      <w:color w:val="auto"/>
                      <w:sz w:val="21"/>
                      <w:szCs w:val="21"/>
                      <w:lang w:val="en-US" w:eastAsia="zh-CN"/>
                    </w:rPr>
                    <w:t>区</w:t>
                  </w:r>
                </w:p>
              </w:tc>
              <w:tc>
                <w:tcPr>
                  <w:tcW w:w="3031" w:type="pct"/>
                  <w:tcBorders>
                    <w:tl2br w:val="nil"/>
                    <w:tr2bl w:val="nil"/>
                  </w:tcBorders>
                  <w:vAlign w:val="center"/>
                </w:tcPr>
                <w:p w14:paraId="3A646810">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val="en-US" w:eastAsia="zh-CN"/>
                    </w:rPr>
                    <w:t>项目区</w:t>
                  </w:r>
                  <w:r>
                    <w:rPr>
                      <w:rFonts w:hint="default" w:ascii="Times New Roman" w:hAnsi="Times New Roman" w:cs="Times New Roman"/>
                      <w:color w:val="auto"/>
                      <w:sz w:val="21"/>
                      <w:szCs w:val="21"/>
                    </w:rPr>
                    <w:t>东南部，内设微生物室、培养室、</w:t>
                  </w:r>
                  <w:r>
                    <w:rPr>
                      <w:rFonts w:hint="eastAsia" w:cs="Times New Roman"/>
                      <w:color w:val="auto"/>
                      <w:sz w:val="21"/>
                      <w:szCs w:val="21"/>
                      <w:lang w:val="en-US" w:eastAsia="zh-CN"/>
                    </w:rPr>
                    <w:t>准备间</w:t>
                  </w:r>
                  <w:r>
                    <w:rPr>
                      <w:rFonts w:hint="default" w:ascii="Times New Roman" w:hAnsi="Times New Roman" w:cs="Times New Roman"/>
                      <w:color w:val="auto"/>
                      <w:sz w:val="21"/>
                      <w:szCs w:val="21"/>
                      <w:lang w:val="en-US" w:eastAsia="zh-CN"/>
                    </w:rPr>
                    <w:t>等</w:t>
                  </w:r>
                  <w:r>
                    <w:rPr>
                      <w:rFonts w:hint="default" w:ascii="Times New Roman" w:hAnsi="Times New Roman" w:cs="Times New Roman"/>
                      <w:color w:val="auto"/>
                      <w:sz w:val="21"/>
                      <w:szCs w:val="21"/>
                    </w:rPr>
                    <w:t>。</w:t>
                  </w:r>
                </w:p>
              </w:tc>
              <w:tc>
                <w:tcPr>
                  <w:tcW w:w="788" w:type="pct"/>
                  <w:tcBorders>
                    <w:tl2br w:val="nil"/>
                    <w:tr2bl w:val="nil"/>
                  </w:tcBorders>
                  <w:vAlign w:val="center"/>
                </w:tcPr>
                <w:p w14:paraId="38F8EEB3">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27A3F635">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PrEx>
              <w:trPr>
                <w:trHeight w:val="0" w:hRule="atLeast"/>
                <w:jc w:val="center"/>
              </w:trPr>
              <w:tc>
                <w:tcPr>
                  <w:tcW w:w="356" w:type="pct"/>
                  <w:vMerge w:val="continue"/>
                  <w:tcBorders>
                    <w:tl2br w:val="nil"/>
                    <w:tr2bl w:val="nil"/>
                  </w:tcBorders>
                  <w:vAlign w:val="center"/>
                </w:tcPr>
                <w:p w14:paraId="5BE985AE">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28BA3CB4">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检测实验区</w:t>
                  </w:r>
                </w:p>
              </w:tc>
              <w:tc>
                <w:tcPr>
                  <w:tcW w:w="3031" w:type="pct"/>
                  <w:tcBorders>
                    <w:tl2br w:val="nil"/>
                    <w:tr2bl w:val="nil"/>
                  </w:tcBorders>
                  <w:vAlign w:val="center"/>
                </w:tcPr>
                <w:p w14:paraId="0BB78CBA">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val="en-US" w:eastAsia="zh-CN"/>
                    </w:rPr>
                    <w:t>项目区中</w:t>
                  </w:r>
                  <w:r>
                    <w:rPr>
                      <w:rFonts w:hint="default" w:ascii="Times New Roman" w:hAnsi="Times New Roman" w:cs="Times New Roman"/>
                      <w:color w:val="auto"/>
                      <w:sz w:val="21"/>
                      <w:szCs w:val="21"/>
                    </w:rPr>
                    <w:t>部，设置测油室、理化室、小型仪器室、前处理室、高温室</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天平室、气相室等</w:t>
                  </w:r>
                  <w:r>
                    <w:rPr>
                      <w:rFonts w:hint="default" w:ascii="Times New Roman" w:hAnsi="Times New Roman" w:cs="Times New Roman"/>
                      <w:color w:val="auto"/>
                      <w:sz w:val="21"/>
                      <w:szCs w:val="21"/>
                    </w:rPr>
                    <w:t>，主要进行各类分析实验，并配备相应的仪器、设备。</w:t>
                  </w:r>
                </w:p>
              </w:tc>
              <w:tc>
                <w:tcPr>
                  <w:tcW w:w="788" w:type="pct"/>
                  <w:tcBorders>
                    <w:tl2br w:val="nil"/>
                    <w:tr2bl w:val="nil"/>
                  </w:tcBorders>
                  <w:vAlign w:val="center"/>
                </w:tcPr>
                <w:p w14:paraId="1B9E6C0D">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2E75CB94">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restart"/>
                  <w:tcBorders>
                    <w:tl2br w:val="nil"/>
                    <w:tr2bl w:val="nil"/>
                  </w:tcBorders>
                  <w:vAlign w:val="center"/>
                </w:tcPr>
                <w:p w14:paraId="73031C67">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824" w:type="pct"/>
                  <w:tcBorders>
                    <w:tl2br w:val="nil"/>
                    <w:tr2bl w:val="nil"/>
                  </w:tcBorders>
                  <w:vAlign w:val="center"/>
                </w:tcPr>
                <w:p w14:paraId="26DF993D">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办公区</w:t>
                  </w:r>
                </w:p>
              </w:tc>
              <w:tc>
                <w:tcPr>
                  <w:tcW w:w="3031" w:type="pct"/>
                  <w:tcBorders>
                    <w:tl2br w:val="nil"/>
                    <w:tr2bl w:val="nil"/>
                  </w:tcBorders>
                  <w:vAlign w:val="center"/>
                </w:tcPr>
                <w:p w14:paraId="5222B7FD">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val="en-US" w:eastAsia="zh-CN"/>
                    </w:rPr>
                    <w:t>项目区</w:t>
                  </w:r>
                  <w:r>
                    <w:rPr>
                      <w:rFonts w:hint="default" w:ascii="Times New Roman" w:hAnsi="Times New Roman" w:cs="Times New Roman"/>
                      <w:color w:val="auto"/>
                      <w:sz w:val="21"/>
                      <w:szCs w:val="21"/>
                    </w:rPr>
                    <w:t>西部，包括办公室、总经理室、前台。</w:t>
                  </w:r>
                </w:p>
              </w:tc>
              <w:tc>
                <w:tcPr>
                  <w:tcW w:w="788" w:type="pct"/>
                  <w:tcBorders>
                    <w:tl2br w:val="nil"/>
                    <w:tr2bl w:val="nil"/>
                  </w:tcBorders>
                  <w:vAlign w:val="center"/>
                </w:tcPr>
                <w:p w14:paraId="18F94918">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6DCB6B06">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780FA688">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16C3E286">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纯水间</w:t>
                  </w:r>
                </w:p>
              </w:tc>
              <w:tc>
                <w:tcPr>
                  <w:tcW w:w="3031" w:type="pct"/>
                  <w:tcBorders>
                    <w:tl2br w:val="nil"/>
                    <w:tr2bl w:val="nil"/>
                  </w:tcBorders>
                  <w:vAlign w:val="center"/>
                </w:tcPr>
                <w:p w14:paraId="73D5DD95">
                  <w:pPr>
                    <w:widowControl/>
                    <w:adjustRightInd w:val="0"/>
                    <w:snapToGrid w:val="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位于项目区中部，</w:t>
                  </w:r>
                  <w:r>
                    <w:rPr>
                      <w:rFonts w:hint="default" w:ascii="Times New Roman" w:hAnsi="Times New Roman" w:cs="Times New Roman"/>
                      <w:color w:val="auto"/>
                      <w:sz w:val="21"/>
                      <w:szCs w:val="21"/>
                    </w:rPr>
                    <w:t>安装1套纯水制备装置</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制备纯水。</w:t>
                  </w:r>
                </w:p>
              </w:tc>
              <w:tc>
                <w:tcPr>
                  <w:tcW w:w="788" w:type="pct"/>
                  <w:tcBorders>
                    <w:tl2br w:val="nil"/>
                    <w:tr2bl w:val="nil"/>
                  </w:tcBorders>
                  <w:vAlign w:val="center"/>
                </w:tcPr>
                <w:p w14:paraId="6EA29217">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46DD48DB">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restart"/>
                  <w:tcBorders>
                    <w:tl2br w:val="nil"/>
                    <w:tr2bl w:val="nil"/>
                  </w:tcBorders>
                  <w:vAlign w:val="center"/>
                </w:tcPr>
                <w:p w14:paraId="2FD5A9F6">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824" w:type="pct"/>
                  <w:tcBorders>
                    <w:tl2br w:val="nil"/>
                    <w:tr2bl w:val="nil"/>
                  </w:tcBorders>
                  <w:vAlign w:val="center"/>
                </w:tcPr>
                <w:p w14:paraId="32E601AF">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试剂室</w:t>
                  </w:r>
                </w:p>
              </w:tc>
              <w:tc>
                <w:tcPr>
                  <w:tcW w:w="3031" w:type="pct"/>
                  <w:tcBorders>
                    <w:tl2br w:val="nil"/>
                    <w:tr2bl w:val="nil"/>
                  </w:tcBorders>
                  <w:vAlign w:val="center"/>
                </w:tcPr>
                <w:p w14:paraId="3CDB5CB5">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位于项目区北部，</w:t>
                  </w:r>
                  <w:r>
                    <w:rPr>
                      <w:rFonts w:hint="default" w:ascii="Times New Roman" w:hAnsi="Times New Roman" w:cs="Times New Roman"/>
                      <w:color w:val="auto"/>
                      <w:sz w:val="21"/>
                      <w:szCs w:val="21"/>
                    </w:rPr>
                    <w:t>存储实验用的试剂。</w:t>
                  </w:r>
                </w:p>
              </w:tc>
              <w:tc>
                <w:tcPr>
                  <w:tcW w:w="788" w:type="pct"/>
                  <w:tcBorders>
                    <w:tl2br w:val="nil"/>
                    <w:tr2bl w:val="nil"/>
                  </w:tcBorders>
                  <w:vAlign w:val="center"/>
                </w:tcPr>
                <w:p w14:paraId="46806631">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0C1FC06C">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17549CE5">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199C5E48">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留样室</w:t>
                  </w:r>
                </w:p>
              </w:tc>
              <w:tc>
                <w:tcPr>
                  <w:tcW w:w="3031" w:type="pct"/>
                  <w:tcBorders>
                    <w:tl2br w:val="nil"/>
                    <w:tr2bl w:val="nil"/>
                  </w:tcBorders>
                  <w:vAlign w:val="center"/>
                </w:tcPr>
                <w:p w14:paraId="28C7D404">
                  <w:pPr>
                    <w:widowControl/>
                    <w:adjustRightInd w:val="0"/>
                    <w:snapToGrid w:val="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位于</w:t>
                  </w:r>
                  <w:r>
                    <w:rPr>
                      <w:rFonts w:hint="default" w:ascii="Times New Roman" w:hAnsi="Times New Roman" w:cs="Times New Roman"/>
                      <w:color w:val="auto"/>
                      <w:sz w:val="21"/>
                      <w:szCs w:val="21"/>
                      <w:lang w:val="en-US" w:eastAsia="zh-CN"/>
                    </w:rPr>
                    <w:t>项目区</w:t>
                  </w:r>
                  <w:r>
                    <w:rPr>
                      <w:rFonts w:hint="default" w:ascii="Times New Roman" w:hAnsi="Times New Roman" w:cs="Times New Roman"/>
                      <w:color w:val="auto"/>
                      <w:sz w:val="21"/>
                      <w:szCs w:val="21"/>
                    </w:rPr>
                    <w:t>中部，靠近办公区</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用以暂存实验样品。</w:t>
                  </w:r>
                </w:p>
              </w:tc>
              <w:tc>
                <w:tcPr>
                  <w:tcW w:w="788" w:type="pct"/>
                  <w:tcBorders>
                    <w:tl2br w:val="nil"/>
                    <w:tr2bl w:val="nil"/>
                  </w:tcBorders>
                  <w:vAlign w:val="center"/>
                </w:tcPr>
                <w:p w14:paraId="1E63BD35">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14:paraId="1C7B8127">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7CD46342">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32B6403B">
                  <w:pPr>
                    <w:widowControl/>
                    <w:adjustRightInd w:val="0"/>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危废贮存库</w:t>
                  </w:r>
                </w:p>
              </w:tc>
              <w:tc>
                <w:tcPr>
                  <w:tcW w:w="3031" w:type="pct"/>
                  <w:tcBorders>
                    <w:tl2br w:val="nil"/>
                    <w:tr2bl w:val="nil"/>
                  </w:tcBorders>
                  <w:vAlign w:val="center"/>
                </w:tcPr>
                <w:p w14:paraId="1F0B1B96">
                  <w:pPr>
                    <w:widowControl/>
                    <w:adjustRightInd w:val="0"/>
                    <w:snapToGrid w:val="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位于项目区中部，用以暂存危险废物。</w:t>
                  </w:r>
                </w:p>
              </w:tc>
              <w:tc>
                <w:tcPr>
                  <w:tcW w:w="788" w:type="pct"/>
                  <w:tcBorders>
                    <w:tl2br w:val="nil"/>
                    <w:tr2bl w:val="nil"/>
                  </w:tcBorders>
                  <w:vAlign w:val="center"/>
                </w:tcPr>
                <w:p w14:paraId="7F921636">
                  <w:pPr>
                    <w:widowControl/>
                    <w:adjustRightInd w:val="0"/>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14:paraId="21895533">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0079055D">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7CB87930">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运输</w:t>
                  </w:r>
                </w:p>
              </w:tc>
              <w:tc>
                <w:tcPr>
                  <w:tcW w:w="3031" w:type="pct"/>
                  <w:tcBorders>
                    <w:tl2br w:val="nil"/>
                    <w:tr2bl w:val="nil"/>
                  </w:tcBorders>
                  <w:vAlign w:val="center"/>
                </w:tcPr>
                <w:p w14:paraId="4C0E22BE">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实验试剂</w:t>
                  </w:r>
                  <w:r>
                    <w:rPr>
                      <w:rFonts w:hint="default" w:ascii="Times New Roman" w:hAnsi="Times New Roman" w:cs="Times New Roman"/>
                      <w:color w:val="auto"/>
                      <w:sz w:val="21"/>
                      <w:szCs w:val="21"/>
                      <w:lang w:val="en-US" w:eastAsia="zh-CN"/>
                    </w:rPr>
                    <w:t>依托</w:t>
                  </w:r>
                  <w:r>
                    <w:rPr>
                      <w:rFonts w:hint="default" w:ascii="Times New Roman" w:hAnsi="Times New Roman" w:cs="Times New Roman"/>
                      <w:color w:val="auto"/>
                      <w:sz w:val="21"/>
                      <w:szCs w:val="21"/>
                    </w:rPr>
                    <w:t>供货方汽车运输。</w:t>
                  </w:r>
                </w:p>
              </w:tc>
              <w:tc>
                <w:tcPr>
                  <w:tcW w:w="788" w:type="pct"/>
                  <w:tcBorders>
                    <w:tl2br w:val="nil"/>
                    <w:tr2bl w:val="nil"/>
                  </w:tcBorders>
                  <w:vAlign w:val="center"/>
                </w:tcPr>
                <w:p w14:paraId="5557BA0D">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依托</w:t>
                  </w:r>
                </w:p>
              </w:tc>
            </w:tr>
            <w:tr w14:paraId="46EB9503">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restart"/>
                  <w:tcBorders>
                    <w:tl2br w:val="nil"/>
                    <w:tr2bl w:val="nil"/>
                  </w:tcBorders>
                  <w:vAlign w:val="center"/>
                </w:tcPr>
                <w:p w14:paraId="2C963C27">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824" w:type="pct"/>
                  <w:tcBorders>
                    <w:tl2br w:val="nil"/>
                    <w:tr2bl w:val="nil"/>
                  </w:tcBorders>
                  <w:vAlign w:val="center"/>
                </w:tcPr>
                <w:p w14:paraId="1A8E679B">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3031" w:type="pct"/>
                  <w:tcBorders>
                    <w:tl2br w:val="nil"/>
                    <w:tr2bl w:val="nil"/>
                  </w:tcBorders>
                  <w:vAlign w:val="center"/>
                </w:tcPr>
                <w:p w14:paraId="64296B11">
                  <w:pPr>
                    <w:widowControl/>
                    <w:adjustRightInd w:val="0"/>
                    <w:snapToGrid w:val="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依托租赁</w:t>
                  </w:r>
                  <w:r>
                    <w:rPr>
                      <w:rFonts w:hint="default" w:ascii="Times New Roman" w:hAnsi="Times New Roman" w:cs="Times New Roman"/>
                      <w:color w:val="auto"/>
                      <w:sz w:val="21"/>
                      <w:szCs w:val="21"/>
                      <w:lang w:eastAsia="zh-CN"/>
                    </w:rPr>
                    <w:t>建筑物</w:t>
                  </w:r>
                  <w:r>
                    <w:rPr>
                      <w:rFonts w:hint="default" w:ascii="Times New Roman" w:hAnsi="Times New Roman" w:cs="Times New Roman"/>
                      <w:color w:val="auto"/>
                      <w:sz w:val="21"/>
                      <w:szCs w:val="21"/>
                    </w:rPr>
                    <w:t>现有市政供电</w:t>
                  </w:r>
                  <w:r>
                    <w:rPr>
                      <w:rFonts w:hint="eastAsia" w:cs="Times New Roman"/>
                      <w:color w:val="auto"/>
                      <w:sz w:val="21"/>
                      <w:szCs w:val="21"/>
                      <w:lang w:eastAsia="zh-CN"/>
                    </w:rPr>
                    <w:t>。</w:t>
                  </w:r>
                </w:p>
              </w:tc>
              <w:tc>
                <w:tcPr>
                  <w:tcW w:w="788" w:type="pct"/>
                  <w:tcBorders>
                    <w:tl2br w:val="nil"/>
                    <w:tr2bl w:val="nil"/>
                  </w:tcBorders>
                  <w:vAlign w:val="center"/>
                </w:tcPr>
                <w:p w14:paraId="23FD4923">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依托</w:t>
                  </w:r>
                </w:p>
              </w:tc>
            </w:tr>
            <w:tr w14:paraId="742B4E21">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56C07100">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2FBBEFD5">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供水</w:t>
                  </w:r>
                </w:p>
              </w:tc>
              <w:tc>
                <w:tcPr>
                  <w:tcW w:w="3031" w:type="pct"/>
                  <w:tcBorders>
                    <w:tl2br w:val="nil"/>
                    <w:tr2bl w:val="nil"/>
                  </w:tcBorders>
                  <w:vAlign w:val="center"/>
                </w:tcPr>
                <w:p w14:paraId="57EC8842">
                  <w:pPr>
                    <w:widowControl/>
                    <w:adjustRightInd w:val="0"/>
                    <w:snapToGrid w:val="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依托租赁</w:t>
                  </w:r>
                  <w:r>
                    <w:rPr>
                      <w:rFonts w:hint="default" w:ascii="Times New Roman" w:hAnsi="Times New Roman" w:cs="Times New Roman"/>
                      <w:color w:val="auto"/>
                      <w:sz w:val="21"/>
                      <w:szCs w:val="21"/>
                      <w:lang w:eastAsia="zh-CN"/>
                    </w:rPr>
                    <w:t>建筑物</w:t>
                  </w:r>
                  <w:r>
                    <w:rPr>
                      <w:rFonts w:hint="default" w:ascii="Times New Roman" w:hAnsi="Times New Roman" w:cs="Times New Roman"/>
                      <w:color w:val="auto"/>
                      <w:sz w:val="21"/>
                      <w:szCs w:val="21"/>
                    </w:rPr>
                    <w:t>现有市政供水</w:t>
                  </w:r>
                  <w:r>
                    <w:rPr>
                      <w:rFonts w:hint="eastAsia" w:cs="Times New Roman"/>
                      <w:color w:val="auto"/>
                      <w:sz w:val="21"/>
                      <w:szCs w:val="21"/>
                      <w:lang w:eastAsia="zh-CN"/>
                    </w:rPr>
                    <w:t>。</w:t>
                  </w:r>
                </w:p>
              </w:tc>
              <w:tc>
                <w:tcPr>
                  <w:tcW w:w="788" w:type="pct"/>
                  <w:tcBorders>
                    <w:tl2br w:val="nil"/>
                    <w:tr2bl w:val="nil"/>
                  </w:tcBorders>
                  <w:vAlign w:val="center"/>
                </w:tcPr>
                <w:p w14:paraId="28342990">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依托</w:t>
                  </w:r>
                </w:p>
              </w:tc>
            </w:tr>
            <w:tr w14:paraId="514F2F97">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7CA510F7">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77C97119">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排水</w:t>
                  </w:r>
                </w:p>
              </w:tc>
              <w:tc>
                <w:tcPr>
                  <w:tcW w:w="3031" w:type="pct"/>
                  <w:tcBorders>
                    <w:tl2br w:val="nil"/>
                    <w:tr2bl w:val="nil"/>
                  </w:tcBorders>
                  <w:vAlign w:val="center"/>
                </w:tcPr>
                <w:p w14:paraId="4E907E1C">
                  <w:pPr>
                    <w:widowControl/>
                    <w:adjustRightInd w:val="0"/>
                    <w:snapToGrid w:val="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项目废水依托公共</w:t>
                  </w:r>
                  <w:r>
                    <w:rPr>
                      <w:rFonts w:hint="default" w:ascii="Times New Roman" w:hAnsi="Times New Roman" w:cs="Times New Roman"/>
                      <w:color w:val="auto"/>
                      <w:sz w:val="21"/>
                      <w:szCs w:val="21"/>
                      <w:lang w:val="en-US" w:eastAsia="zh-CN"/>
                    </w:rPr>
                    <w:t>化粪池</w:t>
                  </w:r>
                  <w:r>
                    <w:rPr>
                      <w:rFonts w:hint="eastAsia" w:cs="Times New Roman"/>
                      <w:color w:val="auto"/>
                      <w:sz w:val="21"/>
                      <w:szCs w:val="21"/>
                      <w:lang w:val="en-US" w:eastAsia="zh-CN"/>
                    </w:rPr>
                    <w:t>排入</w:t>
                  </w:r>
                  <w:r>
                    <w:rPr>
                      <w:rFonts w:hint="default" w:ascii="Times New Roman" w:hAnsi="Times New Roman" w:cs="Times New Roman"/>
                      <w:color w:val="auto"/>
                      <w:sz w:val="21"/>
                      <w:szCs w:val="21"/>
                      <w:lang w:val="en-US" w:eastAsia="zh-CN"/>
                    </w:rPr>
                    <w:t>市政污水管网</w:t>
                  </w:r>
                  <w:r>
                    <w:rPr>
                      <w:rFonts w:hint="eastAsia" w:cs="Times New Roman"/>
                      <w:color w:val="auto"/>
                      <w:sz w:val="21"/>
                      <w:szCs w:val="21"/>
                      <w:lang w:val="en-US" w:eastAsia="zh-CN"/>
                    </w:rPr>
                    <w:t>，最终进入西安市第一污水处理厂深度处理</w:t>
                  </w:r>
                  <w:r>
                    <w:rPr>
                      <w:rFonts w:hint="default" w:ascii="Times New Roman" w:hAnsi="Times New Roman" w:cs="Times New Roman"/>
                      <w:color w:val="auto"/>
                      <w:sz w:val="21"/>
                      <w:szCs w:val="21"/>
                      <w:lang w:val="en-US" w:eastAsia="zh-CN"/>
                    </w:rPr>
                    <w:t>。</w:t>
                  </w:r>
                </w:p>
              </w:tc>
              <w:tc>
                <w:tcPr>
                  <w:tcW w:w="788" w:type="pct"/>
                  <w:tcBorders>
                    <w:tl2br w:val="nil"/>
                    <w:tr2bl w:val="nil"/>
                  </w:tcBorders>
                  <w:vAlign w:val="center"/>
                </w:tcPr>
                <w:p w14:paraId="4570E36F">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依托</w:t>
                  </w:r>
                </w:p>
              </w:tc>
            </w:tr>
            <w:tr w14:paraId="36992166">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49AC200C">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78E7EAE4">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供暖</w:t>
                  </w:r>
                  <w:r>
                    <w:rPr>
                      <w:rFonts w:hint="eastAsia" w:cs="Times New Roman"/>
                      <w:color w:val="auto"/>
                      <w:sz w:val="21"/>
                      <w:szCs w:val="21"/>
                      <w:lang w:val="en-US" w:eastAsia="zh-CN"/>
                    </w:rPr>
                    <w:t>、</w:t>
                  </w:r>
                  <w:r>
                    <w:rPr>
                      <w:rFonts w:hint="default" w:ascii="Times New Roman" w:hAnsi="Times New Roman" w:cs="Times New Roman"/>
                      <w:color w:val="auto"/>
                      <w:sz w:val="21"/>
                      <w:szCs w:val="21"/>
                      <w:lang w:val="en-US" w:eastAsia="zh-CN"/>
                    </w:rPr>
                    <w:t>制冷</w:t>
                  </w:r>
                </w:p>
              </w:tc>
              <w:tc>
                <w:tcPr>
                  <w:tcW w:w="3031" w:type="pct"/>
                  <w:tcBorders>
                    <w:tl2br w:val="nil"/>
                    <w:tr2bl w:val="nil"/>
                  </w:tcBorders>
                  <w:vAlign w:val="center"/>
                </w:tcPr>
                <w:p w14:paraId="742B35A5">
                  <w:pPr>
                    <w:widowControl/>
                    <w:adjustRightInd w:val="0"/>
                    <w:snapToGrid w:val="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采用分体式空调</w:t>
                  </w:r>
                  <w:r>
                    <w:rPr>
                      <w:rFonts w:hint="default" w:ascii="Times New Roman" w:hAnsi="Times New Roman" w:cs="Times New Roman"/>
                      <w:color w:val="auto"/>
                      <w:sz w:val="21"/>
                      <w:szCs w:val="21"/>
                      <w:lang w:val="en-US" w:eastAsia="zh-CN"/>
                    </w:rPr>
                    <w:t>供暖制冷。</w:t>
                  </w:r>
                </w:p>
              </w:tc>
              <w:tc>
                <w:tcPr>
                  <w:tcW w:w="788" w:type="pct"/>
                  <w:tcBorders>
                    <w:tl2br w:val="nil"/>
                    <w:tr2bl w:val="nil"/>
                  </w:tcBorders>
                  <w:vAlign w:val="center"/>
                </w:tcPr>
                <w:p w14:paraId="38B5EEDB">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新建</w:t>
                  </w:r>
                </w:p>
              </w:tc>
            </w:tr>
            <w:tr w14:paraId="76FAC86E">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restart"/>
                  <w:tcBorders>
                    <w:tl2br w:val="nil"/>
                    <w:tr2bl w:val="nil"/>
                  </w:tcBorders>
                  <w:vAlign w:val="center"/>
                </w:tcPr>
                <w:p w14:paraId="2BA317BA">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824" w:type="pct"/>
                  <w:vMerge w:val="restart"/>
                  <w:tcBorders>
                    <w:tl2br w:val="nil"/>
                    <w:tr2bl w:val="nil"/>
                  </w:tcBorders>
                  <w:vAlign w:val="center"/>
                </w:tcPr>
                <w:p w14:paraId="2AD213F6">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3031" w:type="pct"/>
                  <w:tcBorders>
                    <w:tl2br w:val="nil"/>
                    <w:tr2bl w:val="nil"/>
                  </w:tcBorders>
                  <w:vAlign w:val="center"/>
                </w:tcPr>
                <w:p w14:paraId="58549297">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项目产生的废气通过通风柜等收集后</w:t>
                  </w:r>
                  <w:r>
                    <w:rPr>
                      <w:rFonts w:hint="default" w:ascii="Times New Roman" w:hAnsi="Times New Roman" w:cs="Times New Roman"/>
                      <w:color w:val="auto"/>
                      <w:sz w:val="21"/>
                      <w:szCs w:val="21"/>
                      <w:highlight w:val="none"/>
                    </w:rPr>
                    <w:t>经</w:t>
                  </w:r>
                  <w:r>
                    <w:rPr>
                      <w:rFonts w:hint="eastAsia" w:cs="Times New Roman"/>
                      <w:color w:val="auto"/>
                      <w:sz w:val="21"/>
                      <w:szCs w:val="21"/>
                      <w:highlight w:val="none"/>
                      <w:lang w:val="en-US" w:eastAsia="zh-CN"/>
                    </w:rPr>
                    <w:t>SDG碳吸附</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活性炭吸附处理后</w:t>
                  </w:r>
                  <w:r>
                    <w:rPr>
                      <w:rFonts w:hint="default" w:ascii="Times New Roman" w:hAnsi="Times New Roman" w:cs="Times New Roman"/>
                      <w:color w:val="auto"/>
                      <w:sz w:val="21"/>
                      <w:szCs w:val="21"/>
                      <w:highlight w:val="none"/>
                      <w:lang w:val="en-US" w:eastAsia="zh-CN"/>
                    </w:rPr>
                    <w:t>排风口无组织</w:t>
                  </w:r>
                  <w:r>
                    <w:rPr>
                      <w:rFonts w:hint="default" w:ascii="Times New Roman" w:hAnsi="Times New Roman" w:cs="Times New Roman"/>
                      <w:color w:val="auto"/>
                      <w:sz w:val="21"/>
                      <w:szCs w:val="21"/>
                      <w:highlight w:val="none"/>
                    </w:rPr>
                    <w:t>排放。</w:t>
                  </w:r>
                </w:p>
              </w:tc>
              <w:tc>
                <w:tcPr>
                  <w:tcW w:w="788" w:type="pct"/>
                  <w:tcBorders>
                    <w:tl2br w:val="nil"/>
                    <w:tr2bl w:val="nil"/>
                  </w:tcBorders>
                  <w:vAlign w:val="center"/>
                </w:tcPr>
                <w:p w14:paraId="3F889CF9">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5E021FF3">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0DE82B36">
                  <w:pPr>
                    <w:widowControl/>
                    <w:adjustRightInd w:val="0"/>
                    <w:snapToGrid w:val="0"/>
                    <w:jc w:val="center"/>
                    <w:rPr>
                      <w:rFonts w:hint="default" w:ascii="Times New Roman" w:hAnsi="Times New Roman" w:cs="Times New Roman"/>
                      <w:color w:val="auto"/>
                      <w:sz w:val="21"/>
                      <w:szCs w:val="21"/>
                    </w:rPr>
                  </w:pPr>
                </w:p>
              </w:tc>
              <w:tc>
                <w:tcPr>
                  <w:tcW w:w="824" w:type="pct"/>
                  <w:vMerge w:val="continue"/>
                  <w:tcBorders>
                    <w:tl2br w:val="nil"/>
                    <w:tr2bl w:val="nil"/>
                  </w:tcBorders>
                  <w:vAlign w:val="center"/>
                </w:tcPr>
                <w:p w14:paraId="1ECE64DA">
                  <w:pPr>
                    <w:widowControl/>
                    <w:adjustRightInd w:val="0"/>
                    <w:snapToGrid w:val="0"/>
                    <w:jc w:val="center"/>
                    <w:rPr>
                      <w:rFonts w:hint="default" w:ascii="Times New Roman" w:hAnsi="Times New Roman" w:cs="Times New Roman"/>
                      <w:color w:val="auto"/>
                      <w:sz w:val="21"/>
                      <w:szCs w:val="21"/>
                    </w:rPr>
                  </w:pPr>
                </w:p>
              </w:tc>
              <w:tc>
                <w:tcPr>
                  <w:tcW w:w="3031" w:type="pct"/>
                  <w:tcBorders>
                    <w:tl2br w:val="nil"/>
                    <w:tr2bl w:val="nil"/>
                  </w:tcBorders>
                  <w:vAlign w:val="center"/>
                </w:tcPr>
                <w:p w14:paraId="6EFFB571">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本项目细菌、大肠菌群等生物检测过程均在生物安全柜内进行，</w:t>
                  </w:r>
                  <w:r>
                    <w:rPr>
                      <w:rFonts w:hint="default" w:ascii="Times New Roman" w:hAnsi="Times New Roman" w:cs="Times New Roman"/>
                      <w:color w:val="auto"/>
                      <w:sz w:val="21"/>
                      <w:szCs w:val="21"/>
                      <w:lang w:val="en-US" w:eastAsia="zh-CN"/>
                    </w:rPr>
                    <w:t>产生</w:t>
                  </w:r>
                  <w:r>
                    <w:rPr>
                      <w:rFonts w:hint="default" w:ascii="Times New Roman" w:hAnsi="Times New Roman" w:cs="Times New Roman"/>
                      <w:color w:val="auto"/>
                      <w:sz w:val="21"/>
                      <w:szCs w:val="21"/>
                    </w:rPr>
                    <w:t>的</w:t>
                  </w:r>
                  <w:r>
                    <w:rPr>
                      <w:rFonts w:hint="default" w:ascii="Times New Roman" w:hAnsi="Times New Roman" w:cs="Times New Roman"/>
                      <w:color w:val="auto"/>
                      <w:sz w:val="21"/>
                      <w:szCs w:val="21"/>
                      <w:lang w:val="en-US" w:eastAsia="zh-CN"/>
                    </w:rPr>
                    <w:t>废气</w:t>
                  </w:r>
                  <w:r>
                    <w:rPr>
                      <w:rFonts w:hint="default" w:ascii="Times New Roman" w:hAnsi="Times New Roman" w:cs="Times New Roman"/>
                      <w:color w:val="auto"/>
                      <w:sz w:val="21"/>
                      <w:szCs w:val="21"/>
                    </w:rPr>
                    <w:t>经生物安全柜</w:t>
                  </w:r>
                  <w:r>
                    <w:rPr>
                      <w:rFonts w:hint="default" w:ascii="Times New Roman" w:hAnsi="Times New Roman" w:cs="Times New Roman"/>
                      <w:color w:val="auto"/>
                      <w:sz w:val="21"/>
                      <w:szCs w:val="21"/>
                      <w:highlight w:val="none"/>
                    </w:rPr>
                    <w:t>自带高效过滤器</w:t>
                  </w:r>
                  <w:r>
                    <w:rPr>
                      <w:rFonts w:hint="default" w:ascii="Times New Roman" w:hAnsi="Times New Roman" w:cs="Times New Roman"/>
                      <w:color w:val="auto"/>
                      <w:sz w:val="21"/>
                      <w:szCs w:val="21"/>
                      <w:highlight w:val="none"/>
                      <w:lang w:val="en-US" w:eastAsia="zh-CN"/>
                    </w:rPr>
                    <w:t>净</w:t>
                  </w:r>
                  <w:r>
                    <w:rPr>
                      <w:rFonts w:hint="default" w:ascii="Times New Roman" w:hAnsi="Times New Roman" w:cs="Times New Roman"/>
                      <w:color w:val="auto"/>
                      <w:sz w:val="21"/>
                      <w:szCs w:val="21"/>
                      <w:lang w:val="en-US" w:eastAsia="zh-CN"/>
                    </w:rPr>
                    <w:t>化</w:t>
                  </w:r>
                  <w:r>
                    <w:rPr>
                      <w:rFonts w:hint="default" w:ascii="Times New Roman" w:hAnsi="Times New Roman" w:cs="Times New Roman"/>
                      <w:color w:val="auto"/>
                      <w:sz w:val="21"/>
                      <w:szCs w:val="21"/>
                    </w:rPr>
                    <w:t>后</w:t>
                  </w:r>
                  <w:r>
                    <w:rPr>
                      <w:rFonts w:hint="default" w:ascii="Times New Roman" w:hAnsi="Times New Roman" w:cs="Times New Roman"/>
                      <w:color w:val="auto"/>
                      <w:sz w:val="21"/>
                      <w:szCs w:val="21"/>
                      <w:lang w:val="en-US" w:eastAsia="zh-CN"/>
                    </w:rPr>
                    <w:t>无组织</w:t>
                  </w:r>
                  <w:r>
                    <w:rPr>
                      <w:rFonts w:hint="default" w:ascii="Times New Roman" w:hAnsi="Times New Roman" w:cs="Times New Roman"/>
                      <w:color w:val="auto"/>
                      <w:sz w:val="21"/>
                      <w:szCs w:val="21"/>
                    </w:rPr>
                    <w:t>排放。</w:t>
                  </w:r>
                </w:p>
              </w:tc>
              <w:tc>
                <w:tcPr>
                  <w:tcW w:w="788" w:type="pct"/>
                  <w:tcBorders>
                    <w:tl2br w:val="nil"/>
                    <w:tr2bl w:val="nil"/>
                  </w:tcBorders>
                  <w:vAlign w:val="center"/>
                </w:tcPr>
                <w:p w14:paraId="62E09D5F">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r w14:paraId="6DEC1937">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12909056">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4EFDEBAA">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3031" w:type="pct"/>
                  <w:tcBorders>
                    <w:tl2br w:val="nil"/>
                    <w:tr2bl w:val="nil"/>
                  </w:tcBorders>
                  <w:vAlign w:val="center"/>
                </w:tcPr>
                <w:p w14:paraId="77F3D820">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项目</w:t>
                  </w:r>
                  <w:r>
                    <w:rPr>
                      <w:rFonts w:hint="default" w:ascii="Times New Roman" w:hAnsi="Times New Roman" w:cs="Times New Roman"/>
                      <w:color w:val="auto"/>
                      <w:sz w:val="21"/>
                      <w:szCs w:val="21"/>
                    </w:rPr>
                    <w:t>实验室废液收集后作为危险废物，定期交由有资质单位处置。</w:t>
                  </w:r>
                  <w:r>
                    <w:rPr>
                      <w:rFonts w:hint="eastAsia" w:cs="Times New Roman"/>
                      <w:color w:val="auto"/>
                      <w:sz w:val="21"/>
                      <w:szCs w:val="21"/>
                      <w:lang w:val="en-US" w:eastAsia="zh-CN"/>
                    </w:rPr>
                    <w:t>实验器材清洗废水和实验室的清洁废水收集经酸碱中和池调节pH值后与纯水制备浓水、生活污水一同进入现有公共化粪池处理后排入市政污水管网最终进入</w:t>
                  </w:r>
                  <w:r>
                    <w:rPr>
                      <w:rFonts w:hint="default" w:ascii="Times New Roman" w:hAnsi="Times New Roman" w:cs="Times New Roman"/>
                      <w:color w:val="auto"/>
                      <w:sz w:val="21"/>
                      <w:szCs w:val="21"/>
                      <w:lang w:val="en-US" w:eastAsia="zh-CN"/>
                    </w:rPr>
                    <w:t>西安市第一污水处理厂</w:t>
                  </w:r>
                  <w:r>
                    <w:rPr>
                      <w:rFonts w:hint="default" w:ascii="Times New Roman" w:hAnsi="Times New Roman" w:cs="Times New Roman"/>
                      <w:color w:val="auto"/>
                      <w:sz w:val="21"/>
                      <w:szCs w:val="21"/>
                    </w:rPr>
                    <w:t>进一步处理</w:t>
                  </w:r>
                  <w:r>
                    <w:rPr>
                      <w:rFonts w:hint="eastAsia" w:cs="Times New Roman"/>
                      <w:color w:val="auto"/>
                      <w:sz w:val="21"/>
                      <w:szCs w:val="21"/>
                      <w:lang w:eastAsia="zh-CN"/>
                    </w:rPr>
                    <w:t>。</w:t>
                  </w:r>
                </w:p>
              </w:tc>
              <w:tc>
                <w:tcPr>
                  <w:tcW w:w="788" w:type="pct"/>
                  <w:tcBorders>
                    <w:tl2br w:val="nil"/>
                    <w:tr2bl w:val="nil"/>
                  </w:tcBorders>
                  <w:vAlign w:val="center"/>
                </w:tcPr>
                <w:p w14:paraId="60B72AA6">
                  <w:pPr>
                    <w:widowControl/>
                    <w:adjustRightInd w:val="0"/>
                    <w:snapToGrid w:val="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rPr>
                    <w:t>化粪池依托现有，</w:t>
                  </w:r>
                  <w:r>
                    <w:rPr>
                      <w:rFonts w:hint="eastAsia" w:cs="Times New Roman"/>
                      <w:color w:val="auto"/>
                      <w:sz w:val="21"/>
                      <w:szCs w:val="21"/>
                      <w:lang w:val="en-US" w:eastAsia="zh-CN"/>
                    </w:rPr>
                    <w:t>新增酸碱中和池</w:t>
                  </w:r>
                </w:p>
              </w:tc>
            </w:tr>
            <w:tr w14:paraId="0C7AC76D">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58709715">
                  <w:pPr>
                    <w:widowControl/>
                    <w:adjustRightInd w:val="0"/>
                    <w:snapToGrid w:val="0"/>
                    <w:jc w:val="center"/>
                    <w:rPr>
                      <w:rFonts w:hint="default" w:ascii="Times New Roman" w:hAnsi="Times New Roman" w:cs="Times New Roman"/>
                      <w:color w:val="auto"/>
                      <w:sz w:val="21"/>
                      <w:szCs w:val="21"/>
                    </w:rPr>
                  </w:pPr>
                </w:p>
              </w:tc>
              <w:tc>
                <w:tcPr>
                  <w:tcW w:w="824" w:type="pct"/>
                  <w:tcBorders>
                    <w:tl2br w:val="nil"/>
                    <w:tr2bl w:val="nil"/>
                  </w:tcBorders>
                  <w:vAlign w:val="center"/>
                </w:tcPr>
                <w:p w14:paraId="781219A5">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3031" w:type="pct"/>
                  <w:tcBorders>
                    <w:tl2br w:val="nil"/>
                    <w:tr2bl w:val="nil"/>
                  </w:tcBorders>
                  <w:vAlign w:val="center"/>
                </w:tcPr>
                <w:p w14:paraId="1523489F">
                  <w:pPr>
                    <w:widowControl/>
                    <w:adjustRightInd w:val="0"/>
                    <w:snapToGrid w:val="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实验室的</w:t>
                  </w:r>
                  <w:r>
                    <w:rPr>
                      <w:rFonts w:hint="eastAsia" w:cs="Times New Roman"/>
                      <w:color w:val="auto"/>
                      <w:sz w:val="21"/>
                      <w:szCs w:val="21"/>
                      <w:lang w:val="en-US" w:eastAsia="zh-CN"/>
                    </w:rPr>
                    <w:t>设备</w:t>
                  </w:r>
                  <w:r>
                    <w:rPr>
                      <w:rFonts w:hint="default" w:ascii="Times New Roman" w:hAnsi="Times New Roman" w:cs="Times New Roman"/>
                      <w:color w:val="auto"/>
                      <w:sz w:val="21"/>
                      <w:szCs w:val="21"/>
                      <w:lang w:val="en-US" w:eastAsia="zh-CN"/>
                    </w:rPr>
                    <w:t>均为小型设备，噪声源强低，且安装在实验室内</w:t>
                  </w:r>
                  <w:r>
                    <w:rPr>
                      <w:rFonts w:hint="eastAsia" w:cs="Times New Roman"/>
                      <w:color w:val="auto"/>
                      <w:sz w:val="21"/>
                      <w:szCs w:val="21"/>
                      <w:lang w:val="en-US" w:eastAsia="zh-CN"/>
                    </w:rPr>
                    <w:t>；取暖制冷采用符合国家标准要求的分体式空调，噪声源强低。</w:t>
                  </w:r>
                  <w:r>
                    <w:rPr>
                      <w:rFonts w:hint="default" w:ascii="Times New Roman" w:hAnsi="Times New Roman" w:cs="Times New Roman"/>
                      <w:color w:val="auto"/>
                      <w:sz w:val="21"/>
                      <w:szCs w:val="21"/>
                      <w:lang w:val="en-US" w:eastAsia="zh-CN"/>
                    </w:rPr>
                    <w:t>本项目噪声源主要为废气处理风机</w:t>
                  </w:r>
                  <w:r>
                    <w:rPr>
                      <w:rFonts w:hint="eastAsia" w:cs="Times New Roman"/>
                      <w:color w:val="auto"/>
                      <w:sz w:val="21"/>
                      <w:szCs w:val="21"/>
                      <w:lang w:val="en-US" w:eastAsia="zh-CN"/>
                    </w:rPr>
                    <w:t>，采用选用低噪声设备、基础减振、建筑物隔声</w:t>
                  </w:r>
                  <w:r>
                    <w:rPr>
                      <w:rFonts w:hint="default" w:ascii="Times New Roman" w:hAnsi="Times New Roman" w:cs="Times New Roman"/>
                      <w:color w:val="auto"/>
                      <w:sz w:val="21"/>
                      <w:szCs w:val="21"/>
                      <w:lang w:val="en-US" w:eastAsia="zh-CN"/>
                    </w:rPr>
                    <w:t>等降噪措施。</w:t>
                  </w:r>
                </w:p>
              </w:tc>
              <w:tc>
                <w:tcPr>
                  <w:tcW w:w="788" w:type="pct"/>
                  <w:tcBorders>
                    <w:tl2br w:val="nil"/>
                    <w:tr2bl w:val="nil"/>
                  </w:tcBorders>
                  <w:vAlign w:val="center"/>
                </w:tcPr>
                <w:p w14:paraId="6E801B6B">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r w14:paraId="3995D732">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1BAE80FE">
                  <w:pPr>
                    <w:widowControl/>
                    <w:adjustRightInd w:val="0"/>
                    <w:snapToGrid w:val="0"/>
                    <w:jc w:val="center"/>
                    <w:rPr>
                      <w:rFonts w:hint="default" w:ascii="Times New Roman" w:hAnsi="Times New Roman" w:cs="Times New Roman"/>
                      <w:color w:val="auto"/>
                      <w:sz w:val="21"/>
                      <w:szCs w:val="21"/>
                    </w:rPr>
                  </w:pPr>
                </w:p>
              </w:tc>
              <w:tc>
                <w:tcPr>
                  <w:tcW w:w="824" w:type="pct"/>
                  <w:vMerge w:val="restart"/>
                  <w:tcBorders>
                    <w:tl2br w:val="nil"/>
                    <w:tr2bl w:val="nil"/>
                  </w:tcBorders>
                  <w:vAlign w:val="center"/>
                </w:tcPr>
                <w:p w14:paraId="0529E37F">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3031" w:type="pct"/>
                  <w:tcBorders>
                    <w:tl2br w:val="nil"/>
                    <w:tr2bl w:val="nil"/>
                  </w:tcBorders>
                  <w:vAlign w:val="center"/>
                </w:tcPr>
                <w:p w14:paraId="3309396F">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人员产生的</w:t>
                  </w:r>
                  <w:r>
                    <w:rPr>
                      <w:rFonts w:hint="default" w:ascii="Times New Roman" w:hAnsi="Times New Roman" w:cs="Times New Roman"/>
                      <w:color w:val="auto"/>
                      <w:sz w:val="21"/>
                      <w:szCs w:val="21"/>
                    </w:rPr>
                    <w:t>生活垃圾分类收集后，交由环卫部门</w:t>
                  </w:r>
                  <w:r>
                    <w:rPr>
                      <w:rFonts w:hint="default" w:ascii="Times New Roman" w:hAnsi="Times New Roman" w:cs="Times New Roman"/>
                      <w:color w:val="auto"/>
                      <w:sz w:val="21"/>
                      <w:szCs w:val="21"/>
                      <w:lang w:val="en-US" w:eastAsia="zh-CN"/>
                    </w:rPr>
                    <w:t>统一</w:t>
                  </w:r>
                  <w:r>
                    <w:rPr>
                      <w:rFonts w:hint="default" w:ascii="Times New Roman" w:hAnsi="Times New Roman" w:cs="Times New Roman"/>
                      <w:color w:val="auto"/>
                      <w:sz w:val="21"/>
                      <w:szCs w:val="21"/>
                    </w:rPr>
                    <w:t>处置。</w:t>
                  </w:r>
                </w:p>
              </w:tc>
              <w:tc>
                <w:tcPr>
                  <w:tcW w:w="788" w:type="pct"/>
                  <w:tcBorders>
                    <w:tl2br w:val="nil"/>
                    <w:tr2bl w:val="nil"/>
                  </w:tcBorders>
                  <w:vAlign w:val="center"/>
                </w:tcPr>
                <w:p w14:paraId="03ED16F1">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r>
            <w:tr w14:paraId="02623F4B">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446D631E">
                  <w:pPr>
                    <w:widowControl/>
                    <w:adjustRightInd w:val="0"/>
                    <w:snapToGrid w:val="0"/>
                    <w:jc w:val="center"/>
                    <w:rPr>
                      <w:rFonts w:hint="default" w:ascii="Times New Roman" w:hAnsi="Times New Roman" w:cs="Times New Roman"/>
                      <w:color w:val="auto"/>
                      <w:sz w:val="21"/>
                      <w:szCs w:val="21"/>
                    </w:rPr>
                  </w:pPr>
                </w:p>
              </w:tc>
              <w:tc>
                <w:tcPr>
                  <w:tcW w:w="824" w:type="pct"/>
                  <w:vMerge w:val="continue"/>
                  <w:tcBorders>
                    <w:tl2br w:val="nil"/>
                    <w:tr2bl w:val="nil"/>
                  </w:tcBorders>
                  <w:vAlign w:val="center"/>
                </w:tcPr>
                <w:p w14:paraId="33805A74">
                  <w:pPr>
                    <w:widowControl/>
                    <w:adjustRightInd w:val="0"/>
                    <w:snapToGrid w:val="0"/>
                    <w:jc w:val="center"/>
                    <w:rPr>
                      <w:rFonts w:hint="default" w:ascii="Times New Roman" w:hAnsi="Times New Roman" w:cs="Times New Roman"/>
                      <w:color w:val="auto"/>
                      <w:sz w:val="21"/>
                      <w:szCs w:val="21"/>
                    </w:rPr>
                  </w:pPr>
                </w:p>
              </w:tc>
              <w:tc>
                <w:tcPr>
                  <w:tcW w:w="3031" w:type="pct"/>
                  <w:tcBorders>
                    <w:tl2br w:val="nil"/>
                    <w:tr2bl w:val="nil"/>
                  </w:tcBorders>
                  <w:vAlign w:val="center"/>
                </w:tcPr>
                <w:p w14:paraId="5E1AE4D6">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一般固体废物主要为未被污染的</w:t>
                  </w:r>
                  <w:r>
                    <w:rPr>
                      <w:rFonts w:hint="default" w:ascii="Times New Roman" w:hAnsi="Times New Roman" w:cs="Times New Roman"/>
                      <w:color w:val="auto"/>
                      <w:sz w:val="21"/>
                      <w:szCs w:val="21"/>
                      <w:highlight w:val="none"/>
                    </w:rPr>
                    <w:t>废包装材料、纯水制备过程产生的废滤芯和灭菌后的废培养基。</w:t>
                  </w:r>
                  <w:r>
                    <w:rPr>
                      <w:rFonts w:hint="eastAsia" w:cs="Times New Roman"/>
                      <w:color w:val="auto"/>
                      <w:sz w:val="21"/>
                      <w:szCs w:val="21"/>
                      <w:highlight w:val="none"/>
                      <w:lang w:val="en-US" w:eastAsia="zh-CN"/>
                    </w:rPr>
                    <w:t>未被污染的</w:t>
                  </w:r>
                  <w:r>
                    <w:rPr>
                      <w:rFonts w:hint="default" w:ascii="Times New Roman" w:hAnsi="Times New Roman" w:cs="Times New Roman"/>
                      <w:color w:val="auto"/>
                      <w:sz w:val="21"/>
                      <w:szCs w:val="21"/>
                    </w:rPr>
                    <w:t>废包装材料收集后外售；纯水制备产生的废滤芯由厂家回收；</w:t>
                  </w:r>
                  <w:r>
                    <w:rPr>
                      <w:rFonts w:hint="eastAsia" w:cs="Times New Roman"/>
                      <w:color w:val="auto"/>
                      <w:sz w:val="21"/>
                      <w:szCs w:val="21"/>
                      <w:lang w:val="en-US" w:eastAsia="zh-CN"/>
                    </w:rPr>
                    <w:t>灭菌后的</w:t>
                  </w:r>
                  <w:r>
                    <w:rPr>
                      <w:rFonts w:hint="default" w:ascii="Times New Roman" w:hAnsi="Times New Roman" w:cs="Times New Roman"/>
                      <w:color w:val="auto"/>
                      <w:sz w:val="21"/>
                      <w:szCs w:val="21"/>
                    </w:rPr>
                    <w:t>废培养基交由环卫部门</w:t>
                  </w:r>
                  <w:r>
                    <w:rPr>
                      <w:rFonts w:hint="default" w:ascii="Times New Roman" w:hAnsi="Times New Roman" w:cs="Times New Roman"/>
                      <w:color w:val="auto"/>
                      <w:sz w:val="21"/>
                      <w:szCs w:val="21"/>
                      <w:lang w:val="en-US" w:eastAsia="zh-CN"/>
                    </w:rPr>
                    <w:t>外运处置</w:t>
                  </w:r>
                  <w:r>
                    <w:rPr>
                      <w:rFonts w:hint="default" w:ascii="Times New Roman" w:hAnsi="Times New Roman" w:cs="Times New Roman"/>
                      <w:color w:val="auto"/>
                      <w:sz w:val="21"/>
                      <w:szCs w:val="21"/>
                    </w:rPr>
                    <w:t>。</w:t>
                  </w:r>
                </w:p>
              </w:tc>
              <w:tc>
                <w:tcPr>
                  <w:tcW w:w="788" w:type="pct"/>
                  <w:tcBorders>
                    <w:tl2br w:val="nil"/>
                    <w:tr2bl w:val="nil"/>
                  </w:tcBorders>
                  <w:vAlign w:val="center"/>
                </w:tcPr>
                <w:p w14:paraId="48C9D7A2">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0B0EBBD0">
              <w:tblPrEx>
                <w:tblBorders>
                  <w:top w:val="single" w:color="auto" w:sz="4"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6" w:type="pct"/>
                  <w:vMerge w:val="continue"/>
                  <w:tcBorders>
                    <w:tl2br w:val="nil"/>
                    <w:tr2bl w:val="nil"/>
                  </w:tcBorders>
                  <w:vAlign w:val="center"/>
                </w:tcPr>
                <w:p w14:paraId="0E22C0C5">
                  <w:pPr>
                    <w:widowControl/>
                    <w:adjustRightInd w:val="0"/>
                    <w:snapToGrid w:val="0"/>
                    <w:jc w:val="center"/>
                    <w:rPr>
                      <w:rFonts w:hint="default" w:ascii="Times New Roman" w:hAnsi="Times New Roman" w:cs="Times New Roman"/>
                      <w:color w:val="auto"/>
                      <w:sz w:val="21"/>
                      <w:szCs w:val="21"/>
                    </w:rPr>
                  </w:pPr>
                </w:p>
              </w:tc>
              <w:tc>
                <w:tcPr>
                  <w:tcW w:w="824" w:type="pct"/>
                  <w:vMerge w:val="continue"/>
                  <w:tcBorders>
                    <w:tl2br w:val="nil"/>
                    <w:tr2bl w:val="nil"/>
                  </w:tcBorders>
                  <w:vAlign w:val="center"/>
                </w:tcPr>
                <w:p w14:paraId="6649F299">
                  <w:pPr>
                    <w:widowControl/>
                    <w:adjustRightInd w:val="0"/>
                    <w:snapToGrid w:val="0"/>
                    <w:jc w:val="center"/>
                    <w:rPr>
                      <w:rFonts w:hint="default" w:ascii="Times New Roman" w:hAnsi="Times New Roman" w:cs="Times New Roman"/>
                      <w:color w:val="auto"/>
                      <w:sz w:val="21"/>
                      <w:szCs w:val="21"/>
                    </w:rPr>
                  </w:pPr>
                </w:p>
              </w:tc>
              <w:tc>
                <w:tcPr>
                  <w:tcW w:w="3031" w:type="pct"/>
                  <w:tcBorders>
                    <w:tl2br w:val="nil"/>
                    <w:tr2bl w:val="nil"/>
                  </w:tcBorders>
                  <w:vAlign w:val="center"/>
                </w:tcPr>
                <w:p w14:paraId="3DECCECB">
                  <w:pPr>
                    <w:widowControl/>
                    <w:adjustRightInd w:val="0"/>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危险废物主要为实验室废液、废样品、沾染危险化学品的包装材料及实验器材、</w:t>
                  </w:r>
                  <w:r>
                    <w:rPr>
                      <w:rFonts w:hint="default" w:ascii="Times New Roman" w:hAnsi="Times New Roman" w:cs="Times New Roman"/>
                      <w:color w:val="auto"/>
                      <w:sz w:val="21"/>
                      <w:szCs w:val="21"/>
                      <w:highlight w:val="none"/>
                    </w:rPr>
                    <w:t>废过滤介质</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rPr>
                    <w:t>废活性炭</w:t>
                  </w:r>
                  <w:r>
                    <w:rPr>
                      <w:rFonts w:hint="default" w:ascii="Times New Roman" w:hAnsi="Times New Roman" w:cs="Times New Roman"/>
                      <w:color w:val="auto"/>
                      <w:sz w:val="21"/>
                      <w:szCs w:val="21"/>
                      <w:lang w:val="en-US" w:eastAsia="zh-CN"/>
                    </w:rPr>
                    <w:t>等</w:t>
                  </w:r>
                  <w:r>
                    <w:rPr>
                      <w:rFonts w:hint="default" w:ascii="Times New Roman" w:hAnsi="Times New Roman" w:cs="Times New Roman"/>
                      <w:color w:val="auto"/>
                      <w:sz w:val="21"/>
                      <w:szCs w:val="21"/>
                    </w:rPr>
                    <w:t>，分类收集定期交有资质单位处置。</w:t>
                  </w:r>
                </w:p>
              </w:tc>
              <w:tc>
                <w:tcPr>
                  <w:tcW w:w="788" w:type="pct"/>
                  <w:tcBorders>
                    <w:tl2br w:val="nil"/>
                    <w:tr2bl w:val="nil"/>
                  </w:tcBorders>
                  <w:vAlign w:val="center"/>
                </w:tcPr>
                <w:p w14:paraId="40C61B36">
                  <w:pPr>
                    <w:widowControl/>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r>
          </w:tbl>
          <w:p w14:paraId="26655A19">
            <w:pPr>
              <w:autoSpaceDE w:val="0"/>
              <w:autoSpaceDN w:val="0"/>
              <w:adjustRightInd w:val="0"/>
              <w:snapToGrid w:val="0"/>
              <w:spacing w:line="360" w:lineRule="auto"/>
              <w:rPr>
                <w:rFonts w:hint="eastAsia" w:ascii="Times New Roman" w:hAnsi="Times New Roman" w:eastAsia="宋体" w:cs="Times New Roman"/>
                <w:b/>
                <w:color w:val="auto"/>
                <w:sz w:val="24"/>
                <w:lang w:val="en-US" w:eastAsia="zh-CN"/>
              </w:rPr>
            </w:pPr>
            <w:bookmarkStart w:id="5" w:name="_Toc47237595"/>
            <w:r>
              <w:rPr>
                <w:rFonts w:hint="default" w:ascii="Times New Roman" w:hAnsi="Times New Roman" w:cs="Times New Roman"/>
                <w:b/>
                <w:color w:val="auto"/>
                <w:sz w:val="24"/>
              </w:rPr>
              <w:t>（</w:t>
            </w:r>
            <w:r>
              <w:rPr>
                <w:rFonts w:hint="eastAsia" w:cs="Times New Roman"/>
                <w:b/>
                <w:color w:val="auto"/>
                <w:sz w:val="24"/>
                <w:lang w:val="en-US" w:eastAsia="zh-CN"/>
              </w:rPr>
              <w:t>二</w:t>
            </w:r>
            <w:r>
              <w:rPr>
                <w:rFonts w:hint="default" w:ascii="Times New Roman" w:hAnsi="Times New Roman" w:cs="Times New Roman"/>
                <w:b/>
                <w:color w:val="auto"/>
                <w:sz w:val="24"/>
              </w:rPr>
              <w:t>）检测</w:t>
            </w:r>
            <w:r>
              <w:rPr>
                <w:rFonts w:hint="eastAsia" w:cs="Times New Roman"/>
                <w:b/>
                <w:color w:val="auto"/>
                <w:sz w:val="24"/>
                <w:lang w:val="en-US" w:eastAsia="zh-CN"/>
              </w:rPr>
              <w:t>方案</w:t>
            </w:r>
          </w:p>
          <w:p w14:paraId="01E4BE6A">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本项目建成后主要开展</w:t>
            </w:r>
            <w:r>
              <w:rPr>
                <w:rFonts w:hint="default" w:ascii="Times New Roman" w:hAnsi="Times New Roman" w:cs="Times New Roman"/>
                <w:color w:val="auto"/>
                <w:sz w:val="24"/>
                <w:lang w:val="en-US" w:eastAsia="zh-CN"/>
              </w:rPr>
              <w:t>油烟、户外广告设施、发光二极管（LED）显示屏、公共卫生</w:t>
            </w:r>
            <w:r>
              <w:rPr>
                <w:rFonts w:hint="default" w:ascii="Times New Roman" w:hAnsi="Times New Roman" w:cs="Times New Roman"/>
                <w:color w:val="auto"/>
                <w:sz w:val="24"/>
              </w:rPr>
              <w:t>等</w:t>
            </w:r>
            <w:r>
              <w:rPr>
                <w:rFonts w:hint="eastAsia" w:cs="Times New Roman"/>
                <w:color w:val="auto"/>
                <w:sz w:val="24"/>
                <w:lang w:val="en-US" w:eastAsia="zh-CN"/>
              </w:rPr>
              <w:t>检测实验</w:t>
            </w:r>
            <w:r>
              <w:rPr>
                <w:rFonts w:hint="default" w:ascii="Times New Roman" w:hAnsi="Times New Roman" w:cs="Times New Roman"/>
                <w:color w:val="auto"/>
                <w:sz w:val="24"/>
              </w:rPr>
              <w:t>，</w:t>
            </w:r>
            <w:r>
              <w:rPr>
                <w:rFonts w:hint="eastAsia" w:cs="Times New Roman"/>
                <w:color w:val="auto"/>
                <w:sz w:val="24"/>
                <w:lang w:val="en-US" w:eastAsia="zh-CN"/>
              </w:rPr>
              <w:t>项目具体检测方案</w:t>
            </w:r>
            <w:r>
              <w:rPr>
                <w:rFonts w:hint="default" w:ascii="Times New Roman" w:hAnsi="Times New Roman" w:cs="Times New Roman"/>
                <w:color w:val="auto"/>
                <w:sz w:val="24"/>
              </w:rPr>
              <w:t>见表2-2。</w:t>
            </w:r>
          </w:p>
          <w:p w14:paraId="3F69AA38">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表2-2项目检测能力一览表</w:t>
            </w:r>
          </w:p>
          <w:tbl>
            <w:tblPr>
              <w:tblStyle w:val="30"/>
              <w:tblW w:w="0" w:type="auto"/>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28"/>
              <w:gridCol w:w="4911"/>
              <w:gridCol w:w="1142"/>
              <w:gridCol w:w="1496"/>
            </w:tblGrid>
            <w:tr w14:paraId="526043C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28" w:type="dxa"/>
                  <w:tcBorders>
                    <w:tl2br w:val="nil"/>
                    <w:tr2bl w:val="nil"/>
                  </w:tcBorders>
                  <w:vAlign w:val="center"/>
                </w:tcPr>
                <w:p w14:paraId="53B40BA6">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4911" w:type="dxa"/>
                  <w:tcBorders>
                    <w:tl2br w:val="nil"/>
                    <w:tr2bl w:val="nil"/>
                  </w:tcBorders>
                  <w:vAlign w:val="center"/>
                </w:tcPr>
                <w:p w14:paraId="6BE42658">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检测类别</w:t>
                  </w:r>
                </w:p>
              </w:tc>
              <w:tc>
                <w:tcPr>
                  <w:tcW w:w="1142" w:type="dxa"/>
                  <w:tcBorders>
                    <w:tl2br w:val="nil"/>
                    <w:tr2bl w:val="nil"/>
                  </w:tcBorders>
                  <w:vAlign w:val="center"/>
                </w:tcPr>
                <w:p w14:paraId="2D091D89">
                  <w:pPr>
                    <w:adjustRightInd w:val="0"/>
                    <w:snapToGrid w:val="0"/>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出具检测报告数量</w:t>
                  </w:r>
                </w:p>
              </w:tc>
              <w:tc>
                <w:tcPr>
                  <w:tcW w:w="1496" w:type="dxa"/>
                  <w:tcBorders>
                    <w:tl2br w:val="nil"/>
                    <w:tr2bl w:val="nil"/>
                  </w:tcBorders>
                  <w:vAlign w:val="center"/>
                </w:tcPr>
                <w:p w14:paraId="2A9FDFFA">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备注</w:t>
                  </w:r>
                </w:p>
              </w:tc>
            </w:tr>
            <w:tr w14:paraId="2F281C4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28" w:type="dxa"/>
                  <w:tcBorders>
                    <w:tl2br w:val="nil"/>
                    <w:tr2bl w:val="nil"/>
                  </w:tcBorders>
                  <w:shd w:val="clear" w:color="auto" w:fill="auto"/>
                  <w:vAlign w:val="center"/>
                </w:tcPr>
                <w:p w14:paraId="5214E77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油烟</w:t>
                  </w:r>
                </w:p>
              </w:tc>
              <w:tc>
                <w:tcPr>
                  <w:tcW w:w="4911" w:type="dxa"/>
                  <w:tcBorders>
                    <w:tl2br w:val="nil"/>
                    <w:tr2bl w:val="nil"/>
                  </w:tcBorders>
                  <w:shd w:val="clear" w:color="auto" w:fill="auto"/>
                  <w:vAlign w:val="center"/>
                </w:tcPr>
                <w:p w14:paraId="58837AE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油烟、排气温度、含湿量、排气压力、排气流量、排气流速、排气中含氧量等。</w:t>
                  </w:r>
                </w:p>
              </w:tc>
              <w:tc>
                <w:tcPr>
                  <w:tcW w:w="1142" w:type="dxa"/>
                  <w:vMerge w:val="restart"/>
                  <w:tcBorders>
                    <w:tl2br w:val="nil"/>
                    <w:tr2bl w:val="nil"/>
                  </w:tcBorders>
                  <w:vAlign w:val="center"/>
                </w:tcPr>
                <w:p w14:paraId="2870394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1000份/年</w:t>
                  </w:r>
                </w:p>
              </w:tc>
              <w:tc>
                <w:tcPr>
                  <w:tcW w:w="1496" w:type="dxa"/>
                  <w:vMerge w:val="restart"/>
                  <w:tcBorders>
                    <w:tl2br w:val="nil"/>
                    <w:tr2bl w:val="nil"/>
                  </w:tcBorders>
                  <w:vAlign w:val="center"/>
                </w:tcPr>
                <w:p w14:paraId="470F4071">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具体检测类别及检测项目以实验室资质认定结果为准</w:t>
                  </w:r>
                </w:p>
              </w:tc>
            </w:tr>
            <w:tr w14:paraId="2EFB01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28" w:type="dxa"/>
                  <w:tcBorders>
                    <w:tl2br w:val="nil"/>
                    <w:tr2bl w:val="nil"/>
                  </w:tcBorders>
                  <w:shd w:val="clear" w:color="auto" w:fill="auto"/>
                  <w:vAlign w:val="center"/>
                </w:tcPr>
                <w:p w14:paraId="0CC40291">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户外广告设施</w:t>
                  </w:r>
                </w:p>
              </w:tc>
              <w:tc>
                <w:tcPr>
                  <w:tcW w:w="4911" w:type="dxa"/>
                  <w:tcBorders>
                    <w:tl2br w:val="nil"/>
                    <w:tr2bl w:val="nil"/>
                  </w:tcBorders>
                  <w:shd w:val="clear" w:color="auto" w:fill="auto"/>
                  <w:vAlign w:val="center"/>
                </w:tcPr>
                <w:p w14:paraId="7DE69BB9">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构件垂直度、构件变形、钢材截面厚度、焊接外观质量、构件锈蚀情况</w:t>
                  </w:r>
                  <w:r>
                    <w:rPr>
                      <w:rFonts w:hint="default" w:ascii="Times New Roman" w:hAnsi="Times New Roman" w:cs="Times New Roman"/>
                      <w:color w:val="auto"/>
                      <w:kern w:val="0"/>
                      <w:sz w:val="21"/>
                      <w:szCs w:val="21"/>
                      <w:lang w:bidi="ar"/>
                    </w:rPr>
                    <w:t>等</w:t>
                  </w:r>
                  <w:r>
                    <w:rPr>
                      <w:rFonts w:hint="eastAsia" w:cs="Times New Roman"/>
                      <w:color w:val="auto"/>
                      <w:kern w:val="0"/>
                      <w:sz w:val="21"/>
                      <w:szCs w:val="21"/>
                      <w:lang w:eastAsia="zh-CN" w:bidi="ar"/>
                    </w:rPr>
                    <w:t>。</w:t>
                  </w:r>
                </w:p>
              </w:tc>
              <w:tc>
                <w:tcPr>
                  <w:tcW w:w="1142" w:type="dxa"/>
                  <w:vMerge w:val="continue"/>
                  <w:tcBorders>
                    <w:tl2br w:val="nil"/>
                    <w:tr2bl w:val="nil"/>
                  </w:tcBorders>
                  <w:vAlign w:val="center"/>
                </w:tcPr>
                <w:p w14:paraId="185BA1C4">
                  <w:pPr>
                    <w:widowControl/>
                    <w:adjustRightInd w:val="0"/>
                    <w:snapToGrid w:val="0"/>
                    <w:jc w:val="center"/>
                    <w:textAlignment w:val="center"/>
                    <w:rPr>
                      <w:rFonts w:hint="eastAsia" w:cs="Times New Roman"/>
                      <w:color w:val="auto"/>
                      <w:kern w:val="0"/>
                      <w:sz w:val="21"/>
                      <w:szCs w:val="21"/>
                      <w:lang w:val="en-US" w:eastAsia="zh-CN" w:bidi="ar"/>
                    </w:rPr>
                  </w:pPr>
                </w:p>
              </w:tc>
              <w:tc>
                <w:tcPr>
                  <w:tcW w:w="1496" w:type="dxa"/>
                  <w:vMerge w:val="continue"/>
                  <w:tcBorders>
                    <w:tl2br w:val="nil"/>
                    <w:tr2bl w:val="nil"/>
                  </w:tcBorders>
                  <w:vAlign w:val="center"/>
                </w:tcPr>
                <w:p w14:paraId="4AF5A893">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3B79A47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28" w:type="dxa"/>
                  <w:tcBorders>
                    <w:tl2br w:val="nil"/>
                    <w:tr2bl w:val="nil"/>
                  </w:tcBorders>
                  <w:vAlign w:val="center"/>
                </w:tcPr>
                <w:p w14:paraId="5E7A255A">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val="en-US" w:eastAsia="zh-CN" w:bidi="ar"/>
                    </w:rPr>
                    <w:t>发光二极管（LED）显示屏</w:t>
                  </w:r>
                </w:p>
              </w:tc>
              <w:tc>
                <w:tcPr>
                  <w:tcW w:w="4911" w:type="dxa"/>
                  <w:tcBorders>
                    <w:tl2br w:val="nil"/>
                    <w:tr2bl w:val="nil"/>
                  </w:tcBorders>
                  <w:vAlign w:val="center"/>
                </w:tcPr>
                <w:p w14:paraId="0EF7E5A9">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外观质量、拼装精度、像素失控率、抗电强度、对地漏电流等。</w:t>
                  </w:r>
                </w:p>
              </w:tc>
              <w:tc>
                <w:tcPr>
                  <w:tcW w:w="1142" w:type="dxa"/>
                  <w:vMerge w:val="continue"/>
                  <w:tcBorders>
                    <w:tl2br w:val="nil"/>
                    <w:tr2bl w:val="nil"/>
                  </w:tcBorders>
                  <w:vAlign w:val="center"/>
                </w:tcPr>
                <w:p w14:paraId="1943F2CE">
                  <w:pPr>
                    <w:widowControl/>
                    <w:adjustRightInd w:val="0"/>
                    <w:snapToGrid w:val="0"/>
                    <w:jc w:val="center"/>
                    <w:textAlignment w:val="center"/>
                    <w:rPr>
                      <w:rFonts w:hint="default" w:ascii="Times New Roman" w:hAnsi="Times New Roman" w:cs="Times New Roman"/>
                      <w:color w:val="auto"/>
                      <w:kern w:val="0"/>
                      <w:sz w:val="21"/>
                      <w:szCs w:val="21"/>
                      <w:lang w:bidi="ar"/>
                    </w:rPr>
                  </w:pPr>
                </w:p>
              </w:tc>
              <w:tc>
                <w:tcPr>
                  <w:tcW w:w="1496" w:type="dxa"/>
                  <w:vMerge w:val="continue"/>
                  <w:tcBorders>
                    <w:tl2br w:val="nil"/>
                    <w:tr2bl w:val="nil"/>
                  </w:tcBorders>
                  <w:vAlign w:val="center"/>
                </w:tcPr>
                <w:p w14:paraId="62CF738C">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0B6D79C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28" w:type="dxa"/>
                  <w:tcBorders>
                    <w:tl2br w:val="nil"/>
                    <w:tr2bl w:val="nil"/>
                  </w:tcBorders>
                  <w:vAlign w:val="center"/>
                </w:tcPr>
                <w:p w14:paraId="10E792B9">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公共卫生监测</w:t>
                  </w:r>
                </w:p>
              </w:tc>
              <w:tc>
                <w:tcPr>
                  <w:tcW w:w="4911" w:type="dxa"/>
                  <w:tcBorders>
                    <w:tl2br w:val="nil"/>
                    <w:tr2bl w:val="nil"/>
                  </w:tcBorders>
                  <w:vAlign w:val="center"/>
                </w:tcPr>
                <w:p w14:paraId="1EF46B5F">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氨、一氧化碳、二氧化碳、菌落总数、臭氧、噪声、PM</w:t>
                  </w:r>
                  <w:r>
                    <w:rPr>
                      <w:rFonts w:hint="eastAsia" w:cs="Times New Roman"/>
                      <w:color w:val="auto"/>
                      <w:kern w:val="0"/>
                      <w:sz w:val="21"/>
                      <w:szCs w:val="21"/>
                      <w:vertAlign w:val="subscript"/>
                      <w:lang w:val="en-US" w:eastAsia="zh-CN" w:bidi="ar"/>
                    </w:rPr>
                    <w:t>2.5</w:t>
                  </w:r>
                  <w:r>
                    <w:rPr>
                      <w:rFonts w:hint="eastAsia" w:cs="Times New Roman"/>
                      <w:color w:val="auto"/>
                      <w:kern w:val="0"/>
                      <w:sz w:val="21"/>
                      <w:szCs w:val="21"/>
                      <w:lang w:val="en-US" w:eastAsia="zh-CN" w:bidi="ar"/>
                    </w:rPr>
                    <w:t>、PM</w:t>
                  </w:r>
                  <w:r>
                    <w:rPr>
                      <w:rFonts w:hint="eastAsia" w:cs="Times New Roman"/>
                      <w:color w:val="auto"/>
                      <w:kern w:val="0"/>
                      <w:sz w:val="21"/>
                      <w:szCs w:val="21"/>
                      <w:vertAlign w:val="subscript"/>
                      <w:lang w:val="en-US" w:eastAsia="zh-CN" w:bidi="ar"/>
                    </w:rPr>
                    <w:t>10</w:t>
                  </w:r>
                  <w:r>
                    <w:rPr>
                      <w:rFonts w:hint="eastAsia" w:cs="Times New Roman"/>
                      <w:color w:val="auto"/>
                      <w:kern w:val="0"/>
                      <w:sz w:val="21"/>
                      <w:szCs w:val="21"/>
                      <w:lang w:val="en-US" w:eastAsia="zh-CN" w:bidi="ar"/>
                    </w:rPr>
                    <w:t>、粪大肠菌群、沙门氏菌、志贺氏菌、噪声等。</w:t>
                  </w:r>
                </w:p>
              </w:tc>
              <w:tc>
                <w:tcPr>
                  <w:tcW w:w="1142" w:type="dxa"/>
                  <w:vMerge w:val="continue"/>
                  <w:tcBorders>
                    <w:tl2br w:val="nil"/>
                    <w:tr2bl w:val="nil"/>
                  </w:tcBorders>
                  <w:vAlign w:val="center"/>
                </w:tcPr>
                <w:p w14:paraId="634AE57D">
                  <w:pPr>
                    <w:widowControl/>
                    <w:adjustRightInd w:val="0"/>
                    <w:snapToGrid w:val="0"/>
                    <w:jc w:val="center"/>
                    <w:textAlignment w:val="center"/>
                    <w:rPr>
                      <w:rFonts w:hint="default" w:ascii="Times New Roman" w:hAnsi="Times New Roman" w:cs="Times New Roman"/>
                      <w:color w:val="auto"/>
                      <w:kern w:val="0"/>
                      <w:sz w:val="21"/>
                      <w:szCs w:val="21"/>
                      <w:lang w:bidi="ar"/>
                    </w:rPr>
                  </w:pPr>
                </w:p>
              </w:tc>
              <w:tc>
                <w:tcPr>
                  <w:tcW w:w="1496" w:type="dxa"/>
                  <w:vMerge w:val="continue"/>
                  <w:tcBorders>
                    <w:tl2br w:val="nil"/>
                    <w:tr2bl w:val="nil"/>
                  </w:tcBorders>
                  <w:vAlign w:val="center"/>
                </w:tcPr>
                <w:p w14:paraId="3791BB93">
                  <w:pPr>
                    <w:widowControl/>
                    <w:adjustRightInd w:val="0"/>
                    <w:snapToGrid w:val="0"/>
                    <w:jc w:val="center"/>
                    <w:textAlignment w:val="center"/>
                    <w:rPr>
                      <w:rFonts w:hint="default" w:ascii="Times New Roman" w:hAnsi="Times New Roman" w:cs="Times New Roman"/>
                      <w:color w:val="auto"/>
                      <w:kern w:val="0"/>
                      <w:sz w:val="21"/>
                      <w:szCs w:val="21"/>
                      <w:lang w:bidi="ar"/>
                    </w:rPr>
                  </w:pPr>
                </w:p>
              </w:tc>
            </w:tr>
          </w:tbl>
          <w:p w14:paraId="30D26301">
            <w:pPr>
              <w:adjustRightInd w:val="0"/>
              <w:snapToGrid w:val="0"/>
              <w:spacing w:line="360" w:lineRule="auto"/>
              <w:rPr>
                <w:rFonts w:hint="default" w:ascii="Times New Roman" w:hAnsi="Times New Roman" w:cs="Times New Roman"/>
                <w:b/>
                <w:color w:val="auto"/>
                <w:sz w:val="24"/>
                <w:lang w:val="zh-CN"/>
              </w:rPr>
            </w:pPr>
            <w:r>
              <w:rPr>
                <w:rFonts w:hint="default" w:ascii="Times New Roman" w:hAnsi="Times New Roman" w:cs="Times New Roman"/>
                <w:b/>
                <w:color w:val="auto"/>
                <w:sz w:val="24"/>
                <w:lang w:val="zh-CN"/>
              </w:rPr>
              <w:t>（</w:t>
            </w:r>
            <w:r>
              <w:rPr>
                <w:rFonts w:hint="eastAsia" w:cs="Times New Roman"/>
                <w:b/>
                <w:color w:val="auto"/>
                <w:sz w:val="24"/>
                <w:lang w:val="en-US" w:eastAsia="zh-CN"/>
              </w:rPr>
              <w:t>三</w:t>
            </w:r>
            <w:r>
              <w:rPr>
                <w:rFonts w:hint="default" w:ascii="Times New Roman" w:hAnsi="Times New Roman" w:cs="Times New Roman"/>
                <w:b/>
                <w:color w:val="auto"/>
                <w:sz w:val="24"/>
                <w:lang w:val="zh-CN"/>
              </w:rPr>
              <w:t>）</w:t>
            </w:r>
            <w:r>
              <w:rPr>
                <w:rFonts w:hint="default" w:ascii="Times New Roman" w:hAnsi="Times New Roman" w:cs="Times New Roman"/>
                <w:b/>
                <w:color w:val="auto"/>
                <w:sz w:val="24"/>
              </w:rPr>
              <w:t>主要设备清单</w:t>
            </w:r>
          </w:p>
          <w:p w14:paraId="122CFD93">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本项目主要设备详见下表2-3。</w:t>
            </w:r>
          </w:p>
          <w:p w14:paraId="6308AC91">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表2-3 项目主要设备一览表</w:t>
            </w:r>
          </w:p>
          <w:tbl>
            <w:tblPr>
              <w:tblStyle w:val="30"/>
              <w:tblW w:w="5000"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6"/>
              <w:gridCol w:w="3412"/>
              <w:gridCol w:w="2343"/>
              <w:gridCol w:w="1138"/>
              <w:gridCol w:w="1482"/>
            </w:tblGrid>
            <w:tr w14:paraId="29B16F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5ED13168">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886" w:type="pct"/>
                  <w:tcBorders>
                    <w:tl2br w:val="nil"/>
                    <w:tr2bl w:val="nil"/>
                  </w:tcBorders>
                  <w:vAlign w:val="center"/>
                </w:tcPr>
                <w:p w14:paraId="1A6150DB">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设备名称</w:t>
                  </w:r>
                </w:p>
              </w:tc>
              <w:tc>
                <w:tcPr>
                  <w:tcW w:w="1295" w:type="pct"/>
                  <w:tcBorders>
                    <w:tl2br w:val="nil"/>
                    <w:tr2bl w:val="nil"/>
                  </w:tcBorders>
                  <w:vAlign w:val="center"/>
                </w:tcPr>
                <w:p w14:paraId="22678E85">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型号</w:t>
                  </w:r>
                </w:p>
              </w:tc>
              <w:tc>
                <w:tcPr>
                  <w:tcW w:w="629" w:type="pct"/>
                  <w:tcBorders>
                    <w:tl2br w:val="nil"/>
                    <w:tr2bl w:val="nil"/>
                  </w:tcBorders>
                  <w:vAlign w:val="center"/>
                </w:tcPr>
                <w:p w14:paraId="79D33731">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数量（台）</w:t>
                  </w:r>
                </w:p>
              </w:tc>
              <w:tc>
                <w:tcPr>
                  <w:tcW w:w="819" w:type="pct"/>
                  <w:tcBorders>
                    <w:tl2br w:val="nil"/>
                    <w:tr2bl w:val="nil"/>
                  </w:tcBorders>
                  <w:vAlign w:val="center"/>
                </w:tcPr>
                <w:p w14:paraId="37F0903D">
                  <w:pPr>
                    <w:adjustRightInd w:val="0"/>
                    <w:snapToGrid w:val="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备注</w:t>
                  </w:r>
                </w:p>
              </w:tc>
            </w:tr>
            <w:tr w14:paraId="2DE16B1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0D828B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1886" w:type="pct"/>
                  <w:tcBorders>
                    <w:tl2br w:val="nil"/>
                    <w:tr2bl w:val="nil"/>
                  </w:tcBorders>
                  <w:vAlign w:val="center"/>
                </w:tcPr>
                <w:p w14:paraId="1F9DA14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电热鼓风干燥箱</w:t>
                  </w:r>
                </w:p>
              </w:tc>
              <w:tc>
                <w:tcPr>
                  <w:tcW w:w="1295" w:type="pct"/>
                  <w:tcBorders>
                    <w:tl2br w:val="nil"/>
                    <w:tr2bl w:val="nil"/>
                  </w:tcBorders>
                  <w:vAlign w:val="center"/>
                </w:tcPr>
                <w:p w14:paraId="7D403917">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DHG-9140/0110</w:t>
                  </w:r>
                </w:p>
              </w:tc>
              <w:tc>
                <w:tcPr>
                  <w:tcW w:w="629" w:type="pct"/>
                  <w:tcBorders>
                    <w:tl2br w:val="nil"/>
                    <w:tr2bl w:val="nil"/>
                  </w:tcBorders>
                  <w:vAlign w:val="center"/>
                </w:tcPr>
                <w:p w14:paraId="23DB189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restart"/>
                  <w:tcBorders>
                    <w:tl2br w:val="nil"/>
                    <w:tr2bl w:val="nil"/>
                  </w:tcBorders>
                  <w:vAlign w:val="center"/>
                </w:tcPr>
                <w:p w14:paraId="109A192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公共卫生检测</w:t>
                  </w:r>
                </w:p>
              </w:tc>
            </w:tr>
            <w:tr w14:paraId="55F0241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9E17ABA">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w:t>
                  </w:r>
                </w:p>
              </w:tc>
              <w:tc>
                <w:tcPr>
                  <w:tcW w:w="1886" w:type="pct"/>
                  <w:tcBorders>
                    <w:tl2br w:val="nil"/>
                    <w:tr2bl w:val="nil"/>
                  </w:tcBorders>
                  <w:vAlign w:val="center"/>
                </w:tcPr>
                <w:p w14:paraId="0A2E31E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生化培养箱</w:t>
                  </w:r>
                </w:p>
              </w:tc>
              <w:tc>
                <w:tcPr>
                  <w:tcW w:w="1295" w:type="pct"/>
                  <w:tcBorders>
                    <w:tl2br w:val="nil"/>
                    <w:tr2bl w:val="nil"/>
                  </w:tcBorders>
                  <w:vAlign w:val="center"/>
                </w:tcPr>
                <w:p w14:paraId="293E0A58">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SHP-80</w:t>
                  </w:r>
                </w:p>
              </w:tc>
              <w:tc>
                <w:tcPr>
                  <w:tcW w:w="629" w:type="pct"/>
                  <w:tcBorders>
                    <w:tl2br w:val="nil"/>
                    <w:tr2bl w:val="nil"/>
                  </w:tcBorders>
                  <w:vAlign w:val="center"/>
                </w:tcPr>
                <w:p w14:paraId="4C1FA31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w:t>
                  </w:r>
                </w:p>
              </w:tc>
              <w:tc>
                <w:tcPr>
                  <w:tcW w:w="819" w:type="pct"/>
                  <w:vMerge w:val="continue"/>
                  <w:tcBorders>
                    <w:tl2br w:val="nil"/>
                    <w:tr2bl w:val="nil"/>
                  </w:tcBorders>
                  <w:vAlign w:val="center"/>
                </w:tcPr>
                <w:p w14:paraId="1DC83389">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6FBB5BE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20DF73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w:t>
                  </w:r>
                </w:p>
              </w:tc>
              <w:tc>
                <w:tcPr>
                  <w:tcW w:w="1886" w:type="pct"/>
                  <w:tcBorders>
                    <w:tl2br w:val="nil"/>
                    <w:tr2bl w:val="nil"/>
                  </w:tcBorders>
                  <w:vAlign w:val="center"/>
                </w:tcPr>
                <w:p w14:paraId="4CD124C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涡旋混合器</w:t>
                  </w:r>
                </w:p>
              </w:tc>
              <w:tc>
                <w:tcPr>
                  <w:tcW w:w="1295" w:type="pct"/>
                  <w:tcBorders>
                    <w:tl2br w:val="nil"/>
                    <w:tr2bl w:val="nil"/>
                  </w:tcBorders>
                  <w:vAlign w:val="center"/>
                </w:tcPr>
                <w:p w14:paraId="0E7C206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HY-2</w:t>
                  </w:r>
                </w:p>
              </w:tc>
              <w:tc>
                <w:tcPr>
                  <w:tcW w:w="629" w:type="pct"/>
                  <w:tcBorders>
                    <w:tl2br w:val="nil"/>
                    <w:tr2bl w:val="nil"/>
                  </w:tcBorders>
                  <w:vAlign w:val="center"/>
                </w:tcPr>
                <w:p w14:paraId="4AF33DBF">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29DE9062">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2F1F11F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373939C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4</w:t>
                  </w:r>
                </w:p>
              </w:tc>
              <w:tc>
                <w:tcPr>
                  <w:tcW w:w="1886" w:type="pct"/>
                  <w:tcBorders>
                    <w:tl2br w:val="nil"/>
                    <w:tr2bl w:val="nil"/>
                  </w:tcBorders>
                  <w:vAlign w:val="center"/>
                </w:tcPr>
                <w:p w14:paraId="296997F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磁力搅拌器</w:t>
                  </w:r>
                </w:p>
              </w:tc>
              <w:tc>
                <w:tcPr>
                  <w:tcW w:w="1295" w:type="pct"/>
                  <w:tcBorders>
                    <w:tl2br w:val="nil"/>
                    <w:tr2bl w:val="nil"/>
                  </w:tcBorders>
                  <w:vAlign w:val="center"/>
                </w:tcPr>
                <w:p w14:paraId="52F7224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B5-2A</w:t>
                  </w:r>
                </w:p>
              </w:tc>
              <w:tc>
                <w:tcPr>
                  <w:tcW w:w="629" w:type="pct"/>
                  <w:tcBorders>
                    <w:tl2br w:val="nil"/>
                    <w:tr2bl w:val="nil"/>
                  </w:tcBorders>
                  <w:vAlign w:val="center"/>
                </w:tcPr>
                <w:p w14:paraId="6DEA4E2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63B635CA">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2F34D00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2BFFD9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5</w:t>
                  </w:r>
                </w:p>
              </w:tc>
              <w:tc>
                <w:tcPr>
                  <w:tcW w:w="1886" w:type="pct"/>
                  <w:tcBorders>
                    <w:tl2br w:val="nil"/>
                    <w:tr2bl w:val="nil"/>
                  </w:tcBorders>
                  <w:vAlign w:val="center"/>
                </w:tcPr>
                <w:p w14:paraId="3A6F2FB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数显式恒温水浴箱</w:t>
                  </w:r>
                </w:p>
              </w:tc>
              <w:tc>
                <w:tcPr>
                  <w:tcW w:w="1295" w:type="pct"/>
                  <w:tcBorders>
                    <w:tl2br w:val="nil"/>
                    <w:tr2bl w:val="nil"/>
                  </w:tcBorders>
                  <w:vAlign w:val="center"/>
                </w:tcPr>
                <w:p w14:paraId="568748D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HH-6</w:t>
                  </w:r>
                </w:p>
              </w:tc>
              <w:tc>
                <w:tcPr>
                  <w:tcW w:w="629" w:type="pct"/>
                  <w:tcBorders>
                    <w:tl2br w:val="nil"/>
                    <w:tr2bl w:val="nil"/>
                  </w:tcBorders>
                  <w:vAlign w:val="center"/>
                </w:tcPr>
                <w:p w14:paraId="1F03330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20EF799A">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377AF75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1BD4CF5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6</w:t>
                  </w:r>
                </w:p>
              </w:tc>
              <w:tc>
                <w:tcPr>
                  <w:tcW w:w="1886" w:type="pct"/>
                  <w:tcBorders>
                    <w:tl2br w:val="nil"/>
                    <w:tr2bl w:val="nil"/>
                  </w:tcBorders>
                  <w:vAlign w:val="center"/>
                </w:tcPr>
                <w:p w14:paraId="4E2269CF">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六级筛孔撞击式微生物采样器</w:t>
                  </w:r>
                </w:p>
              </w:tc>
              <w:tc>
                <w:tcPr>
                  <w:tcW w:w="1295" w:type="pct"/>
                  <w:tcBorders>
                    <w:tl2br w:val="nil"/>
                    <w:tr2bl w:val="nil"/>
                  </w:tcBorders>
                  <w:vAlign w:val="center"/>
                </w:tcPr>
                <w:p w14:paraId="19420F0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ZR-2000型</w:t>
                  </w:r>
                </w:p>
              </w:tc>
              <w:tc>
                <w:tcPr>
                  <w:tcW w:w="629" w:type="pct"/>
                  <w:tcBorders>
                    <w:tl2br w:val="nil"/>
                    <w:tr2bl w:val="nil"/>
                  </w:tcBorders>
                  <w:vAlign w:val="center"/>
                </w:tcPr>
                <w:p w14:paraId="1648524C">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3005C74F">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5773449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13754C2F">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7</w:t>
                  </w:r>
                </w:p>
              </w:tc>
              <w:tc>
                <w:tcPr>
                  <w:tcW w:w="1886" w:type="pct"/>
                  <w:tcBorders>
                    <w:tl2br w:val="nil"/>
                    <w:tr2bl w:val="nil"/>
                  </w:tcBorders>
                  <w:vAlign w:val="center"/>
                </w:tcPr>
                <w:p w14:paraId="15F8556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A2型生物安全柜</w:t>
                  </w:r>
                </w:p>
              </w:tc>
              <w:tc>
                <w:tcPr>
                  <w:tcW w:w="1295" w:type="pct"/>
                  <w:tcBorders>
                    <w:tl2br w:val="nil"/>
                    <w:tr2bl w:val="nil"/>
                  </w:tcBorders>
                  <w:vAlign w:val="center"/>
                </w:tcPr>
                <w:p w14:paraId="72F04DD1">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BSC-1000ⅡA2</w:t>
                  </w:r>
                </w:p>
              </w:tc>
              <w:tc>
                <w:tcPr>
                  <w:tcW w:w="629" w:type="pct"/>
                  <w:tcBorders>
                    <w:tl2br w:val="nil"/>
                    <w:tr2bl w:val="nil"/>
                  </w:tcBorders>
                  <w:vAlign w:val="center"/>
                </w:tcPr>
                <w:p w14:paraId="07E63421">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0BCA0EB4">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68399C9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C0D4CF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8</w:t>
                  </w:r>
                </w:p>
              </w:tc>
              <w:tc>
                <w:tcPr>
                  <w:tcW w:w="1886" w:type="pct"/>
                  <w:tcBorders>
                    <w:tl2br w:val="nil"/>
                    <w:tr2bl w:val="nil"/>
                  </w:tcBorders>
                  <w:vAlign w:val="center"/>
                </w:tcPr>
                <w:p w14:paraId="554FA55C">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洁净工作台</w:t>
                  </w:r>
                </w:p>
              </w:tc>
              <w:tc>
                <w:tcPr>
                  <w:tcW w:w="1295" w:type="pct"/>
                  <w:tcBorders>
                    <w:tl2br w:val="nil"/>
                    <w:tr2bl w:val="nil"/>
                  </w:tcBorders>
                  <w:vAlign w:val="center"/>
                </w:tcPr>
                <w:p w14:paraId="6B87995B">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SW-CJ-1D</w:t>
                  </w:r>
                </w:p>
              </w:tc>
              <w:tc>
                <w:tcPr>
                  <w:tcW w:w="629" w:type="pct"/>
                  <w:tcBorders>
                    <w:tl2br w:val="nil"/>
                    <w:tr2bl w:val="nil"/>
                  </w:tcBorders>
                  <w:vAlign w:val="center"/>
                </w:tcPr>
                <w:p w14:paraId="4C131738">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3666E19F">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2FA07D9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7D15746">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9</w:t>
                  </w:r>
                </w:p>
              </w:tc>
              <w:tc>
                <w:tcPr>
                  <w:tcW w:w="1886" w:type="pct"/>
                  <w:tcBorders>
                    <w:tl2br w:val="nil"/>
                    <w:tr2bl w:val="nil"/>
                  </w:tcBorders>
                  <w:vAlign w:val="center"/>
                </w:tcPr>
                <w:p w14:paraId="050DD11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风速仪</w:t>
                  </w:r>
                </w:p>
              </w:tc>
              <w:tc>
                <w:tcPr>
                  <w:tcW w:w="1295" w:type="pct"/>
                  <w:tcBorders>
                    <w:tl2br w:val="nil"/>
                    <w:tr2bl w:val="nil"/>
                  </w:tcBorders>
                  <w:vAlign w:val="center"/>
                </w:tcPr>
                <w:p w14:paraId="7E1AAC07">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QDF-6</w:t>
                  </w:r>
                </w:p>
              </w:tc>
              <w:tc>
                <w:tcPr>
                  <w:tcW w:w="629" w:type="pct"/>
                  <w:tcBorders>
                    <w:tl2br w:val="nil"/>
                    <w:tr2bl w:val="nil"/>
                  </w:tcBorders>
                  <w:vAlign w:val="center"/>
                </w:tcPr>
                <w:p w14:paraId="6046787C">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286A77A1">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75FF618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CACF71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10</w:t>
                  </w:r>
                </w:p>
              </w:tc>
              <w:tc>
                <w:tcPr>
                  <w:tcW w:w="1886" w:type="pct"/>
                  <w:tcBorders>
                    <w:tl2br w:val="nil"/>
                    <w:tr2bl w:val="nil"/>
                  </w:tcBorders>
                  <w:vAlign w:val="center"/>
                </w:tcPr>
                <w:p w14:paraId="6290DCF7">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eastAsia" w:cs="Times New Roman"/>
                      <w:color w:val="auto"/>
                      <w:sz w:val="21"/>
                      <w:szCs w:val="21"/>
                      <w:lang w:eastAsia="zh-CN"/>
                    </w:rPr>
                    <w:t>Ⅱ型</w:t>
                  </w:r>
                  <w:r>
                    <w:rPr>
                      <w:rFonts w:hint="default" w:ascii="Times New Roman" w:hAnsi="Times New Roman" w:cs="Times New Roman"/>
                      <w:color w:val="auto"/>
                      <w:sz w:val="21"/>
                      <w:szCs w:val="21"/>
                    </w:rPr>
                    <w:t>声级计</w:t>
                  </w:r>
                </w:p>
              </w:tc>
              <w:tc>
                <w:tcPr>
                  <w:tcW w:w="1295" w:type="pct"/>
                  <w:tcBorders>
                    <w:tl2br w:val="nil"/>
                    <w:tr2bl w:val="nil"/>
                  </w:tcBorders>
                  <w:vAlign w:val="center"/>
                </w:tcPr>
                <w:p w14:paraId="6A79C9D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AWA5688</w:t>
                  </w:r>
                </w:p>
              </w:tc>
              <w:tc>
                <w:tcPr>
                  <w:tcW w:w="629" w:type="pct"/>
                  <w:tcBorders>
                    <w:tl2br w:val="nil"/>
                    <w:tr2bl w:val="nil"/>
                  </w:tcBorders>
                  <w:vAlign w:val="center"/>
                </w:tcPr>
                <w:p w14:paraId="5D423731">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58105A7B">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5771BD0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539EFA5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11</w:t>
                  </w:r>
                </w:p>
              </w:tc>
              <w:tc>
                <w:tcPr>
                  <w:tcW w:w="1886" w:type="pct"/>
                  <w:tcBorders>
                    <w:tl2br w:val="nil"/>
                    <w:tr2bl w:val="nil"/>
                  </w:tcBorders>
                  <w:vAlign w:val="center"/>
                </w:tcPr>
                <w:p w14:paraId="14F7D4CC">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照度计</w:t>
                  </w:r>
                </w:p>
              </w:tc>
              <w:tc>
                <w:tcPr>
                  <w:tcW w:w="1295" w:type="pct"/>
                  <w:tcBorders>
                    <w:tl2br w:val="nil"/>
                    <w:tr2bl w:val="nil"/>
                  </w:tcBorders>
                  <w:vAlign w:val="center"/>
                </w:tcPr>
                <w:p w14:paraId="02AB582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ZDS-10</w:t>
                  </w:r>
                </w:p>
              </w:tc>
              <w:tc>
                <w:tcPr>
                  <w:tcW w:w="629" w:type="pct"/>
                  <w:tcBorders>
                    <w:tl2br w:val="nil"/>
                    <w:tr2bl w:val="nil"/>
                  </w:tcBorders>
                  <w:vAlign w:val="center"/>
                </w:tcPr>
                <w:p w14:paraId="0260781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7389FBFD">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754D032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4FDC3C09">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12</w:t>
                  </w:r>
                </w:p>
              </w:tc>
              <w:tc>
                <w:tcPr>
                  <w:tcW w:w="1886" w:type="pct"/>
                  <w:tcBorders>
                    <w:tl2br w:val="nil"/>
                    <w:tr2bl w:val="nil"/>
                  </w:tcBorders>
                  <w:vAlign w:val="center"/>
                </w:tcPr>
                <w:p w14:paraId="4EF7FC8F">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光散射式粉尘仪</w:t>
                  </w:r>
                </w:p>
              </w:tc>
              <w:tc>
                <w:tcPr>
                  <w:tcW w:w="1295" w:type="pct"/>
                  <w:tcBorders>
                    <w:tl2br w:val="nil"/>
                    <w:tr2bl w:val="nil"/>
                  </w:tcBorders>
                  <w:vAlign w:val="center"/>
                </w:tcPr>
                <w:p w14:paraId="1AA0EB3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JCF-5C</w:t>
                  </w:r>
                </w:p>
              </w:tc>
              <w:tc>
                <w:tcPr>
                  <w:tcW w:w="629" w:type="pct"/>
                  <w:tcBorders>
                    <w:tl2br w:val="nil"/>
                    <w:tr2bl w:val="nil"/>
                  </w:tcBorders>
                  <w:vAlign w:val="center"/>
                </w:tcPr>
                <w:p w14:paraId="2A6D759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1F813302">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71703E4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7BBECF1B">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13</w:t>
                  </w:r>
                </w:p>
              </w:tc>
              <w:tc>
                <w:tcPr>
                  <w:tcW w:w="1886" w:type="pct"/>
                  <w:tcBorders>
                    <w:tl2br w:val="nil"/>
                    <w:tr2bl w:val="nil"/>
                  </w:tcBorders>
                  <w:vAlign w:val="center"/>
                </w:tcPr>
                <w:p w14:paraId="621C2CBA">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二氧化碳、一氧化碳二合一测定仪</w:t>
                  </w:r>
                </w:p>
              </w:tc>
              <w:tc>
                <w:tcPr>
                  <w:tcW w:w="1295" w:type="pct"/>
                  <w:tcBorders>
                    <w:tl2br w:val="nil"/>
                    <w:tr2bl w:val="nil"/>
                  </w:tcBorders>
                  <w:vAlign w:val="center"/>
                </w:tcPr>
                <w:p w14:paraId="6DECC76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GXH-3010/3011AE</w:t>
                  </w:r>
                </w:p>
              </w:tc>
              <w:tc>
                <w:tcPr>
                  <w:tcW w:w="629" w:type="pct"/>
                  <w:tcBorders>
                    <w:tl2br w:val="nil"/>
                    <w:tr2bl w:val="nil"/>
                  </w:tcBorders>
                  <w:vAlign w:val="center"/>
                </w:tcPr>
                <w:p w14:paraId="2FAA2FC8">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27CE4AF8">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5708A07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88864C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14</w:t>
                  </w:r>
                </w:p>
              </w:tc>
              <w:tc>
                <w:tcPr>
                  <w:tcW w:w="1886" w:type="pct"/>
                  <w:tcBorders>
                    <w:tl2br w:val="nil"/>
                    <w:tr2bl w:val="nil"/>
                  </w:tcBorders>
                  <w:vAlign w:val="center"/>
                </w:tcPr>
                <w:p w14:paraId="538E5D3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移液器</w:t>
                  </w:r>
                </w:p>
              </w:tc>
              <w:tc>
                <w:tcPr>
                  <w:tcW w:w="1295" w:type="pct"/>
                  <w:tcBorders>
                    <w:tl2br w:val="nil"/>
                    <w:tr2bl w:val="nil"/>
                  </w:tcBorders>
                  <w:vAlign w:val="center"/>
                </w:tcPr>
                <w:p w14:paraId="179BC32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100-1000</w:t>
                  </w:r>
                  <w:r>
                    <w:rPr>
                      <w:rFonts w:hint="default" w:ascii="Times New Roman" w:hAnsi="Times New Roman" w:cs="Times New Roman"/>
                      <w:color w:val="auto"/>
                      <w:sz w:val="21"/>
                      <w:szCs w:val="21"/>
                      <w:lang w:val="en-US" w:eastAsia="zh-CN"/>
                    </w:rPr>
                    <w:t>μL、</w:t>
                  </w:r>
                  <w:r>
                    <w:rPr>
                      <w:rFonts w:hint="default" w:ascii="Times New Roman" w:hAnsi="Times New Roman" w:cs="Times New Roman"/>
                      <w:color w:val="auto"/>
                      <w:sz w:val="21"/>
                      <w:szCs w:val="21"/>
                    </w:rPr>
                    <w:t>1000-5000</w:t>
                  </w:r>
                  <w:r>
                    <w:rPr>
                      <w:rFonts w:hint="default" w:ascii="Times New Roman" w:hAnsi="Times New Roman" w:cs="Times New Roman"/>
                      <w:color w:val="auto"/>
                      <w:sz w:val="21"/>
                      <w:szCs w:val="21"/>
                      <w:lang w:val="en-US" w:eastAsia="zh-CN"/>
                    </w:rPr>
                    <w:t>μL、</w:t>
                  </w:r>
                  <w:r>
                    <w:rPr>
                      <w:rFonts w:hint="default" w:ascii="Times New Roman" w:hAnsi="Times New Roman" w:cs="Times New Roman"/>
                      <w:color w:val="auto"/>
                      <w:sz w:val="21"/>
                      <w:szCs w:val="21"/>
                    </w:rPr>
                    <w:t>2-10mL</w:t>
                  </w:r>
                </w:p>
              </w:tc>
              <w:tc>
                <w:tcPr>
                  <w:tcW w:w="629" w:type="pct"/>
                  <w:tcBorders>
                    <w:tl2br w:val="nil"/>
                    <w:tr2bl w:val="nil"/>
                  </w:tcBorders>
                  <w:vAlign w:val="center"/>
                </w:tcPr>
                <w:p w14:paraId="4D9B8344">
                  <w:pPr>
                    <w:widowControl/>
                    <w:adjustRightInd w:val="0"/>
                    <w:snapToGrid w:val="0"/>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cs="Times New Roman"/>
                      <w:color w:val="auto"/>
                      <w:kern w:val="0"/>
                      <w:sz w:val="21"/>
                      <w:szCs w:val="21"/>
                      <w:lang w:val="en-US" w:eastAsia="zh-CN" w:bidi="ar"/>
                    </w:rPr>
                    <w:t>3</w:t>
                  </w:r>
                </w:p>
              </w:tc>
              <w:tc>
                <w:tcPr>
                  <w:tcW w:w="819" w:type="pct"/>
                  <w:vMerge w:val="continue"/>
                  <w:tcBorders>
                    <w:tl2br w:val="nil"/>
                    <w:tr2bl w:val="nil"/>
                  </w:tcBorders>
                  <w:vAlign w:val="center"/>
                </w:tcPr>
                <w:p w14:paraId="75D0894A">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1D5E724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187DDE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15</w:t>
                  </w:r>
                </w:p>
              </w:tc>
              <w:tc>
                <w:tcPr>
                  <w:tcW w:w="1886" w:type="pct"/>
                  <w:tcBorders>
                    <w:tl2br w:val="nil"/>
                    <w:tr2bl w:val="nil"/>
                  </w:tcBorders>
                  <w:vAlign w:val="center"/>
                </w:tcPr>
                <w:p w14:paraId="7457DBC6">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电子天平</w:t>
                  </w:r>
                </w:p>
              </w:tc>
              <w:tc>
                <w:tcPr>
                  <w:tcW w:w="1295" w:type="pct"/>
                  <w:tcBorders>
                    <w:tl2br w:val="nil"/>
                    <w:tr2bl w:val="nil"/>
                  </w:tcBorders>
                  <w:vAlign w:val="center"/>
                </w:tcPr>
                <w:p w14:paraId="69972F5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sz w:val="21"/>
                      <w:szCs w:val="21"/>
                    </w:rPr>
                    <w:t>CP214万分之一</w:t>
                  </w:r>
                </w:p>
              </w:tc>
              <w:tc>
                <w:tcPr>
                  <w:tcW w:w="629" w:type="pct"/>
                  <w:tcBorders>
                    <w:tl2br w:val="nil"/>
                    <w:tr2bl w:val="nil"/>
                  </w:tcBorders>
                  <w:vAlign w:val="center"/>
                </w:tcPr>
                <w:p w14:paraId="68010D7A">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vAlign w:val="center"/>
                </w:tcPr>
                <w:p w14:paraId="6C2B0F61">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4456A66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48CACEE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16</w:t>
                  </w:r>
                </w:p>
              </w:tc>
              <w:tc>
                <w:tcPr>
                  <w:tcW w:w="1886" w:type="pct"/>
                  <w:tcBorders>
                    <w:tl2br w:val="nil"/>
                    <w:tr2bl w:val="nil"/>
                  </w:tcBorders>
                  <w:shd w:val="clear" w:color="auto" w:fill="auto"/>
                  <w:vAlign w:val="center"/>
                </w:tcPr>
                <w:p w14:paraId="277151E9">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超声波清洗器</w:t>
                  </w:r>
                </w:p>
              </w:tc>
              <w:tc>
                <w:tcPr>
                  <w:tcW w:w="1295" w:type="pct"/>
                  <w:tcBorders>
                    <w:tl2br w:val="nil"/>
                    <w:tr2bl w:val="nil"/>
                  </w:tcBorders>
                  <w:shd w:val="clear" w:color="auto" w:fill="auto"/>
                  <w:vAlign w:val="center"/>
                </w:tcPr>
                <w:p w14:paraId="41601C21">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JP-060S</w:t>
                  </w:r>
                </w:p>
              </w:tc>
              <w:tc>
                <w:tcPr>
                  <w:tcW w:w="629" w:type="pct"/>
                  <w:tcBorders>
                    <w:tl2br w:val="nil"/>
                    <w:tr2bl w:val="nil"/>
                  </w:tcBorders>
                  <w:shd w:val="clear" w:color="auto" w:fill="auto"/>
                  <w:vAlign w:val="center"/>
                </w:tcPr>
                <w:p w14:paraId="1F23F894">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53B15141">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5EC75D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035D4C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17</w:t>
                  </w:r>
                </w:p>
              </w:tc>
              <w:tc>
                <w:tcPr>
                  <w:tcW w:w="1886" w:type="pct"/>
                  <w:tcBorders>
                    <w:tl2br w:val="nil"/>
                    <w:tr2bl w:val="nil"/>
                  </w:tcBorders>
                  <w:shd w:val="clear" w:color="auto" w:fill="auto"/>
                  <w:vAlign w:val="center"/>
                </w:tcPr>
                <w:p w14:paraId="0C305878">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台式</w:t>
                  </w:r>
                  <w:r>
                    <w:rPr>
                      <w:rFonts w:hint="default" w:ascii="Times New Roman" w:hAnsi="Times New Roman" w:cs="Times New Roman"/>
                      <w:color w:val="auto"/>
                      <w:sz w:val="21"/>
                      <w:szCs w:val="21"/>
                      <w:lang w:val="en-US" w:eastAsia="zh-CN"/>
                    </w:rPr>
                    <w:t>p</w:t>
                  </w:r>
                  <w:r>
                    <w:rPr>
                      <w:rFonts w:hint="default" w:ascii="Times New Roman" w:hAnsi="Times New Roman" w:cs="Times New Roman"/>
                      <w:color w:val="auto"/>
                      <w:sz w:val="21"/>
                      <w:szCs w:val="21"/>
                    </w:rPr>
                    <w:t>H计</w:t>
                  </w:r>
                </w:p>
              </w:tc>
              <w:tc>
                <w:tcPr>
                  <w:tcW w:w="1295" w:type="pct"/>
                  <w:tcBorders>
                    <w:tl2br w:val="nil"/>
                    <w:tr2bl w:val="nil"/>
                  </w:tcBorders>
                  <w:shd w:val="clear" w:color="auto" w:fill="auto"/>
                  <w:vAlign w:val="center"/>
                </w:tcPr>
                <w:p w14:paraId="35BEB156">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PHS-25</w:t>
                  </w:r>
                </w:p>
              </w:tc>
              <w:tc>
                <w:tcPr>
                  <w:tcW w:w="629" w:type="pct"/>
                  <w:tcBorders>
                    <w:tl2br w:val="nil"/>
                    <w:tr2bl w:val="nil"/>
                  </w:tcBorders>
                  <w:shd w:val="clear" w:color="auto" w:fill="auto"/>
                  <w:vAlign w:val="center"/>
                </w:tcPr>
                <w:p w14:paraId="6FA5FD7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66604877">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3BF1CC1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5D8BF3AF">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18</w:t>
                  </w:r>
                </w:p>
              </w:tc>
              <w:tc>
                <w:tcPr>
                  <w:tcW w:w="1886" w:type="pct"/>
                  <w:tcBorders>
                    <w:tl2br w:val="nil"/>
                    <w:tr2bl w:val="nil"/>
                  </w:tcBorders>
                  <w:shd w:val="clear" w:color="auto" w:fill="auto"/>
                  <w:vAlign w:val="center"/>
                </w:tcPr>
                <w:p w14:paraId="5D107AA2">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台式电导率仪</w:t>
                  </w:r>
                </w:p>
              </w:tc>
              <w:tc>
                <w:tcPr>
                  <w:tcW w:w="1295" w:type="pct"/>
                  <w:tcBorders>
                    <w:tl2br w:val="nil"/>
                    <w:tr2bl w:val="nil"/>
                  </w:tcBorders>
                  <w:shd w:val="clear" w:color="auto" w:fill="auto"/>
                  <w:vAlign w:val="center"/>
                </w:tcPr>
                <w:p w14:paraId="5C3D6E91">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DDS-307A</w:t>
                  </w:r>
                </w:p>
              </w:tc>
              <w:tc>
                <w:tcPr>
                  <w:tcW w:w="629" w:type="pct"/>
                  <w:tcBorders>
                    <w:tl2br w:val="nil"/>
                    <w:tr2bl w:val="nil"/>
                  </w:tcBorders>
                  <w:shd w:val="clear" w:color="auto" w:fill="auto"/>
                  <w:vAlign w:val="center"/>
                </w:tcPr>
                <w:p w14:paraId="3BC7A916">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4B6FF88E">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20A6A8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1B5E2FC">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19</w:t>
                  </w:r>
                </w:p>
              </w:tc>
              <w:tc>
                <w:tcPr>
                  <w:tcW w:w="1886" w:type="pct"/>
                  <w:tcBorders>
                    <w:tl2br w:val="nil"/>
                    <w:tr2bl w:val="nil"/>
                  </w:tcBorders>
                  <w:shd w:val="clear" w:color="auto" w:fill="auto"/>
                  <w:vAlign w:val="center"/>
                </w:tcPr>
                <w:p w14:paraId="39D19EE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便携式PH计</w:t>
                  </w:r>
                </w:p>
              </w:tc>
              <w:tc>
                <w:tcPr>
                  <w:tcW w:w="1295" w:type="pct"/>
                  <w:tcBorders>
                    <w:tl2br w:val="nil"/>
                    <w:tr2bl w:val="nil"/>
                  </w:tcBorders>
                  <w:shd w:val="clear" w:color="auto" w:fill="auto"/>
                  <w:vAlign w:val="center"/>
                </w:tcPr>
                <w:p w14:paraId="39C92CE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PHB-4</w:t>
                  </w:r>
                </w:p>
              </w:tc>
              <w:tc>
                <w:tcPr>
                  <w:tcW w:w="629" w:type="pct"/>
                  <w:tcBorders>
                    <w:tl2br w:val="nil"/>
                    <w:tr2bl w:val="nil"/>
                  </w:tcBorders>
                  <w:shd w:val="clear" w:color="auto" w:fill="auto"/>
                  <w:vAlign w:val="center"/>
                </w:tcPr>
                <w:p w14:paraId="75CD755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3C3F7162">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712DE4C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95E278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20</w:t>
                  </w:r>
                </w:p>
              </w:tc>
              <w:tc>
                <w:tcPr>
                  <w:tcW w:w="1886" w:type="pct"/>
                  <w:tcBorders>
                    <w:tl2br w:val="nil"/>
                    <w:tr2bl w:val="nil"/>
                  </w:tcBorders>
                  <w:shd w:val="clear" w:color="auto" w:fill="auto"/>
                  <w:vAlign w:val="center"/>
                </w:tcPr>
                <w:p w14:paraId="1C1E34B1">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静摩擦系数测试仪</w:t>
                  </w:r>
                </w:p>
              </w:tc>
              <w:tc>
                <w:tcPr>
                  <w:tcW w:w="1295" w:type="pct"/>
                  <w:tcBorders>
                    <w:tl2br w:val="nil"/>
                    <w:tr2bl w:val="nil"/>
                  </w:tcBorders>
                  <w:shd w:val="clear" w:color="auto" w:fill="auto"/>
                  <w:vAlign w:val="center"/>
                </w:tcPr>
                <w:p w14:paraId="4DD81FF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YDZ-218</w:t>
                  </w:r>
                </w:p>
              </w:tc>
              <w:tc>
                <w:tcPr>
                  <w:tcW w:w="629" w:type="pct"/>
                  <w:tcBorders>
                    <w:tl2br w:val="nil"/>
                    <w:tr2bl w:val="nil"/>
                  </w:tcBorders>
                  <w:shd w:val="clear" w:color="auto" w:fill="auto"/>
                  <w:vAlign w:val="center"/>
                </w:tcPr>
                <w:p w14:paraId="774E8936">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03D2160D">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1A7718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65DD49B">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21</w:t>
                  </w:r>
                </w:p>
              </w:tc>
              <w:tc>
                <w:tcPr>
                  <w:tcW w:w="1886" w:type="pct"/>
                  <w:tcBorders>
                    <w:tl2br w:val="nil"/>
                    <w:tr2bl w:val="nil"/>
                  </w:tcBorders>
                  <w:shd w:val="clear" w:color="auto" w:fill="auto"/>
                  <w:vAlign w:val="center"/>
                </w:tcPr>
                <w:p w14:paraId="78B2127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可见分光光度计</w:t>
                  </w:r>
                </w:p>
              </w:tc>
              <w:tc>
                <w:tcPr>
                  <w:tcW w:w="1295" w:type="pct"/>
                  <w:tcBorders>
                    <w:tl2br w:val="nil"/>
                    <w:tr2bl w:val="nil"/>
                  </w:tcBorders>
                  <w:shd w:val="clear" w:color="auto" w:fill="auto"/>
                  <w:vAlign w:val="center"/>
                </w:tcPr>
                <w:p w14:paraId="627AC54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721</w:t>
                  </w:r>
                </w:p>
              </w:tc>
              <w:tc>
                <w:tcPr>
                  <w:tcW w:w="629" w:type="pct"/>
                  <w:tcBorders>
                    <w:tl2br w:val="nil"/>
                    <w:tr2bl w:val="nil"/>
                  </w:tcBorders>
                  <w:shd w:val="clear" w:color="auto" w:fill="auto"/>
                  <w:vAlign w:val="center"/>
                </w:tcPr>
                <w:p w14:paraId="1AF0212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167823DC">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3BBCE25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7C08FBB2">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22</w:t>
                  </w:r>
                </w:p>
              </w:tc>
              <w:tc>
                <w:tcPr>
                  <w:tcW w:w="1886" w:type="pct"/>
                  <w:tcBorders>
                    <w:tl2br w:val="nil"/>
                    <w:tr2bl w:val="nil"/>
                  </w:tcBorders>
                  <w:shd w:val="clear" w:color="auto" w:fill="auto"/>
                  <w:vAlign w:val="center"/>
                </w:tcPr>
                <w:p w14:paraId="7FACE6F4">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数显温湿度计</w:t>
                  </w:r>
                </w:p>
              </w:tc>
              <w:tc>
                <w:tcPr>
                  <w:tcW w:w="1295" w:type="pct"/>
                  <w:tcBorders>
                    <w:tl2br w:val="nil"/>
                    <w:tr2bl w:val="nil"/>
                  </w:tcBorders>
                  <w:shd w:val="clear" w:color="auto" w:fill="auto"/>
                  <w:vAlign w:val="center"/>
                </w:tcPr>
                <w:p w14:paraId="27251242">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GY-2060</w:t>
                  </w:r>
                </w:p>
              </w:tc>
              <w:tc>
                <w:tcPr>
                  <w:tcW w:w="629" w:type="pct"/>
                  <w:tcBorders>
                    <w:tl2br w:val="nil"/>
                    <w:tr2bl w:val="nil"/>
                  </w:tcBorders>
                  <w:shd w:val="clear" w:color="auto" w:fill="auto"/>
                  <w:vAlign w:val="center"/>
                </w:tcPr>
                <w:p w14:paraId="543A2BF1">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74701DE3">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1F1BABC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35CA5F41">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23</w:t>
                  </w:r>
                </w:p>
              </w:tc>
              <w:tc>
                <w:tcPr>
                  <w:tcW w:w="1886" w:type="pct"/>
                  <w:tcBorders>
                    <w:tl2br w:val="nil"/>
                    <w:tr2bl w:val="nil"/>
                  </w:tcBorders>
                  <w:shd w:val="clear" w:color="auto" w:fill="auto"/>
                  <w:vAlign w:val="center"/>
                </w:tcPr>
                <w:p w14:paraId="2FB51210">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空盒气压表</w:t>
                  </w:r>
                </w:p>
              </w:tc>
              <w:tc>
                <w:tcPr>
                  <w:tcW w:w="1295" w:type="pct"/>
                  <w:tcBorders>
                    <w:tl2br w:val="nil"/>
                    <w:tr2bl w:val="nil"/>
                  </w:tcBorders>
                  <w:shd w:val="clear" w:color="auto" w:fill="auto"/>
                  <w:vAlign w:val="center"/>
                </w:tcPr>
                <w:p w14:paraId="5082B44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DYM3型</w:t>
                  </w:r>
                </w:p>
              </w:tc>
              <w:tc>
                <w:tcPr>
                  <w:tcW w:w="629" w:type="pct"/>
                  <w:tcBorders>
                    <w:tl2br w:val="nil"/>
                    <w:tr2bl w:val="nil"/>
                  </w:tcBorders>
                  <w:shd w:val="clear" w:color="auto" w:fill="auto"/>
                  <w:vAlign w:val="center"/>
                </w:tcPr>
                <w:p w14:paraId="414BA23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63343162">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719F2CC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498D5CE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24</w:t>
                  </w:r>
                </w:p>
              </w:tc>
              <w:tc>
                <w:tcPr>
                  <w:tcW w:w="1886" w:type="pct"/>
                  <w:tcBorders>
                    <w:tl2br w:val="nil"/>
                    <w:tr2bl w:val="nil"/>
                  </w:tcBorders>
                  <w:shd w:val="clear" w:color="auto" w:fill="auto"/>
                  <w:vAlign w:val="center"/>
                </w:tcPr>
                <w:p w14:paraId="4F30CC6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生物显微镜</w:t>
                  </w:r>
                </w:p>
              </w:tc>
              <w:tc>
                <w:tcPr>
                  <w:tcW w:w="1295" w:type="pct"/>
                  <w:tcBorders>
                    <w:tl2br w:val="nil"/>
                    <w:tr2bl w:val="nil"/>
                  </w:tcBorders>
                  <w:shd w:val="clear" w:color="auto" w:fill="auto"/>
                  <w:vAlign w:val="center"/>
                </w:tcPr>
                <w:p w14:paraId="1E1F3D47">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XSP-BM-2CA</w:t>
                  </w:r>
                </w:p>
              </w:tc>
              <w:tc>
                <w:tcPr>
                  <w:tcW w:w="629" w:type="pct"/>
                  <w:tcBorders>
                    <w:tl2br w:val="nil"/>
                    <w:tr2bl w:val="nil"/>
                  </w:tcBorders>
                  <w:shd w:val="clear" w:color="auto" w:fill="auto"/>
                  <w:vAlign w:val="center"/>
                </w:tcPr>
                <w:p w14:paraId="2F7E91C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67C40863">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53D2A65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107BF466">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25</w:t>
                  </w:r>
                </w:p>
              </w:tc>
              <w:tc>
                <w:tcPr>
                  <w:tcW w:w="1886" w:type="pct"/>
                  <w:tcBorders>
                    <w:tl2br w:val="nil"/>
                    <w:tr2bl w:val="nil"/>
                  </w:tcBorders>
                  <w:shd w:val="clear" w:color="auto" w:fill="auto"/>
                  <w:vAlign w:val="center"/>
                </w:tcPr>
                <w:p w14:paraId="7E5BA65F">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可调多功能振荡器</w:t>
                  </w:r>
                </w:p>
              </w:tc>
              <w:tc>
                <w:tcPr>
                  <w:tcW w:w="1295" w:type="pct"/>
                  <w:tcBorders>
                    <w:tl2br w:val="nil"/>
                    <w:tr2bl w:val="nil"/>
                  </w:tcBorders>
                  <w:shd w:val="clear" w:color="auto" w:fill="auto"/>
                  <w:vAlign w:val="center"/>
                </w:tcPr>
                <w:p w14:paraId="1D0A88FE">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HY-4</w:t>
                  </w:r>
                </w:p>
              </w:tc>
              <w:tc>
                <w:tcPr>
                  <w:tcW w:w="629" w:type="pct"/>
                  <w:tcBorders>
                    <w:tl2br w:val="nil"/>
                    <w:tr2bl w:val="nil"/>
                  </w:tcBorders>
                  <w:shd w:val="clear" w:color="auto" w:fill="auto"/>
                  <w:vAlign w:val="center"/>
                </w:tcPr>
                <w:p w14:paraId="38364321">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3318871B">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446411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55ABD59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26</w:t>
                  </w:r>
                </w:p>
              </w:tc>
              <w:tc>
                <w:tcPr>
                  <w:tcW w:w="1886" w:type="pct"/>
                  <w:tcBorders>
                    <w:tl2br w:val="nil"/>
                    <w:tr2bl w:val="nil"/>
                  </w:tcBorders>
                  <w:shd w:val="clear" w:color="auto" w:fill="auto"/>
                  <w:vAlign w:val="center"/>
                </w:tcPr>
                <w:p w14:paraId="3C2EC19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离心机</w:t>
                  </w:r>
                </w:p>
              </w:tc>
              <w:tc>
                <w:tcPr>
                  <w:tcW w:w="1295" w:type="pct"/>
                  <w:tcBorders>
                    <w:tl2br w:val="nil"/>
                    <w:tr2bl w:val="nil"/>
                  </w:tcBorders>
                  <w:shd w:val="clear" w:color="auto" w:fill="auto"/>
                  <w:vAlign w:val="center"/>
                </w:tcPr>
                <w:p w14:paraId="68C50090">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SN-LSC-40(50ml*6)</w:t>
                  </w:r>
                </w:p>
              </w:tc>
              <w:tc>
                <w:tcPr>
                  <w:tcW w:w="629" w:type="pct"/>
                  <w:tcBorders>
                    <w:tl2br w:val="nil"/>
                    <w:tr2bl w:val="nil"/>
                  </w:tcBorders>
                  <w:shd w:val="clear" w:color="auto" w:fill="auto"/>
                  <w:vAlign w:val="center"/>
                </w:tcPr>
                <w:p w14:paraId="68B37E2F">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020D9704">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059F4EA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FACE5C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27</w:t>
                  </w:r>
                </w:p>
              </w:tc>
              <w:tc>
                <w:tcPr>
                  <w:tcW w:w="1886" w:type="pct"/>
                  <w:tcBorders>
                    <w:tl2br w:val="nil"/>
                    <w:tr2bl w:val="nil"/>
                  </w:tcBorders>
                  <w:shd w:val="clear" w:color="auto" w:fill="auto"/>
                  <w:vAlign w:val="center"/>
                </w:tcPr>
                <w:p w14:paraId="56F6F680">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浊度仪</w:t>
                  </w:r>
                </w:p>
              </w:tc>
              <w:tc>
                <w:tcPr>
                  <w:tcW w:w="1295" w:type="pct"/>
                  <w:tcBorders>
                    <w:tl2br w:val="nil"/>
                    <w:tr2bl w:val="nil"/>
                  </w:tcBorders>
                  <w:shd w:val="clear" w:color="auto" w:fill="auto"/>
                  <w:vAlign w:val="center"/>
                </w:tcPr>
                <w:p w14:paraId="5B5B8129">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WZS-180A</w:t>
                  </w:r>
                </w:p>
              </w:tc>
              <w:tc>
                <w:tcPr>
                  <w:tcW w:w="629" w:type="pct"/>
                  <w:tcBorders>
                    <w:tl2br w:val="nil"/>
                    <w:tr2bl w:val="nil"/>
                  </w:tcBorders>
                  <w:shd w:val="clear" w:color="auto" w:fill="auto"/>
                  <w:vAlign w:val="center"/>
                </w:tcPr>
                <w:p w14:paraId="6076FAF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70ED9B5C">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30B0ED9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5F6D0AD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28</w:t>
                  </w:r>
                </w:p>
              </w:tc>
              <w:tc>
                <w:tcPr>
                  <w:tcW w:w="1886" w:type="pct"/>
                  <w:tcBorders>
                    <w:tl2br w:val="nil"/>
                    <w:tr2bl w:val="nil"/>
                  </w:tcBorders>
                  <w:shd w:val="clear" w:color="auto" w:fill="auto"/>
                  <w:vAlign w:val="center"/>
                </w:tcPr>
                <w:p w14:paraId="7545280D">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数字皂膜流量计</w:t>
                  </w:r>
                </w:p>
              </w:tc>
              <w:tc>
                <w:tcPr>
                  <w:tcW w:w="1295" w:type="pct"/>
                  <w:tcBorders>
                    <w:tl2br w:val="nil"/>
                    <w:tr2bl w:val="nil"/>
                  </w:tcBorders>
                  <w:shd w:val="clear" w:color="auto" w:fill="auto"/>
                  <w:vAlign w:val="center"/>
                </w:tcPr>
                <w:p w14:paraId="791E6E09">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ZR-5320型</w:t>
                  </w:r>
                </w:p>
              </w:tc>
              <w:tc>
                <w:tcPr>
                  <w:tcW w:w="629" w:type="pct"/>
                  <w:tcBorders>
                    <w:tl2br w:val="nil"/>
                    <w:tr2bl w:val="nil"/>
                  </w:tcBorders>
                  <w:shd w:val="clear" w:color="auto" w:fill="auto"/>
                  <w:vAlign w:val="center"/>
                </w:tcPr>
                <w:p w14:paraId="1F703E17">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1AD89D28">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1559629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4F4E0BD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29</w:t>
                  </w:r>
                </w:p>
              </w:tc>
              <w:tc>
                <w:tcPr>
                  <w:tcW w:w="1886" w:type="pct"/>
                  <w:tcBorders>
                    <w:tl2br w:val="nil"/>
                    <w:tr2bl w:val="nil"/>
                  </w:tcBorders>
                  <w:shd w:val="clear" w:color="auto" w:fill="auto"/>
                  <w:vAlign w:val="center"/>
                </w:tcPr>
                <w:p w14:paraId="00280215">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高压灭菌锅</w:t>
                  </w:r>
                </w:p>
              </w:tc>
              <w:tc>
                <w:tcPr>
                  <w:tcW w:w="1295" w:type="pct"/>
                  <w:tcBorders>
                    <w:tl2br w:val="nil"/>
                    <w:tr2bl w:val="nil"/>
                  </w:tcBorders>
                  <w:shd w:val="clear" w:color="auto" w:fill="auto"/>
                  <w:vAlign w:val="center"/>
                </w:tcPr>
                <w:p w14:paraId="19E4991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DSX-30L-1</w:t>
                  </w:r>
                </w:p>
              </w:tc>
              <w:tc>
                <w:tcPr>
                  <w:tcW w:w="629" w:type="pct"/>
                  <w:tcBorders>
                    <w:tl2br w:val="nil"/>
                    <w:tr2bl w:val="nil"/>
                  </w:tcBorders>
                  <w:shd w:val="clear" w:color="auto" w:fill="auto"/>
                  <w:vAlign w:val="center"/>
                </w:tcPr>
                <w:p w14:paraId="71D23A22">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49091C7A">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03098E3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5F821AC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30</w:t>
                  </w:r>
                </w:p>
              </w:tc>
              <w:tc>
                <w:tcPr>
                  <w:tcW w:w="1886" w:type="pct"/>
                  <w:tcBorders>
                    <w:tl2br w:val="nil"/>
                    <w:tr2bl w:val="nil"/>
                  </w:tcBorders>
                  <w:shd w:val="clear" w:color="auto" w:fill="auto"/>
                  <w:vAlign w:val="center"/>
                </w:tcPr>
                <w:p w14:paraId="1D498EDF">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亮度计</w:t>
                  </w:r>
                </w:p>
              </w:tc>
              <w:tc>
                <w:tcPr>
                  <w:tcW w:w="1295" w:type="pct"/>
                  <w:tcBorders>
                    <w:tl2br w:val="nil"/>
                    <w:tr2bl w:val="nil"/>
                  </w:tcBorders>
                  <w:shd w:val="clear" w:color="auto" w:fill="auto"/>
                  <w:vAlign w:val="center"/>
                </w:tcPr>
                <w:p w14:paraId="29FAC74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TES137</w:t>
                  </w:r>
                </w:p>
              </w:tc>
              <w:tc>
                <w:tcPr>
                  <w:tcW w:w="629" w:type="pct"/>
                  <w:tcBorders>
                    <w:tl2br w:val="nil"/>
                    <w:tr2bl w:val="nil"/>
                  </w:tcBorders>
                  <w:shd w:val="clear" w:color="auto" w:fill="auto"/>
                  <w:vAlign w:val="center"/>
                </w:tcPr>
                <w:p w14:paraId="14BC70A0">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40BDD8DF">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28FD13F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4A731D5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31</w:t>
                  </w:r>
                </w:p>
              </w:tc>
              <w:tc>
                <w:tcPr>
                  <w:tcW w:w="1886" w:type="pct"/>
                  <w:tcBorders>
                    <w:tl2br w:val="nil"/>
                    <w:tr2bl w:val="nil"/>
                  </w:tcBorders>
                  <w:shd w:val="clear" w:color="auto" w:fill="auto"/>
                  <w:vAlign w:val="center"/>
                </w:tcPr>
                <w:p w14:paraId="3D3A723F">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综合流量压力校准器</w:t>
                  </w:r>
                </w:p>
              </w:tc>
              <w:tc>
                <w:tcPr>
                  <w:tcW w:w="1295" w:type="pct"/>
                  <w:tcBorders>
                    <w:tl2br w:val="nil"/>
                    <w:tr2bl w:val="nil"/>
                  </w:tcBorders>
                  <w:shd w:val="clear" w:color="auto" w:fill="auto"/>
                  <w:vAlign w:val="center"/>
                </w:tcPr>
                <w:p w14:paraId="063D9F3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05121A5D">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restart"/>
                  <w:tcBorders>
                    <w:tl2br w:val="nil"/>
                    <w:tr2bl w:val="nil"/>
                  </w:tcBorders>
                  <w:shd w:val="clear" w:color="auto" w:fill="auto"/>
                  <w:vAlign w:val="center"/>
                </w:tcPr>
                <w:p w14:paraId="00D0EBB8">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油烟检测</w:t>
                  </w:r>
                </w:p>
              </w:tc>
            </w:tr>
            <w:tr w14:paraId="7E75937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25A3DA7">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32</w:t>
                  </w:r>
                </w:p>
              </w:tc>
              <w:tc>
                <w:tcPr>
                  <w:tcW w:w="1886" w:type="pct"/>
                  <w:tcBorders>
                    <w:tl2br w:val="nil"/>
                    <w:tr2bl w:val="nil"/>
                  </w:tcBorders>
                  <w:shd w:val="clear" w:color="auto" w:fill="auto"/>
                  <w:vAlign w:val="center"/>
                </w:tcPr>
                <w:p w14:paraId="5AFBDB0D">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大流量低浓度自动烟尘烟气测试仪</w:t>
                  </w:r>
                </w:p>
              </w:tc>
              <w:tc>
                <w:tcPr>
                  <w:tcW w:w="1295" w:type="pct"/>
                  <w:tcBorders>
                    <w:tl2br w:val="nil"/>
                    <w:tr2bl w:val="nil"/>
                  </w:tcBorders>
                  <w:shd w:val="clear" w:color="auto" w:fill="auto"/>
                  <w:vAlign w:val="center"/>
                </w:tcPr>
                <w:p w14:paraId="0B0F6216">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6832A0BC">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46493A5B">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143317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44E25EC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33</w:t>
                  </w:r>
                </w:p>
              </w:tc>
              <w:tc>
                <w:tcPr>
                  <w:tcW w:w="1886" w:type="pct"/>
                  <w:tcBorders>
                    <w:tl2br w:val="nil"/>
                    <w:tr2bl w:val="nil"/>
                  </w:tcBorders>
                  <w:shd w:val="clear" w:color="auto" w:fill="auto"/>
                  <w:vAlign w:val="center"/>
                </w:tcPr>
                <w:p w14:paraId="3B5A3C3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油烟取样器</w:t>
                  </w:r>
                </w:p>
              </w:tc>
              <w:tc>
                <w:tcPr>
                  <w:tcW w:w="1295" w:type="pct"/>
                  <w:tcBorders>
                    <w:tl2br w:val="nil"/>
                    <w:tr2bl w:val="nil"/>
                  </w:tcBorders>
                  <w:shd w:val="clear" w:color="auto" w:fill="auto"/>
                  <w:vAlign w:val="center"/>
                </w:tcPr>
                <w:p w14:paraId="0FC456CF">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7A42F459">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4E56161C">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47731C4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108F5EA4">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34</w:t>
                  </w:r>
                </w:p>
              </w:tc>
              <w:tc>
                <w:tcPr>
                  <w:tcW w:w="1886" w:type="pct"/>
                  <w:tcBorders>
                    <w:tl2br w:val="nil"/>
                    <w:tr2bl w:val="nil"/>
                  </w:tcBorders>
                  <w:shd w:val="clear" w:color="auto" w:fill="auto"/>
                  <w:vAlign w:val="center"/>
                </w:tcPr>
                <w:p w14:paraId="672E8242">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超声波清洗器</w:t>
                  </w:r>
                </w:p>
              </w:tc>
              <w:tc>
                <w:tcPr>
                  <w:tcW w:w="1295" w:type="pct"/>
                  <w:tcBorders>
                    <w:tl2br w:val="nil"/>
                    <w:tr2bl w:val="nil"/>
                  </w:tcBorders>
                  <w:shd w:val="clear" w:color="auto" w:fill="auto"/>
                  <w:vAlign w:val="center"/>
                </w:tcPr>
                <w:p w14:paraId="7E47FF28">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2B1491ED">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454FF204">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60EC4F5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31FD297D">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35</w:t>
                  </w:r>
                </w:p>
              </w:tc>
              <w:tc>
                <w:tcPr>
                  <w:tcW w:w="1886" w:type="pct"/>
                  <w:tcBorders>
                    <w:tl2br w:val="nil"/>
                    <w:tr2bl w:val="nil"/>
                  </w:tcBorders>
                  <w:shd w:val="clear" w:color="auto" w:fill="auto"/>
                  <w:vAlign w:val="center"/>
                </w:tcPr>
                <w:p w14:paraId="582D7A53">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纯水机</w:t>
                  </w:r>
                </w:p>
              </w:tc>
              <w:tc>
                <w:tcPr>
                  <w:tcW w:w="1295" w:type="pct"/>
                  <w:tcBorders>
                    <w:tl2br w:val="nil"/>
                    <w:tr2bl w:val="nil"/>
                  </w:tcBorders>
                  <w:shd w:val="clear" w:color="auto" w:fill="auto"/>
                  <w:vAlign w:val="center"/>
                </w:tcPr>
                <w:p w14:paraId="63BA9AC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08D13305">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04527063">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1053B82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523652A">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36</w:t>
                  </w:r>
                </w:p>
              </w:tc>
              <w:tc>
                <w:tcPr>
                  <w:tcW w:w="1886" w:type="pct"/>
                  <w:tcBorders>
                    <w:tl2br w:val="nil"/>
                    <w:tr2bl w:val="nil"/>
                  </w:tcBorders>
                  <w:shd w:val="clear" w:color="auto" w:fill="auto"/>
                  <w:vAlign w:val="center"/>
                </w:tcPr>
                <w:p w14:paraId="39ECB8A7">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万分之一天平</w:t>
                  </w:r>
                </w:p>
              </w:tc>
              <w:tc>
                <w:tcPr>
                  <w:tcW w:w="1295" w:type="pct"/>
                  <w:tcBorders>
                    <w:tl2br w:val="nil"/>
                    <w:tr2bl w:val="nil"/>
                  </w:tcBorders>
                  <w:shd w:val="clear" w:color="auto" w:fill="auto"/>
                  <w:vAlign w:val="center"/>
                </w:tcPr>
                <w:p w14:paraId="4974A194">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1A678C7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7BFF514E">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091AFB5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AFE161E">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37</w:t>
                  </w:r>
                </w:p>
              </w:tc>
              <w:tc>
                <w:tcPr>
                  <w:tcW w:w="1886" w:type="pct"/>
                  <w:tcBorders>
                    <w:tl2br w:val="nil"/>
                    <w:tr2bl w:val="nil"/>
                  </w:tcBorders>
                  <w:shd w:val="clear" w:color="auto" w:fill="auto"/>
                  <w:vAlign w:val="center"/>
                </w:tcPr>
                <w:p w14:paraId="30A361D4">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21"/>
                      <w:szCs w:val="21"/>
                    </w:rPr>
                    <w:t>空盒气压表</w:t>
                  </w:r>
                </w:p>
              </w:tc>
              <w:tc>
                <w:tcPr>
                  <w:tcW w:w="1295" w:type="pct"/>
                  <w:tcBorders>
                    <w:tl2br w:val="nil"/>
                    <w:tr2bl w:val="nil"/>
                  </w:tcBorders>
                  <w:shd w:val="clear" w:color="auto" w:fill="auto"/>
                  <w:vAlign w:val="center"/>
                </w:tcPr>
                <w:p w14:paraId="06ECCF45">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w:t>
                  </w:r>
                </w:p>
              </w:tc>
              <w:tc>
                <w:tcPr>
                  <w:tcW w:w="629" w:type="pct"/>
                  <w:tcBorders>
                    <w:tl2br w:val="nil"/>
                    <w:tr2bl w:val="nil"/>
                  </w:tcBorders>
                  <w:shd w:val="clear" w:color="auto" w:fill="auto"/>
                  <w:vAlign w:val="center"/>
                </w:tcPr>
                <w:p w14:paraId="45D847F5">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bidi="ar"/>
                    </w:rPr>
                    <w:t>1</w:t>
                  </w:r>
                </w:p>
              </w:tc>
              <w:tc>
                <w:tcPr>
                  <w:tcW w:w="819" w:type="pct"/>
                  <w:vMerge w:val="continue"/>
                  <w:tcBorders>
                    <w:tl2br w:val="nil"/>
                    <w:tr2bl w:val="nil"/>
                  </w:tcBorders>
                  <w:shd w:val="clear" w:color="auto" w:fill="auto"/>
                  <w:vAlign w:val="center"/>
                </w:tcPr>
                <w:p w14:paraId="6F6E7509">
                  <w:pPr>
                    <w:widowControl/>
                    <w:adjustRightInd w:val="0"/>
                    <w:snapToGrid w:val="0"/>
                    <w:jc w:val="center"/>
                    <w:textAlignment w:val="center"/>
                    <w:rPr>
                      <w:rFonts w:hint="default" w:ascii="Times New Roman" w:hAnsi="Times New Roman" w:cs="Times New Roman"/>
                      <w:color w:val="auto"/>
                      <w:kern w:val="0"/>
                      <w:sz w:val="21"/>
                      <w:szCs w:val="21"/>
                      <w:lang w:bidi="ar"/>
                    </w:rPr>
                  </w:pPr>
                </w:p>
              </w:tc>
            </w:tr>
            <w:tr w14:paraId="0E6189C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B7B9380">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38</w:t>
                  </w:r>
                </w:p>
              </w:tc>
              <w:tc>
                <w:tcPr>
                  <w:tcW w:w="1886" w:type="pct"/>
                  <w:tcBorders>
                    <w:tl2br w:val="nil"/>
                    <w:tr2bl w:val="nil"/>
                  </w:tcBorders>
                  <w:vAlign w:val="center"/>
                </w:tcPr>
                <w:p w14:paraId="3ED66A78">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数字兆欧表</w:t>
                  </w:r>
                </w:p>
              </w:tc>
              <w:tc>
                <w:tcPr>
                  <w:tcW w:w="1295" w:type="pct"/>
                  <w:tcBorders>
                    <w:tl2br w:val="nil"/>
                    <w:tr2bl w:val="nil"/>
                  </w:tcBorders>
                  <w:vAlign w:val="center"/>
                </w:tcPr>
                <w:p w14:paraId="42BF56AF">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val="en-US" w:eastAsia="zh-CN" w:bidi="ar"/>
                    </w:rPr>
                    <w:t>VC60E+</w:t>
                  </w:r>
                </w:p>
              </w:tc>
              <w:tc>
                <w:tcPr>
                  <w:tcW w:w="629" w:type="pct"/>
                  <w:tcBorders>
                    <w:tl2br w:val="nil"/>
                    <w:tr2bl w:val="nil"/>
                  </w:tcBorders>
                  <w:vAlign w:val="center"/>
                </w:tcPr>
                <w:p w14:paraId="416D504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restart"/>
                  <w:tcBorders>
                    <w:tl2br w:val="nil"/>
                    <w:tr2bl w:val="nil"/>
                  </w:tcBorders>
                  <w:vAlign w:val="center"/>
                </w:tcPr>
                <w:p w14:paraId="008C54E1">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户外广告设施、发光二极管（LED）显示屏检测</w:t>
                  </w:r>
                </w:p>
              </w:tc>
            </w:tr>
            <w:tr w14:paraId="47DD706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5CFEFA1">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39</w:t>
                  </w:r>
                </w:p>
              </w:tc>
              <w:tc>
                <w:tcPr>
                  <w:tcW w:w="1886" w:type="pct"/>
                  <w:tcBorders>
                    <w:tl2br w:val="nil"/>
                    <w:tr2bl w:val="nil"/>
                  </w:tcBorders>
                  <w:vAlign w:val="center"/>
                </w:tcPr>
                <w:p w14:paraId="7528CDB3">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val="en-US" w:eastAsia="zh-CN" w:bidi="ar"/>
                    </w:rPr>
                    <w:t>超声波测厚仪</w:t>
                  </w:r>
                </w:p>
              </w:tc>
              <w:tc>
                <w:tcPr>
                  <w:tcW w:w="1295" w:type="pct"/>
                  <w:tcBorders>
                    <w:tl2br w:val="nil"/>
                    <w:tr2bl w:val="nil"/>
                  </w:tcBorders>
                  <w:vAlign w:val="center"/>
                </w:tcPr>
                <w:p w14:paraId="3968408B">
                  <w:pPr>
                    <w:widowControl/>
                    <w:adjustRightInd w:val="0"/>
                    <w:snapToGrid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val="en-US" w:eastAsia="zh-CN" w:bidi="ar"/>
                    </w:rPr>
                    <w:t>VICTOR 852C+</w:t>
                  </w:r>
                </w:p>
              </w:tc>
              <w:tc>
                <w:tcPr>
                  <w:tcW w:w="629" w:type="pct"/>
                  <w:tcBorders>
                    <w:tl2br w:val="nil"/>
                    <w:tr2bl w:val="nil"/>
                  </w:tcBorders>
                  <w:vAlign w:val="center"/>
                </w:tcPr>
                <w:p w14:paraId="6F80D95A">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continue"/>
                  <w:tcBorders>
                    <w:tl2br w:val="nil"/>
                    <w:tr2bl w:val="nil"/>
                  </w:tcBorders>
                  <w:vAlign w:val="center"/>
                </w:tcPr>
                <w:p w14:paraId="5719DF52">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08038B9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9CCFB70">
                  <w:pPr>
                    <w:widowControl/>
                    <w:adjustRightInd w:val="0"/>
                    <w:snapToGrid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40</w:t>
                  </w:r>
                </w:p>
              </w:tc>
              <w:tc>
                <w:tcPr>
                  <w:tcW w:w="1886" w:type="pct"/>
                  <w:tcBorders>
                    <w:tl2br w:val="nil"/>
                    <w:tr2bl w:val="nil"/>
                  </w:tcBorders>
                  <w:vAlign w:val="center"/>
                </w:tcPr>
                <w:p w14:paraId="1F3C0949">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接地电阻测试仪</w:t>
                  </w:r>
                </w:p>
              </w:tc>
              <w:tc>
                <w:tcPr>
                  <w:tcW w:w="1295" w:type="pct"/>
                  <w:tcBorders>
                    <w:tl2br w:val="nil"/>
                    <w:tr2bl w:val="nil"/>
                  </w:tcBorders>
                  <w:vAlign w:val="center"/>
                </w:tcPr>
                <w:p w14:paraId="4941ED9E">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VICTOR 6411</w:t>
                  </w:r>
                </w:p>
              </w:tc>
              <w:tc>
                <w:tcPr>
                  <w:tcW w:w="629" w:type="pct"/>
                  <w:tcBorders>
                    <w:tl2br w:val="nil"/>
                    <w:tr2bl w:val="nil"/>
                  </w:tcBorders>
                  <w:vAlign w:val="center"/>
                </w:tcPr>
                <w:p w14:paraId="0639FCCF">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continue"/>
                  <w:tcBorders>
                    <w:tl2br w:val="nil"/>
                    <w:tr2bl w:val="nil"/>
                  </w:tcBorders>
                  <w:vAlign w:val="center"/>
                </w:tcPr>
                <w:p w14:paraId="75BE6628">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38569A5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23BF767B">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41</w:t>
                  </w:r>
                </w:p>
              </w:tc>
              <w:tc>
                <w:tcPr>
                  <w:tcW w:w="1886" w:type="pct"/>
                  <w:tcBorders>
                    <w:tl2br w:val="nil"/>
                    <w:tr2bl w:val="nil"/>
                  </w:tcBorders>
                  <w:vAlign w:val="center"/>
                </w:tcPr>
                <w:p w14:paraId="0E1D1D0A">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涂层测厚仪</w:t>
                  </w:r>
                </w:p>
              </w:tc>
              <w:tc>
                <w:tcPr>
                  <w:tcW w:w="1295" w:type="pct"/>
                  <w:tcBorders>
                    <w:tl2br w:val="nil"/>
                    <w:tr2bl w:val="nil"/>
                  </w:tcBorders>
                  <w:vAlign w:val="center"/>
                </w:tcPr>
                <w:p w14:paraId="25E90A83">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DT-156</w:t>
                  </w:r>
                </w:p>
              </w:tc>
              <w:tc>
                <w:tcPr>
                  <w:tcW w:w="629" w:type="pct"/>
                  <w:tcBorders>
                    <w:tl2br w:val="nil"/>
                    <w:tr2bl w:val="nil"/>
                  </w:tcBorders>
                  <w:vAlign w:val="center"/>
                </w:tcPr>
                <w:p w14:paraId="552A633C">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continue"/>
                  <w:tcBorders>
                    <w:tl2br w:val="nil"/>
                    <w:tr2bl w:val="nil"/>
                  </w:tcBorders>
                  <w:vAlign w:val="center"/>
                </w:tcPr>
                <w:p w14:paraId="40B8A3AE">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08F065D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20994FD">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42</w:t>
                  </w:r>
                </w:p>
              </w:tc>
              <w:tc>
                <w:tcPr>
                  <w:tcW w:w="1886" w:type="pct"/>
                  <w:tcBorders>
                    <w:tl2br w:val="nil"/>
                    <w:tr2bl w:val="nil"/>
                  </w:tcBorders>
                  <w:vAlign w:val="center"/>
                </w:tcPr>
                <w:p w14:paraId="4EBE3F82">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钢卷尺</w:t>
                  </w:r>
                </w:p>
              </w:tc>
              <w:tc>
                <w:tcPr>
                  <w:tcW w:w="1295" w:type="pct"/>
                  <w:tcBorders>
                    <w:tl2br w:val="nil"/>
                    <w:tr2bl w:val="nil"/>
                  </w:tcBorders>
                  <w:vAlign w:val="center"/>
                </w:tcPr>
                <w:p w14:paraId="46490E82">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50m</w:t>
                  </w:r>
                </w:p>
              </w:tc>
              <w:tc>
                <w:tcPr>
                  <w:tcW w:w="629" w:type="pct"/>
                  <w:tcBorders>
                    <w:tl2br w:val="nil"/>
                    <w:tr2bl w:val="nil"/>
                  </w:tcBorders>
                  <w:vAlign w:val="center"/>
                </w:tcPr>
                <w:p w14:paraId="38D77752">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continue"/>
                  <w:tcBorders>
                    <w:tl2br w:val="nil"/>
                    <w:tr2bl w:val="nil"/>
                  </w:tcBorders>
                  <w:vAlign w:val="center"/>
                </w:tcPr>
                <w:p w14:paraId="4EE4755D">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57B31A1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3196F688">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43</w:t>
                  </w:r>
                </w:p>
              </w:tc>
              <w:tc>
                <w:tcPr>
                  <w:tcW w:w="1886" w:type="pct"/>
                  <w:tcBorders>
                    <w:tl2br w:val="nil"/>
                    <w:tr2bl w:val="nil"/>
                  </w:tcBorders>
                  <w:vAlign w:val="center"/>
                </w:tcPr>
                <w:p w14:paraId="0D5557EA">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钢直尺</w:t>
                  </w:r>
                </w:p>
              </w:tc>
              <w:tc>
                <w:tcPr>
                  <w:tcW w:w="1295" w:type="pct"/>
                  <w:tcBorders>
                    <w:tl2br w:val="nil"/>
                    <w:tr2bl w:val="nil"/>
                  </w:tcBorders>
                  <w:vAlign w:val="center"/>
                </w:tcPr>
                <w:p w14:paraId="47EE6149">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0-300mm</w:t>
                  </w:r>
                </w:p>
              </w:tc>
              <w:tc>
                <w:tcPr>
                  <w:tcW w:w="629" w:type="pct"/>
                  <w:tcBorders>
                    <w:tl2br w:val="nil"/>
                    <w:tr2bl w:val="nil"/>
                  </w:tcBorders>
                  <w:vAlign w:val="center"/>
                </w:tcPr>
                <w:p w14:paraId="61AF7A6B">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5</w:t>
                  </w:r>
                </w:p>
              </w:tc>
              <w:tc>
                <w:tcPr>
                  <w:tcW w:w="819" w:type="pct"/>
                  <w:vMerge w:val="continue"/>
                  <w:tcBorders>
                    <w:tl2br w:val="nil"/>
                    <w:tr2bl w:val="nil"/>
                  </w:tcBorders>
                  <w:vAlign w:val="center"/>
                </w:tcPr>
                <w:p w14:paraId="17F55E19">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69DE2C5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77F72651">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44</w:t>
                  </w:r>
                </w:p>
              </w:tc>
              <w:tc>
                <w:tcPr>
                  <w:tcW w:w="1886" w:type="pct"/>
                  <w:tcBorders>
                    <w:tl2br w:val="nil"/>
                    <w:tr2bl w:val="nil"/>
                  </w:tcBorders>
                  <w:vAlign w:val="center"/>
                </w:tcPr>
                <w:p w14:paraId="48849D24">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数显式游标卡尺</w:t>
                  </w:r>
                </w:p>
              </w:tc>
              <w:tc>
                <w:tcPr>
                  <w:tcW w:w="1295" w:type="pct"/>
                  <w:tcBorders>
                    <w:tl2br w:val="nil"/>
                    <w:tr2bl w:val="nil"/>
                  </w:tcBorders>
                  <w:vAlign w:val="center"/>
                </w:tcPr>
                <w:p w14:paraId="78FB620E">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0-200mm</w:t>
                  </w:r>
                </w:p>
              </w:tc>
              <w:tc>
                <w:tcPr>
                  <w:tcW w:w="629" w:type="pct"/>
                  <w:tcBorders>
                    <w:tl2br w:val="nil"/>
                    <w:tr2bl w:val="nil"/>
                  </w:tcBorders>
                  <w:vAlign w:val="center"/>
                </w:tcPr>
                <w:p w14:paraId="77019E69">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continue"/>
                  <w:tcBorders>
                    <w:tl2br w:val="nil"/>
                    <w:tr2bl w:val="nil"/>
                  </w:tcBorders>
                  <w:vAlign w:val="center"/>
                </w:tcPr>
                <w:p w14:paraId="6CF4954A">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0775D04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02BAEA7A">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45</w:t>
                  </w:r>
                </w:p>
              </w:tc>
              <w:tc>
                <w:tcPr>
                  <w:tcW w:w="1886" w:type="pct"/>
                  <w:tcBorders>
                    <w:tl2br w:val="nil"/>
                    <w:tr2bl w:val="nil"/>
                  </w:tcBorders>
                  <w:vAlign w:val="center"/>
                </w:tcPr>
                <w:p w14:paraId="2D03EF60">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锚杆拉拔仪</w:t>
                  </w:r>
                </w:p>
              </w:tc>
              <w:tc>
                <w:tcPr>
                  <w:tcW w:w="1295" w:type="pct"/>
                  <w:tcBorders>
                    <w:tl2br w:val="nil"/>
                    <w:tr2bl w:val="nil"/>
                  </w:tcBorders>
                  <w:vAlign w:val="center"/>
                </w:tcPr>
                <w:p w14:paraId="6A66DB4F">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HC-10</w:t>
                  </w:r>
                </w:p>
              </w:tc>
              <w:tc>
                <w:tcPr>
                  <w:tcW w:w="629" w:type="pct"/>
                  <w:tcBorders>
                    <w:tl2br w:val="nil"/>
                    <w:tr2bl w:val="nil"/>
                  </w:tcBorders>
                  <w:vAlign w:val="center"/>
                </w:tcPr>
                <w:p w14:paraId="4DCC20B7">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819" w:type="pct"/>
                  <w:vMerge w:val="continue"/>
                  <w:tcBorders>
                    <w:tl2br w:val="nil"/>
                    <w:tr2bl w:val="nil"/>
                  </w:tcBorders>
                  <w:vAlign w:val="center"/>
                </w:tcPr>
                <w:p w14:paraId="0B2B131D">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r w14:paraId="3532A52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68" w:type="pct"/>
                  <w:tcBorders>
                    <w:tl2br w:val="nil"/>
                    <w:tr2bl w:val="nil"/>
                  </w:tcBorders>
                  <w:vAlign w:val="center"/>
                </w:tcPr>
                <w:p w14:paraId="6FDF8230">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46</w:t>
                  </w:r>
                </w:p>
              </w:tc>
              <w:tc>
                <w:tcPr>
                  <w:tcW w:w="1886" w:type="pct"/>
                  <w:tcBorders>
                    <w:tl2br w:val="nil"/>
                    <w:tr2bl w:val="nil"/>
                  </w:tcBorders>
                  <w:vAlign w:val="center"/>
                </w:tcPr>
                <w:p w14:paraId="655B4AEB">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指针式公斤扳手</w:t>
                  </w:r>
                </w:p>
              </w:tc>
              <w:tc>
                <w:tcPr>
                  <w:tcW w:w="1295" w:type="pct"/>
                  <w:tcBorders>
                    <w:tl2br w:val="nil"/>
                    <w:tr2bl w:val="nil"/>
                  </w:tcBorders>
                  <w:vAlign w:val="center"/>
                </w:tcPr>
                <w:p w14:paraId="30FF0E43">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0-300N.M</w:t>
                  </w:r>
                </w:p>
              </w:tc>
              <w:tc>
                <w:tcPr>
                  <w:tcW w:w="629" w:type="pct"/>
                  <w:tcBorders>
                    <w:tl2br w:val="nil"/>
                    <w:tr2bl w:val="nil"/>
                  </w:tcBorders>
                  <w:vAlign w:val="center"/>
                </w:tcPr>
                <w:p w14:paraId="1D71955B">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p>
              </w:tc>
              <w:tc>
                <w:tcPr>
                  <w:tcW w:w="819" w:type="pct"/>
                  <w:vMerge w:val="continue"/>
                  <w:tcBorders>
                    <w:tl2br w:val="nil"/>
                    <w:tr2bl w:val="nil"/>
                  </w:tcBorders>
                  <w:vAlign w:val="center"/>
                </w:tcPr>
                <w:p w14:paraId="749ED5B7">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p>
              </w:tc>
            </w:tr>
          </w:tbl>
          <w:p w14:paraId="23D9CFEC">
            <w:pPr>
              <w:adjustRightInd w:val="0"/>
              <w:snapToGrid w:val="0"/>
              <w:spacing w:before="120" w:beforeLines="50"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w:t>
            </w:r>
            <w:r>
              <w:rPr>
                <w:rFonts w:hint="eastAsia" w:cs="Times New Roman"/>
                <w:b/>
                <w:color w:val="auto"/>
                <w:sz w:val="24"/>
                <w:lang w:val="en-US" w:eastAsia="zh-CN"/>
              </w:rPr>
              <w:t>四</w:t>
            </w:r>
            <w:r>
              <w:rPr>
                <w:rFonts w:hint="default" w:ascii="Times New Roman" w:hAnsi="Times New Roman" w:cs="Times New Roman"/>
                <w:b/>
                <w:color w:val="auto"/>
                <w:sz w:val="24"/>
              </w:rPr>
              <w:t>）原辅材料</w:t>
            </w:r>
          </w:p>
          <w:p w14:paraId="760A43FB">
            <w:pPr>
              <w:adjustRightInd w:val="0"/>
              <w:snapToGrid w:val="0"/>
              <w:spacing w:line="360" w:lineRule="auto"/>
              <w:ind w:firstLine="480" w:firstLineChars="200"/>
              <w:rPr>
                <w:rFonts w:hint="eastAsia" w:ascii="Times New Roman" w:hAnsi="Times New Roman" w:eastAsia="宋体" w:cs="Times New Roman"/>
                <w:b/>
                <w:bCs/>
                <w:color w:val="auto"/>
                <w:sz w:val="24"/>
                <w:lang w:eastAsia="zh-CN"/>
              </w:rPr>
            </w:pPr>
            <w:r>
              <w:rPr>
                <w:rFonts w:hint="default" w:ascii="Times New Roman" w:hAnsi="Times New Roman" w:cs="Times New Roman"/>
                <w:color w:val="auto"/>
                <w:sz w:val="24"/>
              </w:rPr>
              <w:t>项目主要原辅材料及能源消耗见表2-4</w:t>
            </w:r>
            <w:r>
              <w:rPr>
                <w:rFonts w:hint="eastAsia" w:cs="Times New Roman"/>
                <w:color w:val="auto"/>
                <w:sz w:val="24"/>
                <w:lang w:eastAsia="zh-CN"/>
              </w:rPr>
              <w:t>。</w:t>
            </w:r>
          </w:p>
          <w:p w14:paraId="02DEFDAE">
            <w:pPr>
              <w:widowControl/>
              <w:adjustRightInd w:val="0"/>
              <w:snapToGrid w:val="0"/>
              <w:jc w:val="center"/>
              <w:rPr>
                <w:rFonts w:hint="default" w:ascii="Times New Roman" w:hAnsi="Times New Roman" w:cs="Times New Roman"/>
                <w:b/>
                <w:color w:val="auto"/>
                <w:kern w:val="0"/>
                <w:szCs w:val="21"/>
                <w:lang w:bidi="ar"/>
              </w:rPr>
            </w:pPr>
            <w:r>
              <w:rPr>
                <w:rFonts w:hint="default" w:ascii="Times New Roman" w:hAnsi="Times New Roman" w:cs="Times New Roman"/>
                <w:b/>
                <w:color w:val="auto"/>
                <w:kern w:val="0"/>
                <w:szCs w:val="21"/>
                <w:lang w:bidi="ar"/>
              </w:rPr>
              <w:t>表2-4 项目主要原辅材料及能源消耗量表</w:t>
            </w:r>
          </w:p>
          <w:bookmarkEnd w:id="5"/>
          <w:tbl>
            <w:tblPr>
              <w:tblStyle w:val="29"/>
              <w:tblW w:w="4996" w:type="pct"/>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53"/>
              <w:gridCol w:w="3063"/>
              <w:gridCol w:w="3493"/>
              <w:gridCol w:w="1160"/>
              <w:gridCol w:w="766"/>
            </w:tblGrid>
            <w:tr w14:paraId="39B94F2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FB6BBAD">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序号</w:t>
                  </w:r>
                </w:p>
              </w:tc>
              <w:tc>
                <w:tcPr>
                  <w:tcW w:w="1695" w:type="pct"/>
                  <w:tcBorders>
                    <w:tl2br w:val="nil"/>
                    <w:tr2bl w:val="nil"/>
                  </w:tcBorders>
                  <w:shd w:val="clear" w:color="auto" w:fill="auto"/>
                  <w:vAlign w:val="center"/>
                </w:tcPr>
                <w:p w14:paraId="604AAFEB">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原辅料名称</w:t>
                  </w:r>
                </w:p>
              </w:tc>
              <w:tc>
                <w:tcPr>
                  <w:tcW w:w="1933" w:type="pct"/>
                  <w:tcBorders>
                    <w:tl2br w:val="nil"/>
                    <w:tr2bl w:val="nil"/>
                  </w:tcBorders>
                  <w:shd w:val="clear" w:color="auto" w:fill="auto"/>
                  <w:vAlign w:val="center"/>
                </w:tcPr>
                <w:p w14:paraId="2C4BB392">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规格</w:t>
                  </w:r>
                </w:p>
              </w:tc>
              <w:tc>
                <w:tcPr>
                  <w:tcW w:w="642" w:type="pct"/>
                  <w:tcBorders>
                    <w:tl2br w:val="nil"/>
                    <w:tr2bl w:val="nil"/>
                  </w:tcBorders>
                  <w:shd w:val="clear" w:color="auto" w:fill="auto"/>
                  <w:vAlign w:val="center"/>
                </w:tcPr>
                <w:p w14:paraId="6F34C2C6">
                  <w:pPr>
                    <w:widowControl/>
                    <w:adjustRightInd w:val="0"/>
                    <w:snapToGrid w:val="0"/>
                    <w:jc w:val="center"/>
                    <w:textAlignment w:val="center"/>
                    <w:rPr>
                      <w:rFonts w:hint="default" w:ascii="Times New Roman" w:hAnsi="Times New Roman" w:cs="Times New Roman"/>
                      <w:b/>
                      <w:bCs/>
                      <w:color w:val="auto"/>
                      <w:kern w:val="0"/>
                      <w:szCs w:val="21"/>
                      <w:highlight w:val="none"/>
                      <w:lang w:bidi="ar"/>
                    </w:rPr>
                  </w:pPr>
                  <w:r>
                    <w:rPr>
                      <w:rFonts w:hint="default" w:ascii="Times New Roman" w:hAnsi="Times New Roman" w:cs="Times New Roman"/>
                      <w:b/>
                      <w:bCs/>
                      <w:color w:val="auto"/>
                      <w:kern w:val="0"/>
                      <w:szCs w:val="21"/>
                      <w:highlight w:val="none"/>
                      <w:lang w:bidi="ar"/>
                    </w:rPr>
                    <w:t>年使用量</w:t>
                  </w:r>
                </w:p>
              </w:tc>
              <w:tc>
                <w:tcPr>
                  <w:tcW w:w="423" w:type="pct"/>
                  <w:tcBorders>
                    <w:tl2br w:val="nil"/>
                    <w:tr2bl w:val="nil"/>
                  </w:tcBorders>
                  <w:shd w:val="clear" w:color="auto" w:fill="auto"/>
                  <w:vAlign w:val="center"/>
                </w:tcPr>
                <w:p w14:paraId="562124DB">
                  <w:pPr>
                    <w:widowControl/>
                    <w:adjustRightInd w:val="0"/>
                    <w:snapToGrid w:val="0"/>
                    <w:jc w:val="center"/>
                    <w:textAlignment w:val="center"/>
                    <w:rPr>
                      <w:rFonts w:hint="eastAsia" w:ascii="Times New Roman" w:hAnsi="Times New Roman" w:eastAsia="宋体" w:cs="Times New Roman"/>
                      <w:b/>
                      <w:bCs/>
                      <w:color w:val="auto"/>
                      <w:kern w:val="0"/>
                      <w:szCs w:val="21"/>
                      <w:highlight w:val="none"/>
                      <w:lang w:eastAsia="zh-CN" w:bidi="ar"/>
                    </w:rPr>
                  </w:pPr>
                  <w:r>
                    <w:rPr>
                      <w:rFonts w:hint="eastAsia" w:cs="Times New Roman"/>
                      <w:b/>
                      <w:bCs/>
                      <w:color w:val="auto"/>
                      <w:kern w:val="0"/>
                      <w:szCs w:val="21"/>
                      <w:highlight w:val="none"/>
                      <w:lang w:val="en-US" w:eastAsia="zh-CN" w:bidi="ar"/>
                    </w:rPr>
                    <w:t>备注</w:t>
                  </w:r>
                </w:p>
              </w:tc>
            </w:tr>
            <w:tr w14:paraId="203B8DC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shd w:val="clear" w:color="auto" w:fill="auto"/>
                  <w:vAlign w:val="center"/>
                </w:tcPr>
                <w:p w14:paraId="03C8F950">
                  <w:pPr>
                    <w:widowControl/>
                    <w:adjustRightInd w:val="0"/>
                    <w:snapToGrid w:val="0"/>
                    <w:jc w:val="both"/>
                    <w:textAlignment w:val="center"/>
                    <w:rPr>
                      <w:rFonts w:hint="eastAsia" w:cs="Times New Roman"/>
                      <w:b/>
                      <w:bCs/>
                      <w:color w:val="auto"/>
                      <w:kern w:val="0"/>
                      <w:szCs w:val="21"/>
                      <w:highlight w:val="none"/>
                      <w:lang w:val="en-US" w:eastAsia="zh-CN" w:bidi="ar"/>
                    </w:rPr>
                  </w:pPr>
                  <w:r>
                    <w:rPr>
                      <w:rFonts w:hint="eastAsia" w:cs="Times New Roman"/>
                      <w:b/>
                      <w:bCs/>
                      <w:color w:val="auto"/>
                      <w:kern w:val="0"/>
                      <w:szCs w:val="21"/>
                      <w:highlight w:val="none"/>
                      <w:lang w:val="en-US" w:eastAsia="zh-CN" w:bidi="ar"/>
                    </w:rPr>
                    <w:t>一、实验耗材</w:t>
                  </w:r>
                </w:p>
              </w:tc>
            </w:tr>
            <w:tr w14:paraId="18EADD6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EF48917">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w:t>
                  </w:r>
                </w:p>
              </w:tc>
              <w:tc>
                <w:tcPr>
                  <w:tcW w:w="1695" w:type="pct"/>
                  <w:tcBorders>
                    <w:tl2br w:val="nil"/>
                    <w:tr2bl w:val="nil"/>
                  </w:tcBorders>
                  <w:shd w:val="clear" w:color="auto" w:fill="auto"/>
                  <w:vAlign w:val="center"/>
                </w:tcPr>
                <w:p w14:paraId="32E07F22">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三角烧瓶</w:t>
                  </w:r>
                </w:p>
              </w:tc>
              <w:tc>
                <w:tcPr>
                  <w:tcW w:w="1933" w:type="pct"/>
                  <w:tcBorders>
                    <w:tl2br w:val="nil"/>
                    <w:tr2bl w:val="nil"/>
                  </w:tcBorders>
                  <w:shd w:val="clear" w:color="auto" w:fill="auto"/>
                  <w:vAlign w:val="center"/>
                </w:tcPr>
                <w:p w14:paraId="2A7912A8">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500mL、150mL、50mL</w:t>
                  </w:r>
                </w:p>
              </w:tc>
              <w:tc>
                <w:tcPr>
                  <w:tcW w:w="642" w:type="pct"/>
                  <w:tcBorders>
                    <w:tl2br w:val="nil"/>
                    <w:tr2bl w:val="nil"/>
                  </w:tcBorders>
                  <w:shd w:val="clear" w:color="auto" w:fill="auto"/>
                  <w:vAlign w:val="center"/>
                </w:tcPr>
                <w:p w14:paraId="6543C8D1">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50个</w:t>
                  </w:r>
                </w:p>
              </w:tc>
              <w:tc>
                <w:tcPr>
                  <w:tcW w:w="423" w:type="pct"/>
                  <w:tcBorders>
                    <w:tl2br w:val="nil"/>
                    <w:tr2bl w:val="nil"/>
                  </w:tcBorders>
                  <w:shd w:val="clear" w:color="auto" w:fill="auto"/>
                  <w:vAlign w:val="center"/>
                </w:tcPr>
                <w:p w14:paraId="43B29F0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0C9675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340B70C">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w:t>
                  </w:r>
                </w:p>
              </w:tc>
              <w:tc>
                <w:tcPr>
                  <w:tcW w:w="1695" w:type="pct"/>
                  <w:tcBorders>
                    <w:tl2br w:val="nil"/>
                    <w:tr2bl w:val="nil"/>
                  </w:tcBorders>
                  <w:shd w:val="clear" w:color="auto" w:fill="auto"/>
                  <w:vAlign w:val="center"/>
                </w:tcPr>
                <w:p w14:paraId="260BB97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洗耳球</w:t>
                  </w:r>
                </w:p>
              </w:tc>
              <w:tc>
                <w:tcPr>
                  <w:tcW w:w="1933" w:type="pct"/>
                  <w:tcBorders>
                    <w:tl2br w:val="nil"/>
                    <w:tr2bl w:val="nil"/>
                  </w:tcBorders>
                  <w:shd w:val="clear" w:color="auto" w:fill="auto"/>
                  <w:vAlign w:val="center"/>
                </w:tcPr>
                <w:p w14:paraId="49357F98">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76F45961">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5个</w:t>
                  </w:r>
                </w:p>
              </w:tc>
              <w:tc>
                <w:tcPr>
                  <w:tcW w:w="423" w:type="pct"/>
                  <w:tcBorders>
                    <w:tl2br w:val="nil"/>
                    <w:tr2bl w:val="nil"/>
                  </w:tcBorders>
                  <w:shd w:val="clear" w:color="auto" w:fill="auto"/>
                  <w:vAlign w:val="center"/>
                </w:tcPr>
                <w:p w14:paraId="34B6D50B">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A179E6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65D3F94">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3</w:t>
                  </w:r>
                </w:p>
              </w:tc>
              <w:tc>
                <w:tcPr>
                  <w:tcW w:w="1695" w:type="pct"/>
                  <w:tcBorders>
                    <w:tl2br w:val="nil"/>
                    <w:tr2bl w:val="nil"/>
                  </w:tcBorders>
                  <w:shd w:val="clear" w:color="auto" w:fill="auto"/>
                  <w:vAlign w:val="center"/>
                </w:tcPr>
                <w:p w14:paraId="7BA19700">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酒精灯</w:t>
                  </w:r>
                </w:p>
              </w:tc>
              <w:tc>
                <w:tcPr>
                  <w:tcW w:w="1933" w:type="pct"/>
                  <w:tcBorders>
                    <w:tl2br w:val="nil"/>
                    <w:tr2bl w:val="nil"/>
                  </w:tcBorders>
                  <w:shd w:val="clear" w:color="auto" w:fill="auto"/>
                  <w:vAlign w:val="center"/>
                </w:tcPr>
                <w:p w14:paraId="5F8D846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317D688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5个</w:t>
                  </w:r>
                </w:p>
              </w:tc>
              <w:tc>
                <w:tcPr>
                  <w:tcW w:w="423" w:type="pct"/>
                  <w:tcBorders>
                    <w:tl2br w:val="nil"/>
                    <w:tr2bl w:val="nil"/>
                  </w:tcBorders>
                  <w:shd w:val="clear" w:color="auto" w:fill="auto"/>
                  <w:vAlign w:val="center"/>
                </w:tcPr>
                <w:p w14:paraId="4C28D749">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3F811F0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1B0308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4</w:t>
                  </w:r>
                </w:p>
              </w:tc>
              <w:tc>
                <w:tcPr>
                  <w:tcW w:w="1695" w:type="pct"/>
                  <w:tcBorders>
                    <w:tl2br w:val="nil"/>
                    <w:tr2bl w:val="nil"/>
                  </w:tcBorders>
                  <w:shd w:val="clear" w:color="auto" w:fill="auto"/>
                  <w:vAlign w:val="center"/>
                </w:tcPr>
                <w:p w14:paraId="13281CF0">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玻璃试管</w:t>
                  </w:r>
                </w:p>
              </w:tc>
              <w:tc>
                <w:tcPr>
                  <w:tcW w:w="1933" w:type="pct"/>
                  <w:tcBorders>
                    <w:tl2br w:val="nil"/>
                    <w:tr2bl w:val="nil"/>
                  </w:tcBorders>
                  <w:shd w:val="clear" w:color="auto" w:fill="auto"/>
                  <w:vAlign w:val="center"/>
                </w:tcPr>
                <w:p w14:paraId="496E1386">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2A06B4C5">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300支</w:t>
                  </w:r>
                </w:p>
              </w:tc>
              <w:tc>
                <w:tcPr>
                  <w:tcW w:w="423" w:type="pct"/>
                  <w:tcBorders>
                    <w:tl2br w:val="nil"/>
                    <w:tr2bl w:val="nil"/>
                  </w:tcBorders>
                  <w:shd w:val="clear" w:color="auto" w:fill="auto"/>
                  <w:vAlign w:val="center"/>
                </w:tcPr>
                <w:p w14:paraId="2A70DD2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7A513A9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9F00DB4">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w:t>
                  </w:r>
                </w:p>
              </w:tc>
              <w:tc>
                <w:tcPr>
                  <w:tcW w:w="1695" w:type="pct"/>
                  <w:tcBorders>
                    <w:tl2br w:val="nil"/>
                    <w:tr2bl w:val="nil"/>
                  </w:tcBorders>
                  <w:shd w:val="clear" w:color="auto" w:fill="auto"/>
                  <w:vAlign w:val="center"/>
                </w:tcPr>
                <w:p w14:paraId="742AD6BC">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灭菌棉拭子</w:t>
                  </w:r>
                </w:p>
              </w:tc>
              <w:tc>
                <w:tcPr>
                  <w:tcW w:w="1933" w:type="pct"/>
                  <w:tcBorders>
                    <w:tl2br w:val="nil"/>
                    <w:tr2bl w:val="nil"/>
                  </w:tcBorders>
                  <w:shd w:val="clear" w:color="auto" w:fill="auto"/>
                  <w:vAlign w:val="center"/>
                </w:tcPr>
                <w:p w14:paraId="4050B651">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4D809D4F">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1000根</w:t>
                  </w:r>
                </w:p>
              </w:tc>
              <w:tc>
                <w:tcPr>
                  <w:tcW w:w="423" w:type="pct"/>
                  <w:tcBorders>
                    <w:tl2br w:val="nil"/>
                    <w:tr2bl w:val="nil"/>
                  </w:tcBorders>
                  <w:shd w:val="clear" w:color="auto" w:fill="auto"/>
                  <w:vAlign w:val="center"/>
                </w:tcPr>
                <w:p w14:paraId="3B5C71E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59F1129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B98BA86">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6</w:t>
                  </w:r>
                </w:p>
              </w:tc>
              <w:tc>
                <w:tcPr>
                  <w:tcW w:w="1695" w:type="pct"/>
                  <w:tcBorders>
                    <w:tl2br w:val="nil"/>
                    <w:tr2bl w:val="nil"/>
                  </w:tcBorders>
                  <w:shd w:val="clear" w:color="auto" w:fill="auto"/>
                  <w:vAlign w:val="center"/>
                </w:tcPr>
                <w:p w14:paraId="61FA9798">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pH试纸</w:t>
                  </w:r>
                </w:p>
              </w:tc>
              <w:tc>
                <w:tcPr>
                  <w:tcW w:w="1933" w:type="pct"/>
                  <w:tcBorders>
                    <w:tl2br w:val="nil"/>
                    <w:tr2bl w:val="nil"/>
                  </w:tcBorders>
                  <w:shd w:val="clear" w:color="auto" w:fill="auto"/>
                  <w:vAlign w:val="center"/>
                </w:tcPr>
                <w:p w14:paraId="629EE083">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0CDDF7A6">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1盒</w:t>
                  </w:r>
                </w:p>
              </w:tc>
              <w:tc>
                <w:tcPr>
                  <w:tcW w:w="423" w:type="pct"/>
                  <w:tcBorders>
                    <w:tl2br w:val="nil"/>
                    <w:tr2bl w:val="nil"/>
                  </w:tcBorders>
                  <w:shd w:val="clear" w:color="auto" w:fill="auto"/>
                  <w:vAlign w:val="center"/>
                </w:tcPr>
                <w:p w14:paraId="55E1A75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7E294D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4FE1BF72">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7</w:t>
                  </w:r>
                </w:p>
              </w:tc>
              <w:tc>
                <w:tcPr>
                  <w:tcW w:w="1695" w:type="pct"/>
                  <w:tcBorders>
                    <w:tl2br w:val="nil"/>
                    <w:tr2bl w:val="nil"/>
                  </w:tcBorders>
                  <w:shd w:val="clear" w:color="auto" w:fill="auto"/>
                  <w:vAlign w:val="center"/>
                </w:tcPr>
                <w:p w14:paraId="3558791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塑料烧杯</w:t>
                  </w:r>
                </w:p>
              </w:tc>
              <w:tc>
                <w:tcPr>
                  <w:tcW w:w="1933" w:type="pct"/>
                  <w:tcBorders>
                    <w:tl2br w:val="nil"/>
                    <w:tr2bl w:val="nil"/>
                  </w:tcBorders>
                  <w:shd w:val="clear" w:color="auto" w:fill="auto"/>
                  <w:vAlign w:val="center"/>
                </w:tcPr>
                <w:p w14:paraId="28D359AA">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50mL、100mL</w:t>
                  </w:r>
                </w:p>
              </w:tc>
              <w:tc>
                <w:tcPr>
                  <w:tcW w:w="642" w:type="pct"/>
                  <w:tcBorders>
                    <w:tl2br w:val="nil"/>
                    <w:tr2bl w:val="nil"/>
                  </w:tcBorders>
                  <w:shd w:val="clear" w:color="auto" w:fill="auto"/>
                  <w:vAlign w:val="center"/>
                </w:tcPr>
                <w:p w14:paraId="6D9AA24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20个</w:t>
                  </w:r>
                </w:p>
              </w:tc>
              <w:tc>
                <w:tcPr>
                  <w:tcW w:w="423" w:type="pct"/>
                  <w:tcBorders>
                    <w:tl2br w:val="nil"/>
                    <w:tr2bl w:val="nil"/>
                  </w:tcBorders>
                  <w:shd w:val="clear" w:color="auto" w:fill="auto"/>
                  <w:vAlign w:val="center"/>
                </w:tcPr>
                <w:p w14:paraId="386A8AB9">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710855E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0279B4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8</w:t>
                  </w:r>
                </w:p>
              </w:tc>
              <w:tc>
                <w:tcPr>
                  <w:tcW w:w="1695" w:type="pct"/>
                  <w:tcBorders>
                    <w:tl2br w:val="nil"/>
                    <w:tr2bl w:val="nil"/>
                  </w:tcBorders>
                  <w:shd w:val="clear" w:color="auto" w:fill="auto"/>
                  <w:vAlign w:val="center"/>
                </w:tcPr>
                <w:p w14:paraId="2784F34E">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试管</w:t>
                  </w:r>
                </w:p>
              </w:tc>
              <w:tc>
                <w:tcPr>
                  <w:tcW w:w="1933" w:type="pct"/>
                  <w:tcBorders>
                    <w:tl2br w:val="nil"/>
                    <w:tr2bl w:val="nil"/>
                  </w:tcBorders>
                  <w:shd w:val="clear" w:color="auto" w:fill="auto"/>
                  <w:vAlign w:val="center"/>
                </w:tcPr>
                <w:p w14:paraId="4179B4CD">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1F92E97E">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100支</w:t>
                  </w:r>
                </w:p>
              </w:tc>
              <w:tc>
                <w:tcPr>
                  <w:tcW w:w="423" w:type="pct"/>
                  <w:tcBorders>
                    <w:tl2br w:val="nil"/>
                    <w:tr2bl w:val="nil"/>
                  </w:tcBorders>
                  <w:shd w:val="clear" w:color="auto" w:fill="auto"/>
                  <w:vAlign w:val="center"/>
                </w:tcPr>
                <w:p w14:paraId="7603A95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3C72AEA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FF4C152">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9</w:t>
                  </w:r>
                </w:p>
              </w:tc>
              <w:tc>
                <w:tcPr>
                  <w:tcW w:w="1695" w:type="pct"/>
                  <w:tcBorders>
                    <w:tl2br w:val="nil"/>
                    <w:tr2bl w:val="nil"/>
                  </w:tcBorders>
                  <w:shd w:val="clear" w:color="auto" w:fill="auto"/>
                  <w:vAlign w:val="center"/>
                </w:tcPr>
                <w:p w14:paraId="278D96F5">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试剂瓶</w:t>
                  </w:r>
                </w:p>
              </w:tc>
              <w:tc>
                <w:tcPr>
                  <w:tcW w:w="1933" w:type="pct"/>
                  <w:tcBorders>
                    <w:tl2br w:val="nil"/>
                    <w:tr2bl w:val="nil"/>
                  </w:tcBorders>
                  <w:shd w:val="clear" w:color="auto" w:fill="auto"/>
                  <w:vAlign w:val="center"/>
                </w:tcPr>
                <w:p w14:paraId="1E14FEBA">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100mL、250mL、500mL</w:t>
                  </w:r>
                </w:p>
              </w:tc>
              <w:tc>
                <w:tcPr>
                  <w:tcW w:w="642" w:type="pct"/>
                  <w:tcBorders>
                    <w:tl2br w:val="nil"/>
                    <w:tr2bl w:val="nil"/>
                  </w:tcBorders>
                  <w:shd w:val="clear" w:color="auto" w:fill="auto"/>
                  <w:vAlign w:val="center"/>
                </w:tcPr>
                <w:p w14:paraId="049E1106">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180个</w:t>
                  </w:r>
                </w:p>
              </w:tc>
              <w:tc>
                <w:tcPr>
                  <w:tcW w:w="423" w:type="pct"/>
                  <w:tcBorders>
                    <w:tl2br w:val="nil"/>
                    <w:tr2bl w:val="nil"/>
                  </w:tcBorders>
                  <w:shd w:val="clear" w:color="auto" w:fill="auto"/>
                  <w:vAlign w:val="center"/>
                </w:tcPr>
                <w:p w14:paraId="44223D0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6004272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C92A921">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10</w:t>
                  </w:r>
                </w:p>
              </w:tc>
              <w:tc>
                <w:tcPr>
                  <w:tcW w:w="1695" w:type="pct"/>
                  <w:tcBorders>
                    <w:tl2br w:val="nil"/>
                    <w:tr2bl w:val="nil"/>
                  </w:tcBorders>
                  <w:shd w:val="clear" w:color="auto" w:fill="auto"/>
                  <w:vAlign w:val="center"/>
                </w:tcPr>
                <w:p w14:paraId="0D82F35C">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灭菌吸管</w:t>
                  </w:r>
                </w:p>
              </w:tc>
              <w:tc>
                <w:tcPr>
                  <w:tcW w:w="1933" w:type="pct"/>
                  <w:tcBorders>
                    <w:tl2br w:val="nil"/>
                    <w:tr2bl w:val="nil"/>
                  </w:tcBorders>
                  <w:shd w:val="clear" w:color="auto" w:fill="auto"/>
                  <w:vAlign w:val="center"/>
                </w:tcPr>
                <w:p w14:paraId="19E2BBB2">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1mL、5mL、10mL</w:t>
                  </w:r>
                </w:p>
              </w:tc>
              <w:tc>
                <w:tcPr>
                  <w:tcW w:w="642" w:type="pct"/>
                  <w:tcBorders>
                    <w:tl2br w:val="nil"/>
                    <w:tr2bl w:val="nil"/>
                  </w:tcBorders>
                  <w:shd w:val="clear" w:color="auto" w:fill="auto"/>
                  <w:vAlign w:val="center"/>
                </w:tcPr>
                <w:p w14:paraId="3373C23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150支</w:t>
                  </w:r>
                </w:p>
              </w:tc>
              <w:tc>
                <w:tcPr>
                  <w:tcW w:w="423" w:type="pct"/>
                  <w:tcBorders>
                    <w:tl2br w:val="nil"/>
                    <w:tr2bl w:val="nil"/>
                  </w:tcBorders>
                  <w:shd w:val="clear" w:color="auto" w:fill="auto"/>
                  <w:vAlign w:val="center"/>
                </w:tcPr>
                <w:p w14:paraId="24802037">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869450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C875F7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11</w:t>
                  </w:r>
                </w:p>
              </w:tc>
              <w:tc>
                <w:tcPr>
                  <w:tcW w:w="1695" w:type="pct"/>
                  <w:tcBorders>
                    <w:tl2br w:val="nil"/>
                    <w:tr2bl w:val="nil"/>
                  </w:tcBorders>
                  <w:shd w:val="clear" w:color="auto" w:fill="auto"/>
                  <w:vAlign w:val="center"/>
                </w:tcPr>
                <w:p w14:paraId="407D9EB9">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量筒</w:t>
                  </w:r>
                </w:p>
              </w:tc>
              <w:tc>
                <w:tcPr>
                  <w:tcW w:w="1933" w:type="pct"/>
                  <w:tcBorders>
                    <w:tl2br w:val="nil"/>
                    <w:tr2bl w:val="nil"/>
                  </w:tcBorders>
                  <w:shd w:val="clear" w:color="auto" w:fill="auto"/>
                  <w:vAlign w:val="center"/>
                </w:tcPr>
                <w:p w14:paraId="66CE5852">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100mL、250mL、500mL</w:t>
                  </w:r>
                </w:p>
              </w:tc>
              <w:tc>
                <w:tcPr>
                  <w:tcW w:w="642" w:type="pct"/>
                  <w:tcBorders>
                    <w:tl2br w:val="nil"/>
                    <w:tr2bl w:val="nil"/>
                  </w:tcBorders>
                  <w:shd w:val="clear" w:color="auto" w:fill="auto"/>
                  <w:vAlign w:val="center"/>
                </w:tcPr>
                <w:p w14:paraId="06FC3C61">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12个</w:t>
                  </w:r>
                </w:p>
              </w:tc>
              <w:tc>
                <w:tcPr>
                  <w:tcW w:w="423" w:type="pct"/>
                  <w:tcBorders>
                    <w:tl2br w:val="nil"/>
                    <w:tr2bl w:val="nil"/>
                  </w:tcBorders>
                  <w:shd w:val="clear" w:color="auto" w:fill="auto"/>
                  <w:vAlign w:val="center"/>
                </w:tcPr>
                <w:p w14:paraId="127ABE30">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42E51F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4D26965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12</w:t>
                  </w:r>
                </w:p>
              </w:tc>
              <w:tc>
                <w:tcPr>
                  <w:tcW w:w="1695" w:type="pct"/>
                  <w:tcBorders>
                    <w:tl2br w:val="nil"/>
                    <w:tr2bl w:val="nil"/>
                  </w:tcBorders>
                  <w:shd w:val="clear" w:color="auto" w:fill="auto"/>
                  <w:vAlign w:val="center"/>
                </w:tcPr>
                <w:p w14:paraId="5A434261">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具塞比色管</w:t>
                  </w:r>
                </w:p>
              </w:tc>
              <w:tc>
                <w:tcPr>
                  <w:tcW w:w="1933" w:type="pct"/>
                  <w:tcBorders>
                    <w:tl2br w:val="nil"/>
                    <w:tr2bl w:val="nil"/>
                  </w:tcBorders>
                  <w:shd w:val="clear" w:color="auto" w:fill="auto"/>
                  <w:vAlign w:val="center"/>
                </w:tcPr>
                <w:p w14:paraId="3F91F232">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100mL、50mL、25mL、10mL</w:t>
                  </w:r>
                </w:p>
              </w:tc>
              <w:tc>
                <w:tcPr>
                  <w:tcW w:w="642" w:type="pct"/>
                  <w:tcBorders>
                    <w:tl2br w:val="nil"/>
                    <w:tr2bl w:val="nil"/>
                  </w:tcBorders>
                  <w:shd w:val="clear" w:color="auto" w:fill="auto"/>
                  <w:vAlign w:val="center"/>
                </w:tcPr>
                <w:p w14:paraId="48B2CB9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10组</w:t>
                  </w:r>
                </w:p>
              </w:tc>
              <w:tc>
                <w:tcPr>
                  <w:tcW w:w="423" w:type="pct"/>
                  <w:tcBorders>
                    <w:tl2br w:val="nil"/>
                    <w:tr2bl w:val="nil"/>
                  </w:tcBorders>
                  <w:shd w:val="clear" w:color="auto" w:fill="auto"/>
                  <w:vAlign w:val="center"/>
                </w:tcPr>
                <w:p w14:paraId="48310DFC">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424CA1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2EF8CBE">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13</w:t>
                  </w:r>
                </w:p>
              </w:tc>
              <w:tc>
                <w:tcPr>
                  <w:tcW w:w="1695" w:type="pct"/>
                  <w:tcBorders>
                    <w:tl2br w:val="nil"/>
                    <w:tr2bl w:val="nil"/>
                  </w:tcBorders>
                  <w:shd w:val="clear" w:color="auto" w:fill="auto"/>
                  <w:vAlign w:val="center"/>
                </w:tcPr>
                <w:p w14:paraId="2C4AB9B3">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灭菌滤膜</w:t>
                  </w:r>
                </w:p>
              </w:tc>
              <w:tc>
                <w:tcPr>
                  <w:tcW w:w="1933" w:type="pct"/>
                  <w:tcBorders>
                    <w:tl2br w:val="nil"/>
                    <w:tr2bl w:val="nil"/>
                  </w:tcBorders>
                  <w:shd w:val="clear" w:color="auto" w:fill="auto"/>
                  <w:vAlign w:val="center"/>
                </w:tcPr>
                <w:p w14:paraId="46A90665">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55FDFB04">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1盒</w:t>
                  </w:r>
                </w:p>
              </w:tc>
              <w:tc>
                <w:tcPr>
                  <w:tcW w:w="423" w:type="pct"/>
                  <w:tcBorders>
                    <w:tl2br w:val="nil"/>
                    <w:tr2bl w:val="nil"/>
                  </w:tcBorders>
                  <w:shd w:val="clear" w:color="auto" w:fill="auto"/>
                  <w:vAlign w:val="center"/>
                </w:tcPr>
                <w:p w14:paraId="7A51FC23">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D84494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4F97899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14</w:t>
                  </w:r>
                </w:p>
              </w:tc>
              <w:tc>
                <w:tcPr>
                  <w:tcW w:w="1695" w:type="pct"/>
                  <w:tcBorders>
                    <w:tl2br w:val="nil"/>
                    <w:tr2bl w:val="nil"/>
                  </w:tcBorders>
                  <w:shd w:val="clear" w:color="auto" w:fill="auto"/>
                  <w:vAlign w:val="center"/>
                </w:tcPr>
                <w:p w14:paraId="2DAF93B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容量瓶</w:t>
                  </w:r>
                </w:p>
              </w:tc>
              <w:tc>
                <w:tcPr>
                  <w:tcW w:w="1933" w:type="pct"/>
                  <w:tcBorders>
                    <w:tl2br w:val="nil"/>
                    <w:tr2bl w:val="nil"/>
                  </w:tcBorders>
                  <w:shd w:val="clear" w:color="auto" w:fill="auto"/>
                  <w:vAlign w:val="center"/>
                </w:tcPr>
                <w:p w14:paraId="1064982F">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50mL、100mL、200mL、250mL、500mL、1000mL</w:t>
                  </w:r>
                </w:p>
              </w:tc>
              <w:tc>
                <w:tcPr>
                  <w:tcW w:w="642" w:type="pct"/>
                  <w:tcBorders>
                    <w:tl2br w:val="nil"/>
                    <w:tr2bl w:val="nil"/>
                  </w:tcBorders>
                  <w:shd w:val="clear" w:color="auto" w:fill="auto"/>
                  <w:vAlign w:val="center"/>
                </w:tcPr>
                <w:p w14:paraId="2D81EFE8">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37个</w:t>
                  </w:r>
                </w:p>
              </w:tc>
              <w:tc>
                <w:tcPr>
                  <w:tcW w:w="423" w:type="pct"/>
                  <w:tcBorders>
                    <w:tl2br w:val="nil"/>
                    <w:tr2bl w:val="nil"/>
                  </w:tcBorders>
                  <w:shd w:val="clear" w:color="auto" w:fill="auto"/>
                  <w:vAlign w:val="center"/>
                </w:tcPr>
                <w:p w14:paraId="74A14A7E">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2618E7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A35FEF5">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15</w:t>
                  </w:r>
                </w:p>
              </w:tc>
              <w:tc>
                <w:tcPr>
                  <w:tcW w:w="1695" w:type="pct"/>
                  <w:tcBorders>
                    <w:tl2br w:val="nil"/>
                    <w:tr2bl w:val="nil"/>
                  </w:tcBorders>
                  <w:shd w:val="clear" w:color="auto" w:fill="auto"/>
                  <w:vAlign w:val="center"/>
                </w:tcPr>
                <w:p w14:paraId="6FBA558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移液管</w:t>
                  </w:r>
                </w:p>
              </w:tc>
              <w:tc>
                <w:tcPr>
                  <w:tcW w:w="1933" w:type="pct"/>
                  <w:tcBorders>
                    <w:tl2br w:val="nil"/>
                    <w:tr2bl w:val="nil"/>
                  </w:tcBorders>
                  <w:shd w:val="clear" w:color="auto" w:fill="auto"/>
                  <w:vAlign w:val="center"/>
                </w:tcPr>
                <w:p w14:paraId="334A6D4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0C860F41">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22支</w:t>
                  </w:r>
                </w:p>
              </w:tc>
              <w:tc>
                <w:tcPr>
                  <w:tcW w:w="423" w:type="pct"/>
                  <w:tcBorders>
                    <w:tl2br w:val="nil"/>
                    <w:tr2bl w:val="nil"/>
                  </w:tcBorders>
                  <w:shd w:val="clear" w:color="auto" w:fill="auto"/>
                  <w:vAlign w:val="center"/>
                </w:tcPr>
                <w:p w14:paraId="153FA70D">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5602BB9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348B25F">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16</w:t>
                  </w:r>
                </w:p>
              </w:tc>
              <w:tc>
                <w:tcPr>
                  <w:tcW w:w="1695" w:type="pct"/>
                  <w:tcBorders>
                    <w:tl2br w:val="nil"/>
                    <w:tr2bl w:val="nil"/>
                  </w:tcBorders>
                  <w:shd w:val="clear" w:color="auto" w:fill="auto"/>
                  <w:vAlign w:val="center"/>
                </w:tcPr>
                <w:p w14:paraId="2D061E5E">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玻璃烧杯</w:t>
                  </w:r>
                </w:p>
              </w:tc>
              <w:tc>
                <w:tcPr>
                  <w:tcW w:w="1933" w:type="pct"/>
                  <w:tcBorders>
                    <w:tl2br w:val="nil"/>
                    <w:tr2bl w:val="nil"/>
                  </w:tcBorders>
                  <w:shd w:val="clear" w:color="auto" w:fill="auto"/>
                  <w:vAlign w:val="center"/>
                </w:tcPr>
                <w:p w14:paraId="175DB0E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100mL、250mL、500mL、1000mL</w:t>
                  </w:r>
                </w:p>
              </w:tc>
              <w:tc>
                <w:tcPr>
                  <w:tcW w:w="642" w:type="pct"/>
                  <w:tcBorders>
                    <w:tl2br w:val="nil"/>
                    <w:tr2bl w:val="nil"/>
                  </w:tcBorders>
                  <w:shd w:val="clear" w:color="auto" w:fill="auto"/>
                  <w:vAlign w:val="center"/>
                </w:tcPr>
                <w:p w14:paraId="095767E1">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95个</w:t>
                  </w:r>
                </w:p>
              </w:tc>
              <w:tc>
                <w:tcPr>
                  <w:tcW w:w="423" w:type="pct"/>
                  <w:tcBorders>
                    <w:tl2br w:val="nil"/>
                    <w:tr2bl w:val="nil"/>
                  </w:tcBorders>
                  <w:shd w:val="clear" w:color="auto" w:fill="auto"/>
                  <w:vAlign w:val="center"/>
                </w:tcPr>
                <w:p w14:paraId="0C54903C">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77D63C19">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FB46DFD">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17</w:t>
                  </w:r>
                </w:p>
              </w:tc>
              <w:tc>
                <w:tcPr>
                  <w:tcW w:w="1695" w:type="pct"/>
                  <w:tcBorders>
                    <w:tl2br w:val="nil"/>
                    <w:tr2bl w:val="nil"/>
                  </w:tcBorders>
                  <w:shd w:val="clear" w:color="auto" w:fill="auto"/>
                  <w:vAlign w:val="center"/>
                </w:tcPr>
                <w:p w14:paraId="43EF2D7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酸滴定管</w:t>
                  </w:r>
                </w:p>
              </w:tc>
              <w:tc>
                <w:tcPr>
                  <w:tcW w:w="1933" w:type="pct"/>
                  <w:tcBorders>
                    <w:tl2br w:val="nil"/>
                    <w:tr2bl w:val="nil"/>
                  </w:tcBorders>
                  <w:shd w:val="clear" w:color="auto" w:fill="auto"/>
                  <w:vAlign w:val="center"/>
                </w:tcPr>
                <w:p w14:paraId="120F22DE">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50mL</w:t>
                  </w:r>
                </w:p>
              </w:tc>
              <w:tc>
                <w:tcPr>
                  <w:tcW w:w="642" w:type="pct"/>
                  <w:tcBorders>
                    <w:tl2br w:val="nil"/>
                    <w:tr2bl w:val="nil"/>
                  </w:tcBorders>
                  <w:shd w:val="clear" w:color="auto" w:fill="auto"/>
                  <w:vAlign w:val="center"/>
                </w:tcPr>
                <w:p w14:paraId="00D8FFF3">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2根</w:t>
                  </w:r>
                </w:p>
              </w:tc>
              <w:tc>
                <w:tcPr>
                  <w:tcW w:w="423" w:type="pct"/>
                  <w:tcBorders>
                    <w:tl2br w:val="nil"/>
                    <w:tr2bl w:val="nil"/>
                  </w:tcBorders>
                  <w:shd w:val="clear" w:color="auto" w:fill="auto"/>
                  <w:vAlign w:val="center"/>
                </w:tcPr>
                <w:p w14:paraId="3A6D6796">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71FBB9A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B7CAE7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18</w:t>
                  </w:r>
                </w:p>
              </w:tc>
              <w:tc>
                <w:tcPr>
                  <w:tcW w:w="1695" w:type="pct"/>
                  <w:tcBorders>
                    <w:tl2br w:val="nil"/>
                    <w:tr2bl w:val="nil"/>
                  </w:tcBorders>
                  <w:shd w:val="clear" w:color="auto" w:fill="auto"/>
                  <w:vAlign w:val="center"/>
                </w:tcPr>
                <w:p w14:paraId="1AD7C7A3">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碱滴定管</w:t>
                  </w:r>
                </w:p>
              </w:tc>
              <w:tc>
                <w:tcPr>
                  <w:tcW w:w="1933" w:type="pct"/>
                  <w:tcBorders>
                    <w:tl2br w:val="nil"/>
                    <w:tr2bl w:val="nil"/>
                  </w:tcBorders>
                  <w:shd w:val="clear" w:color="auto" w:fill="auto"/>
                  <w:vAlign w:val="center"/>
                </w:tcPr>
                <w:p w14:paraId="11B5B0F0">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50mL</w:t>
                  </w:r>
                </w:p>
              </w:tc>
              <w:tc>
                <w:tcPr>
                  <w:tcW w:w="642" w:type="pct"/>
                  <w:tcBorders>
                    <w:tl2br w:val="nil"/>
                    <w:tr2bl w:val="nil"/>
                  </w:tcBorders>
                  <w:shd w:val="clear" w:color="auto" w:fill="auto"/>
                  <w:vAlign w:val="center"/>
                </w:tcPr>
                <w:p w14:paraId="4F9F5F6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2根</w:t>
                  </w:r>
                </w:p>
              </w:tc>
              <w:tc>
                <w:tcPr>
                  <w:tcW w:w="423" w:type="pct"/>
                  <w:tcBorders>
                    <w:tl2br w:val="nil"/>
                    <w:tr2bl w:val="nil"/>
                  </w:tcBorders>
                  <w:shd w:val="clear" w:color="auto" w:fill="auto"/>
                  <w:vAlign w:val="center"/>
                </w:tcPr>
                <w:p w14:paraId="5FEF9A22">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DB398C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657A94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19</w:t>
                  </w:r>
                </w:p>
              </w:tc>
              <w:tc>
                <w:tcPr>
                  <w:tcW w:w="1695" w:type="pct"/>
                  <w:tcBorders>
                    <w:tl2br w:val="nil"/>
                    <w:tr2bl w:val="nil"/>
                  </w:tcBorders>
                  <w:shd w:val="clear" w:color="auto" w:fill="auto"/>
                  <w:vAlign w:val="center"/>
                </w:tcPr>
                <w:p w14:paraId="54FC32C3">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比色皿</w:t>
                  </w:r>
                </w:p>
              </w:tc>
              <w:tc>
                <w:tcPr>
                  <w:tcW w:w="1933" w:type="pct"/>
                  <w:tcBorders>
                    <w:tl2br w:val="nil"/>
                    <w:tr2bl w:val="nil"/>
                  </w:tcBorders>
                  <w:shd w:val="clear" w:color="auto" w:fill="auto"/>
                  <w:vAlign w:val="center"/>
                </w:tcPr>
                <w:p w14:paraId="12CF90C1">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2mL、3mL</w:t>
                  </w:r>
                </w:p>
              </w:tc>
              <w:tc>
                <w:tcPr>
                  <w:tcW w:w="642" w:type="pct"/>
                  <w:tcBorders>
                    <w:tl2br w:val="nil"/>
                    <w:tr2bl w:val="nil"/>
                  </w:tcBorders>
                  <w:shd w:val="clear" w:color="auto" w:fill="auto"/>
                  <w:vAlign w:val="center"/>
                </w:tcPr>
                <w:p w14:paraId="1DF2ED6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4个</w:t>
                  </w:r>
                </w:p>
              </w:tc>
              <w:tc>
                <w:tcPr>
                  <w:tcW w:w="423" w:type="pct"/>
                  <w:tcBorders>
                    <w:tl2br w:val="nil"/>
                    <w:tr2bl w:val="nil"/>
                  </w:tcBorders>
                  <w:shd w:val="clear" w:color="auto" w:fill="auto"/>
                  <w:vAlign w:val="center"/>
                </w:tcPr>
                <w:p w14:paraId="326235B9">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EDBEA5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3853A33">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20</w:t>
                  </w:r>
                </w:p>
              </w:tc>
              <w:tc>
                <w:tcPr>
                  <w:tcW w:w="1695" w:type="pct"/>
                  <w:tcBorders>
                    <w:tl2br w:val="nil"/>
                    <w:tr2bl w:val="nil"/>
                  </w:tcBorders>
                  <w:shd w:val="clear" w:color="auto" w:fill="auto"/>
                  <w:vAlign w:val="center"/>
                </w:tcPr>
                <w:p w14:paraId="186B5150">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比色管</w:t>
                  </w:r>
                </w:p>
              </w:tc>
              <w:tc>
                <w:tcPr>
                  <w:tcW w:w="1933" w:type="pct"/>
                  <w:tcBorders>
                    <w:tl2br w:val="nil"/>
                    <w:tr2bl w:val="nil"/>
                  </w:tcBorders>
                  <w:shd w:val="clear" w:color="auto" w:fill="auto"/>
                  <w:vAlign w:val="center"/>
                </w:tcPr>
                <w:p w14:paraId="78837C6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10mL、50mL</w:t>
                  </w:r>
                </w:p>
              </w:tc>
              <w:tc>
                <w:tcPr>
                  <w:tcW w:w="642" w:type="pct"/>
                  <w:tcBorders>
                    <w:tl2br w:val="nil"/>
                    <w:tr2bl w:val="nil"/>
                  </w:tcBorders>
                  <w:shd w:val="clear" w:color="auto" w:fill="auto"/>
                  <w:vAlign w:val="center"/>
                </w:tcPr>
                <w:p w14:paraId="1CA06823">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9盒</w:t>
                  </w:r>
                </w:p>
              </w:tc>
              <w:tc>
                <w:tcPr>
                  <w:tcW w:w="423" w:type="pct"/>
                  <w:tcBorders>
                    <w:tl2br w:val="nil"/>
                    <w:tr2bl w:val="nil"/>
                  </w:tcBorders>
                  <w:shd w:val="clear" w:color="auto" w:fill="auto"/>
                  <w:vAlign w:val="center"/>
                </w:tcPr>
                <w:p w14:paraId="4793BF7C">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2A242B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11BDC1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21</w:t>
                  </w:r>
                </w:p>
              </w:tc>
              <w:tc>
                <w:tcPr>
                  <w:tcW w:w="1695" w:type="pct"/>
                  <w:tcBorders>
                    <w:tl2br w:val="nil"/>
                    <w:tr2bl w:val="nil"/>
                  </w:tcBorders>
                  <w:shd w:val="clear" w:color="auto" w:fill="auto"/>
                  <w:vAlign w:val="center"/>
                </w:tcPr>
                <w:p w14:paraId="31D24B72">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碘量瓶</w:t>
                  </w:r>
                </w:p>
              </w:tc>
              <w:tc>
                <w:tcPr>
                  <w:tcW w:w="1933" w:type="pct"/>
                  <w:tcBorders>
                    <w:tl2br w:val="nil"/>
                    <w:tr2bl w:val="nil"/>
                  </w:tcBorders>
                  <w:shd w:val="clear" w:color="auto" w:fill="auto"/>
                  <w:vAlign w:val="center"/>
                </w:tcPr>
                <w:p w14:paraId="3C39C82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250mL</w:t>
                  </w:r>
                </w:p>
              </w:tc>
              <w:tc>
                <w:tcPr>
                  <w:tcW w:w="642" w:type="pct"/>
                  <w:tcBorders>
                    <w:tl2br w:val="nil"/>
                    <w:tr2bl w:val="nil"/>
                  </w:tcBorders>
                  <w:shd w:val="clear" w:color="auto" w:fill="auto"/>
                  <w:vAlign w:val="center"/>
                </w:tcPr>
                <w:p w14:paraId="40B29E8E">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10个</w:t>
                  </w:r>
                </w:p>
              </w:tc>
              <w:tc>
                <w:tcPr>
                  <w:tcW w:w="423" w:type="pct"/>
                  <w:tcBorders>
                    <w:tl2br w:val="nil"/>
                    <w:tr2bl w:val="nil"/>
                  </w:tcBorders>
                  <w:shd w:val="clear" w:color="auto" w:fill="auto"/>
                  <w:vAlign w:val="center"/>
                </w:tcPr>
                <w:p w14:paraId="3293F69C">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A2ED0D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46C384D">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22</w:t>
                  </w:r>
                </w:p>
              </w:tc>
              <w:tc>
                <w:tcPr>
                  <w:tcW w:w="1695" w:type="pct"/>
                  <w:tcBorders>
                    <w:tl2br w:val="nil"/>
                    <w:tr2bl w:val="nil"/>
                  </w:tcBorders>
                  <w:shd w:val="clear" w:color="auto" w:fill="auto"/>
                  <w:vAlign w:val="center"/>
                </w:tcPr>
                <w:p w14:paraId="476F84C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定性滤纸</w:t>
                  </w:r>
                </w:p>
              </w:tc>
              <w:tc>
                <w:tcPr>
                  <w:tcW w:w="1933" w:type="pct"/>
                  <w:tcBorders>
                    <w:tl2br w:val="nil"/>
                    <w:tr2bl w:val="nil"/>
                  </w:tcBorders>
                  <w:shd w:val="clear" w:color="auto" w:fill="auto"/>
                  <w:vAlign w:val="center"/>
                </w:tcPr>
                <w:p w14:paraId="0AA764D4">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12.5cm</w:t>
                  </w:r>
                </w:p>
              </w:tc>
              <w:tc>
                <w:tcPr>
                  <w:tcW w:w="642" w:type="pct"/>
                  <w:tcBorders>
                    <w:tl2br w:val="nil"/>
                    <w:tr2bl w:val="nil"/>
                  </w:tcBorders>
                  <w:shd w:val="clear" w:color="auto" w:fill="auto"/>
                  <w:vAlign w:val="center"/>
                </w:tcPr>
                <w:p w14:paraId="3F92BF7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5盒</w:t>
                  </w:r>
                </w:p>
              </w:tc>
              <w:tc>
                <w:tcPr>
                  <w:tcW w:w="423" w:type="pct"/>
                  <w:tcBorders>
                    <w:tl2br w:val="nil"/>
                    <w:tr2bl w:val="nil"/>
                  </w:tcBorders>
                  <w:shd w:val="clear" w:color="auto" w:fill="auto"/>
                  <w:vAlign w:val="center"/>
                </w:tcPr>
                <w:p w14:paraId="5ADFD12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671EF42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EEB1293">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23</w:t>
                  </w:r>
                </w:p>
              </w:tc>
              <w:tc>
                <w:tcPr>
                  <w:tcW w:w="1695" w:type="pct"/>
                  <w:tcBorders>
                    <w:tl2br w:val="nil"/>
                    <w:tr2bl w:val="nil"/>
                  </w:tcBorders>
                  <w:shd w:val="clear" w:color="auto" w:fill="auto"/>
                  <w:vAlign w:val="center"/>
                </w:tcPr>
                <w:p w14:paraId="2F3F0660">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定量滤纸</w:t>
                  </w:r>
                </w:p>
              </w:tc>
              <w:tc>
                <w:tcPr>
                  <w:tcW w:w="1933" w:type="pct"/>
                  <w:tcBorders>
                    <w:tl2br w:val="nil"/>
                    <w:tr2bl w:val="nil"/>
                  </w:tcBorders>
                  <w:shd w:val="clear" w:color="auto" w:fill="auto"/>
                  <w:vAlign w:val="center"/>
                </w:tcPr>
                <w:p w14:paraId="4FD19EE8">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12.5cm</w:t>
                  </w:r>
                </w:p>
              </w:tc>
              <w:tc>
                <w:tcPr>
                  <w:tcW w:w="642" w:type="pct"/>
                  <w:tcBorders>
                    <w:tl2br w:val="nil"/>
                    <w:tr2bl w:val="nil"/>
                  </w:tcBorders>
                  <w:shd w:val="clear" w:color="auto" w:fill="auto"/>
                  <w:vAlign w:val="center"/>
                </w:tcPr>
                <w:p w14:paraId="2EBACB6F">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5盒</w:t>
                  </w:r>
                </w:p>
              </w:tc>
              <w:tc>
                <w:tcPr>
                  <w:tcW w:w="423" w:type="pct"/>
                  <w:tcBorders>
                    <w:tl2br w:val="nil"/>
                    <w:tr2bl w:val="nil"/>
                  </w:tcBorders>
                  <w:shd w:val="clear" w:color="auto" w:fill="auto"/>
                  <w:vAlign w:val="center"/>
                </w:tcPr>
                <w:p w14:paraId="07CDCDA8">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10ED7F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shd w:val="clear" w:color="auto" w:fill="auto"/>
                  <w:vAlign w:val="center"/>
                </w:tcPr>
                <w:p w14:paraId="4A932A04">
                  <w:pPr>
                    <w:widowControl/>
                    <w:adjustRightInd w:val="0"/>
                    <w:snapToGrid w:val="0"/>
                    <w:jc w:val="both"/>
                    <w:textAlignment w:val="center"/>
                    <w:rPr>
                      <w:rFonts w:hint="eastAsia" w:cs="Times New Roman"/>
                      <w:b/>
                      <w:bCs/>
                      <w:color w:val="auto"/>
                      <w:kern w:val="0"/>
                      <w:szCs w:val="21"/>
                      <w:highlight w:val="none"/>
                      <w:lang w:val="en-US" w:eastAsia="zh-CN" w:bidi="ar"/>
                    </w:rPr>
                  </w:pPr>
                  <w:r>
                    <w:rPr>
                      <w:rFonts w:hint="eastAsia" w:cs="Times New Roman"/>
                      <w:b/>
                      <w:bCs/>
                      <w:color w:val="auto"/>
                      <w:kern w:val="0"/>
                      <w:szCs w:val="21"/>
                      <w:highlight w:val="none"/>
                      <w:lang w:val="en-US" w:eastAsia="zh-CN" w:bidi="ar"/>
                    </w:rPr>
                    <w:t>二、实验试剂</w:t>
                  </w:r>
                </w:p>
              </w:tc>
            </w:tr>
            <w:tr w14:paraId="5B3020E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9169F83">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w:t>
                  </w:r>
                </w:p>
              </w:tc>
              <w:tc>
                <w:tcPr>
                  <w:tcW w:w="1695" w:type="pct"/>
                  <w:tcBorders>
                    <w:tl2br w:val="nil"/>
                    <w:tr2bl w:val="nil"/>
                  </w:tcBorders>
                  <w:shd w:val="clear" w:color="auto" w:fill="auto"/>
                  <w:vAlign w:val="center"/>
                </w:tcPr>
                <w:p w14:paraId="0EF939F9">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r>
                    <w:rPr>
                      <w:rFonts w:hint="default" w:ascii="Times New Roman" w:hAnsi="Times New Roman" w:cs="Times New Roman"/>
                      <w:b w:val="0"/>
                      <w:bCs w:val="0"/>
                      <w:color w:val="auto"/>
                      <w:kern w:val="0"/>
                      <w:szCs w:val="21"/>
                      <w:highlight w:val="none"/>
                      <w:lang w:bidi="ar"/>
                    </w:rPr>
                    <w:t>氯化钠</w:t>
                  </w:r>
                </w:p>
              </w:tc>
              <w:tc>
                <w:tcPr>
                  <w:tcW w:w="1933" w:type="pct"/>
                  <w:tcBorders>
                    <w:tl2br w:val="nil"/>
                    <w:tr2bl w:val="nil"/>
                  </w:tcBorders>
                  <w:shd w:val="clear" w:color="auto" w:fill="auto"/>
                  <w:vAlign w:val="center"/>
                </w:tcPr>
                <w:p w14:paraId="45C59635">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7284FCF4">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02B3FFF5">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p>
              </w:tc>
            </w:tr>
            <w:tr w14:paraId="70EB478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4476CAED">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w:t>
                  </w:r>
                </w:p>
              </w:tc>
              <w:tc>
                <w:tcPr>
                  <w:tcW w:w="1695" w:type="pct"/>
                  <w:tcBorders>
                    <w:tl2br w:val="nil"/>
                    <w:tr2bl w:val="nil"/>
                  </w:tcBorders>
                  <w:shd w:val="clear" w:color="auto" w:fill="auto"/>
                  <w:vAlign w:val="center"/>
                </w:tcPr>
                <w:p w14:paraId="7770DCE3">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无水乙醇</w:t>
                  </w:r>
                </w:p>
              </w:tc>
              <w:tc>
                <w:tcPr>
                  <w:tcW w:w="1933" w:type="pct"/>
                  <w:tcBorders>
                    <w:tl2br w:val="nil"/>
                    <w:tr2bl w:val="nil"/>
                  </w:tcBorders>
                  <w:shd w:val="clear" w:color="auto" w:fill="auto"/>
                  <w:vAlign w:val="center"/>
                </w:tcPr>
                <w:p w14:paraId="71BDCD52">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500mL/瓶</w:t>
                  </w:r>
                </w:p>
              </w:tc>
              <w:tc>
                <w:tcPr>
                  <w:tcW w:w="642" w:type="pct"/>
                  <w:tcBorders>
                    <w:tl2br w:val="nil"/>
                    <w:tr2bl w:val="nil"/>
                  </w:tcBorders>
                  <w:shd w:val="clear" w:color="auto" w:fill="auto"/>
                  <w:vAlign w:val="center"/>
                </w:tcPr>
                <w:p w14:paraId="723DCD06">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5瓶</w:t>
                  </w:r>
                </w:p>
              </w:tc>
              <w:tc>
                <w:tcPr>
                  <w:tcW w:w="423" w:type="pct"/>
                  <w:tcBorders>
                    <w:tl2br w:val="nil"/>
                    <w:tr2bl w:val="nil"/>
                  </w:tcBorders>
                  <w:shd w:val="clear" w:color="auto" w:fill="auto"/>
                  <w:vAlign w:val="center"/>
                </w:tcPr>
                <w:p w14:paraId="6864547E">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216DFB2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BC3728A">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3</w:t>
                  </w:r>
                </w:p>
              </w:tc>
              <w:tc>
                <w:tcPr>
                  <w:tcW w:w="1695" w:type="pct"/>
                  <w:tcBorders>
                    <w:tl2br w:val="nil"/>
                    <w:tr2bl w:val="nil"/>
                  </w:tcBorders>
                  <w:shd w:val="clear" w:color="auto" w:fill="auto"/>
                  <w:vAlign w:val="center"/>
                </w:tcPr>
                <w:p w14:paraId="3981454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营养琼脂</w:t>
                  </w:r>
                </w:p>
              </w:tc>
              <w:tc>
                <w:tcPr>
                  <w:tcW w:w="1933" w:type="pct"/>
                  <w:tcBorders>
                    <w:tl2br w:val="nil"/>
                    <w:tr2bl w:val="nil"/>
                  </w:tcBorders>
                  <w:shd w:val="clear" w:color="auto" w:fill="auto"/>
                  <w:vAlign w:val="center"/>
                </w:tcPr>
                <w:p w14:paraId="5B59BAF0">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030F9FCF">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2瓶</w:t>
                  </w:r>
                </w:p>
              </w:tc>
              <w:tc>
                <w:tcPr>
                  <w:tcW w:w="423" w:type="pct"/>
                  <w:tcBorders>
                    <w:tl2br w:val="nil"/>
                    <w:tr2bl w:val="nil"/>
                  </w:tcBorders>
                  <w:shd w:val="clear" w:color="auto" w:fill="auto"/>
                  <w:vAlign w:val="center"/>
                </w:tcPr>
                <w:p w14:paraId="6338B809">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281549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43E7370">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4</w:t>
                  </w:r>
                </w:p>
              </w:tc>
              <w:tc>
                <w:tcPr>
                  <w:tcW w:w="1695" w:type="pct"/>
                  <w:tcBorders>
                    <w:tl2br w:val="nil"/>
                    <w:tr2bl w:val="nil"/>
                  </w:tcBorders>
                  <w:shd w:val="clear" w:color="auto" w:fill="auto"/>
                  <w:vAlign w:val="center"/>
                </w:tcPr>
                <w:p w14:paraId="66CD7ED1">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氢氧化钠</w:t>
                  </w:r>
                </w:p>
              </w:tc>
              <w:tc>
                <w:tcPr>
                  <w:tcW w:w="1933" w:type="pct"/>
                  <w:tcBorders>
                    <w:tl2br w:val="nil"/>
                    <w:tr2bl w:val="nil"/>
                  </w:tcBorders>
                  <w:shd w:val="clear" w:color="auto" w:fill="auto"/>
                  <w:vAlign w:val="center"/>
                </w:tcPr>
                <w:p w14:paraId="2E6F4F00">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500g/瓶</w:t>
                  </w:r>
                </w:p>
              </w:tc>
              <w:tc>
                <w:tcPr>
                  <w:tcW w:w="642" w:type="pct"/>
                  <w:tcBorders>
                    <w:tl2br w:val="nil"/>
                    <w:tr2bl w:val="nil"/>
                  </w:tcBorders>
                  <w:shd w:val="clear" w:color="auto" w:fill="auto"/>
                  <w:vAlign w:val="center"/>
                </w:tcPr>
                <w:p w14:paraId="140F8C96">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2瓶</w:t>
                  </w:r>
                </w:p>
              </w:tc>
              <w:tc>
                <w:tcPr>
                  <w:tcW w:w="423" w:type="pct"/>
                  <w:tcBorders>
                    <w:tl2br w:val="nil"/>
                    <w:tr2bl w:val="nil"/>
                  </w:tcBorders>
                  <w:shd w:val="clear" w:color="auto" w:fill="auto"/>
                  <w:vAlign w:val="center"/>
                </w:tcPr>
                <w:p w14:paraId="7595B39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A25DDA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B6FDA3D">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w:t>
                  </w:r>
                </w:p>
              </w:tc>
              <w:tc>
                <w:tcPr>
                  <w:tcW w:w="1695" w:type="pct"/>
                  <w:tcBorders>
                    <w:tl2br w:val="nil"/>
                    <w:tr2bl w:val="nil"/>
                  </w:tcBorders>
                  <w:shd w:val="clear" w:color="auto" w:fill="auto"/>
                  <w:vAlign w:val="center"/>
                </w:tcPr>
                <w:p w14:paraId="1DDA035C">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氢氧化钠溶液</w:t>
                  </w:r>
                </w:p>
              </w:tc>
              <w:tc>
                <w:tcPr>
                  <w:tcW w:w="1933" w:type="pct"/>
                  <w:tcBorders>
                    <w:tl2br w:val="nil"/>
                    <w:tr2bl w:val="nil"/>
                  </w:tcBorders>
                  <w:shd w:val="clear" w:color="auto" w:fill="auto"/>
                  <w:vAlign w:val="center"/>
                </w:tcPr>
                <w:p w14:paraId="76749A8D">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cs="Times New Roman"/>
                      <w:b w:val="0"/>
                      <w:bCs w:val="0"/>
                      <w:color w:val="auto"/>
                      <w:kern w:val="0"/>
                      <w:szCs w:val="21"/>
                      <w:highlight w:val="none"/>
                      <w:lang w:bidi="ar"/>
                    </w:rPr>
                    <w:t>c(N</w:t>
                  </w:r>
                  <w:r>
                    <w:rPr>
                      <w:rFonts w:hint="eastAsia" w:cs="Times New Roman"/>
                      <w:b w:val="0"/>
                      <w:bCs w:val="0"/>
                      <w:color w:val="auto"/>
                      <w:kern w:val="0"/>
                      <w:szCs w:val="21"/>
                      <w:highlight w:val="none"/>
                      <w:lang w:val="en-US" w:eastAsia="zh-CN" w:bidi="ar"/>
                    </w:rPr>
                    <w:t>a</w:t>
                  </w:r>
                  <w:r>
                    <w:rPr>
                      <w:rFonts w:hint="default" w:ascii="Times New Roman" w:hAnsi="Times New Roman" w:cs="Times New Roman"/>
                      <w:b w:val="0"/>
                      <w:bCs w:val="0"/>
                      <w:color w:val="auto"/>
                      <w:kern w:val="0"/>
                      <w:szCs w:val="21"/>
                      <w:highlight w:val="none"/>
                      <w:lang w:bidi="ar"/>
                    </w:rPr>
                    <w:t>OH)=2</w:t>
                  </w:r>
                  <w:r>
                    <w:rPr>
                      <w:rFonts w:hint="eastAsia" w:cs="Times New Roman"/>
                      <w:b w:val="0"/>
                      <w:bCs w:val="0"/>
                      <w:color w:val="auto"/>
                      <w:kern w:val="0"/>
                      <w:szCs w:val="21"/>
                      <w:highlight w:val="none"/>
                      <w:lang w:val="en-US" w:eastAsia="zh-CN" w:bidi="ar"/>
                    </w:rPr>
                    <w:t>mol</w:t>
                  </w:r>
                  <w:r>
                    <w:rPr>
                      <w:rFonts w:hint="default" w:ascii="Times New Roman" w:hAnsi="Times New Roman" w:cs="Times New Roman"/>
                      <w:b w:val="0"/>
                      <w:bCs w:val="0"/>
                      <w:color w:val="auto"/>
                      <w:kern w:val="0"/>
                      <w:szCs w:val="21"/>
                      <w:highlight w:val="none"/>
                      <w:lang w:bidi="ar"/>
                    </w:rPr>
                    <w:t>/L</w:t>
                  </w:r>
                  <w:r>
                    <w:rPr>
                      <w:rFonts w:hint="eastAsia" w:cs="Times New Roman"/>
                      <w:b w:val="0"/>
                      <w:bCs w:val="0"/>
                      <w:color w:val="auto"/>
                      <w:kern w:val="0"/>
                      <w:szCs w:val="21"/>
                      <w:highlight w:val="none"/>
                      <w:lang w:eastAsia="zh-CN" w:bidi="ar"/>
                    </w:rPr>
                    <w:t>，</w:t>
                  </w:r>
                  <w:r>
                    <w:rPr>
                      <w:rFonts w:hint="eastAsia" w:cs="Times New Roman"/>
                      <w:b w:val="0"/>
                      <w:bCs w:val="0"/>
                      <w:color w:val="auto"/>
                      <w:kern w:val="0"/>
                      <w:szCs w:val="21"/>
                      <w:highlight w:val="none"/>
                      <w:lang w:val="en-US" w:eastAsia="zh-CN" w:bidi="ar"/>
                    </w:rPr>
                    <w:t>50mL/瓶</w:t>
                  </w:r>
                </w:p>
              </w:tc>
              <w:tc>
                <w:tcPr>
                  <w:tcW w:w="642" w:type="pct"/>
                  <w:tcBorders>
                    <w:tl2br w:val="nil"/>
                    <w:tr2bl w:val="nil"/>
                  </w:tcBorders>
                  <w:shd w:val="clear" w:color="auto" w:fill="auto"/>
                  <w:vAlign w:val="center"/>
                </w:tcPr>
                <w:p w14:paraId="5FAF6AF0">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2瓶</w:t>
                  </w:r>
                </w:p>
              </w:tc>
              <w:tc>
                <w:tcPr>
                  <w:tcW w:w="423" w:type="pct"/>
                  <w:tcBorders>
                    <w:tl2br w:val="nil"/>
                    <w:tr2bl w:val="nil"/>
                  </w:tcBorders>
                  <w:shd w:val="clear" w:color="auto" w:fill="auto"/>
                  <w:vAlign w:val="center"/>
                </w:tcPr>
                <w:p w14:paraId="6AE574D6">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78BD35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D644E89">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6</w:t>
                  </w:r>
                </w:p>
              </w:tc>
              <w:tc>
                <w:tcPr>
                  <w:tcW w:w="1695" w:type="pct"/>
                  <w:tcBorders>
                    <w:tl2br w:val="nil"/>
                    <w:tr2bl w:val="nil"/>
                  </w:tcBorders>
                  <w:shd w:val="clear" w:color="auto" w:fill="auto"/>
                  <w:vAlign w:val="center"/>
                </w:tcPr>
                <w:p w14:paraId="6F903EB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水杨酸</w:t>
                  </w:r>
                </w:p>
              </w:tc>
              <w:tc>
                <w:tcPr>
                  <w:tcW w:w="1933" w:type="pct"/>
                  <w:tcBorders>
                    <w:tl2br w:val="nil"/>
                    <w:tr2bl w:val="nil"/>
                  </w:tcBorders>
                  <w:shd w:val="clear" w:color="auto" w:fill="auto"/>
                  <w:vAlign w:val="center"/>
                </w:tcPr>
                <w:p w14:paraId="32EFF507">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500mL/瓶</w:t>
                  </w:r>
                </w:p>
              </w:tc>
              <w:tc>
                <w:tcPr>
                  <w:tcW w:w="642" w:type="pct"/>
                  <w:tcBorders>
                    <w:tl2br w:val="nil"/>
                    <w:tr2bl w:val="nil"/>
                  </w:tcBorders>
                  <w:shd w:val="clear" w:color="auto" w:fill="auto"/>
                  <w:vAlign w:val="center"/>
                </w:tcPr>
                <w:p w14:paraId="5E9E82F8">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37FC6E1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5D9417A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F9B28C8">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7</w:t>
                  </w:r>
                </w:p>
              </w:tc>
              <w:tc>
                <w:tcPr>
                  <w:tcW w:w="1695" w:type="pct"/>
                  <w:tcBorders>
                    <w:tl2br w:val="nil"/>
                    <w:tr2bl w:val="nil"/>
                  </w:tcBorders>
                  <w:shd w:val="clear" w:color="auto" w:fill="auto"/>
                  <w:vAlign w:val="center"/>
                </w:tcPr>
                <w:p w14:paraId="122C2B00">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柠檬酸三钠</w:t>
                  </w:r>
                </w:p>
              </w:tc>
              <w:tc>
                <w:tcPr>
                  <w:tcW w:w="1933" w:type="pct"/>
                  <w:tcBorders>
                    <w:tl2br w:val="nil"/>
                    <w:tr2bl w:val="nil"/>
                  </w:tcBorders>
                  <w:shd w:val="clear" w:color="auto" w:fill="auto"/>
                  <w:vAlign w:val="center"/>
                </w:tcPr>
                <w:p w14:paraId="05268BD2">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250g/瓶</w:t>
                  </w:r>
                </w:p>
              </w:tc>
              <w:tc>
                <w:tcPr>
                  <w:tcW w:w="642" w:type="pct"/>
                  <w:tcBorders>
                    <w:tl2br w:val="nil"/>
                    <w:tr2bl w:val="nil"/>
                  </w:tcBorders>
                  <w:shd w:val="clear" w:color="auto" w:fill="auto"/>
                  <w:vAlign w:val="center"/>
                </w:tcPr>
                <w:p w14:paraId="78E758FC">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7BE68D1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71DA94A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7EC35CA">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8</w:t>
                  </w:r>
                </w:p>
              </w:tc>
              <w:tc>
                <w:tcPr>
                  <w:tcW w:w="1695" w:type="pct"/>
                  <w:tcBorders>
                    <w:tl2br w:val="nil"/>
                    <w:tr2bl w:val="nil"/>
                  </w:tcBorders>
                  <w:shd w:val="clear" w:color="auto" w:fill="auto"/>
                  <w:vAlign w:val="center"/>
                </w:tcPr>
                <w:p w14:paraId="5C5449F9">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亚硝基铁氰化钠</w:t>
                  </w:r>
                </w:p>
              </w:tc>
              <w:tc>
                <w:tcPr>
                  <w:tcW w:w="1933" w:type="pct"/>
                  <w:tcBorders>
                    <w:tl2br w:val="nil"/>
                    <w:tr2bl w:val="nil"/>
                  </w:tcBorders>
                  <w:shd w:val="clear" w:color="auto" w:fill="auto"/>
                  <w:vAlign w:val="center"/>
                </w:tcPr>
                <w:p w14:paraId="71C79ADF">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7D2BC063">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2F56A05B">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D42C02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DA0642F">
                  <w:pPr>
                    <w:widowControl/>
                    <w:adjustRightInd w:val="0"/>
                    <w:snapToGrid w:val="0"/>
                    <w:jc w:val="center"/>
                    <w:textAlignment w:val="center"/>
                    <w:rPr>
                      <w:rFonts w:hint="eastAsia"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9</w:t>
                  </w:r>
                </w:p>
              </w:tc>
              <w:tc>
                <w:tcPr>
                  <w:tcW w:w="1695" w:type="pct"/>
                  <w:tcBorders>
                    <w:tl2br w:val="nil"/>
                    <w:tr2bl w:val="nil"/>
                  </w:tcBorders>
                  <w:shd w:val="clear" w:color="auto" w:fill="auto"/>
                  <w:vAlign w:val="center"/>
                </w:tcPr>
                <w:p w14:paraId="6F1CCFE1">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次氯酸钠</w:t>
                  </w:r>
                </w:p>
              </w:tc>
              <w:tc>
                <w:tcPr>
                  <w:tcW w:w="1933" w:type="pct"/>
                  <w:tcBorders>
                    <w:tl2br w:val="nil"/>
                    <w:tr2bl w:val="nil"/>
                  </w:tcBorders>
                  <w:shd w:val="clear" w:color="auto" w:fill="auto"/>
                  <w:vAlign w:val="center"/>
                </w:tcPr>
                <w:p w14:paraId="0060FFC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1B788323">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65F44087">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05F9668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450DE6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10</w:t>
                  </w:r>
                </w:p>
              </w:tc>
              <w:tc>
                <w:tcPr>
                  <w:tcW w:w="1695" w:type="pct"/>
                  <w:tcBorders>
                    <w:tl2br w:val="nil"/>
                    <w:tr2bl w:val="nil"/>
                  </w:tcBorders>
                  <w:shd w:val="clear" w:color="auto" w:fill="auto"/>
                  <w:vAlign w:val="center"/>
                </w:tcPr>
                <w:p w14:paraId="7ED85685">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次氯酸钠溶液</w:t>
                  </w:r>
                </w:p>
              </w:tc>
              <w:tc>
                <w:tcPr>
                  <w:tcW w:w="1933" w:type="pct"/>
                  <w:tcBorders>
                    <w:tl2br w:val="nil"/>
                    <w:tr2bl w:val="nil"/>
                  </w:tcBorders>
                  <w:shd w:val="clear" w:color="auto" w:fill="auto"/>
                  <w:vAlign w:val="center"/>
                </w:tcPr>
                <w:p w14:paraId="2AC986F1">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c(NaCl)=0.05mol/L，50mL/瓶</w:t>
                  </w:r>
                </w:p>
              </w:tc>
              <w:tc>
                <w:tcPr>
                  <w:tcW w:w="642" w:type="pct"/>
                  <w:tcBorders>
                    <w:tl2br w:val="nil"/>
                    <w:tr2bl w:val="nil"/>
                  </w:tcBorders>
                  <w:shd w:val="clear" w:color="auto" w:fill="auto"/>
                  <w:vAlign w:val="center"/>
                </w:tcPr>
                <w:p w14:paraId="0C3F1CFE">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2瓶</w:t>
                  </w:r>
                </w:p>
              </w:tc>
              <w:tc>
                <w:tcPr>
                  <w:tcW w:w="423" w:type="pct"/>
                  <w:tcBorders>
                    <w:tl2br w:val="nil"/>
                    <w:tr2bl w:val="nil"/>
                  </w:tcBorders>
                  <w:shd w:val="clear" w:color="auto" w:fill="auto"/>
                  <w:vAlign w:val="center"/>
                </w:tcPr>
                <w:p w14:paraId="3CF62875">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29C9756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7B4FB56">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11</w:t>
                  </w:r>
                </w:p>
              </w:tc>
              <w:tc>
                <w:tcPr>
                  <w:tcW w:w="1695" w:type="pct"/>
                  <w:tcBorders>
                    <w:tl2br w:val="nil"/>
                    <w:tr2bl w:val="nil"/>
                  </w:tcBorders>
                  <w:shd w:val="clear" w:color="auto" w:fill="auto"/>
                  <w:vAlign w:val="center"/>
                </w:tcPr>
                <w:p w14:paraId="60B5EB9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氨标准贮备液</w:t>
                  </w:r>
                </w:p>
              </w:tc>
              <w:tc>
                <w:tcPr>
                  <w:tcW w:w="1933" w:type="pct"/>
                  <w:tcBorders>
                    <w:tl2br w:val="nil"/>
                    <w:tr2bl w:val="nil"/>
                  </w:tcBorders>
                  <w:shd w:val="clear" w:color="auto" w:fill="auto"/>
                  <w:vAlign w:val="center"/>
                </w:tcPr>
                <w:p w14:paraId="110AAF52">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ρ(NH</w:t>
                  </w:r>
                  <w:r>
                    <w:rPr>
                      <w:rFonts w:hint="eastAsia" w:cs="Times New Roman"/>
                      <w:b w:val="0"/>
                      <w:bCs w:val="0"/>
                      <w:color w:val="auto"/>
                      <w:kern w:val="0"/>
                      <w:szCs w:val="21"/>
                      <w:highlight w:val="none"/>
                      <w:vertAlign w:val="subscript"/>
                      <w:lang w:val="en-US" w:eastAsia="zh-CN" w:bidi="ar"/>
                    </w:rPr>
                    <w:t>3</w:t>
                  </w:r>
                  <w:r>
                    <w:rPr>
                      <w:rFonts w:hint="eastAsia" w:cs="Times New Roman"/>
                      <w:b w:val="0"/>
                      <w:bCs w:val="0"/>
                      <w:color w:val="auto"/>
                      <w:kern w:val="0"/>
                      <w:szCs w:val="21"/>
                      <w:highlight w:val="none"/>
                      <w:lang w:val="en-US" w:eastAsia="zh-CN" w:bidi="ar"/>
                    </w:rPr>
                    <w:t>)=1.00g/L，500mL/瓶</w:t>
                  </w:r>
                </w:p>
              </w:tc>
              <w:tc>
                <w:tcPr>
                  <w:tcW w:w="642" w:type="pct"/>
                  <w:tcBorders>
                    <w:tl2br w:val="nil"/>
                    <w:tr2bl w:val="nil"/>
                  </w:tcBorders>
                  <w:shd w:val="clear" w:color="auto" w:fill="auto"/>
                  <w:vAlign w:val="center"/>
                </w:tcPr>
                <w:p w14:paraId="102F4231">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3瓶</w:t>
                  </w:r>
                </w:p>
              </w:tc>
              <w:tc>
                <w:tcPr>
                  <w:tcW w:w="423" w:type="pct"/>
                  <w:tcBorders>
                    <w:tl2br w:val="nil"/>
                    <w:tr2bl w:val="nil"/>
                  </w:tcBorders>
                  <w:shd w:val="clear" w:color="auto" w:fill="auto"/>
                  <w:vAlign w:val="center"/>
                </w:tcPr>
                <w:p w14:paraId="6165579D">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5A2BF05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9358C6B">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12</w:t>
                  </w:r>
                </w:p>
              </w:tc>
              <w:tc>
                <w:tcPr>
                  <w:tcW w:w="1695" w:type="pct"/>
                  <w:tcBorders>
                    <w:tl2br w:val="nil"/>
                    <w:tr2bl w:val="nil"/>
                  </w:tcBorders>
                  <w:shd w:val="clear" w:color="auto" w:fill="auto"/>
                  <w:vAlign w:val="center"/>
                </w:tcPr>
                <w:p w14:paraId="184D2841">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酒石酸钾钠</w:t>
                  </w:r>
                </w:p>
              </w:tc>
              <w:tc>
                <w:tcPr>
                  <w:tcW w:w="1933" w:type="pct"/>
                  <w:tcBorders>
                    <w:tl2br w:val="nil"/>
                    <w:tr2bl w:val="nil"/>
                  </w:tcBorders>
                  <w:shd w:val="clear" w:color="auto" w:fill="auto"/>
                  <w:vAlign w:val="center"/>
                </w:tcPr>
                <w:p w14:paraId="775C4890">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100g/瓶</w:t>
                  </w:r>
                </w:p>
              </w:tc>
              <w:tc>
                <w:tcPr>
                  <w:tcW w:w="642" w:type="pct"/>
                  <w:tcBorders>
                    <w:tl2br w:val="nil"/>
                    <w:tr2bl w:val="nil"/>
                  </w:tcBorders>
                  <w:shd w:val="clear" w:color="auto" w:fill="auto"/>
                  <w:vAlign w:val="center"/>
                </w:tcPr>
                <w:p w14:paraId="6C40D7C3">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55C2F9C4">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C85850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CDBEBA4">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13</w:t>
                  </w:r>
                </w:p>
              </w:tc>
              <w:tc>
                <w:tcPr>
                  <w:tcW w:w="1695" w:type="pct"/>
                  <w:tcBorders>
                    <w:tl2br w:val="nil"/>
                    <w:tr2bl w:val="nil"/>
                  </w:tcBorders>
                  <w:shd w:val="clear" w:color="auto" w:fill="auto"/>
                  <w:vAlign w:val="center"/>
                </w:tcPr>
                <w:p w14:paraId="7EF0EC6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纳氏试剂</w:t>
                  </w:r>
                </w:p>
              </w:tc>
              <w:tc>
                <w:tcPr>
                  <w:tcW w:w="1933" w:type="pct"/>
                  <w:tcBorders>
                    <w:tl2br w:val="nil"/>
                    <w:tr2bl w:val="nil"/>
                  </w:tcBorders>
                  <w:shd w:val="clear" w:color="auto" w:fill="auto"/>
                  <w:vAlign w:val="center"/>
                </w:tcPr>
                <w:p w14:paraId="2F4FD2FE">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250mL/瓶</w:t>
                  </w:r>
                </w:p>
              </w:tc>
              <w:tc>
                <w:tcPr>
                  <w:tcW w:w="642" w:type="pct"/>
                  <w:tcBorders>
                    <w:tl2br w:val="nil"/>
                    <w:tr2bl w:val="nil"/>
                  </w:tcBorders>
                  <w:shd w:val="clear" w:color="auto" w:fill="auto"/>
                  <w:vAlign w:val="center"/>
                </w:tcPr>
                <w:p w14:paraId="596E7C25">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4366D3F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9197C6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E17A39F">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14</w:t>
                  </w:r>
                </w:p>
              </w:tc>
              <w:tc>
                <w:tcPr>
                  <w:tcW w:w="1695" w:type="pct"/>
                  <w:tcBorders>
                    <w:tl2br w:val="nil"/>
                    <w:tr2bl w:val="nil"/>
                  </w:tcBorders>
                  <w:shd w:val="clear" w:color="auto" w:fill="auto"/>
                  <w:vAlign w:val="center"/>
                </w:tcPr>
                <w:p w14:paraId="798432A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淀粉指示剂</w:t>
                  </w:r>
                </w:p>
              </w:tc>
              <w:tc>
                <w:tcPr>
                  <w:tcW w:w="1933" w:type="pct"/>
                  <w:tcBorders>
                    <w:tl2br w:val="nil"/>
                    <w:tr2bl w:val="nil"/>
                  </w:tcBorders>
                  <w:shd w:val="clear" w:color="auto" w:fill="auto"/>
                  <w:vAlign w:val="center"/>
                </w:tcPr>
                <w:p w14:paraId="56E488F1">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2.0g/L，250mL/瓶</w:t>
                  </w:r>
                </w:p>
              </w:tc>
              <w:tc>
                <w:tcPr>
                  <w:tcW w:w="642" w:type="pct"/>
                  <w:tcBorders>
                    <w:tl2br w:val="nil"/>
                    <w:tr2bl w:val="nil"/>
                  </w:tcBorders>
                  <w:shd w:val="clear" w:color="auto" w:fill="auto"/>
                  <w:vAlign w:val="center"/>
                </w:tcPr>
                <w:p w14:paraId="261CC9CC">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08E1263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6128C0B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ED8E37D">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15</w:t>
                  </w:r>
                </w:p>
              </w:tc>
              <w:tc>
                <w:tcPr>
                  <w:tcW w:w="1695" w:type="pct"/>
                  <w:tcBorders>
                    <w:tl2br w:val="nil"/>
                    <w:tr2bl w:val="nil"/>
                  </w:tcBorders>
                  <w:shd w:val="clear" w:color="auto" w:fill="auto"/>
                  <w:vAlign w:val="center"/>
                </w:tcPr>
                <w:p w14:paraId="149E39D4">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可溶性淀粉</w:t>
                  </w:r>
                </w:p>
              </w:tc>
              <w:tc>
                <w:tcPr>
                  <w:tcW w:w="1933" w:type="pct"/>
                  <w:tcBorders>
                    <w:tl2br w:val="nil"/>
                    <w:tr2bl w:val="nil"/>
                  </w:tcBorders>
                  <w:shd w:val="clear" w:color="auto" w:fill="auto"/>
                  <w:vAlign w:val="center"/>
                </w:tcPr>
                <w:p w14:paraId="7AE56FDE">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2321061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2427EAD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0011C6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DE20373">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16</w:t>
                  </w:r>
                </w:p>
              </w:tc>
              <w:tc>
                <w:tcPr>
                  <w:tcW w:w="1695" w:type="pct"/>
                  <w:tcBorders>
                    <w:tl2br w:val="nil"/>
                    <w:tr2bl w:val="nil"/>
                  </w:tcBorders>
                  <w:shd w:val="clear" w:color="auto" w:fill="auto"/>
                  <w:vAlign w:val="center"/>
                </w:tcPr>
                <w:p w14:paraId="5B675562">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硫代硫酸钠标准溶液</w:t>
                  </w:r>
                </w:p>
              </w:tc>
              <w:tc>
                <w:tcPr>
                  <w:tcW w:w="1933" w:type="pct"/>
                  <w:tcBorders>
                    <w:tl2br w:val="nil"/>
                    <w:tr2bl w:val="nil"/>
                  </w:tcBorders>
                  <w:shd w:val="clear" w:color="auto" w:fill="auto"/>
                  <w:vAlign w:val="center"/>
                </w:tcPr>
                <w:p w14:paraId="0A0754AF">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c(Na</w:t>
                  </w:r>
                  <w:r>
                    <w:rPr>
                      <w:rFonts w:hint="eastAsia" w:cs="Times New Roman"/>
                      <w:b w:val="0"/>
                      <w:bCs w:val="0"/>
                      <w:color w:val="auto"/>
                      <w:kern w:val="0"/>
                      <w:szCs w:val="21"/>
                      <w:highlight w:val="none"/>
                      <w:vertAlign w:val="subscript"/>
                      <w:lang w:val="en-US" w:eastAsia="zh-CN" w:bidi="ar"/>
                    </w:rPr>
                    <w:t>2</w:t>
                  </w:r>
                  <w:r>
                    <w:rPr>
                      <w:rFonts w:hint="eastAsia" w:cs="Times New Roman"/>
                      <w:b w:val="0"/>
                      <w:bCs w:val="0"/>
                      <w:color w:val="auto"/>
                      <w:kern w:val="0"/>
                      <w:szCs w:val="21"/>
                      <w:highlight w:val="none"/>
                      <w:lang w:val="en-US" w:eastAsia="zh-CN" w:bidi="ar"/>
                    </w:rPr>
                    <w:t>S</w:t>
                  </w:r>
                  <w:r>
                    <w:rPr>
                      <w:rFonts w:hint="eastAsia" w:cs="Times New Roman"/>
                      <w:b w:val="0"/>
                      <w:bCs w:val="0"/>
                      <w:color w:val="auto"/>
                      <w:kern w:val="0"/>
                      <w:szCs w:val="21"/>
                      <w:highlight w:val="none"/>
                      <w:vertAlign w:val="subscript"/>
                      <w:lang w:val="en-US" w:eastAsia="zh-CN" w:bidi="ar"/>
                    </w:rPr>
                    <w:t>2</w:t>
                  </w:r>
                  <w:r>
                    <w:rPr>
                      <w:rFonts w:hint="eastAsia" w:cs="Times New Roman"/>
                      <w:b w:val="0"/>
                      <w:bCs w:val="0"/>
                      <w:color w:val="auto"/>
                      <w:kern w:val="0"/>
                      <w:szCs w:val="21"/>
                      <w:highlight w:val="none"/>
                      <w:lang w:val="en-US" w:eastAsia="zh-CN" w:bidi="ar"/>
                    </w:rPr>
                    <w:t>O</w:t>
                  </w:r>
                  <w:r>
                    <w:rPr>
                      <w:rFonts w:hint="eastAsia" w:cs="Times New Roman"/>
                      <w:b w:val="0"/>
                      <w:bCs w:val="0"/>
                      <w:color w:val="auto"/>
                      <w:kern w:val="0"/>
                      <w:szCs w:val="21"/>
                      <w:highlight w:val="none"/>
                      <w:vertAlign w:val="subscript"/>
                      <w:lang w:val="en-US" w:eastAsia="zh-CN" w:bidi="ar"/>
                    </w:rPr>
                    <w:t>3</w:t>
                  </w:r>
                  <w:r>
                    <w:rPr>
                      <w:rFonts w:hint="eastAsia" w:cs="Times New Roman"/>
                      <w:b w:val="0"/>
                      <w:bCs w:val="0"/>
                      <w:color w:val="auto"/>
                      <w:kern w:val="0"/>
                      <w:szCs w:val="21"/>
                      <w:highlight w:val="none"/>
                      <w:lang w:val="en-US" w:eastAsia="zh-CN" w:bidi="ar"/>
                    </w:rPr>
                    <w:t>)=0.0100mol/L，500mL/瓶</w:t>
                  </w:r>
                </w:p>
              </w:tc>
              <w:tc>
                <w:tcPr>
                  <w:tcW w:w="642" w:type="pct"/>
                  <w:tcBorders>
                    <w:tl2br w:val="nil"/>
                    <w:tr2bl w:val="nil"/>
                  </w:tcBorders>
                  <w:shd w:val="clear" w:color="auto" w:fill="auto"/>
                  <w:vAlign w:val="center"/>
                </w:tcPr>
                <w:p w14:paraId="22091D01">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71193044">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EB8493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F9ABBE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17</w:t>
                  </w:r>
                </w:p>
              </w:tc>
              <w:tc>
                <w:tcPr>
                  <w:tcW w:w="1695" w:type="pct"/>
                  <w:tcBorders>
                    <w:tl2br w:val="nil"/>
                    <w:tr2bl w:val="nil"/>
                  </w:tcBorders>
                  <w:shd w:val="clear" w:color="auto" w:fill="auto"/>
                  <w:vAlign w:val="center"/>
                </w:tcPr>
                <w:p w14:paraId="3F90A23F">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硫代硫酸钠标准溶液</w:t>
                  </w:r>
                </w:p>
              </w:tc>
              <w:tc>
                <w:tcPr>
                  <w:tcW w:w="1933" w:type="pct"/>
                  <w:tcBorders>
                    <w:tl2br w:val="nil"/>
                    <w:tr2bl w:val="nil"/>
                  </w:tcBorders>
                  <w:shd w:val="clear" w:color="auto" w:fill="auto"/>
                  <w:vAlign w:val="center"/>
                </w:tcPr>
                <w:p w14:paraId="4EB29574">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c(Na</w:t>
                  </w:r>
                  <w:r>
                    <w:rPr>
                      <w:rFonts w:hint="eastAsia" w:cs="Times New Roman"/>
                      <w:b w:val="0"/>
                      <w:bCs w:val="0"/>
                      <w:color w:val="auto"/>
                      <w:kern w:val="0"/>
                      <w:szCs w:val="21"/>
                      <w:highlight w:val="none"/>
                      <w:vertAlign w:val="subscript"/>
                      <w:lang w:val="en-US" w:eastAsia="zh-CN" w:bidi="ar"/>
                    </w:rPr>
                    <w:t>2</w:t>
                  </w:r>
                  <w:r>
                    <w:rPr>
                      <w:rFonts w:hint="eastAsia" w:cs="Times New Roman"/>
                      <w:b w:val="0"/>
                      <w:bCs w:val="0"/>
                      <w:color w:val="auto"/>
                      <w:kern w:val="0"/>
                      <w:szCs w:val="21"/>
                      <w:highlight w:val="none"/>
                      <w:lang w:val="en-US" w:eastAsia="zh-CN" w:bidi="ar"/>
                    </w:rPr>
                    <w:t>S</w:t>
                  </w:r>
                  <w:r>
                    <w:rPr>
                      <w:rFonts w:hint="eastAsia" w:cs="Times New Roman"/>
                      <w:b w:val="0"/>
                      <w:bCs w:val="0"/>
                      <w:color w:val="auto"/>
                      <w:kern w:val="0"/>
                      <w:szCs w:val="21"/>
                      <w:highlight w:val="none"/>
                      <w:vertAlign w:val="subscript"/>
                      <w:lang w:val="en-US" w:eastAsia="zh-CN" w:bidi="ar"/>
                    </w:rPr>
                    <w:t>2</w:t>
                  </w:r>
                  <w:r>
                    <w:rPr>
                      <w:rFonts w:hint="eastAsia" w:cs="Times New Roman"/>
                      <w:b w:val="0"/>
                      <w:bCs w:val="0"/>
                      <w:color w:val="auto"/>
                      <w:kern w:val="0"/>
                      <w:szCs w:val="21"/>
                      <w:highlight w:val="none"/>
                      <w:lang w:val="en-US" w:eastAsia="zh-CN" w:bidi="ar"/>
                    </w:rPr>
                    <w:t>O</w:t>
                  </w:r>
                  <w:r>
                    <w:rPr>
                      <w:rFonts w:hint="eastAsia" w:cs="Times New Roman"/>
                      <w:b w:val="0"/>
                      <w:bCs w:val="0"/>
                      <w:color w:val="auto"/>
                      <w:kern w:val="0"/>
                      <w:szCs w:val="21"/>
                      <w:highlight w:val="none"/>
                      <w:vertAlign w:val="subscript"/>
                      <w:lang w:val="en-US" w:eastAsia="zh-CN" w:bidi="ar"/>
                    </w:rPr>
                    <w:t>3</w:t>
                  </w:r>
                  <w:r>
                    <w:rPr>
                      <w:rFonts w:hint="eastAsia" w:cs="Times New Roman"/>
                      <w:b w:val="0"/>
                      <w:bCs w:val="0"/>
                      <w:color w:val="auto"/>
                      <w:kern w:val="0"/>
                      <w:szCs w:val="21"/>
                      <w:highlight w:val="none"/>
                      <w:lang w:val="en-US" w:eastAsia="zh-CN" w:bidi="ar"/>
                    </w:rPr>
                    <w:t>)=0.1000mol/L，500mL/瓶</w:t>
                  </w:r>
                </w:p>
              </w:tc>
              <w:tc>
                <w:tcPr>
                  <w:tcW w:w="642" w:type="pct"/>
                  <w:tcBorders>
                    <w:tl2br w:val="nil"/>
                    <w:tr2bl w:val="nil"/>
                  </w:tcBorders>
                  <w:shd w:val="clear" w:color="auto" w:fill="auto"/>
                  <w:vAlign w:val="center"/>
                </w:tcPr>
                <w:p w14:paraId="6E9F6E2C">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7CC67B2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6EF8D209">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812B176">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18</w:t>
                  </w:r>
                </w:p>
              </w:tc>
              <w:tc>
                <w:tcPr>
                  <w:tcW w:w="1695" w:type="pct"/>
                  <w:tcBorders>
                    <w:tl2br w:val="nil"/>
                    <w:tr2bl w:val="nil"/>
                  </w:tcBorders>
                  <w:shd w:val="clear" w:color="auto" w:fill="auto"/>
                  <w:vAlign w:val="center"/>
                </w:tcPr>
                <w:p w14:paraId="4464168E">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硫代硫酸钠</w:t>
                  </w:r>
                </w:p>
              </w:tc>
              <w:tc>
                <w:tcPr>
                  <w:tcW w:w="1933" w:type="pct"/>
                  <w:tcBorders>
                    <w:tl2br w:val="nil"/>
                    <w:tr2bl w:val="nil"/>
                  </w:tcBorders>
                  <w:shd w:val="clear" w:color="auto" w:fill="auto"/>
                  <w:vAlign w:val="center"/>
                </w:tcPr>
                <w:p w14:paraId="20E75DC9">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74507444">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2瓶</w:t>
                  </w:r>
                </w:p>
              </w:tc>
              <w:tc>
                <w:tcPr>
                  <w:tcW w:w="423" w:type="pct"/>
                  <w:tcBorders>
                    <w:tl2br w:val="nil"/>
                    <w:tr2bl w:val="nil"/>
                  </w:tcBorders>
                  <w:shd w:val="clear" w:color="auto" w:fill="auto"/>
                  <w:vAlign w:val="center"/>
                </w:tcPr>
                <w:p w14:paraId="6706FBCA">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C9E728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4C1807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19</w:t>
                  </w:r>
                </w:p>
              </w:tc>
              <w:tc>
                <w:tcPr>
                  <w:tcW w:w="1695" w:type="pct"/>
                  <w:tcBorders>
                    <w:tl2br w:val="nil"/>
                    <w:tr2bl w:val="nil"/>
                  </w:tcBorders>
                  <w:shd w:val="clear" w:color="auto" w:fill="auto"/>
                  <w:vAlign w:val="center"/>
                </w:tcPr>
                <w:p w14:paraId="264A167E">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溴酸钾-溴化钾标准溶液</w:t>
                  </w:r>
                </w:p>
              </w:tc>
              <w:tc>
                <w:tcPr>
                  <w:tcW w:w="1933" w:type="pct"/>
                  <w:tcBorders>
                    <w:tl2br w:val="nil"/>
                    <w:tr2bl w:val="nil"/>
                  </w:tcBorders>
                  <w:shd w:val="clear" w:color="auto" w:fill="auto"/>
                  <w:vAlign w:val="center"/>
                </w:tcPr>
                <w:p w14:paraId="5F4F3940">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c(1/6KBrO</w:t>
                  </w:r>
                  <w:r>
                    <w:rPr>
                      <w:rFonts w:hint="eastAsia" w:cs="Times New Roman"/>
                      <w:b w:val="0"/>
                      <w:bCs w:val="0"/>
                      <w:color w:val="auto"/>
                      <w:kern w:val="0"/>
                      <w:szCs w:val="21"/>
                      <w:highlight w:val="none"/>
                      <w:vertAlign w:val="subscript"/>
                      <w:lang w:val="en-US" w:eastAsia="zh-CN" w:bidi="ar"/>
                    </w:rPr>
                    <w:t>3</w:t>
                  </w:r>
                  <w:r>
                    <w:rPr>
                      <w:rFonts w:hint="eastAsia" w:cs="Times New Roman"/>
                      <w:b w:val="0"/>
                      <w:bCs w:val="0"/>
                      <w:color w:val="auto"/>
                      <w:kern w:val="0"/>
                      <w:szCs w:val="21"/>
                      <w:highlight w:val="none"/>
                      <w:lang w:val="en-US" w:eastAsia="zh-CN" w:bidi="ar"/>
                    </w:rPr>
                    <w:t>)=0.0100mol/L</w:t>
                  </w:r>
                </w:p>
              </w:tc>
              <w:tc>
                <w:tcPr>
                  <w:tcW w:w="642" w:type="pct"/>
                  <w:tcBorders>
                    <w:tl2br w:val="nil"/>
                    <w:tr2bl w:val="nil"/>
                  </w:tcBorders>
                  <w:shd w:val="clear" w:color="auto" w:fill="auto"/>
                  <w:vAlign w:val="center"/>
                </w:tcPr>
                <w:p w14:paraId="52AC8078">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2C96597D">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0863216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4B71C7D">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20</w:t>
                  </w:r>
                </w:p>
              </w:tc>
              <w:tc>
                <w:tcPr>
                  <w:tcW w:w="1695" w:type="pct"/>
                  <w:tcBorders>
                    <w:tl2br w:val="nil"/>
                    <w:tr2bl w:val="nil"/>
                  </w:tcBorders>
                  <w:shd w:val="clear" w:color="auto" w:fill="auto"/>
                  <w:vAlign w:val="center"/>
                </w:tcPr>
                <w:p w14:paraId="4390393A">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硫酸铁铵</w:t>
                  </w:r>
                </w:p>
              </w:tc>
              <w:tc>
                <w:tcPr>
                  <w:tcW w:w="1933" w:type="pct"/>
                  <w:tcBorders>
                    <w:tl2br w:val="nil"/>
                    <w:tr2bl w:val="nil"/>
                  </w:tcBorders>
                  <w:shd w:val="clear" w:color="auto" w:fill="auto"/>
                  <w:vAlign w:val="center"/>
                </w:tcPr>
                <w:p w14:paraId="68A5149A">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c>
                <w:tcPr>
                  <w:tcW w:w="642" w:type="pct"/>
                  <w:tcBorders>
                    <w:tl2br w:val="nil"/>
                    <w:tr2bl w:val="nil"/>
                  </w:tcBorders>
                  <w:shd w:val="clear" w:color="auto" w:fill="auto"/>
                  <w:vAlign w:val="center"/>
                </w:tcPr>
                <w:p w14:paraId="7185A7D1">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5CDE93C3">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582D0D7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FD20833">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21</w:t>
                  </w:r>
                </w:p>
              </w:tc>
              <w:tc>
                <w:tcPr>
                  <w:tcW w:w="1695" w:type="pct"/>
                  <w:tcBorders>
                    <w:tl2br w:val="nil"/>
                    <w:tr2bl w:val="nil"/>
                  </w:tcBorders>
                  <w:shd w:val="clear" w:color="auto" w:fill="auto"/>
                  <w:vAlign w:val="center"/>
                </w:tcPr>
                <w:p w14:paraId="652AA4D4">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碘化钾</w:t>
                  </w:r>
                </w:p>
              </w:tc>
              <w:tc>
                <w:tcPr>
                  <w:tcW w:w="1933" w:type="pct"/>
                  <w:tcBorders>
                    <w:tl2br w:val="nil"/>
                    <w:tr2bl w:val="nil"/>
                  </w:tcBorders>
                  <w:shd w:val="clear" w:color="auto" w:fill="auto"/>
                  <w:vAlign w:val="center"/>
                </w:tcPr>
                <w:p w14:paraId="5BFA9CD9">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3E704C8C">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341922DF">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5439A64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3DE75AB">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22</w:t>
                  </w:r>
                </w:p>
              </w:tc>
              <w:tc>
                <w:tcPr>
                  <w:tcW w:w="1695" w:type="pct"/>
                  <w:tcBorders>
                    <w:tl2br w:val="nil"/>
                    <w:tr2bl w:val="nil"/>
                  </w:tcBorders>
                  <w:shd w:val="clear" w:color="auto" w:fill="auto"/>
                  <w:vAlign w:val="center"/>
                </w:tcPr>
                <w:p w14:paraId="349CE5B1">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碘化钾晶体</w:t>
                  </w:r>
                </w:p>
              </w:tc>
              <w:tc>
                <w:tcPr>
                  <w:tcW w:w="1933" w:type="pct"/>
                  <w:tcBorders>
                    <w:tl2br w:val="nil"/>
                    <w:tr2bl w:val="nil"/>
                  </w:tcBorders>
                  <w:shd w:val="clear" w:color="auto" w:fill="auto"/>
                  <w:vAlign w:val="center"/>
                </w:tcPr>
                <w:p w14:paraId="3F94066D">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4BACBF79">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372C9CB0">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14428D8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4321094">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23</w:t>
                  </w:r>
                </w:p>
              </w:tc>
              <w:tc>
                <w:tcPr>
                  <w:tcW w:w="1695" w:type="pct"/>
                  <w:tcBorders>
                    <w:tl2br w:val="nil"/>
                    <w:tr2bl w:val="nil"/>
                  </w:tcBorders>
                  <w:shd w:val="clear" w:color="auto" w:fill="auto"/>
                  <w:vAlign w:val="center"/>
                </w:tcPr>
                <w:p w14:paraId="39523654">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碘化钾溶液</w:t>
                  </w:r>
                </w:p>
              </w:tc>
              <w:tc>
                <w:tcPr>
                  <w:tcW w:w="1933" w:type="pct"/>
                  <w:tcBorders>
                    <w:tl2br w:val="nil"/>
                    <w:tr2bl w:val="nil"/>
                  </w:tcBorders>
                  <w:shd w:val="clear" w:color="auto" w:fill="auto"/>
                  <w:vAlign w:val="center"/>
                </w:tcPr>
                <w:p w14:paraId="246818D9">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5g/L</w:t>
                  </w:r>
                </w:p>
              </w:tc>
              <w:tc>
                <w:tcPr>
                  <w:tcW w:w="642" w:type="pct"/>
                  <w:tcBorders>
                    <w:tl2br w:val="nil"/>
                    <w:tr2bl w:val="nil"/>
                  </w:tcBorders>
                  <w:shd w:val="clear" w:color="auto" w:fill="auto"/>
                  <w:vAlign w:val="center"/>
                </w:tcPr>
                <w:p w14:paraId="5446B24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780DEC01">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6330AEE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E94ABF2">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24</w:t>
                  </w:r>
                </w:p>
              </w:tc>
              <w:tc>
                <w:tcPr>
                  <w:tcW w:w="1695" w:type="pct"/>
                  <w:tcBorders>
                    <w:tl2br w:val="nil"/>
                    <w:tr2bl w:val="nil"/>
                  </w:tcBorders>
                  <w:shd w:val="clear" w:color="auto" w:fill="auto"/>
                  <w:vAlign w:val="center"/>
                </w:tcPr>
                <w:p w14:paraId="4AA5508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碘</w:t>
                  </w:r>
                </w:p>
              </w:tc>
              <w:tc>
                <w:tcPr>
                  <w:tcW w:w="1933" w:type="pct"/>
                  <w:tcBorders>
                    <w:tl2br w:val="nil"/>
                    <w:tr2bl w:val="nil"/>
                  </w:tcBorders>
                  <w:shd w:val="clear" w:color="auto" w:fill="auto"/>
                  <w:vAlign w:val="center"/>
                </w:tcPr>
                <w:p w14:paraId="4FF1E93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28723846">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3C63909A">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7DD7728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E401039">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25</w:t>
                  </w:r>
                </w:p>
              </w:tc>
              <w:tc>
                <w:tcPr>
                  <w:tcW w:w="1695" w:type="pct"/>
                  <w:tcBorders>
                    <w:tl2br w:val="nil"/>
                    <w:tr2bl w:val="nil"/>
                  </w:tcBorders>
                  <w:shd w:val="clear" w:color="auto" w:fill="auto"/>
                  <w:vAlign w:val="center"/>
                </w:tcPr>
                <w:p w14:paraId="5684FD0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碘液</w:t>
                  </w:r>
                </w:p>
              </w:tc>
              <w:tc>
                <w:tcPr>
                  <w:tcW w:w="1933" w:type="pct"/>
                  <w:tcBorders>
                    <w:tl2br w:val="nil"/>
                    <w:tr2bl w:val="nil"/>
                  </w:tcBorders>
                  <w:shd w:val="clear" w:color="auto" w:fill="auto"/>
                  <w:vAlign w:val="center"/>
                </w:tcPr>
                <w:p w14:paraId="41386FBD">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25mL</w:t>
                  </w:r>
                </w:p>
              </w:tc>
              <w:tc>
                <w:tcPr>
                  <w:tcW w:w="642" w:type="pct"/>
                  <w:tcBorders>
                    <w:tl2br w:val="nil"/>
                    <w:tr2bl w:val="nil"/>
                  </w:tcBorders>
                  <w:shd w:val="clear" w:color="auto" w:fill="auto"/>
                  <w:vAlign w:val="center"/>
                </w:tcPr>
                <w:p w14:paraId="7DDE192F">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247F9D32">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26D8016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6" w:hRule="atLeast"/>
                <w:jc w:val="center"/>
              </w:trPr>
              <w:tc>
                <w:tcPr>
                  <w:tcW w:w="306" w:type="pct"/>
                  <w:tcBorders>
                    <w:tl2br w:val="nil"/>
                    <w:tr2bl w:val="nil"/>
                  </w:tcBorders>
                  <w:shd w:val="clear" w:color="auto" w:fill="auto"/>
                  <w:vAlign w:val="center"/>
                </w:tcPr>
                <w:p w14:paraId="4BD0D863">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27</w:t>
                  </w:r>
                </w:p>
              </w:tc>
              <w:tc>
                <w:tcPr>
                  <w:tcW w:w="1695" w:type="pct"/>
                  <w:tcBorders>
                    <w:tl2br w:val="nil"/>
                    <w:tr2bl w:val="nil"/>
                  </w:tcBorders>
                  <w:shd w:val="clear" w:color="auto" w:fill="auto"/>
                  <w:vAlign w:val="center"/>
                </w:tcPr>
                <w:p w14:paraId="37DA937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氯化锌</w:t>
                  </w:r>
                </w:p>
              </w:tc>
              <w:tc>
                <w:tcPr>
                  <w:tcW w:w="1933" w:type="pct"/>
                  <w:tcBorders>
                    <w:tl2br w:val="nil"/>
                    <w:tr2bl w:val="nil"/>
                  </w:tcBorders>
                  <w:shd w:val="clear" w:color="auto" w:fill="auto"/>
                  <w:vAlign w:val="center"/>
                </w:tcPr>
                <w:p w14:paraId="46A6279D">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57EF704C">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5DABFF0F">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35911C3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3A78ED4">
                  <w:pPr>
                    <w:widowControl/>
                    <w:adjustRightInd w:val="0"/>
                    <w:snapToGrid w:val="0"/>
                    <w:jc w:val="center"/>
                    <w:textAlignment w:val="center"/>
                    <w:rPr>
                      <w:rFonts w:hint="default" w:ascii="Times New Roman" w:hAnsi="Times New Roman"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28</w:t>
                  </w:r>
                </w:p>
              </w:tc>
              <w:tc>
                <w:tcPr>
                  <w:tcW w:w="1695" w:type="pct"/>
                  <w:tcBorders>
                    <w:tl2br w:val="nil"/>
                    <w:tr2bl w:val="nil"/>
                  </w:tcBorders>
                  <w:shd w:val="clear" w:color="auto" w:fill="auto"/>
                  <w:vAlign w:val="center"/>
                </w:tcPr>
                <w:p w14:paraId="295BEEFF">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0.25%氯化钙溶液</w:t>
                  </w:r>
                </w:p>
              </w:tc>
              <w:tc>
                <w:tcPr>
                  <w:tcW w:w="1933" w:type="pct"/>
                  <w:tcBorders>
                    <w:tl2br w:val="nil"/>
                    <w:tr2bl w:val="nil"/>
                  </w:tcBorders>
                  <w:shd w:val="clear" w:color="auto" w:fill="auto"/>
                  <w:vAlign w:val="center"/>
                </w:tcPr>
                <w:p w14:paraId="7803F781">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2F515814">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34D7C64A">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737E943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63ECDFD">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29</w:t>
                  </w:r>
                </w:p>
              </w:tc>
              <w:tc>
                <w:tcPr>
                  <w:tcW w:w="1695" w:type="pct"/>
                  <w:tcBorders>
                    <w:tl2br w:val="nil"/>
                    <w:tr2bl w:val="nil"/>
                  </w:tcBorders>
                  <w:shd w:val="clear" w:color="auto" w:fill="auto"/>
                  <w:vAlign w:val="center"/>
                </w:tcPr>
                <w:p w14:paraId="1791390B">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3%过氧化氢溶液</w:t>
                  </w:r>
                </w:p>
              </w:tc>
              <w:tc>
                <w:tcPr>
                  <w:tcW w:w="1933" w:type="pct"/>
                  <w:tcBorders>
                    <w:tl2br w:val="nil"/>
                    <w:tr2bl w:val="nil"/>
                  </w:tcBorders>
                  <w:shd w:val="clear" w:color="auto" w:fill="auto"/>
                  <w:vAlign w:val="center"/>
                </w:tcPr>
                <w:p w14:paraId="53618851">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0E08A130">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67BA1F17">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71DA503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5ACB4D4">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 w:val="21"/>
                      <w:szCs w:val="21"/>
                      <w:highlight w:val="none"/>
                      <w:lang w:val="en-US" w:eastAsia="zh-CN" w:bidi="ar"/>
                    </w:rPr>
                    <w:t>30</w:t>
                  </w:r>
                </w:p>
              </w:tc>
              <w:tc>
                <w:tcPr>
                  <w:tcW w:w="1695" w:type="pct"/>
                  <w:tcBorders>
                    <w:tl2br w:val="nil"/>
                    <w:tr2bl w:val="nil"/>
                  </w:tcBorders>
                  <w:shd w:val="clear" w:color="auto" w:fill="auto"/>
                  <w:vAlign w:val="center"/>
                </w:tcPr>
                <w:p w14:paraId="5AC66C6D">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志贺氏菌诊断血清</w:t>
                  </w:r>
                </w:p>
              </w:tc>
              <w:tc>
                <w:tcPr>
                  <w:tcW w:w="1933" w:type="pct"/>
                  <w:tcBorders>
                    <w:tl2br w:val="nil"/>
                    <w:tr2bl w:val="nil"/>
                  </w:tcBorders>
                  <w:shd w:val="clear" w:color="auto" w:fill="auto"/>
                  <w:vAlign w:val="center"/>
                </w:tcPr>
                <w:p w14:paraId="03A3448A">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3810A2F3">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ascii="Times New Roman" w:hAnsi="Times New Roman" w:cs="Times New Roman"/>
                      <w:b w:val="0"/>
                      <w:bCs w:val="0"/>
                      <w:color w:val="auto"/>
                      <w:kern w:val="0"/>
                      <w:szCs w:val="21"/>
                      <w:highlight w:val="none"/>
                      <w:lang w:val="en-US" w:eastAsia="zh-CN" w:bidi="ar"/>
                    </w:rPr>
                    <w:t>1</w:t>
                  </w:r>
                  <w:r>
                    <w:rPr>
                      <w:rFonts w:hint="eastAsia" w:cs="Times New Roman"/>
                      <w:b w:val="0"/>
                      <w:bCs w:val="0"/>
                      <w:color w:val="auto"/>
                      <w:kern w:val="0"/>
                      <w:szCs w:val="21"/>
                      <w:highlight w:val="none"/>
                      <w:lang w:val="en-US" w:eastAsia="zh-CN" w:bidi="ar"/>
                    </w:rPr>
                    <w:t>套</w:t>
                  </w:r>
                </w:p>
              </w:tc>
              <w:tc>
                <w:tcPr>
                  <w:tcW w:w="423" w:type="pct"/>
                  <w:tcBorders>
                    <w:tl2br w:val="nil"/>
                    <w:tr2bl w:val="nil"/>
                  </w:tcBorders>
                  <w:shd w:val="clear" w:color="auto" w:fill="auto"/>
                  <w:vAlign w:val="center"/>
                </w:tcPr>
                <w:p w14:paraId="24428D34">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604204B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916CD12">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31</w:t>
                  </w:r>
                </w:p>
              </w:tc>
              <w:tc>
                <w:tcPr>
                  <w:tcW w:w="1695" w:type="pct"/>
                  <w:tcBorders>
                    <w:tl2br w:val="nil"/>
                    <w:tr2bl w:val="nil"/>
                  </w:tcBorders>
                  <w:shd w:val="clear" w:color="auto" w:fill="auto"/>
                  <w:vAlign w:val="center"/>
                </w:tcPr>
                <w:p w14:paraId="42EEC7B7">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沙门氏诊断血清</w:t>
                  </w:r>
                </w:p>
              </w:tc>
              <w:tc>
                <w:tcPr>
                  <w:tcW w:w="1933" w:type="pct"/>
                  <w:tcBorders>
                    <w:tl2br w:val="nil"/>
                    <w:tr2bl w:val="nil"/>
                  </w:tcBorders>
                  <w:shd w:val="clear" w:color="auto" w:fill="auto"/>
                  <w:vAlign w:val="center"/>
                </w:tcPr>
                <w:p w14:paraId="41432190">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6EE70B25">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1套</w:t>
                  </w:r>
                </w:p>
              </w:tc>
              <w:tc>
                <w:tcPr>
                  <w:tcW w:w="423" w:type="pct"/>
                  <w:tcBorders>
                    <w:tl2br w:val="nil"/>
                    <w:tr2bl w:val="nil"/>
                  </w:tcBorders>
                  <w:shd w:val="clear" w:color="auto" w:fill="auto"/>
                  <w:vAlign w:val="center"/>
                </w:tcPr>
                <w:p w14:paraId="57A8721F">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62A5733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3E65FA0">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32</w:t>
                  </w:r>
                </w:p>
              </w:tc>
              <w:tc>
                <w:tcPr>
                  <w:tcW w:w="1695" w:type="pct"/>
                  <w:tcBorders>
                    <w:tl2br w:val="nil"/>
                    <w:tr2bl w:val="nil"/>
                  </w:tcBorders>
                  <w:shd w:val="clear" w:color="auto" w:fill="auto"/>
                  <w:vAlign w:val="center"/>
                </w:tcPr>
                <w:p w14:paraId="6A2D461F">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军团菌分型血清试剂</w:t>
                  </w:r>
                </w:p>
              </w:tc>
              <w:tc>
                <w:tcPr>
                  <w:tcW w:w="1933" w:type="pct"/>
                  <w:tcBorders>
                    <w:tl2br w:val="nil"/>
                    <w:tr2bl w:val="nil"/>
                  </w:tcBorders>
                  <w:shd w:val="clear" w:color="auto" w:fill="auto"/>
                  <w:vAlign w:val="center"/>
                </w:tcPr>
                <w:p w14:paraId="0562E57D">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7D72D89B">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ascii="Times New Roman" w:hAnsi="Times New Roman" w:cs="Times New Roman"/>
                      <w:b w:val="0"/>
                      <w:bCs w:val="0"/>
                      <w:color w:val="auto"/>
                      <w:kern w:val="0"/>
                      <w:szCs w:val="21"/>
                      <w:highlight w:val="none"/>
                      <w:lang w:val="en-US" w:eastAsia="zh-CN" w:bidi="ar"/>
                    </w:rPr>
                    <w:t>1盒</w:t>
                  </w:r>
                </w:p>
              </w:tc>
              <w:tc>
                <w:tcPr>
                  <w:tcW w:w="423" w:type="pct"/>
                  <w:tcBorders>
                    <w:tl2br w:val="nil"/>
                    <w:tr2bl w:val="nil"/>
                  </w:tcBorders>
                  <w:shd w:val="clear" w:color="auto" w:fill="auto"/>
                  <w:vAlign w:val="center"/>
                </w:tcPr>
                <w:p w14:paraId="530F87B9">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51DB50B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0A65246">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33</w:t>
                  </w:r>
                </w:p>
              </w:tc>
              <w:tc>
                <w:tcPr>
                  <w:tcW w:w="1695" w:type="pct"/>
                  <w:tcBorders>
                    <w:tl2br w:val="nil"/>
                    <w:tr2bl w:val="nil"/>
                  </w:tcBorders>
                  <w:shd w:val="clear" w:color="auto" w:fill="auto"/>
                  <w:vAlign w:val="center"/>
                </w:tcPr>
                <w:p w14:paraId="4F3E6A84">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乳糖胆盐培养基</w:t>
                  </w:r>
                </w:p>
              </w:tc>
              <w:tc>
                <w:tcPr>
                  <w:tcW w:w="1933" w:type="pct"/>
                  <w:tcBorders>
                    <w:tl2br w:val="nil"/>
                    <w:tr2bl w:val="nil"/>
                  </w:tcBorders>
                  <w:shd w:val="clear" w:color="auto" w:fill="auto"/>
                  <w:vAlign w:val="center"/>
                </w:tcPr>
                <w:p w14:paraId="13C783F0">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250g/瓶</w:t>
                  </w:r>
                </w:p>
              </w:tc>
              <w:tc>
                <w:tcPr>
                  <w:tcW w:w="642" w:type="pct"/>
                  <w:tcBorders>
                    <w:tl2br w:val="nil"/>
                    <w:tr2bl w:val="nil"/>
                  </w:tcBorders>
                  <w:shd w:val="clear" w:color="auto" w:fill="auto"/>
                  <w:vAlign w:val="center"/>
                </w:tcPr>
                <w:p w14:paraId="54A54227">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09A1FB26">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4E68124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3A3784F">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34</w:t>
                  </w:r>
                </w:p>
              </w:tc>
              <w:tc>
                <w:tcPr>
                  <w:tcW w:w="1695" w:type="pct"/>
                  <w:tcBorders>
                    <w:tl2br w:val="nil"/>
                    <w:tr2bl w:val="nil"/>
                  </w:tcBorders>
                  <w:shd w:val="clear" w:color="auto" w:fill="auto"/>
                  <w:vAlign w:val="center"/>
                </w:tcPr>
                <w:p w14:paraId="10404344">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伊红美蓝琼脂</w:t>
                  </w:r>
                </w:p>
              </w:tc>
              <w:tc>
                <w:tcPr>
                  <w:tcW w:w="1933" w:type="pct"/>
                  <w:tcBorders>
                    <w:tl2br w:val="nil"/>
                    <w:tr2bl w:val="nil"/>
                  </w:tcBorders>
                  <w:shd w:val="clear" w:color="auto" w:fill="auto"/>
                  <w:vAlign w:val="center"/>
                </w:tcPr>
                <w:p w14:paraId="43A6B28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250g/瓶</w:t>
                  </w:r>
                </w:p>
              </w:tc>
              <w:tc>
                <w:tcPr>
                  <w:tcW w:w="642" w:type="pct"/>
                  <w:tcBorders>
                    <w:tl2br w:val="nil"/>
                    <w:tr2bl w:val="nil"/>
                  </w:tcBorders>
                  <w:shd w:val="clear" w:color="auto" w:fill="auto"/>
                  <w:vAlign w:val="center"/>
                </w:tcPr>
                <w:p w14:paraId="1DBB1FD0">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04469F08">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320D468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F3A3758">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35</w:t>
                  </w:r>
                </w:p>
              </w:tc>
              <w:tc>
                <w:tcPr>
                  <w:tcW w:w="1695" w:type="pct"/>
                  <w:tcBorders>
                    <w:tl2br w:val="nil"/>
                    <w:tr2bl w:val="nil"/>
                  </w:tcBorders>
                  <w:shd w:val="clear" w:color="auto" w:fill="auto"/>
                  <w:vAlign w:val="center"/>
                </w:tcPr>
                <w:p w14:paraId="5E4FAE12">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革兰氏染色液</w:t>
                  </w:r>
                </w:p>
              </w:tc>
              <w:tc>
                <w:tcPr>
                  <w:tcW w:w="1933" w:type="pct"/>
                  <w:tcBorders>
                    <w:tl2br w:val="nil"/>
                    <w:tr2bl w:val="nil"/>
                  </w:tcBorders>
                  <w:shd w:val="clear" w:color="auto" w:fill="auto"/>
                  <w:vAlign w:val="center"/>
                </w:tcPr>
                <w:p w14:paraId="772F5CC6">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w:t>
                  </w:r>
                </w:p>
              </w:tc>
              <w:tc>
                <w:tcPr>
                  <w:tcW w:w="642" w:type="pct"/>
                  <w:tcBorders>
                    <w:tl2br w:val="nil"/>
                    <w:tr2bl w:val="nil"/>
                  </w:tcBorders>
                  <w:shd w:val="clear" w:color="auto" w:fill="auto"/>
                  <w:vAlign w:val="center"/>
                </w:tcPr>
                <w:p w14:paraId="29FECF9C">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0ECB76AC">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036300D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E0ED42C">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36</w:t>
                  </w:r>
                </w:p>
              </w:tc>
              <w:tc>
                <w:tcPr>
                  <w:tcW w:w="1695" w:type="pct"/>
                  <w:tcBorders>
                    <w:tl2br w:val="nil"/>
                    <w:tr2bl w:val="nil"/>
                  </w:tcBorders>
                  <w:shd w:val="clear" w:color="auto" w:fill="auto"/>
                  <w:vAlign w:val="center"/>
                </w:tcPr>
                <w:p w14:paraId="4AE3CEBF">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明胶培养基</w:t>
                  </w:r>
                </w:p>
              </w:tc>
              <w:tc>
                <w:tcPr>
                  <w:tcW w:w="1933" w:type="pct"/>
                  <w:tcBorders>
                    <w:tl2br w:val="nil"/>
                    <w:tr2bl w:val="nil"/>
                  </w:tcBorders>
                  <w:shd w:val="clear" w:color="auto" w:fill="auto"/>
                  <w:vAlign w:val="center"/>
                </w:tcPr>
                <w:p w14:paraId="753E2A46">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500g/瓶</w:t>
                  </w:r>
                </w:p>
              </w:tc>
              <w:tc>
                <w:tcPr>
                  <w:tcW w:w="642" w:type="pct"/>
                  <w:tcBorders>
                    <w:tl2br w:val="nil"/>
                    <w:tr2bl w:val="nil"/>
                  </w:tcBorders>
                  <w:shd w:val="clear" w:color="auto" w:fill="auto"/>
                  <w:vAlign w:val="center"/>
                </w:tcPr>
                <w:p w14:paraId="5C38922E">
                  <w:pPr>
                    <w:widowControl/>
                    <w:adjustRightInd w:val="0"/>
                    <w:snapToGrid w:val="0"/>
                    <w:jc w:val="center"/>
                    <w:textAlignment w:val="center"/>
                    <w:rPr>
                      <w:rFonts w:hint="default" w:ascii="Times New Roman" w:hAnsi="Times New Roman"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02D06B6A">
                  <w:pPr>
                    <w:widowControl/>
                    <w:adjustRightInd w:val="0"/>
                    <w:snapToGrid w:val="0"/>
                    <w:jc w:val="center"/>
                    <w:textAlignment w:val="center"/>
                    <w:rPr>
                      <w:rFonts w:hint="default" w:ascii="Times New Roman" w:hAnsi="Times New Roman" w:cs="Times New Roman"/>
                      <w:b w:val="0"/>
                      <w:bCs w:val="0"/>
                      <w:color w:val="auto"/>
                      <w:kern w:val="0"/>
                      <w:szCs w:val="21"/>
                      <w:highlight w:val="yellow"/>
                      <w:lang w:bidi="ar"/>
                    </w:rPr>
                  </w:pPr>
                </w:p>
              </w:tc>
            </w:tr>
            <w:tr w14:paraId="7151FF3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6208059">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37</w:t>
                  </w:r>
                </w:p>
              </w:tc>
              <w:tc>
                <w:tcPr>
                  <w:tcW w:w="1695" w:type="pct"/>
                  <w:tcBorders>
                    <w:tl2br w:val="nil"/>
                    <w:tr2bl w:val="nil"/>
                  </w:tcBorders>
                  <w:shd w:val="clear" w:color="auto" w:fill="auto"/>
                  <w:vAlign w:val="center"/>
                </w:tcPr>
                <w:p w14:paraId="001F8329">
                  <w:pPr>
                    <w:widowControl/>
                    <w:adjustRightInd w:val="0"/>
                    <w:snapToGrid w:val="0"/>
                    <w:jc w:val="center"/>
                    <w:textAlignment w:val="center"/>
                    <w:rPr>
                      <w:rFonts w:hint="eastAsia"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普通琼脂斜面培养基</w:t>
                  </w:r>
                </w:p>
              </w:tc>
              <w:tc>
                <w:tcPr>
                  <w:tcW w:w="1933" w:type="pct"/>
                  <w:tcBorders>
                    <w:tl2br w:val="nil"/>
                    <w:tr2bl w:val="nil"/>
                  </w:tcBorders>
                  <w:shd w:val="clear" w:color="auto" w:fill="auto"/>
                  <w:vAlign w:val="center"/>
                </w:tcPr>
                <w:p w14:paraId="3599672A">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250g/瓶</w:t>
                  </w:r>
                </w:p>
              </w:tc>
              <w:tc>
                <w:tcPr>
                  <w:tcW w:w="642" w:type="pct"/>
                  <w:tcBorders>
                    <w:tl2br w:val="nil"/>
                    <w:tr2bl w:val="nil"/>
                  </w:tcBorders>
                  <w:shd w:val="clear" w:color="auto" w:fill="auto"/>
                  <w:vAlign w:val="center"/>
                </w:tcPr>
                <w:p w14:paraId="2F1F1CC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7BCE845E">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5D9F32E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60D9274">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38</w:t>
                  </w:r>
                </w:p>
              </w:tc>
              <w:tc>
                <w:tcPr>
                  <w:tcW w:w="1695" w:type="pct"/>
                  <w:tcBorders>
                    <w:tl2br w:val="nil"/>
                    <w:tr2bl w:val="nil"/>
                  </w:tcBorders>
                  <w:shd w:val="clear" w:color="auto" w:fill="auto"/>
                  <w:vAlign w:val="center"/>
                </w:tcPr>
                <w:p w14:paraId="392F171A">
                  <w:pPr>
                    <w:widowControl/>
                    <w:adjustRightInd w:val="0"/>
                    <w:snapToGrid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硫酸亚铁铵标准</w:t>
                  </w:r>
                </w:p>
              </w:tc>
              <w:tc>
                <w:tcPr>
                  <w:tcW w:w="1933" w:type="pct"/>
                  <w:tcBorders>
                    <w:tl2br w:val="nil"/>
                    <w:tr2bl w:val="nil"/>
                  </w:tcBorders>
                  <w:shd w:val="clear" w:color="auto" w:fill="auto"/>
                  <w:vAlign w:val="center"/>
                </w:tcPr>
                <w:p w14:paraId="4A6990F6">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500mL/瓶</w:t>
                  </w:r>
                </w:p>
              </w:tc>
              <w:tc>
                <w:tcPr>
                  <w:tcW w:w="642" w:type="pct"/>
                  <w:tcBorders>
                    <w:tl2br w:val="nil"/>
                    <w:tr2bl w:val="nil"/>
                  </w:tcBorders>
                  <w:shd w:val="clear" w:color="auto" w:fill="auto"/>
                  <w:vAlign w:val="center"/>
                </w:tcPr>
                <w:p w14:paraId="3E51F2C1">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1瓶</w:t>
                  </w:r>
                </w:p>
              </w:tc>
              <w:tc>
                <w:tcPr>
                  <w:tcW w:w="423" w:type="pct"/>
                  <w:tcBorders>
                    <w:tl2br w:val="nil"/>
                    <w:tr2bl w:val="nil"/>
                  </w:tcBorders>
                  <w:shd w:val="clear" w:color="auto" w:fill="auto"/>
                  <w:vAlign w:val="center"/>
                </w:tcPr>
                <w:p w14:paraId="39079346">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B8B6F0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05D265C">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39</w:t>
                  </w:r>
                </w:p>
              </w:tc>
              <w:tc>
                <w:tcPr>
                  <w:tcW w:w="1695" w:type="pct"/>
                  <w:tcBorders>
                    <w:tl2br w:val="nil"/>
                    <w:tr2bl w:val="nil"/>
                  </w:tcBorders>
                  <w:shd w:val="clear" w:color="auto" w:fill="auto"/>
                  <w:vAlign w:val="center"/>
                </w:tcPr>
                <w:p w14:paraId="0716CDC5">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EDTA二钠</w:t>
                  </w:r>
                </w:p>
              </w:tc>
              <w:tc>
                <w:tcPr>
                  <w:tcW w:w="1933" w:type="pct"/>
                  <w:tcBorders>
                    <w:tl2br w:val="nil"/>
                    <w:tr2bl w:val="nil"/>
                  </w:tcBorders>
                  <w:shd w:val="clear" w:color="auto" w:fill="auto"/>
                  <w:vAlign w:val="center"/>
                </w:tcPr>
                <w:p w14:paraId="662FE7A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AR250g</w:t>
                  </w:r>
                  <w:r>
                    <w:rPr>
                      <w:rFonts w:hint="eastAsia" w:cs="Times New Roman"/>
                      <w:i w:val="0"/>
                      <w:iCs w:val="0"/>
                      <w:color w:val="auto"/>
                      <w:kern w:val="0"/>
                      <w:sz w:val="21"/>
                      <w:szCs w:val="21"/>
                      <w:highlight w:val="none"/>
                      <w:u w:val="none"/>
                      <w:lang w:val="en-US" w:eastAsia="zh-CN" w:bidi="ar"/>
                    </w:rPr>
                    <w:t>/瓶</w:t>
                  </w:r>
                </w:p>
              </w:tc>
              <w:tc>
                <w:tcPr>
                  <w:tcW w:w="642" w:type="pct"/>
                  <w:tcBorders>
                    <w:tl2br w:val="nil"/>
                    <w:tr2bl w:val="nil"/>
                  </w:tcBorders>
                  <w:shd w:val="clear" w:color="auto" w:fill="auto"/>
                  <w:vAlign w:val="center"/>
                </w:tcPr>
                <w:p w14:paraId="743AE6D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25DFFB02">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5FB8C89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2E2CC7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40</w:t>
                  </w:r>
                </w:p>
              </w:tc>
              <w:tc>
                <w:tcPr>
                  <w:tcW w:w="1695" w:type="pct"/>
                  <w:tcBorders>
                    <w:tl2br w:val="nil"/>
                    <w:tr2bl w:val="nil"/>
                  </w:tcBorders>
                  <w:shd w:val="clear" w:color="auto" w:fill="auto"/>
                  <w:vAlign w:val="center"/>
                </w:tcPr>
                <w:p w14:paraId="49051717">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无水磷酸氢二钠</w:t>
                  </w:r>
                </w:p>
              </w:tc>
              <w:tc>
                <w:tcPr>
                  <w:tcW w:w="1933" w:type="pct"/>
                  <w:tcBorders>
                    <w:tl2br w:val="nil"/>
                    <w:tr2bl w:val="nil"/>
                  </w:tcBorders>
                  <w:shd w:val="clear" w:color="auto" w:fill="auto"/>
                  <w:vAlign w:val="center"/>
                </w:tcPr>
                <w:p w14:paraId="7A950B5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500g</w:t>
                  </w:r>
                  <w:r>
                    <w:rPr>
                      <w:rFonts w:hint="eastAsia" w:ascii="Times New Roman" w:hAnsi="Times New Roman" w:cs="Times New Roman"/>
                      <w:i w:val="0"/>
                      <w:iCs w:val="0"/>
                      <w:color w:val="auto"/>
                      <w:kern w:val="0"/>
                      <w:sz w:val="21"/>
                      <w:szCs w:val="21"/>
                      <w:highlight w:val="none"/>
                      <w:u w:val="none"/>
                      <w:lang w:val="en-US" w:eastAsia="zh-CN" w:bidi="ar"/>
                    </w:rPr>
                    <w:t>/瓶</w:t>
                  </w:r>
                </w:p>
              </w:tc>
              <w:tc>
                <w:tcPr>
                  <w:tcW w:w="642" w:type="pct"/>
                  <w:tcBorders>
                    <w:tl2br w:val="nil"/>
                    <w:tr2bl w:val="nil"/>
                  </w:tcBorders>
                  <w:shd w:val="clear" w:color="auto" w:fill="auto"/>
                  <w:vAlign w:val="center"/>
                </w:tcPr>
                <w:p w14:paraId="0AE9C0C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2瓶</w:t>
                  </w:r>
                </w:p>
              </w:tc>
              <w:tc>
                <w:tcPr>
                  <w:tcW w:w="423" w:type="pct"/>
                  <w:tcBorders>
                    <w:tl2br w:val="nil"/>
                    <w:tr2bl w:val="nil"/>
                  </w:tcBorders>
                  <w:shd w:val="clear" w:color="auto" w:fill="auto"/>
                  <w:vAlign w:val="center"/>
                </w:tcPr>
                <w:p w14:paraId="28FED23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423A3F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51864D3">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41</w:t>
                  </w:r>
                </w:p>
              </w:tc>
              <w:tc>
                <w:tcPr>
                  <w:tcW w:w="1695" w:type="pct"/>
                  <w:tcBorders>
                    <w:tl2br w:val="nil"/>
                    <w:tr2bl w:val="nil"/>
                  </w:tcBorders>
                  <w:shd w:val="clear" w:color="auto" w:fill="auto"/>
                  <w:vAlign w:val="center"/>
                </w:tcPr>
                <w:p w14:paraId="0110D1B6">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磷酸二氢钾</w:t>
                  </w:r>
                </w:p>
              </w:tc>
              <w:tc>
                <w:tcPr>
                  <w:tcW w:w="1933" w:type="pct"/>
                  <w:tcBorders>
                    <w:tl2br w:val="nil"/>
                    <w:tr2bl w:val="nil"/>
                  </w:tcBorders>
                  <w:shd w:val="clear" w:color="auto" w:fill="auto"/>
                  <w:vAlign w:val="center"/>
                </w:tcPr>
                <w:p w14:paraId="4D14A22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500g</w:t>
                  </w:r>
                  <w:r>
                    <w:rPr>
                      <w:rFonts w:hint="eastAsia" w:ascii="Times New Roman" w:hAnsi="Times New Roman" w:cs="Times New Roman"/>
                      <w:i w:val="0"/>
                      <w:iCs w:val="0"/>
                      <w:color w:val="auto"/>
                      <w:kern w:val="0"/>
                      <w:sz w:val="21"/>
                      <w:szCs w:val="21"/>
                      <w:highlight w:val="none"/>
                      <w:u w:val="none"/>
                      <w:lang w:val="en-US" w:eastAsia="zh-CN" w:bidi="ar"/>
                    </w:rPr>
                    <w:t>/瓶</w:t>
                  </w:r>
                </w:p>
              </w:tc>
              <w:tc>
                <w:tcPr>
                  <w:tcW w:w="642" w:type="pct"/>
                  <w:tcBorders>
                    <w:tl2br w:val="nil"/>
                    <w:tr2bl w:val="nil"/>
                  </w:tcBorders>
                  <w:shd w:val="clear" w:color="auto" w:fill="auto"/>
                  <w:vAlign w:val="center"/>
                </w:tcPr>
                <w:p w14:paraId="4028677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2瓶</w:t>
                  </w:r>
                </w:p>
              </w:tc>
              <w:tc>
                <w:tcPr>
                  <w:tcW w:w="423" w:type="pct"/>
                  <w:tcBorders>
                    <w:tl2br w:val="nil"/>
                    <w:tr2bl w:val="nil"/>
                  </w:tcBorders>
                  <w:shd w:val="clear" w:color="auto" w:fill="auto"/>
                  <w:vAlign w:val="center"/>
                </w:tcPr>
                <w:p w14:paraId="3286828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D086CC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4964FF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42</w:t>
                  </w:r>
                </w:p>
              </w:tc>
              <w:tc>
                <w:tcPr>
                  <w:tcW w:w="1695" w:type="pct"/>
                  <w:tcBorders>
                    <w:tl2br w:val="nil"/>
                    <w:tr2bl w:val="nil"/>
                  </w:tcBorders>
                  <w:shd w:val="clear" w:color="auto" w:fill="auto"/>
                  <w:vAlign w:val="center"/>
                </w:tcPr>
                <w:p w14:paraId="39CCF3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苯二甲酸氢钾标准缓冲溶液</w:t>
                  </w:r>
                </w:p>
              </w:tc>
              <w:tc>
                <w:tcPr>
                  <w:tcW w:w="1933" w:type="pct"/>
                  <w:tcBorders>
                    <w:tl2br w:val="nil"/>
                    <w:tr2bl w:val="nil"/>
                  </w:tcBorders>
                  <w:shd w:val="clear" w:color="auto" w:fill="auto"/>
                  <w:vAlign w:val="center"/>
                </w:tcPr>
                <w:p w14:paraId="41F1EE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42" w:type="pct"/>
                  <w:tcBorders>
                    <w:tl2br w:val="nil"/>
                    <w:tr2bl w:val="nil"/>
                  </w:tcBorders>
                  <w:shd w:val="clear" w:color="auto" w:fill="auto"/>
                  <w:vAlign w:val="center"/>
                </w:tcPr>
                <w:p w14:paraId="53278CD4">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1盒</w:t>
                  </w:r>
                </w:p>
              </w:tc>
              <w:tc>
                <w:tcPr>
                  <w:tcW w:w="423" w:type="pct"/>
                  <w:tcBorders>
                    <w:tl2br w:val="nil"/>
                    <w:tr2bl w:val="nil"/>
                  </w:tcBorders>
                  <w:shd w:val="clear" w:color="auto" w:fill="auto"/>
                  <w:vAlign w:val="center"/>
                </w:tcPr>
                <w:p w14:paraId="6F9DD1EE">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37BD07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03E4D22B">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43</w:t>
                  </w:r>
                </w:p>
              </w:tc>
              <w:tc>
                <w:tcPr>
                  <w:tcW w:w="1695" w:type="pct"/>
                  <w:tcBorders>
                    <w:tl2br w:val="nil"/>
                    <w:tr2bl w:val="nil"/>
                  </w:tcBorders>
                  <w:shd w:val="clear" w:color="auto" w:fill="auto"/>
                  <w:vAlign w:val="center"/>
                </w:tcPr>
                <w:p w14:paraId="3C1300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四硼酸钠标准缓冲溶液</w:t>
                  </w:r>
                </w:p>
              </w:tc>
              <w:tc>
                <w:tcPr>
                  <w:tcW w:w="1933" w:type="pct"/>
                  <w:tcBorders>
                    <w:tl2br w:val="nil"/>
                    <w:tr2bl w:val="nil"/>
                  </w:tcBorders>
                  <w:shd w:val="clear" w:color="auto" w:fill="auto"/>
                  <w:vAlign w:val="center"/>
                </w:tcPr>
                <w:p w14:paraId="046914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42" w:type="pct"/>
                  <w:tcBorders>
                    <w:tl2br w:val="nil"/>
                    <w:tr2bl w:val="nil"/>
                  </w:tcBorders>
                  <w:shd w:val="clear" w:color="auto" w:fill="auto"/>
                  <w:vAlign w:val="center"/>
                </w:tcPr>
                <w:p w14:paraId="29AB20C6">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1盒</w:t>
                  </w:r>
                </w:p>
              </w:tc>
              <w:tc>
                <w:tcPr>
                  <w:tcW w:w="423" w:type="pct"/>
                  <w:tcBorders>
                    <w:tl2br w:val="nil"/>
                    <w:tr2bl w:val="nil"/>
                  </w:tcBorders>
                  <w:shd w:val="clear" w:color="auto" w:fill="auto"/>
                  <w:vAlign w:val="center"/>
                </w:tcPr>
                <w:p w14:paraId="126E8568">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171937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57121B92">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44</w:t>
                  </w:r>
                </w:p>
              </w:tc>
              <w:tc>
                <w:tcPr>
                  <w:tcW w:w="1695" w:type="pct"/>
                  <w:tcBorders>
                    <w:tl2br w:val="nil"/>
                    <w:tr2bl w:val="nil"/>
                  </w:tcBorders>
                  <w:shd w:val="clear" w:color="auto" w:fill="auto"/>
                  <w:vAlign w:val="center"/>
                </w:tcPr>
                <w:p w14:paraId="52352A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混合磷酸盐标准缓冲溶液</w:t>
                  </w:r>
                </w:p>
              </w:tc>
              <w:tc>
                <w:tcPr>
                  <w:tcW w:w="1933" w:type="pct"/>
                  <w:tcBorders>
                    <w:tl2br w:val="nil"/>
                    <w:tr2bl w:val="nil"/>
                  </w:tcBorders>
                  <w:shd w:val="clear" w:color="auto" w:fill="auto"/>
                  <w:vAlign w:val="center"/>
                </w:tcPr>
                <w:p w14:paraId="09629C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42" w:type="pct"/>
                  <w:tcBorders>
                    <w:tl2br w:val="nil"/>
                    <w:tr2bl w:val="nil"/>
                  </w:tcBorders>
                  <w:shd w:val="clear" w:color="auto" w:fill="auto"/>
                  <w:vAlign w:val="center"/>
                </w:tcPr>
                <w:p w14:paraId="68212AFD">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1盒</w:t>
                  </w:r>
                </w:p>
              </w:tc>
              <w:tc>
                <w:tcPr>
                  <w:tcW w:w="423" w:type="pct"/>
                  <w:tcBorders>
                    <w:tl2br w:val="nil"/>
                    <w:tr2bl w:val="nil"/>
                  </w:tcBorders>
                  <w:shd w:val="clear" w:color="auto" w:fill="auto"/>
                  <w:vAlign w:val="center"/>
                </w:tcPr>
                <w:p w14:paraId="348410C1">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E3A9CBE">
              <w:tblPrEx>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462CFF0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45</w:t>
                  </w:r>
                </w:p>
              </w:tc>
              <w:tc>
                <w:tcPr>
                  <w:tcW w:w="1695" w:type="pct"/>
                  <w:tcBorders>
                    <w:tl2br w:val="nil"/>
                    <w:tr2bl w:val="nil"/>
                  </w:tcBorders>
                  <w:shd w:val="clear" w:color="auto" w:fill="auto"/>
                  <w:vAlign w:val="center"/>
                </w:tcPr>
                <w:p w14:paraId="504049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磷酸盐缓冲溶液</w:t>
                  </w:r>
                </w:p>
              </w:tc>
              <w:tc>
                <w:tcPr>
                  <w:tcW w:w="1933" w:type="pct"/>
                  <w:tcBorders>
                    <w:tl2br w:val="nil"/>
                    <w:tr2bl w:val="nil"/>
                  </w:tcBorders>
                  <w:shd w:val="clear" w:color="auto" w:fill="auto"/>
                  <w:vAlign w:val="center"/>
                </w:tcPr>
                <w:p w14:paraId="20E758E7">
                  <w:pPr>
                    <w:keepNext w:val="0"/>
                    <w:keepLines w:val="0"/>
                    <w:widowControl/>
                    <w:suppressLineNumbers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c(KH</w:t>
                  </w:r>
                  <w:r>
                    <w:rPr>
                      <w:rFonts w:hint="eastAsia" w:cs="Times New Roman"/>
                      <w:i w:val="0"/>
                      <w:iCs w:val="0"/>
                      <w:color w:val="auto"/>
                      <w:kern w:val="0"/>
                      <w:sz w:val="21"/>
                      <w:szCs w:val="21"/>
                      <w:highlight w:val="none"/>
                      <w:u w:val="none"/>
                      <w:vertAlign w:val="subscript"/>
                      <w:lang w:val="en-US" w:eastAsia="zh-CN" w:bidi="ar"/>
                    </w:rPr>
                    <w:t>2</w:t>
                  </w:r>
                  <w:r>
                    <w:rPr>
                      <w:rFonts w:hint="eastAsia" w:cs="Times New Roman"/>
                      <w:i w:val="0"/>
                      <w:iCs w:val="0"/>
                      <w:color w:val="auto"/>
                      <w:kern w:val="0"/>
                      <w:sz w:val="21"/>
                      <w:szCs w:val="21"/>
                      <w:highlight w:val="none"/>
                      <w:u w:val="none"/>
                      <w:lang w:val="en-US" w:eastAsia="zh-CN" w:bidi="ar"/>
                    </w:rPr>
                    <w:t>PO</w:t>
                  </w:r>
                  <w:r>
                    <w:rPr>
                      <w:rFonts w:hint="eastAsia" w:cs="Times New Roman"/>
                      <w:i w:val="0"/>
                      <w:iCs w:val="0"/>
                      <w:color w:val="auto"/>
                      <w:kern w:val="0"/>
                      <w:sz w:val="21"/>
                      <w:szCs w:val="21"/>
                      <w:highlight w:val="none"/>
                      <w:u w:val="none"/>
                      <w:vertAlign w:val="subscript"/>
                      <w:lang w:val="en-US" w:eastAsia="zh-CN" w:bidi="ar"/>
                    </w:rPr>
                    <w:t>4</w:t>
                  </w:r>
                  <w:r>
                    <w:rPr>
                      <w:rFonts w:hint="eastAsia" w:cs="Times New Roman"/>
                      <w:i w:val="0"/>
                      <w:iCs w:val="0"/>
                      <w:color w:val="auto"/>
                      <w:kern w:val="0"/>
                      <w:sz w:val="21"/>
                      <w:szCs w:val="21"/>
                      <w:highlight w:val="none"/>
                      <w:u w:val="none"/>
                      <w:lang w:val="en-US" w:eastAsia="zh-CN" w:bidi="ar"/>
                    </w:rPr>
                    <w:t>-Na</w:t>
                  </w:r>
                  <w:r>
                    <w:rPr>
                      <w:rFonts w:hint="eastAsia" w:cs="Times New Roman"/>
                      <w:i w:val="0"/>
                      <w:iCs w:val="0"/>
                      <w:color w:val="auto"/>
                      <w:kern w:val="0"/>
                      <w:sz w:val="21"/>
                      <w:szCs w:val="21"/>
                      <w:highlight w:val="none"/>
                      <w:u w:val="none"/>
                      <w:vertAlign w:val="subscript"/>
                      <w:lang w:val="en-US" w:eastAsia="zh-CN" w:bidi="ar"/>
                    </w:rPr>
                    <w:t>2</w:t>
                  </w:r>
                  <w:r>
                    <w:rPr>
                      <w:rFonts w:hint="eastAsia" w:cs="Times New Roman"/>
                      <w:i w:val="0"/>
                      <w:iCs w:val="0"/>
                      <w:color w:val="auto"/>
                      <w:kern w:val="0"/>
                      <w:sz w:val="21"/>
                      <w:szCs w:val="21"/>
                      <w:highlight w:val="none"/>
                      <w:u w:val="none"/>
                      <w:lang w:val="en-US" w:eastAsia="zh-CN" w:bidi="ar"/>
                    </w:rPr>
                    <w:t>HPO</w:t>
                  </w:r>
                  <w:r>
                    <w:rPr>
                      <w:rFonts w:hint="eastAsia" w:cs="Times New Roman"/>
                      <w:i w:val="0"/>
                      <w:iCs w:val="0"/>
                      <w:color w:val="auto"/>
                      <w:kern w:val="0"/>
                      <w:sz w:val="21"/>
                      <w:szCs w:val="21"/>
                      <w:highlight w:val="none"/>
                      <w:u w:val="none"/>
                      <w:vertAlign w:val="subscript"/>
                      <w:lang w:val="en-US" w:eastAsia="zh-CN" w:bidi="ar"/>
                    </w:rPr>
                    <w:t>4</w:t>
                  </w:r>
                  <w:r>
                    <w:rPr>
                      <w:rFonts w:hint="eastAsia" w:cs="Times New Roman"/>
                      <w:i w:val="0"/>
                      <w:iCs w:val="0"/>
                      <w:color w:val="auto"/>
                      <w:kern w:val="0"/>
                      <w:sz w:val="21"/>
                      <w:szCs w:val="21"/>
                      <w:highlight w:val="none"/>
                      <w:u w:val="none"/>
                      <w:lang w:val="en-US" w:eastAsia="zh-CN" w:bidi="ar"/>
                    </w:rPr>
                    <w:t xml:space="preserve">)=0.050mol/L </w:t>
                  </w:r>
                </w:p>
              </w:tc>
              <w:tc>
                <w:tcPr>
                  <w:tcW w:w="642" w:type="pct"/>
                  <w:tcBorders>
                    <w:tl2br w:val="nil"/>
                    <w:tr2bl w:val="nil"/>
                  </w:tcBorders>
                  <w:shd w:val="clear" w:color="auto" w:fill="auto"/>
                  <w:vAlign w:val="center"/>
                </w:tcPr>
                <w:p w14:paraId="637EAF09">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2瓶</w:t>
                  </w:r>
                </w:p>
              </w:tc>
              <w:tc>
                <w:tcPr>
                  <w:tcW w:w="423" w:type="pct"/>
                  <w:tcBorders>
                    <w:tl2br w:val="nil"/>
                    <w:tr2bl w:val="nil"/>
                  </w:tcBorders>
                  <w:shd w:val="clear" w:color="auto" w:fill="auto"/>
                  <w:vAlign w:val="center"/>
                </w:tcPr>
                <w:p w14:paraId="7FF6213A">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6E60E32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B5DD27F">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46</w:t>
                  </w:r>
                </w:p>
              </w:tc>
              <w:tc>
                <w:tcPr>
                  <w:tcW w:w="1695" w:type="pct"/>
                  <w:tcBorders>
                    <w:tl2br w:val="nil"/>
                    <w:tr2bl w:val="nil"/>
                  </w:tcBorders>
                  <w:shd w:val="clear" w:color="auto" w:fill="auto"/>
                  <w:vAlign w:val="center"/>
                </w:tcPr>
                <w:p w14:paraId="4FA4F4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靛蓝二磺酸钠标准贮备液</w:t>
                  </w:r>
                </w:p>
              </w:tc>
              <w:tc>
                <w:tcPr>
                  <w:tcW w:w="1933" w:type="pct"/>
                  <w:tcBorders>
                    <w:tl2br w:val="nil"/>
                    <w:tr2bl w:val="nil"/>
                  </w:tcBorders>
                  <w:shd w:val="clear" w:color="auto" w:fill="auto"/>
                  <w:vAlign w:val="center"/>
                </w:tcPr>
                <w:p w14:paraId="4A891FE1">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10mL/瓶</w:t>
                  </w:r>
                </w:p>
              </w:tc>
              <w:tc>
                <w:tcPr>
                  <w:tcW w:w="642" w:type="pct"/>
                  <w:tcBorders>
                    <w:tl2br w:val="nil"/>
                    <w:tr2bl w:val="nil"/>
                  </w:tcBorders>
                  <w:shd w:val="clear" w:color="auto" w:fill="auto"/>
                  <w:vAlign w:val="center"/>
                </w:tcPr>
                <w:p w14:paraId="0390C380">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2瓶</w:t>
                  </w:r>
                </w:p>
              </w:tc>
              <w:tc>
                <w:tcPr>
                  <w:tcW w:w="423" w:type="pct"/>
                  <w:tcBorders>
                    <w:tl2br w:val="nil"/>
                    <w:tr2bl w:val="nil"/>
                  </w:tcBorders>
                  <w:shd w:val="clear" w:color="auto" w:fill="auto"/>
                  <w:vAlign w:val="center"/>
                </w:tcPr>
                <w:p w14:paraId="03AEE89E">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15FAA31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4E9F6E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47</w:t>
                  </w:r>
                </w:p>
              </w:tc>
              <w:tc>
                <w:tcPr>
                  <w:tcW w:w="1695" w:type="pct"/>
                  <w:tcBorders>
                    <w:tl2br w:val="nil"/>
                    <w:tr2bl w:val="nil"/>
                  </w:tcBorders>
                  <w:shd w:val="clear" w:color="auto" w:fill="auto"/>
                  <w:vAlign w:val="center"/>
                </w:tcPr>
                <w:p w14:paraId="7DC13E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酚试剂</w:t>
                  </w:r>
                </w:p>
              </w:tc>
              <w:tc>
                <w:tcPr>
                  <w:tcW w:w="1933" w:type="pct"/>
                  <w:tcBorders>
                    <w:tl2br w:val="nil"/>
                    <w:tr2bl w:val="nil"/>
                  </w:tcBorders>
                  <w:shd w:val="clear" w:color="auto" w:fill="auto"/>
                  <w:vAlign w:val="center"/>
                </w:tcPr>
                <w:p w14:paraId="549375EB">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42" w:type="pct"/>
                  <w:tcBorders>
                    <w:tl2br w:val="nil"/>
                    <w:tr2bl w:val="nil"/>
                  </w:tcBorders>
                  <w:shd w:val="clear" w:color="auto" w:fill="auto"/>
                  <w:vAlign w:val="center"/>
                </w:tcPr>
                <w:p w14:paraId="2A0875BB">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7C237915">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669B39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C722333">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48</w:t>
                  </w:r>
                </w:p>
              </w:tc>
              <w:tc>
                <w:tcPr>
                  <w:tcW w:w="1695" w:type="pct"/>
                  <w:tcBorders>
                    <w:tl2br w:val="nil"/>
                    <w:tr2bl w:val="nil"/>
                  </w:tcBorders>
                  <w:shd w:val="clear" w:color="auto" w:fill="auto"/>
                  <w:vAlign w:val="center"/>
                </w:tcPr>
                <w:p w14:paraId="5B86EAD0">
                  <w:pPr>
                    <w:keepNext w:val="0"/>
                    <w:keepLines w:val="0"/>
                    <w:widowControl/>
                    <w:suppressLineNumbers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二乙酰肟</w:t>
                  </w:r>
                </w:p>
              </w:tc>
              <w:tc>
                <w:tcPr>
                  <w:tcW w:w="1933" w:type="pct"/>
                  <w:tcBorders>
                    <w:tl2br w:val="nil"/>
                    <w:tr2bl w:val="nil"/>
                  </w:tcBorders>
                  <w:shd w:val="clear" w:color="auto" w:fill="auto"/>
                  <w:vAlign w:val="center"/>
                </w:tcPr>
                <w:p w14:paraId="1231137A">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φ[CH</w:t>
                  </w:r>
                  <w:r>
                    <w:rPr>
                      <w:rFonts w:hint="eastAsia" w:cs="Times New Roman"/>
                      <w:i w:val="0"/>
                      <w:iCs w:val="0"/>
                      <w:color w:val="auto"/>
                      <w:kern w:val="0"/>
                      <w:sz w:val="21"/>
                      <w:szCs w:val="21"/>
                      <w:highlight w:val="none"/>
                      <w:u w:val="none"/>
                      <w:vertAlign w:val="subscript"/>
                      <w:lang w:val="en-US" w:eastAsia="zh-CN" w:bidi="ar"/>
                    </w:rPr>
                    <w:t>3</w:t>
                  </w:r>
                  <w:r>
                    <w:rPr>
                      <w:rFonts w:hint="eastAsia" w:cs="Times New Roman"/>
                      <w:i w:val="0"/>
                      <w:iCs w:val="0"/>
                      <w:color w:val="auto"/>
                      <w:kern w:val="0"/>
                      <w:sz w:val="21"/>
                      <w:szCs w:val="21"/>
                      <w:highlight w:val="none"/>
                      <w:u w:val="none"/>
                      <w:lang w:val="en-US" w:eastAsia="zh-CN" w:bidi="ar"/>
                    </w:rPr>
                    <w:t>COC(NOH)CH</w:t>
                  </w:r>
                  <w:r>
                    <w:rPr>
                      <w:rFonts w:hint="eastAsia" w:cs="Times New Roman"/>
                      <w:i w:val="0"/>
                      <w:iCs w:val="0"/>
                      <w:color w:val="auto"/>
                      <w:kern w:val="0"/>
                      <w:sz w:val="21"/>
                      <w:szCs w:val="21"/>
                      <w:highlight w:val="none"/>
                      <w:u w:val="none"/>
                      <w:vertAlign w:val="subscript"/>
                      <w:lang w:val="en-US" w:eastAsia="zh-CN" w:bidi="ar"/>
                    </w:rPr>
                    <w:t>3</w:t>
                  </w:r>
                  <w:r>
                    <w:rPr>
                      <w:rFonts w:hint="eastAsia" w:cs="Times New Roman"/>
                      <w:i w:val="0"/>
                      <w:iCs w:val="0"/>
                      <w:color w:val="auto"/>
                      <w:kern w:val="0"/>
                      <w:sz w:val="21"/>
                      <w:szCs w:val="21"/>
                      <w:highlight w:val="none"/>
                      <w:u w:val="none"/>
                      <w:lang w:val="en-US" w:eastAsia="zh-CN" w:bidi="ar"/>
                    </w:rPr>
                    <w:t>]=0.2%，5g/瓶</w:t>
                  </w:r>
                </w:p>
              </w:tc>
              <w:tc>
                <w:tcPr>
                  <w:tcW w:w="642" w:type="pct"/>
                  <w:tcBorders>
                    <w:tl2br w:val="nil"/>
                    <w:tr2bl w:val="nil"/>
                  </w:tcBorders>
                  <w:shd w:val="clear" w:color="auto" w:fill="auto"/>
                  <w:vAlign w:val="center"/>
                </w:tcPr>
                <w:p w14:paraId="7431A85D">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7C9869C4">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C814DC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30F87F6A">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49</w:t>
                  </w:r>
                </w:p>
              </w:tc>
              <w:tc>
                <w:tcPr>
                  <w:tcW w:w="1695" w:type="pct"/>
                  <w:tcBorders>
                    <w:tl2br w:val="nil"/>
                    <w:tr2bl w:val="nil"/>
                  </w:tcBorders>
                  <w:shd w:val="clear" w:color="auto" w:fill="auto"/>
                  <w:vAlign w:val="center"/>
                </w:tcPr>
                <w:p w14:paraId="381F4D74">
                  <w:pPr>
                    <w:keepNext w:val="0"/>
                    <w:keepLines w:val="0"/>
                    <w:widowControl/>
                    <w:suppressLineNumbers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安替比林溶液</w:t>
                  </w:r>
                </w:p>
              </w:tc>
              <w:tc>
                <w:tcPr>
                  <w:tcW w:w="1933" w:type="pct"/>
                  <w:tcBorders>
                    <w:tl2br w:val="nil"/>
                    <w:tr2bl w:val="nil"/>
                  </w:tcBorders>
                  <w:shd w:val="clear" w:color="auto" w:fill="auto"/>
                  <w:vAlign w:val="center"/>
                </w:tcPr>
                <w:p w14:paraId="7D8AEB0A">
                  <w:pPr>
                    <w:keepNext w:val="0"/>
                    <w:keepLines w:val="0"/>
                    <w:widowControl/>
                    <w:suppressLineNumbers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φ[1，5-二甲基-2-笨-3-吡唑酮C</w:t>
                  </w:r>
                  <w:r>
                    <w:rPr>
                      <w:rFonts w:hint="eastAsia" w:cs="Times New Roman"/>
                      <w:i w:val="0"/>
                      <w:iCs w:val="0"/>
                      <w:color w:val="auto"/>
                      <w:kern w:val="0"/>
                      <w:sz w:val="21"/>
                      <w:szCs w:val="21"/>
                      <w:highlight w:val="none"/>
                      <w:u w:val="none"/>
                      <w:vertAlign w:val="subscript"/>
                      <w:lang w:val="en-US" w:eastAsia="zh-CN" w:bidi="ar"/>
                    </w:rPr>
                    <w:t>6</w:t>
                  </w:r>
                  <w:r>
                    <w:rPr>
                      <w:rFonts w:hint="eastAsia" w:cs="Times New Roman"/>
                      <w:i w:val="0"/>
                      <w:iCs w:val="0"/>
                      <w:color w:val="auto"/>
                      <w:kern w:val="0"/>
                      <w:sz w:val="21"/>
                      <w:szCs w:val="21"/>
                      <w:highlight w:val="none"/>
                      <w:u w:val="none"/>
                      <w:lang w:val="en-US" w:eastAsia="zh-CN" w:bidi="ar"/>
                    </w:rPr>
                    <w:t>H</w:t>
                  </w:r>
                  <w:r>
                    <w:rPr>
                      <w:rFonts w:hint="eastAsia" w:cs="Times New Roman"/>
                      <w:i w:val="0"/>
                      <w:iCs w:val="0"/>
                      <w:color w:val="auto"/>
                      <w:kern w:val="0"/>
                      <w:sz w:val="21"/>
                      <w:szCs w:val="21"/>
                      <w:highlight w:val="none"/>
                      <w:u w:val="none"/>
                      <w:vertAlign w:val="subscript"/>
                      <w:lang w:val="en-US" w:eastAsia="zh-CN" w:bidi="ar"/>
                    </w:rPr>
                    <w:t>5</w:t>
                  </w:r>
                  <w:r>
                    <w:rPr>
                      <w:rFonts w:hint="eastAsia" w:cs="Times New Roman"/>
                      <w:i w:val="0"/>
                      <w:iCs w:val="0"/>
                      <w:color w:val="auto"/>
                      <w:kern w:val="0"/>
                      <w:sz w:val="21"/>
                      <w:szCs w:val="21"/>
                      <w:highlight w:val="none"/>
                      <w:u w:val="none"/>
                      <w:lang w:val="en-US" w:eastAsia="zh-CN" w:bidi="ar"/>
                    </w:rPr>
                    <w:t>NN(CH</w:t>
                  </w:r>
                  <w:r>
                    <w:rPr>
                      <w:rFonts w:hint="eastAsia" w:cs="Times New Roman"/>
                      <w:i w:val="0"/>
                      <w:iCs w:val="0"/>
                      <w:color w:val="auto"/>
                      <w:kern w:val="0"/>
                      <w:sz w:val="21"/>
                      <w:szCs w:val="21"/>
                      <w:highlight w:val="none"/>
                      <w:u w:val="none"/>
                      <w:vertAlign w:val="subscript"/>
                      <w:lang w:val="en-US" w:eastAsia="zh-CN" w:bidi="ar"/>
                    </w:rPr>
                    <w:t>3</w:t>
                  </w:r>
                  <w:r>
                    <w:rPr>
                      <w:rFonts w:hint="eastAsia" w:cs="Times New Roman"/>
                      <w:i w:val="0"/>
                      <w:iCs w:val="0"/>
                      <w:color w:val="auto"/>
                      <w:kern w:val="0"/>
                      <w:sz w:val="21"/>
                      <w:szCs w:val="21"/>
                      <w:highlight w:val="none"/>
                      <w:u w:val="none"/>
                      <w:lang w:val="en-US" w:eastAsia="zh-CN" w:bidi="ar"/>
                    </w:rPr>
                    <w:t>)C(CH</w:t>
                  </w:r>
                  <w:r>
                    <w:rPr>
                      <w:rFonts w:hint="eastAsia" w:cs="Times New Roman"/>
                      <w:i w:val="0"/>
                      <w:iCs w:val="0"/>
                      <w:color w:val="auto"/>
                      <w:kern w:val="0"/>
                      <w:sz w:val="21"/>
                      <w:szCs w:val="21"/>
                      <w:highlight w:val="none"/>
                      <w:u w:val="none"/>
                      <w:vertAlign w:val="subscript"/>
                      <w:lang w:val="en-US" w:eastAsia="zh-CN" w:bidi="ar"/>
                    </w:rPr>
                    <w:t>3</w:t>
                  </w:r>
                  <w:r>
                    <w:rPr>
                      <w:rFonts w:hint="eastAsia" w:cs="Times New Roman"/>
                      <w:i w:val="0"/>
                      <w:iCs w:val="0"/>
                      <w:color w:val="auto"/>
                      <w:kern w:val="0"/>
                      <w:sz w:val="21"/>
                      <w:szCs w:val="21"/>
                      <w:highlight w:val="none"/>
                      <w:u w:val="none"/>
                      <w:lang w:val="en-US" w:eastAsia="zh-CN" w:bidi="ar"/>
                    </w:rPr>
                    <w:t>):CHC:O]=0.2%</w:t>
                  </w:r>
                </w:p>
              </w:tc>
              <w:tc>
                <w:tcPr>
                  <w:tcW w:w="642" w:type="pct"/>
                  <w:tcBorders>
                    <w:tl2br w:val="nil"/>
                    <w:tr2bl w:val="nil"/>
                  </w:tcBorders>
                  <w:shd w:val="clear" w:color="auto" w:fill="auto"/>
                  <w:vAlign w:val="center"/>
                </w:tcPr>
                <w:p w14:paraId="5B31DFA2">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26A44EB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24A567A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6D2FBF81">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50</w:t>
                  </w:r>
                </w:p>
              </w:tc>
              <w:tc>
                <w:tcPr>
                  <w:tcW w:w="1695" w:type="pct"/>
                  <w:tcBorders>
                    <w:tl2br w:val="nil"/>
                    <w:tr2bl w:val="nil"/>
                  </w:tcBorders>
                  <w:shd w:val="clear" w:color="auto" w:fill="auto"/>
                  <w:vAlign w:val="center"/>
                </w:tcPr>
                <w:p w14:paraId="41EB28A1">
                  <w:pPr>
                    <w:keepNext w:val="0"/>
                    <w:keepLines w:val="0"/>
                    <w:widowControl/>
                    <w:suppressLineNumbers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尿素标准使用溶液</w:t>
                  </w:r>
                </w:p>
              </w:tc>
              <w:tc>
                <w:tcPr>
                  <w:tcW w:w="1933" w:type="pct"/>
                  <w:tcBorders>
                    <w:tl2br w:val="nil"/>
                    <w:tr2bl w:val="nil"/>
                  </w:tcBorders>
                  <w:shd w:val="clear" w:color="auto" w:fill="auto"/>
                  <w:vAlign w:val="center"/>
                </w:tcPr>
                <w:p w14:paraId="2CD8FB93">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42" w:type="pct"/>
                  <w:tcBorders>
                    <w:tl2br w:val="nil"/>
                    <w:tr2bl w:val="nil"/>
                  </w:tcBorders>
                  <w:shd w:val="clear" w:color="auto" w:fill="auto"/>
                  <w:vAlign w:val="center"/>
                </w:tcPr>
                <w:p w14:paraId="6DC59659">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75534A29">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06F4B6D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2B9818D7">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51</w:t>
                  </w:r>
                </w:p>
              </w:tc>
              <w:tc>
                <w:tcPr>
                  <w:tcW w:w="1695" w:type="pct"/>
                  <w:tcBorders>
                    <w:tl2br w:val="nil"/>
                    <w:tr2bl w:val="nil"/>
                  </w:tcBorders>
                  <w:shd w:val="clear" w:color="auto" w:fill="auto"/>
                  <w:vAlign w:val="center"/>
                </w:tcPr>
                <w:p w14:paraId="60F5DBCA">
                  <w:pPr>
                    <w:keepNext w:val="0"/>
                    <w:keepLines w:val="0"/>
                    <w:widowControl/>
                    <w:suppressLineNumbers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N,N-二乙基对苯二胺（DPD）</w:t>
                  </w:r>
                </w:p>
              </w:tc>
              <w:tc>
                <w:tcPr>
                  <w:tcW w:w="1933" w:type="pct"/>
                  <w:tcBorders>
                    <w:tl2br w:val="nil"/>
                    <w:tr2bl w:val="nil"/>
                  </w:tcBorders>
                  <w:shd w:val="clear" w:color="auto" w:fill="auto"/>
                  <w:vAlign w:val="center"/>
                </w:tcPr>
                <w:p w14:paraId="1C23B00F">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1g/L，500mL/瓶</w:t>
                  </w:r>
                </w:p>
              </w:tc>
              <w:tc>
                <w:tcPr>
                  <w:tcW w:w="642" w:type="pct"/>
                  <w:tcBorders>
                    <w:tl2br w:val="nil"/>
                    <w:tr2bl w:val="nil"/>
                  </w:tcBorders>
                  <w:shd w:val="clear" w:color="auto" w:fill="auto"/>
                  <w:vAlign w:val="center"/>
                </w:tcPr>
                <w:p w14:paraId="2069545A">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0D531B6B">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31469FD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306" w:type="pct"/>
                  <w:tcBorders>
                    <w:tl2br w:val="nil"/>
                    <w:tr2bl w:val="nil"/>
                  </w:tcBorders>
                  <w:shd w:val="clear" w:color="auto" w:fill="auto"/>
                  <w:vAlign w:val="center"/>
                </w:tcPr>
                <w:p w14:paraId="13AF8E0E">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52</w:t>
                  </w:r>
                </w:p>
              </w:tc>
              <w:tc>
                <w:tcPr>
                  <w:tcW w:w="1695" w:type="pct"/>
                  <w:tcBorders>
                    <w:tl2br w:val="nil"/>
                    <w:tr2bl w:val="nil"/>
                  </w:tcBorders>
                  <w:shd w:val="clear" w:color="auto" w:fill="auto"/>
                  <w:vAlign w:val="center"/>
                </w:tcPr>
                <w:p w14:paraId="43A9167F">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重铬酸钾标准</w:t>
                  </w:r>
                </w:p>
              </w:tc>
              <w:tc>
                <w:tcPr>
                  <w:tcW w:w="1933" w:type="pct"/>
                  <w:tcBorders>
                    <w:tl2br w:val="nil"/>
                    <w:tr2bl w:val="nil"/>
                  </w:tcBorders>
                  <w:shd w:val="clear" w:color="auto" w:fill="auto"/>
                  <w:vAlign w:val="center"/>
                </w:tcPr>
                <w:p w14:paraId="78B15E28">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642" w:type="pct"/>
                  <w:tcBorders>
                    <w:tl2br w:val="nil"/>
                    <w:tr2bl w:val="nil"/>
                  </w:tcBorders>
                  <w:shd w:val="clear" w:color="auto" w:fill="auto"/>
                  <w:vAlign w:val="center"/>
                </w:tcPr>
                <w:p w14:paraId="51E63DBB">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2449E33F">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4B0CA3D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306" w:type="pct"/>
                  <w:tcBorders>
                    <w:tl2br w:val="nil"/>
                    <w:tr2bl w:val="nil"/>
                  </w:tcBorders>
                  <w:shd w:val="clear" w:color="auto" w:fill="auto"/>
                  <w:vAlign w:val="center"/>
                </w:tcPr>
                <w:p w14:paraId="478001D4">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53</w:t>
                  </w:r>
                </w:p>
              </w:tc>
              <w:tc>
                <w:tcPr>
                  <w:tcW w:w="1695" w:type="pct"/>
                  <w:tcBorders>
                    <w:tl2br w:val="nil"/>
                    <w:tr2bl w:val="nil"/>
                  </w:tcBorders>
                  <w:shd w:val="clear" w:color="auto" w:fill="auto"/>
                  <w:vAlign w:val="center"/>
                </w:tcPr>
                <w:p w14:paraId="1B479AFD">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丙三醇</w:t>
                  </w:r>
                </w:p>
              </w:tc>
              <w:tc>
                <w:tcPr>
                  <w:tcW w:w="1933" w:type="pct"/>
                  <w:tcBorders>
                    <w:tl2br w:val="nil"/>
                    <w:tr2bl w:val="nil"/>
                  </w:tcBorders>
                  <w:shd w:val="clear" w:color="auto" w:fill="auto"/>
                  <w:vAlign w:val="center"/>
                </w:tcPr>
                <w:p w14:paraId="4DD5A02A">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500mL/瓶</w:t>
                  </w:r>
                </w:p>
              </w:tc>
              <w:tc>
                <w:tcPr>
                  <w:tcW w:w="642" w:type="pct"/>
                  <w:tcBorders>
                    <w:tl2br w:val="nil"/>
                    <w:tr2bl w:val="nil"/>
                  </w:tcBorders>
                  <w:shd w:val="clear" w:color="auto" w:fill="auto"/>
                  <w:vAlign w:val="center"/>
                </w:tcPr>
                <w:p w14:paraId="1E923F5F">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1瓶</w:t>
                  </w:r>
                </w:p>
              </w:tc>
              <w:tc>
                <w:tcPr>
                  <w:tcW w:w="423" w:type="pct"/>
                  <w:tcBorders>
                    <w:tl2br w:val="nil"/>
                    <w:tr2bl w:val="nil"/>
                  </w:tcBorders>
                  <w:shd w:val="clear" w:color="auto" w:fill="auto"/>
                  <w:vAlign w:val="center"/>
                </w:tcPr>
                <w:p w14:paraId="1677A75D">
                  <w:pPr>
                    <w:widowControl/>
                    <w:adjustRightInd w:val="0"/>
                    <w:snapToGrid w:val="0"/>
                    <w:jc w:val="center"/>
                    <w:textAlignment w:val="center"/>
                    <w:rPr>
                      <w:rFonts w:hint="default" w:ascii="Times New Roman" w:hAnsi="Times New Roman" w:cs="Times New Roman"/>
                      <w:b w:val="0"/>
                      <w:bCs w:val="0"/>
                      <w:color w:val="auto"/>
                      <w:kern w:val="0"/>
                      <w:szCs w:val="21"/>
                      <w:highlight w:val="none"/>
                      <w:lang w:bidi="ar"/>
                    </w:rPr>
                  </w:pPr>
                </w:p>
              </w:tc>
            </w:tr>
            <w:tr w14:paraId="6CC5C0E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3002014">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Cs w:val="21"/>
                      <w:highlight w:val="none"/>
                      <w:lang w:val="en-US" w:eastAsia="zh-CN" w:bidi="ar"/>
                    </w:rPr>
                    <w:t>54</w:t>
                  </w:r>
                </w:p>
              </w:tc>
              <w:tc>
                <w:tcPr>
                  <w:tcW w:w="1695" w:type="pct"/>
                  <w:tcBorders>
                    <w:tl2br w:val="nil"/>
                    <w:tr2bl w:val="nil"/>
                  </w:tcBorders>
                  <w:shd w:val="clear" w:color="auto" w:fill="auto"/>
                  <w:vAlign w:val="center"/>
                </w:tcPr>
                <w:p w14:paraId="2F014F6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98%</w:t>
                  </w:r>
                  <w:r>
                    <w:rPr>
                      <w:rFonts w:hint="eastAsia" w:ascii="Times New Roman" w:hAnsi="Times New Roman" w:cs="Times New Roman"/>
                      <w:i w:val="0"/>
                      <w:iCs w:val="0"/>
                      <w:color w:val="auto"/>
                      <w:kern w:val="0"/>
                      <w:sz w:val="21"/>
                      <w:szCs w:val="21"/>
                      <w:highlight w:val="none"/>
                      <w:u w:val="none"/>
                      <w:lang w:val="en-US" w:eastAsia="zh-CN" w:bidi="ar"/>
                    </w:rPr>
                    <w:t>硫酸</w:t>
                  </w:r>
                </w:p>
              </w:tc>
              <w:tc>
                <w:tcPr>
                  <w:tcW w:w="1933" w:type="pct"/>
                  <w:tcBorders>
                    <w:tl2br w:val="nil"/>
                    <w:tr2bl w:val="nil"/>
                  </w:tcBorders>
                  <w:shd w:val="clear" w:color="auto" w:fill="auto"/>
                  <w:vAlign w:val="center"/>
                </w:tcPr>
                <w:p w14:paraId="492EFAD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500mL/瓶</w:t>
                  </w:r>
                </w:p>
              </w:tc>
              <w:tc>
                <w:tcPr>
                  <w:tcW w:w="642" w:type="pct"/>
                  <w:tcBorders>
                    <w:tl2br w:val="nil"/>
                    <w:tr2bl w:val="nil"/>
                  </w:tcBorders>
                  <w:shd w:val="clear" w:color="auto" w:fill="auto"/>
                  <w:vAlign w:val="center"/>
                </w:tcPr>
                <w:p w14:paraId="3AE445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10瓶</w:t>
                  </w:r>
                </w:p>
              </w:tc>
              <w:tc>
                <w:tcPr>
                  <w:tcW w:w="423" w:type="pct"/>
                  <w:tcBorders>
                    <w:tl2br w:val="nil"/>
                    <w:tr2bl w:val="nil"/>
                  </w:tcBorders>
                  <w:shd w:val="clear" w:color="auto" w:fill="auto"/>
                  <w:vAlign w:val="center"/>
                </w:tcPr>
                <w:p w14:paraId="0C0BF540">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35F8726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5978793">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 w:val="21"/>
                      <w:szCs w:val="21"/>
                      <w:highlight w:val="none"/>
                      <w:lang w:val="en-US" w:eastAsia="zh-CN" w:bidi="ar"/>
                    </w:rPr>
                    <w:t>55</w:t>
                  </w:r>
                </w:p>
              </w:tc>
              <w:tc>
                <w:tcPr>
                  <w:tcW w:w="1695" w:type="pct"/>
                  <w:tcBorders>
                    <w:tl2br w:val="nil"/>
                    <w:tr2bl w:val="nil"/>
                  </w:tcBorders>
                  <w:shd w:val="clear" w:color="auto" w:fill="auto"/>
                  <w:vAlign w:val="center"/>
                </w:tcPr>
                <w:p w14:paraId="764AE7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65%~68%</w:t>
                  </w:r>
                  <w:r>
                    <w:rPr>
                      <w:rFonts w:hint="eastAsia" w:ascii="Times New Roman" w:hAnsi="Times New Roman" w:cs="Times New Roman"/>
                      <w:i w:val="0"/>
                      <w:iCs w:val="0"/>
                      <w:color w:val="auto"/>
                      <w:kern w:val="0"/>
                      <w:sz w:val="21"/>
                      <w:szCs w:val="21"/>
                      <w:highlight w:val="none"/>
                      <w:u w:val="none"/>
                      <w:lang w:val="en-US" w:eastAsia="zh-CN" w:bidi="ar"/>
                    </w:rPr>
                    <w:t>硝酸</w:t>
                  </w:r>
                </w:p>
              </w:tc>
              <w:tc>
                <w:tcPr>
                  <w:tcW w:w="1933" w:type="pct"/>
                  <w:tcBorders>
                    <w:tl2br w:val="nil"/>
                    <w:tr2bl w:val="nil"/>
                  </w:tcBorders>
                  <w:shd w:val="clear" w:color="auto" w:fill="auto"/>
                  <w:vAlign w:val="center"/>
                </w:tcPr>
                <w:p w14:paraId="6F9700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500mL/瓶</w:t>
                  </w:r>
                </w:p>
              </w:tc>
              <w:tc>
                <w:tcPr>
                  <w:tcW w:w="642" w:type="pct"/>
                  <w:tcBorders>
                    <w:tl2br w:val="nil"/>
                    <w:tr2bl w:val="nil"/>
                  </w:tcBorders>
                  <w:shd w:val="clear" w:color="auto" w:fill="auto"/>
                  <w:vAlign w:val="center"/>
                </w:tcPr>
                <w:p w14:paraId="663DDC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5瓶</w:t>
                  </w:r>
                </w:p>
              </w:tc>
              <w:tc>
                <w:tcPr>
                  <w:tcW w:w="423" w:type="pct"/>
                  <w:tcBorders>
                    <w:tl2br w:val="nil"/>
                    <w:tr2bl w:val="nil"/>
                  </w:tcBorders>
                  <w:shd w:val="clear" w:color="auto" w:fill="auto"/>
                  <w:vAlign w:val="center"/>
                </w:tcPr>
                <w:p w14:paraId="366D7F0C">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2CB7EE6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11664584">
                  <w:pPr>
                    <w:widowControl/>
                    <w:adjustRightInd w:val="0"/>
                    <w:snapToGrid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eastAsia" w:cs="Times New Roman"/>
                      <w:b w:val="0"/>
                      <w:bCs w:val="0"/>
                      <w:color w:val="auto"/>
                      <w:kern w:val="0"/>
                      <w:sz w:val="21"/>
                      <w:szCs w:val="21"/>
                      <w:highlight w:val="none"/>
                      <w:lang w:val="en-US" w:eastAsia="zh-CN" w:bidi="ar"/>
                    </w:rPr>
                    <w:t>56</w:t>
                  </w:r>
                </w:p>
              </w:tc>
              <w:tc>
                <w:tcPr>
                  <w:tcW w:w="1695" w:type="pct"/>
                  <w:tcBorders>
                    <w:tl2br w:val="nil"/>
                    <w:tr2bl w:val="nil"/>
                  </w:tcBorders>
                  <w:shd w:val="clear" w:color="auto" w:fill="auto"/>
                  <w:vAlign w:val="center"/>
                </w:tcPr>
                <w:p w14:paraId="208ADA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35%~38%</w:t>
                  </w:r>
                  <w:r>
                    <w:rPr>
                      <w:rFonts w:hint="eastAsia" w:ascii="Times New Roman" w:hAnsi="Times New Roman" w:cs="Times New Roman"/>
                      <w:i w:val="0"/>
                      <w:iCs w:val="0"/>
                      <w:color w:val="auto"/>
                      <w:kern w:val="0"/>
                      <w:sz w:val="21"/>
                      <w:szCs w:val="21"/>
                      <w:highlight w:val="none"/>
                      <w:u w:val="none"/>
                      <w:lang w:val="en-US" w:eastAsia="zh-CN" w:bidi="ar"/>
                    </w:rPr>
                    <w:t>盐酸</w:t>
                  </w:r>
                </w:p>
              </w:tc>
              <w:tc>
                <w:tcPr>
                  <w:tcW w:w="1933" w:type="pct"/>
                  <w:tcBorders>
                    <w:tl2br w:val="nil"/>
                    <w:tr2bl w:val="nil"/>
                  </w:tcBorders>
                  <w:shd w:val="clear" w:color="auto" w:fill="auto"/>
                  <w:vAlign w:val="center"/>
                </w:tcPr>
                <w:p w14:paraId="6DEAC1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500mL/瓶</w:t>
                  </w:r>
                </w:p>
              </w:tc>
              <w:tc>
                <w:tcPr>
                  <w:tcW w:w="642" w:type="pct"/>
                  <w:tcBorders>
                    <w:tl2br w:val="nil"/>
                    <w:tr2bl w:val="nil"/>
                  </w:tcBorders>
                  <w:shd w:val="clear" w:color="auto" w:fill="auto"/>
                  <w:vAlign w:val="center"/>
                </w:tcPr>
                <w:p w14:paraId="70A0F2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15瓶</w:t>
                  </w:r>
                </w:p>
              </w:tc>
              <w:tc>
                <w:tcPr>
                  <w:tcW w:w="423" w:type="pct"/>
                  <w:tcBorders>
                    <w:tl2br w:val="nil"/>
                    <w:tr2bl w:val="nil"/>
                  </w:tcBorders>
                  <w:shd w:val="clear" w:color="auto" w:fill="auto"/>
                  <w:vAlign w:val="center"/>
                </w:tcPr>
                <w:p w14:paraId="7090C68B">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6DFDEEC7">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shd w:val="clear" w:color="auto" w:fill="auto"/>
                  <w:vAlign w:val="center"/>
                </w:tcPr>
                <w:p w14:paraId="14FD0168">
                  <w:pPr>
                    <w:widowControl/>
                    <w:adjustRightInd w:val="0"/>
                    <w:snapToGrid w:val="0"/>
                    <w:jc w:val="both"/>
                    <w:textAlignment w:val="center"/>
                    <w:rPr>
                      <w:rFonts w:hint="default" w:cs="Times New Roman"/>
                      <w:b/>
                      <w:bCs/>
                      <w:color w:val="auto"/>
                      <w:kern w:val="0"/>
                      <w:szCs w:val="21"/>
                      <w:highlight w:val="yellow"/>
                      <w:lang w:val="en-US" w:eastAsia="zh-CN" w:bidi="ar"/>
                    </w:rPr>
                  </w:pPr>
                  <w:r>
                    <w:rPr>
                      <w:rFonts w:hint="eastAsia" w:cs="Times New Roman"/>
                      <w:b/>
                      <w:bCs/>
                      <w:color w:val="auto"/>
                      <w:kern w:val="0"/>
                      <w:szCs w:val="21"/>
                      <w:highlight w:val="none"/>
                      <w:lang w:val="en-US" w:eastAsia="zh-CN" w:bidi="ar"/>
                    </w:rPr>
                    <w:t>三、能源</w:t>
                  </w:r>
                </w:p>
              </w:tc>
            </w:tr>
            <w:tr w14:paraId="760272D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71003D98">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1</w:t>
                  </w:r>
                </w:p>
              </w:tc>
              <w:tc>
                <w:tcPr>
                  <w:tcW w:w="1695" w:type="pct"/>
                  <w:tcBorders>
                    <w:tl2br w:val="nil"/>
                    <w:tr2bl w:val="nil"/>
                  </w:tcBorders>
                  <w:shd w:val="clear" w:color="auto" w:fill="auto"/>
                  <w:vAlign w:val="center"/>
                </w:tcPr>
                <w:p w14:paraId="2B7FB312">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水</w:t>
                  </w:r>
                </w:p>
              </w:tc>
              <w:tc>
                <w:tcPr>
                  <w:tcW w:w="1933" w:type="pct"/>
                  <w:tcBorders>
                    <w:tl2br w:val="nil"/>
                    <w:tr2bl w:val="nil"/>
                  </w:tcBorders>
                  <w:shd w:val="clear" w:color="auto" w:fill="auto"/>
                  <w:vAlign w:val="center"/>
                </w:tcPr>
                <w:p w14:paraId="0F4BC156">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市政供水</w:t>
                  </w:r>
                </w:p>
              </w:tc>
              <w:tc>
                <w:tcPr>
                  <w:tcW w:w="642" w:type="pct"/>
                  <w:tcBorders>
                    <w:tl2br w:val="nil"/>
                    <w:tr2bl w:val="nil"/>
                  </w:tcBorders>
                  <w:shd w:val="clear" w:color="auto" w:fill="auto"/>
                  <w:vAlign w:val="center"/>
                </w:tcPr>
                <w:p w14:paraId="3FEB8767">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184.88m</w:t>
                  </w:r>
                  <w:r>
                    <w:rPr>
                      <w:rFonts w:hint="eastAsia" w:cs="Times New Roman"/>
                      <w:i w:val="0"/>
                      <w:iCs w:val="0"/>
                      <w:color w:val="auto"/>
                      <w:kern w:val="0"/>
                      <w:sz w:val="21"/>
                      <w:szCs w:val="21"/>
                      <w:highlight w:val="none"/>
                      <w:u w:val="none"/>
                      <w:vertAlign w:val="superscript"/>
                      <w:lang w:val="en-US" w:eastAsia="zh-CN" w:bidi="ar"/>
                    </w:rPr>
                    <w:t>3</w:t>
                  </w:r>
                </w:p>
              </w:tc>
              <w:tc>
                <w:tcPr>
                  <w:tcW w:w="423" w:type="pct"/>
                  <w:tcBorders>
                    <w:tl2br w:val="nil"/>
                    <w:tr2bl w:val="nil"/>
                  </w:tcBorders>
                  <w:shd w:val="clear" w:color="auto" w:fill="auto"/>
                  <w:vAlign w:val="center"/>
                </w:tcPr>
                <w:p w14:paraId="026CA05F">
                  <w:pPr>
                    <w:widowControl/>
                    <w:adjustRightInd w:val="0"/>
                    <w:snapToGrid w:val="0"/>
                    <w:jc w:val="center"/>
                    <w:textAlignment w:val="center"/>
                    <w:rPr>
                      <w:rFonts w:hint="default" w:cs="Times New Roman"/>
                      <w:b w:val="0"/>
                      <w:bCs w:val="0"/>
                      <w:color w:val="auto"/>
                      <w:kern w:val="0"/>
                      <w:szCs w:val="21"/>
                      <w:highlight w:val="none"/>
                      <w:lang w:val="en-US" w:eastAsia="zh-CN" w:bidi="ar"/>
                    </w:rPr>
                  </w:pPr>
                </w:p>
              </w:tc>
            </w:tr>
            <w:tr w14:paraId="3D51DD9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06" w:type="pct"/>
                  <w:tcBorders>
                    <w:tl2br w:val="nil"/>
                    <w:tr2bl w:val="nil"/>
                  </w:tcBorders>
                  <w:shd w:val="clear" w:color="auto" w:fill="auto"/>
                  <w:vAlign w:val="center"/>
                </w:tcPr>
                <w:p w14:paraId="444884D5">
                  <w:pPr>
                    <w:widowControl/>
                    <w:adjustRightInd w:val="0"/>
                    <w:snapToGrid w:val="0"/>
                    <w:jc w:val="center"/>
                    <w:textAlignment w:val="center"/>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val="en-US" w:eastAsia="zh-CN" w:bidi="ar"/>
                    </w:rPr>
                    <w:t>2</w:t>
                  </w:r>
                </w:p>
              </w:tc>
              <w:tc>
                <w:tcPr>
                  <w:tcW w:w="1695" w:type="pct"/>
                  <w:tcBorders>
                    <w:tl2br w:val="nil"/>
                    <w:tr2bl w:val="nil"/>
                  </w:tcBorders>
                  <w:shd w:val="clear" w:color="auto" w:fill="auto"/>
                  <w:vAlign w:val="center"/>
                </w:tcPr>
                <w:p w14:paraId="4390E466">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电</w:t>
                  </w:r>
                </w:p>
              </w:tc>
              <w:tc>
                <w:tcPr>
                  <w:tcW w:w="1933" w:type="pct"/>
                  <w:tcBorders>
                    <w:tl2br w:val="nil"/>
                    <w:tr2bl w:val="nil"/>
                  </w:tcBorders>
                  <w:shd w:val="clear" w:color="auto" w:fill="auto"/>
                  <w:vAlign w:val="center"/>
                </w:tcPr>
                <w:p w14:paraId="51F1BDB7">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市政供电</w:t>
                  </w:r>
                </w:p>
              </w:tc>
              <w:tc>
                <w:tcPr>
                  <w:tcW w:w="642" w:type="pct"/>
                  <w:tcBorders>
                    <w:tl2br w:val="nil"/>
                    <w:tr2bl w:val="nil"/>
                  </w:tcBorders>
                  <w:shd w:val="clear" w:color="auto" w:fill="auto"/>
                  <w:vAlign w:val="center"/>
                </w:tcPr>
                <w:p w14:paraId="61F74A86">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2000kW.h</w:t>
                  </w:r>
                </w:p>
              </w:tc>
              <w:tc>
                <w:tcPr>
                  <w:tcW w:w="423" w:type="pct"/>
                  <w:tcBorders>
                    <w:tl2br w:val="nil"/>
                    <w:tr2bl w:val="nil"/>
                  </w:tcBorders>
                  <w:shd w:val="clear" w:color="auto" w:fill="auto"/>
                  <w:vAlign w:val="center"/>
                </w:tcPr>
                <w:p w14:paraId="44F05E2F">
                  <w:pPr>
                    <w:widowControl/>
                    <w:adjustRightInd w:val="0"/>
                    <w:snapToGrid w:val="0"/>
                    <w:jc w:val="center"/>
                    <w:textAlignment w:val="center"/>
                    <w:rPr>
                      <w:rFonts w:hint="default" w:cs="Times New Roman"/>
                      <w:b w:val="0"/>
                      <w:bCs w:val="0"/>
                      <w:color w:val="auto"/>
                      <w:kern w:val="0"/>
                      <w:szCs w:val="21"/>
                      <w:highlight w:val="yellow"/>
                      <w:lang w:val="en-US" w:eastAsia="zh-CN" w:bidi="ar"/>
                    </w:rPr>
                  </w:pPr>
                </w:p>
              </w:tc>
            </w:tr>
          </w:tbl>
          <w:p w14:paraId="77B85085">
            <w:pPr>
              <w:adjustRightInd w:val="0"/>
              <w:snapToGrid w:val="0"/>
              <w:spacing w:before="120" w:beforeLines="50" w:line="360" w:lineRule="auto"/>
              <w:rPr>
                <w:rFonts w:hint="default" w:ascii="Times New Roman" w:hAnsi="Times New Roman" w:cs="Times New Roman"/>
                <w:b/>
                <w:bCs/>
                <w:color w:val="auto"/>
                <w:szCs w:val="21"/>
              </w:rPr>
            </w:pPr>
            <w:r>
              <w:rPr>
                <w:rFonts w:hint="default" w:ascii="Times New Roman" w:hAnsi="Times New Roman" w:cs="Times New Roman"/>
                <w:b/>
                <w:color w:val="auto"/>
                <w:sz w:val="24"/>
              </w:rPr>
              <w:t>（</w:t>
            </w:r>
            <w:r>
              <w:rPr>
                <w:rFonts w:hint="eastAsia" w:cs="Times New Roman"/>
                <w:b/>
                <w:color w:val="auto"/>
                <w:sz w:val="24"/>
                <w:lang w:val="en-US" w:eastAsia="zh-CN"/>
              </w:rPr>
              <w:t>五</w:t>
            </w:r>
            <w:r>
              <w:rPr>
                <w:rFonts w:hint="default" w:ascii="Times New Roman" w:hAnsi="Times New Roman" w:cs="Times New Roman"/>
                <w:b/>
                <w:color w:val="auto"/>
                <w:sz w:val="24"/>
              </w:rPr>
              <w:t>）与污染排放有关的物质简要分析</w:t>
            </w:r>
          </w:p>
          <w:p w14:paraId="19EA803E">
            <w:pPr>
              <w:adjustRightInd w:val="0"/>
              <w:snapToGrid w:val="0"/>
              <w:spacing w:line="360" w:lineRule="auto"/>
              <w:ind w:firstLine="480" w:firstLineChars="200"/>
              <w:rPr>
                <w:rFonts w:hint="default" w:ascii="Times New Roman" w:hAnsi="Times New Roman" w:cs="Times New Roman"/>
                <w:b/>
                <w:bCs/>
                <w:color w:val="auto"/>
                <w:sz w:val="24"/>
              </w:rPr>
            </w:pPr>
            <w:r>
              <w:rPr>
                <w:rFonts w:hint="eastAsia" w:cs="Times New Roman"/>
                <w:color w:val="auto"/>
                <w:sz w:val="24"/>
                <w:lang w:val="en-US" w:eastAsia="zh-CN"/>
              </w:rPr>
              <w:t>本项目涉及的化学品种类较多，本次评价根据使用化学品的危险性，对项目涉及的与污染物排放有关的化学品性质列举</w:t>
            </w:r>
            <w:r>
              <w:rPr>
                <w:rFonts w:hint="default" w:ascii="Times New Roman" w:hAnsi="Times New Roman" w:cs="Times New Roman"/>
                <w:color w:val="auto"/>
                <w:sz w:val="24"/>
              </w:rPr>
              <w:t>见表2-5。</w:t>
            </w:r>
          </w:p>
          <w:p w14:paraId="54469C92">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 xml:space="preserve">表2-5 </w:t>
            </w:r>
            <w:r>
              <w:rPr>
                <w:rFonts w:hint="eastAsia" w:cs="Times New Roman"/>
                <w:b/>
                <w:bCs/>
                <w:color w:val="auto"/>
                <w:szCs w:val="21"/>
                <w:lang w:val="en-US" w:eastAsia="zh-CN"/>
              </w:rPr>
              <w:t>主要原辅材料</w:t>
            </w:r>
            <w:r>
              <w:rPr>
                <w:rFonts w:hint="default" w:ascii="Times New Roman" w:hAnsi="Times New Roman" w:cs="Times New Roman"/>
                <w:b/>
                <w:bCs/>
                <w:color w:val="auto"/>
                <w:szCs w:val="21"/>
              </w:rPr>
              <w:t>理化性质一览表</w:t>
            </w:r>
          </w:p>
          <w:tbl>
            <w:tblPr>
              <w:tblStyle w:val="30"/>
              <w:tblW w:w="4996"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383"/>
              <w:gridCol w:w="2874"/>
              <w:gridCol w:w="4777"/>
            </w:tblGrid>
            <w:tr w14:paraId="2E213CD5">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1375" w:type="dxa"/>
                  <w:tcBorders>
                    <w:tl2br w:val="nil"/>
                    <w:tr2bl w:val="nil"/>
                  </w:tcBorders>
                  <w:vAlign w:val="center"/>
                </w:tcPr>
                <w:p w14:paraId="4E6C3E44">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化学品名称</w:t>
                  </w:r>
                </w:p>
              </w:tc>
              <w:tc>
                <w:tcPr>
                  <w:tcW w:w="2861" w:type="dxa"/>
                  <w:tcBorders>
                    <w:tl2br w:val="nil"/>
                    <w:tr2bl w:val="nil"/>
                  </w:tcBorders>
                  <w:vAlign w:val="center"/>
                </w:tcPr>
                <w:p w14:paraId="299D8455">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color w:val="auto"/>
                      <w:spacing w:val="8"/>
                      <w:szCs w:val="21"/>
                    </w:rPr>
                    <w:t>标识</w:t>
                  </w:r>
                </w:p>
              </w:tc>
              <w:tc>
                <w:tcPr>
                  <w:tcW w:w="4757" w:type="dxa"/>
                  <w:tcBorders>
                    <w:tl2br w:val="nil"/>
                    <w:tr2bl w:val="nil"/>
                  </w:tcBorders>
                  <w:vAlign w:val="center"/>
                </w:tcPr>
                <w:p w14:paraId="1AEA6B40">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理化性质</w:t>
                  </w:r>
                </w:p>
              </w:tc>
            </w:tr>
            <w:tr w14:paraId="1E44A2CC">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8" w:hRule="atLeast"/>
              </w:trPr>
              <w:tc>
                <w:tcPr>
                  <w:tcW w:w="1375" w:type="dxa"/>
                  <w:tcBorders>
                    <w:tl2br w:val="nil"/>
                    <w:tr2bl w:val="nil"/>
                  </w:tcBorders>
                  <w:vAlign w:val="center"/>
                </w:tcPr>
                <w:p w14:paraId="4C279543">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硫酸</w:t>
                  </w:r>
                </w:p>
              </w:tc>
              <w:tc>
                <w:tcPr>
                  <w:tcW w:w="2861" w:type="dxa"/>
                  <w:tcBorders>
                    <w:tl2br w:val="nil"/>
                    <w:tr2bl w:val="nil"/>
                  </w:tcBorders>
                  <w:vAlign w:val="center"/>
                </w:tcPr>
                <w:p w14:paraId="25961C09">
                  <w:pPr>
                    <w:adjustRightInd w:val="0"/>
                    <w:snapToGrid w:val="0"/>
                    <w:contextualSpacing/>
                    <w:jc w:val="both"/>
                    <w:rPr>
                      <w:rFonts w:hint="default" w:ascii="Times New Roman" w:hAnsi="Times New Roman" w:cs="Times New Roman"/>
                      <w:color w:val="auto"/>
                      <w:szCs w:val="21"/>
                    </w:rPr>
                  </w:pPr>
                  <w:r>
                    <w:rPr>
                      <w:rFonts w:hint="default" w:ascii="Times New Roman" w:hAnsi="Times New Roman" w:cs="Times New Roman"/>
                      <w:color w:val="auto"/>
                      <w:szCs w:val="21"/>
                    </w:rPr>
                    <w:t>分子式：</w:t>
                  </w:r>
                  <w:r>
                    <w:rPr>
                      <w:rFonts w:hint="default" w:ascii="Times New Roman" w:hAnsi="Times New Roman" w:cs="Times New Roman"/>
                      <w:color w:val="auto"/>
                      <w:szCs w:val="21"/>
                      <w:shd w:val="clear" w:color="auto" w:fill="FFFFFF"/>
                    </w:rPr>
                    <w:t>H</w:t>
                  </w:r>
                  <w:r>
                    <w:rPr>
                      <w:rFonts w:hint="default" w:ascii="Times New Roman" w:hAnsi="Times New Roman" w:cs="Times New Roman"/>
                      <w:color w:val="auto"/>
                      <w:szCs w:val="21"/>
                      <w:shd w:val="clear" w:color="auto" w:fill="FFFFFF"/>
                      <w:vertAlign w:val="subscript"/>
                    </w:rPr>
                    <w:t>2</w:t>
                  </w:r>
                  <w:r>
                    <w:rPr>
                      <w:rFonts w:hint="default" w:ascii="Times New Roman" w:hAnsi="Times New Roman" w:cs="Times New Roman"/>
                      <w:color w:val="auto"/>
                      <w:szCs w:val="21"/>
                      <w:shd w:val="clear" w:color="auto" w:fill="FFFFFF"/>
                    </w:rPr>
                    <w:t>SO</w:t>
                  </w:r>
                  <w:r>
                    <w:rPr>
                      <w:rFonts w:hint="default" w:ascii="Times New Roman" w:hAnsi="Times New Roman" w:cs="Times New Roman"/>
                      <w:color w:val="auto"/>
                      <w:szCs w:val="21"/>
                      <w:shd w:val="clear" w:color="auto" w:fill="FFFFFF"/>
                      <w:vertAlign w:val="subscript"/>
                    </w:rPr>
                    <w:t>4</w:t>
                  </w:r>
                </w:p>
                <w:p w14:paraId="0ABE3FF1">
                  <w:pPr>
                    <w:pStyle w:val="28"/>
                    <w:tabs>
                      <w:tab w:val="left" w:pos="420"/>
                      <w:tab w:val="left" w:pos="870"/>
                      <w:tab w:val="left" w:pos="3150"/>
                    </w:tabs>
                    <w:adjustRightInd w:val="0"/>
                    <w:snapToGrid w:val="0"/>
                    <w:spacing w:after="0"/>
                    <w:ind w:left="0" w:leftChars="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分子量：98.04</w:t>
                  </w:r>
                </w:p>
                <w:p w14:paraId="3FA7BCA5">
                  <w:pPr>
                    <w:adjustRightInd w:val="0"/>
                    <w:snapToGrid w:val="0"/>
                    <w:contextualSpacing/>
                    <w:jc w:val="both"/>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CAS号：</w:t>
                  </w:r>
                  <w:r>
                    <w:rPr>
                      <w:rFonts w:hint="default" w:ascii="Times New Roman" w:hAnsi="Times New Roman" w:cs="Times New Roman"/>
                      <w:color w:val="auto"/>
                      <w:szCs w:val="21"/>
                      <w:shd w:val="clear" w:color="auto" w:fill="FFFFFF"/>
                    </w:rPr>
                    <w:t>7664-93-9</w:t>
                  </w:r>
                </w:p>
              </w:tc>
              <w:tc>
                <w:tcPr>
                  <w:tcW w:w="4757" w:type="dxa"/>
                  <w:tcBorders>
                    <w:tl2br w:val="nil"/>
                    <w:tr2bl w:val="nil"/>
                  </w:tcBorders>
                  <w:vAlign w:val="center"/>
                </w:tcPr>
                <w:p w14:paraId="20FCD358">
                  <w:pPr>
                    <w:adjustRightInd w:val="0"/>
                    <w:snapToGrid w:val="0"/>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熔点10.5℃，沸点330℃，相对密度1.83（水=1），相对密度3.4(空气=1)，纯品为无色透明油状液体，无臭。与水混溶。是一种重要的工业原料，常用作化学试剂，也可用于制造肥料、药物、炸药、颜料、洗涤剂、蓄电池等。浓硫酸在打开玻璃塞时，由于含有SO</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，挥发出来就会与空气中的水分相结合产生硫酸，</w:t>
                  </w:r>
                  <w:r>
                    <w:rPr>
                      <w:rFonts w:hint="eastAsia" w:cs="Times New Roman"/>
                      <w:color w:val="auto"/>
                      <w:szCs w:val="21"/>
                      <w:lang w:eastAsia="zh-CN"/>
                    </w:rPr>
                    <w:t>呈</w:t>
                  </w:r>
                  <w:r>
                    <w:rPr>
                      <w:rFonts w:hint="default" w:ascii="Times New Roman" w:hAnsi="Times New Roman" w:cs="Times New Roman"/>
                      <w:color w:val="auto"/>
                      <w:szCs w:val="21"/>
                    </w:rPr>
                    <w:t>烟雾状。</w:t>
                  </w:r>
                </w:p>
              </w:tc>
            </w:tr>
            <w:tr w14:paraId="57931F93">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1375" w:type="dxa"/>
                  <w:tcBorders>
                    <w:tl2br w:val="nil"/>
                    <w:tr2bl w:val="nil"/>
                  </w:tcBorders>
                  <w:vAlign w:val="center"/>
                </w:tcPr>
                <w:p w14:paraId="4A263F0E">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盐酸</w:t>
                  </w:r>
                </w:p>
              </w:tc>
              <w:tc>
                <w:tcPr>
                  <w:tcW w:w="2861" w:type="dxa"/>
                  <w:tcBorders>
                    <w:tl2br w:val="nil"/>
                    <w:tr2bl w:val="nil"/>
                  </w:tcBorders>
                  <w:vAlign w:val="center"/>
                </w:tcPr>
                <w:p w14:paraId="384DD8D9">
                  <w:pPr>
                    <w:adjustRightInd w:val="0"/>
                    <w:snapToGrid w:val="0"/>
                    <w:contextualSpacing/>
                    <w:jc w:val="both"/>
                    <w:rPr>
                      <w:rFonts w:hint="default" w:ascii="Times New Roman" w:hAnsi="Times New Roman" w:cs="Times New Roman"/>
                      <w:color w:val="auto"/>
                      <w:spacing w:val="-20"/>
                      <w:szCs w:val="21"/>
                    </w:rPr>
                  </w:pPr>
                  <w:r>
                    <w:rPr>
                      <w:rFonts w:hint="default" w:ascii="Times New Roman" w:hAnsi="Times New Roman" w:cs="Times New Roman"/>
                      <w:color w:val="auto"/>
                      <w:spacing w:val="-20"/>
                      <w:szCs w:val="21"/>
                    </w:rPr>
                    <w:t>分子式：HCl（水溶液）</w:t>
                  </w:r>
                </w:p>
                <w:p w14:paraId="1D84D1BA">
                  <w:pPr>
                    <w:adjustRightInd w:val="0"/>
                    <w:snapToGrid w:val="0"/>
                    <w:contextualSpacing/>
                    <w:jc w:val="both"/>
                    <w:rPr>
                      <w:rFonts w:hint="default" w:ascii="Times New Roman" w:hAnsi="Times New Roman" w:cs="Times New Roman"/>
                      <w:color w:val="auto"/>
                      <w:szCs w:val="21"/>
                    </w:rPr>
                  </w:pPr>
                  <w:r>
                    <w:rPr>
                      <w:rFonts w:hint="default" w:ascii="Times New Roman" w:hAnsi="Times New Roman" w:cs="Times New Roman"/>
                      <w:color w:val="auto"/>
                      <w:szCs w:val="21"/>
                    </w:rPr>
                    <w:t>分子量：36.46</w:t>
                  </w:r>
                </w:p>
                <w:p w14:paraId="0B6E9EB2">
                  <w:pPr>
                    <w:adjustRightInd w:val="0"/>
                    <w:snapToGrid w:val="0"/>
                    <w:contextualSpacing/>
                    <w:jc w:val="both"/>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CAS号：7647-01-0</w:t>
                  </w:r>
                </w:p>
              </w:tc>
              <w:tc>
                <w:tcPr>
                  <w:tcW w:w="4757" w:type="dxa"/>
                  <w:tcBorders>
                    <w:tl2br w:val="nil"/>
                    <w:tr2bl w:val="nil"/>
                  </w:tcBorders>
                  <w:vAlign w:val="center"/>
                </w:tcPr>
                <w:p w14:paraId="2DCAC923">
                  <w:pPr>
                    <w:widowControl/>
                    <w:adjustRightInd w:val="0"/>
                    <w:snapToGrid w:val="0"/>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熔点-35℃、沸点57℃，密度1.2g/mL（25℃），闪点-40℃，无色或微黄色发烟液体，有刺鼻的酸味。与水混溶，溶于碱液。</w:t>
                  </w:r>
                  <w:r>
                    <w:rPr>
                      <w:rFonts w:hint="default" w:ascii="Times New Roman" w:hAnsi="Times New Roman" w:cs="Times New Roman"/>
                      <w:color w:val="auto"/>
                      <w:szCs w:val="21"/>
                      <w:highlight w:val="none"/>
                    </w:rPr>
                    <w:t>浓盐酸（质量分数约为37%）具有极强的挥发性，</w:t>
                  </w:r>
                  <w:r>
                    <w:rPr>
                      <w:rFonts w:hint="default" w:ascii="Times New Roman" w:hAnsi="Times New Roman" w:cs="Times New Roman"/>
                      <w:color w:val="auto"/>
                      <w:szCs w:val="21"/>
                    </w:rPr>
                    <w:t>因此盛有浓盐酸的容器打开后氯化氢气体会挥发，与空气中的水蒸气结合产生盐酸小液滴，使瓶口上方出现酸雾。盐酸可用于配制标准溶液滴定碱性物质；调节溶液的酸碱度；</w:t>
                  </w:r>
                </w:p>
              </w:tc>
            </w:tr>
            <w:tr w14:paraId="3F2A8F49">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1375" w:type="dxa"/>
                  <w:tcBorders>
                    <w:tl2br w:val="nil"/>
                    <w:tr2bl w:val="nil"/>
                  </w:tcBorders>
                  <w:vAlign w:val="center"/>
                </w:tcPr>
                <w:p w14:paraId="422F3EC4">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硝酸</w:t>
                  </w:r>
                </w:p>
              </w:tc>
              <w:tc>
                <w:tcPr>
                  <w:tcW w:w="2861" w:type="dxa"/>
                  <w:tcBorders>
                    <w:tl2br w:val="nil"/>
                    <w:tr2bl w:val="nil"/>
                  </w:tcBorders>
                  <w:vAlign w:val="center"/>
                </w:tcPr>
                <w:p w14:paraId="2987C26A">
                  <w:pPr>
                    <w:adjustRightInd w:val="0"/>
                    <w:snapToGrid w:val="0"/>
                    <w:contextualSpacing/>
                    <w:jc w:val="both"/>
                    <w:rPr>
                      <w:rFonts w:hint="default" w:ascii="Times New Roman" w:hAnsi="Times New Roman" w:cs="Times New Roman"/>
                      <w:color w:val="auto"/>
                      <w:szCs w:val="21"/>
                    </w:rPr>
                  </w:pPr>
                  <w:r>
                    <w:rPr>
                      <w:rFonts w:hint="default" w:ascii="Times New Roman" w:hAnsi="Times New Roman" w:cs="Times New Roman"/>
                      <w:color w:val="auto"/>
                      <w:szCs w:val="21"/>
                    </w:rPr>
                    <w:t>分子式：</w:t>
                  </w:r>
                  <w:r>
                    <w:rPr>
                      <w:rFonts w:hint="default" w:ascii="Times New Roman" w:hAnsi="Times New Roman" w:cs="Times New Roman"/>
                      <w:color w:val="auto"/>
                      <w:szCs w:val="21"/>
                      <w:shd w:val="clear" w:color="auto" w:fill="FFFFFF"/>
                    </w:rPr>
                    <w:t>HNO</w:t>
                  </w:r>
                  <w:r>
                    <w:rPr>
                      <w:rFonts w:hint="default" w:ascii="Times New Roman" w:hAnsi="Times New Roman" w:cs="Times New Roman"/>
                      <w:color w:val="auto"/>
                      <w:szCs w:val="21"/>
                      <w:shd w:val="clear" w:color="auto" w:fill="FFFFFF"/>
                      <w:vertAlign w:val="subscript"/>
                    </w:rPr>
                    <w:t>3</w:t>
                  </w:r>
                </w:p>
                <w:p w14:paraId="583A34D9">
                  <w:pPr>
                    <w:pStyle w:val="28"/>
                    <w:tabs>
                      <w:tab w:val="left" w:pos="420"/>
                      <w:tab w:val="left" w:pos="870"/>
                      <w:tab w:val="left" w:pos="3150"/>
                    </w:tabs>
                    <w:adjustRightInd w:val="0"/>
                    <w:snapToGrid w:val="0"/>
                    <w:spacing w:after="0"/>
                    <w:ind w:left="0" w:leftChars="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分子量：63.01</w:t>
                  </w:r>
                </w:p>
                <w:p w14:paraId="4C0A4897">
                  <w:pPr>
                    <w:widowControl/>
                    <w:adjustRightInd w:val="0"/>
                    <w:snapToGrid w:val="0"/>
                    <w:jc w:val="both"/>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CAS号：</w:t>
                  </w:r>
                  <w:r>
                    <w:rPr>
                      <w:rFonts w:hint="default" w:ascii="Times New Roman" w:hAnsi="Times New Roman" w:cs="Times New Roman"/>
                      <w:color w:val="auto"/>
                      <w:szCs w:val="21"/>
                      <w:shd w:val="clear" w:color="auto" w:fill="FFFFFF"/>
                    </w:rPr>
                    <w:t>7697-37-2</w:t>
                  </w:r>
                </w:p>
              </w:tc>
              <w:tc>
                <w:tcPr>
                  <w:tcW w:w="4757" w:type="dxa"/>
                  <w:tcBorders>
                    <w:tl2br w:val="nil"/>
                    <w:tr2bl w:val="nil"/>
                  </w:tcBorders>
                  <w:vAlign w:val="center"/>
                </w:tcPr>
                <w:p w14:paraId="418FA7F1">
                  <w:pPr>
                    <w:widowControl/>
                    <w:adjustRightInd w:val="0"/>
                    <w:snapToGrid w:val="0"/>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纯品为无色透明发烟液体，有酸味，相对密度（无水）1.50（水=1），相对密度2.17(空气=1)，熔点-42℃（无水），沸点86℃（无水），与水混溶，用途极广,主要用于化肥、染料、国防、炸药、冶金、医药等工业。</w:t>
                  </w:r>
                </w:p>
              </w:tc>
            </w:tr>
            <w:tr w14:paraId="0BAFF818">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1375" w:type="dxa"/>
                  <w:tcBorders>
                    <w:tl2br w:val="nil"/>
                    <w:tr2bl w:val="nil"/>
                  </w:tcBorders>
                  <w:vAlign w:val="center"/>
                </w:tcPr>
                <w:p w14:paraId="598A08EF">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无水乙醇</w:t>
                  </w:r>
                </w:p>
              </w:tc>
              <w:tc>
                <w:tcPr>
                  <w:tcW w:w="2861" w:type="dxa"/>
                  <w:tcBorders>
                    <w:tl2br w:val="nil"/>
                    <w:tr2bl w:val="nil"/>
                  </w:tcBorders>
                  <w:vAlign w:val="center"/>
                </w:tcPr>
                <w:p w14:paraId="1F859C55">
                  <w:pPr>
                    <w:adjustRightInd w:val="0"/>
                    <w:snapToGrid w:val="0"/>
                    <w:contextualSpacing/>
                    <w:jc w:val="both"/>
                    <w:rPr>
                      <w:rFonts w:hint="default" w:ascii="Times New Roman" w:hAnsi="Times New Roman" w:cs="Times New Roman"/>
                      <w:color w:val="auto"/>
                      <w:szCs w:val="21"/>
                    </w:rPr>
                  </w:pPr>
                  <w:r>
                    <w:rPr>
                      <w:rFonts w:hint="default" w:ascii="Times New Roman" w:hAnsi="Times New Roman" w:cs="Times New Roman"/>
                      <w:color w:val="auto"/>
                      <w:szCs w:val="21"/>
                    </w:rPr>
                    <w:t>分子式：C</w:t>
                  </w:r>
                  <w:r>
                    <w:rPr>
                      <w:rFonts w:hint="default" w:ascii="Times New Roman" w:hAnsi="Times New Roman" w:cs="Times New Roman"/>
                      <w:color w:val="auto"/>
                      <w:szCs w:val="21"/>
                      <w:vertAlign w:val="subscript"/>
                    </w:rPr>
                    <w:t>2</w:t>
                  </w:r>
                  <w:r>
                    <w:rPr>
                      <w:rFonts w:hint="default" w:ascii="Times New Roman" w:hAnsi="Times New Roman" w:cs="Times New Roman"/>
                      <w:color w:val="auto"/>
                      <w:szCs w:val="21"/>
                      <w:shd w:val="clear" w:color="auto" w:fill="FFFFFF"/>
                    </w:rPr>
                    <w:t>H</w:t>
                  </w:r>
                  <w:r>
                    <w:rPr>
                      <w:rFonts w:hint="default" w:ascii="Times New Roman" w:hAnsi="Times New Roman" w:cs="Times New Roman"/>
                      <w:color w:val="auto"/>
                      <w:szCs w:val="21"/>
                      <w:shd w:val="clear" w:color="auto" w:fill="FFFFFF"/>
                      <w:vertAlign w:val="subscript"/>
                    </w:rPr>
                    <w:t>6</w:t>
                  </w:r>
                  <w:r>
                    <w:rPr>
                      <w:rFonts w:hint="default" w:ascii="Times New Roman" w:hAnsi="Times New Roman" w:cs="Times New Roman"/>
                      <w:color w:val="auto"/>
                      <w:szCs w:val="21"/>
                      <w:shd w:val="clear" w:color="auto" w:fill="FFFFFF"/>
                    </w:rPr>
                    <w:t>O</w:t>
                  </w:r>
                </w:p>
                <w:p w14:paraId="63CB24BF">
                  <w:pPr>
                    <w:pStyle w:val="28"/>
                    <w:tabs>
                      <w:tab w:val="left" w:pos="420"/>
                      <w:tab w:val="left" w:pos="870"/>
                      <w:tab w:val="left" w:pos="3150"/>
                    </w:tabs>
                    <w:adjustRightInd w:val="0"/>
                    <w:snapToGrid w:val="0"/>
                    <w:spacing w:after="0"/>
                    <w:ind w:left="0" w:leftChars="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分子量：46.07</w:t>
                  </w:r>
                </w:p>
                <w:p w14:paraId="034D9240">
                  <w:pPr>
                    <w:adjustRightInd w:val="0"/>
                    <w:snapToGrid w:val="0"/>
                    <w:contextualSpacing/>
                    <w:jc w:val="both"/>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CAS号：</w:t>
                  </w:r>
                  <w:r>
                    <w:rPr>
                      <w:rFonts w:hint="default" w:ascii="Times New Roman" w:hAnsi="Times New Roman" w:cs="Times New Roman"/>
                      <w:color w:val="auto"/>
                      <w:szCs w:val="21"/>
                      <w:shd w:val="clear" w:color="auto" w:fill="FFFFFF"/>
                    </w:rPr>
                    <w:t>64-17-5</w:t>
                  </w:r>
                </w:p>
              </w:tc>
              <w:tc>
                <w:tcPr>
                  <w:tcW w:w="4757" w:type="dxa"/>
                  <w:tcBorders>
                    <w:tl2br w:val="nil"/>
                    <w:tr2bl w:val="nil"/>
                  </w:tcBorders>
                  <w:vAlign w:val="center"/>
                </w:tcPr>
                <w:p w14:paraId="51F05314">
                  <w:pPr>
                    <w:adjustRightInd w:val="0"/>
                    <w:snapToGrid w:val="0"/>
                    <w:contextualSpacing/>
                    <w:rPr>
                      <w:rFonts w:hint="default" w:ascii="Times New Roman" w:hAnsi="Times New Roman" w:cs="Times New Roman"/>
                      <w:color w:val="auto"/>
                      <w:kern w:val="0"/>
                      <w:szCs w:val="21"/>
                      <w:lang w:bidi="ar"/>
                    </w:rPr>
                  </w:pPr>
                  <w:r>
                    <w:rPr>
                      <w:rFonts w:hint="default" w:ascii="Times New Roman" w:hAnsi="Times New Roman" w:cs="Times New Roman"/>
                      <w:color w:val="auto"/>
                      <w:spacing w:val="8"/>
                      <w:szCs w:val="21"/>
                    </w:rPr>
                    <w:t>熔点-114.1℃，沸点78.8℃，相对密度0.79（水=1），相对蒸气密度1.59（空气=1），无色透明、易燃易挥发液体。有酒的气味和刺激性辛辣味。 溶于水、甲醇、乙醚和氯仿。能溶解许多有机化合物和若干无机化合物。</w:t>
                  </w:r>
                </w:p>
              </w:tc>
            </w:tr>
            <w:tr w14:paraId="4D48DA55">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1375" w:type="dxa"/>
                  <w:tcBorders>
                    <w:tl2br w:val="nil"/>
                    <w:tr2bl w:val="nil"/>
                  </w:tcBorders>
                  <w:vAlign w:val="center"/>
                </w:tcPr>
                <w:p w14:paraId="6A1D99CE">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N,N-二乙基对苯二胺</w:t>
                  </w:r>
                </w:p>
              </w:tc>
              <w:tc>
                <w:tcPr>
                  <w:tcW w:w="2861" w:type="dxa"/>
                  <w:tcBorders>
                    <w:tl2br w:val="nil"/>
                    <w:tr2bl w:val="nil"/>
                  </w:tcBorders>
                  <w:vAlign w:val="center"/>
                </w:tcPr>
                <w:p w14:paraId="4490803E">
                  <w:pPr>
                    <w:adjustRightInd w:val="0"/>
                    <w:snapToGrid w:val="0"/>
                    <w:contextualSpacing/>
                    <w:jc w:val="both"/>
                    <w:rPr>
                      <w:rFonts w:hint="default" w:ascii="Times New Roman" w:hAnsi="Times New Roman" w:cs="Times New Roman"/>
                      <w:color w:val="auto"/>
                      <w:szCs w:val="21"/>
                    </w:rPr>
                  </w:pPr>
                  <w:r>
                    <w:rPr>
                      <w:rFonts w:hint="default" w:ascii="Times New Roman" w:hAnsi="Times New Roman" w:cs="Times New Roman"/>
                      <w:color w:val="auto"/>
                      <w:szCs w:val="21"/>
                    </w:rPr>
                    <w:t>分子式：C</w:t>
                  </w:r>
                  <w:r>
                    <w:rPr>
                      <w:rFonts w:hint="default" w:ascii="Times New Roman" w:hAnsi="Times New Roman" w:cs="Times New Roman"/>
                      <w:color w:val="auto"/>
                      <w:szCs w:val="21"/>
                      <w:vertAlign w:val="subscript"/>
                    </w:rPr>
                    <w:t>10</w:t>
                  </w:r>
                  <w:r>
                    <w:rPr>
                      <w:rFonts w:hint="default" w:ascii="Times New Roman" w:hAnsi="Times New Roman" w:cs="Times New Roman"/>
                      <w:color w:val="auto"/>
                      <w:szCs w:val="21"/>
                    </w:rPr>
                    <w:t>H</w:t>
                  </w:r>
                  <w:r>
                    <w:rPr>
                      <w:rFonts w:hint="default" w:ascii="Times New Roman" w:hAnsi="Times New Roman" w:cs="Times New Roman"/>
                      <w:color w:val="auto"/>
                      <w:szCs w:val="21"/>
                      <w:vertAlign w:val="subscript"/>
                    </w:rPr>
                    <w:t>16</w:t>
                  </w:r>
                  <w:r>
                    <w:rPr>
                      <w:rFonts w:hint="default" w:ascii="Times New Roman" w:hAnsi="Times New Roman" w:cs="Times New Roman"/>
                      <w:color w:val="auto"/>
                      <w:szCs w:val="21"/>
                    </w:rPr>
                    <w:t>N</w:t>
                  </w:r>
                  <w:r>
                    <w:rPr>
                      <w:rFonts w:hint="default" w:ascii="Times New Roman" w:hAnsi="Times New Roman" w:cs="Times New Roman"/>
                      <w:color w:val="auto"/>
                      <w:szCs w:val="21"/>
                      <w:vertAlign w:val="subscript"/>
                    </w:rPr>
                    <w:t>2</w:t>
                  </w:r>
                </w:p>
                <w:p w14:paraId="28981647">
                  <w:pPr>
                    <w:adjustRightInd w:val="0"/>
                    <w:snapToGrid w:val="0"/>
                    <w:contextualSpacing/>
                    <w:jc w:val="both"/>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Cs w:val="21"/>
                    </w:rPr>
                    <w:t>分子量：164.2</w:t>
                  </w:r>
                  <w:r>
                    <w:rPr>
                      <w:rFonts w:hint="eastAsia" w:cs="Times New Roman"/>
                      <w:color w:val="auto"/>
                      <w:szCs w:val="21"/>
                      <w:lang w:val="en-US" w:eastAsia="zh-CN"/>
                    </w:rPr>
                    <w:t>5</w:t>
                  </w:r>
                </w:p>
                <w:p w14:paraId="1AF41586">
                  <w:pPr>
                    <w:adjustRightInd w:val="0"/>
                    <w:snapToGrid w:val="0"/>
                    <w:contextualSpacing/>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CAS号：</w:t>
                  </w:r>
                  <w:r>
                    <w:rPr>
                      <w:rFonts w:hint="eastAsia" w:cs="Times New Roman"/>
                      <w:color w:val="auto"/>
                      <w:szCs w:val="21"/>
                      <w:lang w:val="en-US" w:eastAsia="zh-CN"/>
                    </w:rPr>
                    <w:t>93-05-0</w:t>
                  </w:r>
                </w:p>
              </w:tc>
              <w:tc>
                <w:tcPr>
                  <w:tcW w:w="4757" w:type="dxa"/>
                  <w:tcBorders>
                    <w:tl2br w:val="nil"/>
                    <w:tr2bl w:val="nil"/>
                  </w:tcBorders>
                  <w:vAlign w:val="center"/>
                </w:tcPr>
                <w:p w14:paraId="531F7DF9">
                  <w:pPr>
                    <w:adjustRightInd w:val="0"/>
                    <w:snapToGrid w:val="0"/>
                    <w:contextualSpacing/>
                    <w:rPr>
                      <w:rFonts w:hint="default" w:ascii="Times New Roman" w:hAnsi="Times New Roman" w:eastAsia="宋体" w:cs="Times New Roman"/>
                      <w:color w:val="auto"/>
                      <w:spacing w:val="8"/>
                      <w:szCs w:val="21"/>
                      <w:lang w:val="en-US" w:eastAsia="zh-CN"/>
                    </w:rPr>
                  </w:pPr>
                  <w:r>
                    <w:rPr>
                      <w:rFonts w:hint="default" w:ascii="Times New Roman" w:hAnsi="Times New Roman" w:cs="Times New Roman"/>
                      <w:color w:val="auto"/>
                      <w:spacing w:val="8"/>
                      <w:szCs w:val="21"/>
                    </w:rPr>
                    <w:t>无色液体</w:t>
                  </w:r>
                  <w:r>
                    <w:rPr>
                      <w:rFonts w:hint="eastAsia" w:cs="Times New Roman"/>
                      <w:color w:val="auto"/>
                      <w:spacing w:val="8"/>
                      <w:szCs w:val="21"/>
                      <w:lang w:eastAsia="zh-CN"/>
                    </w:rPr>
                    <w:t>，</w:t>
                  </w:r>
                  <w:r>
                    <w:rPr>
                      <w:rFonts w:hint="eastAsia" w:cs="Times New Roman"/>
                      <w:color w:val="auto"/>
                      <w:spacing w:val="8"/>
                      <w:szCs w:val="21"/>
                      <w:lang w:val="en-US" w:eastAsia="zh-CN"/>
                    </w:rPr>
                    <w:t>沸点260~262℃，不溶于水，溶于</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"https://baike.so.com/doc/3036121-3200992.html"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乙醇</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和</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"https://baike.so.com/doc/1872265-1980372.html"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乙醚</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，用作染料</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"https://baike.so.com/doc/6540725-6754465.html"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中间体</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等。其盐酸盐或</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"https://baike.so.com/doc/5834528-6047356.html"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硫酸盐</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用作彩色</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"https://baike.so.com/doc/411015-435314.html"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显影剂</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w:t>
                  </w:r>
                </w:p>
              </w:tc>
            </w:tr>
            <w:tr w14:paraId="2F0E6A9F">
              <w:tblPrEx>
                <w:tblBorders>
                  <w:top w:val="single" w:color="auto" w:sz="8" w:space="0"/>
                  <w:left w:val="none" w:color="auto" w:sz="0" w:space="0"/>
                  <w:bottom w:val="single" w:color="auto" w:sz="8"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1375" w:type="dxa"/>
                  <w:tcBorders>
                    <w:tl2br w:val="nil"/>
                    <w:tr2bl w:val="nil"/>
                  </w:tcBorders>
                  <w:vAlign w:val="center"/>
                </w:tcPr>
                <w:p w14:paraId="15061AD8">
                  <w:pPr>
                    <w:widowControl/>
                    <w:adjustRightInd w:val="0"/>
                    <w:snapToGrid w:val="0"/>
                    <w:jc w:val="center"/>
                    <w:textAlignment w:val="center"/>
                    <w:rPr>
                      <w:rFonts w:hint="eastAsia" w:ascii="Times New Roman" w:hAnsi="Times New Roman" w:eastAsia="宋体" w:cs="Times New Roman"/>
                      <w:color w:val="auto"/>
                      <w:kern w:val="0"/>
                      <w:szCs w:val="21"/>
                      <w:lang w:val="en-US" w:eastAsia="zh-CN" w:bidi="ar"/>
                    </w:rPr>
                  </w:pPr>
                  <w:r>
                    <w:rPr>
                      <w:rFonts w:hint="eastAsia" w:cs="Times New Roman"/>
                      <w:color w:val="auto"/>
                      <w:kern w:val="0"/>
                      <w:szCs w:val="21"/>
                      <w:lang w:val="en-US" w:eastAsia="zh-CN" w:bidi="ar"/>
                    </w:rPr>
                    <w:t>丙三醇</w:t>
                  </w:r>
                </w:p>
              </w:tc>
              <w:tc>
                <w:tcPr>
                  <w:tcW w:w="2861" w:type="dxa"/>
                  <w:tcBorders>
                    <w:tl2br w:val="nil"/>
                    <w:tr2bl w:val="nil"/>
                  </w:tcBorders>
                  <w:vAlign w:val="center"/>
                </w:tcPr>
                <w:p w14:paraId="60DAFD4A">
                  <w:pPr>
                    <w:adjustRightInd w:val="0"/>
                    <w:snapToGrid w:val="0"/>
                    <w:contextualSpacing/>
                    <w:jc w:val="both"/>
                    <w:rPr>
                      <w:rFonts w:hint="default" w:ascii="Times New Roman" w:hAnsi="Times New Roman" w:cs="Times New Roman"/>
                      <w:color w:val="auto"/>
                      <w:szCs w:val="21"/>
                    </w:rPr>
                  </w:pPr>
                  <w:r>
                    <w:rPr>
                      <w:rFonts w:hint="default" w:ascii="Times New Roman" w:hAnsi="Times New Roman" w:cs="Times New Roman"/>
                      <w:color w:val="auto"/>
                      <w:szCs w:val="21"/>
                    </w:rPr>
                    <w:t>分子式：C</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H</w:t>
                  </w:r>
                  <w:r>
                    <w:rPr>
                      <w:rFonts w:hint="default" w:ascii="Times New Roman" w:hAnsi="Times New Roman" w:cs="Times New Roman"/>
                      <w:color w:val="auto"/>
                      <w:szCs w:val="21"/>
                      <w:vertAlign w:val="subscript"/>
                    </w:rPr>
                    <w:t>8</w:t>
                  </w:r>
                  <w:r>
                    <w:rPr>
                      <w:rFonts w:hint="default" w:ascii="Times New Roman" w:hAnsi="Times New Roman" w:cs="Times New Roman"/>
                      <w:color w:val="auto"/>
                      <w:szCs w:val="21"/>
                    </w:rPr>
                    <w:t>O</w:t>
                  </w:r>
                  <w:r>
                    <w:rPr>
                      <w:rFonts w:hint="default" w:ascii="Times New Roman" w:hAnsi="Times New Roman" w:cs="Times New Roman"/>
                      <w:color w:val="auto"/>
                      <w:szCs w:val="21"/>
                      <w:vertAlign w:val="subscript"/>
                    </w:rPr>
                    <w:t>3</w:t>
                  </w:r>
                </w:p>
                <w:p w14:paraId="135FF89A">
                  <w:pPr>
                    <w:adjustRightInd w:val="0"/>
                    <w:snapToGrid w:val="0"/>
                    <w:contextualSpacing/>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分子量：</w:t>
                  </w:r>
                  <w:r>
                    <w:rPr>
                      <w:rFonts w:hint="eastAsia" w:cs="Times New Roman"/>
                      <w:color w:val="auto"/>
                      <w:szCs w:val="21"/>
                      <w:lang w:val="en-US" w:eastAsia="zh-CN"/>
                    </w:rPr>
                    <w:t>92.09</w:t>
                  </w:r>
                </w:p>
                <w:p w14:paraId="4F9D6C63">
                  <w:pPr>
                    <w:adjustRightInd w:val="0"/>
                    <w:snapToGrid w:val="0"/>
                    <w:contextualSpacing/>
                    <w:jc w:val="both"/>
                    <w:rPr>
                      <w:rFonts w:hint="default" w:ascii="Times New Roman" w:hAnsi="Times New Roman" w:cs="Times New Roman"/>
                      <w:color w:val="auto"/>
                      <w:szCs w:val="21"/>
                      <w:lang w:val="en-US"/>
                    </w:rPr>
                  </w:pPr>
                  <w:r>
                    <w:rPr>
                      <w:rFonts w:hint="default" w:ascii="Times New Roman" w:hAnsi="Times New Roman" w:cs="Times New Roman"/>
                      <w:color w:val="auto"/>
                      <w:szCs w:val="21"/>
                    </w:rPr>
                    <w:t>CAS号：</w:t>
                  </w:r>
                  <w:r>
                    <w:rPr>
                      <w:rFonts w:hint="eastAsia" w:cs="Times New Roman"/>
                      <w:color w:val="auto"/>
                      <w:szCs w:val="21"/>
                      <w:lang w:val="en-US" w:eastAsia="zh-CN"/>
                    </w:rPr>
                    <w:t>56-81-5</w:t>
                  </w:r>
                </w:p>
              </w:tc>
              <w:tc>
                <w:tcPr>
                  <w:tcW w:w="4757" w:type="dxa"/>
                  <w:tcBorders>
                    <w:tl2br w:val="nil"/>
                    <w:tr2bl w:val="nil"/>
                  </w:tcBorders>
                  <w:vAlign w:val="center"/>
                </w:tcPr>
                <w:p w14:paraId="42B315BE">
                  <w:pPr>
                    <w:adjustRightInd w:val="0"/>
                    <w:snapToGrid w:val="0"/>
                    <w:contextualSpacing/>
                    <w:rPr>
                      <w:rFonts w:hint="default" w:ascii="Times New Roman" w:hAnsi="Times New Roman" w:eastAsia="宋体" w:cs="Times New Roman"/>
                      <w:color w:val="auto"/>
                      <w:spacing w:val="8"/>
                      <w:szCs w:val="21"/>
                      <w:lang w:val="en-US" w:eastAsia="zh-CN"/>
                    </w:rPr>
                  </w:pPr>
                  <w:r>
                    <w:rPr>
                      <w:rFonts w:hint="default" w:ascii="Times New Roman" w:hAnsi="Times New Roman" w:cs="Times New Roman"/>
                      <w:color w:val="auto"/>
                      <w:spacing w:val="8"/>
                      <w:szCs w:val="21"/>
                    </w:rPr>
                    <w:t>无色粘稠液体</w:t>
                  </w:r>
                  <w:r>
                    <w:rPr>
                      <w:rFonts w:hint="eastAsia" w:cs="Times New Roman"/>
                      <w:color w:val="auto"/>
                      <w:spacing w:val="8"/>
                      <w:szCs w:val="21"/>
                      <w:lang w:eastAsia="zh-CN"/>
                    </w:rPr>
                    <w:t>，</w:t>
                  </w:r>
                  <w:r>
                    <w:rPr>
                      <w:rFonts w:hint="default" w:ascii="Times New Roman" w:hAnsi="Times New Roman" w:cs="Times New Roman"/>
                      <w:color w:val="auto"/>
                      <w:spacing w:val="8"/>
                      <w:szCs w:val="21"/>
                    </w:rPr>
                    <w:t>无气味</w:t>
                  </w:r>
                  <w:r>
                    <w:rPr>
                      <w:rFonts w:hint="eastAsia" w:cs="Times New Roman"/>
                      <w:color w:val="auto"/>
                      <w:spacing w:val="8"/>
                      <w:szCs w:val="21"/>
                      <w:lang w:eastAsia="zh-CN"/>
                    </w:rPr>
                    <w:t>，</w:t>
                  </w:r>
                  <w:r>
                    <w:rPr>
                      <w:rFonts w:hint="default" w:ascii="Times New Roman" w:hAnsi="Times New Roman" w:cs="Times New Roman"/>
                      <w:color w:val="auto"/>
                      <w:spacing w:val="8"/>
                      <w:szCs w:val="21"/>
                    </w:rPr>
                    <w:t>有暖甜味</w:t>
                  </w:r>
                  <w:r>
                    <w:rPr>
                      <w:rFonts w:hint="eastAsia" w:cs="Times New Roman"/>
                      <w:color w:val="auto"/>
                      <w:spacing w:val="8"/>
                      <w:szCs w:val="21"/>
                      <w:lang w:eastAsia="zh-CN"/>
                    </w:rPr>
                    <w:t>，</w:t>
                  </w:r>
                  <w:r>
                    <w:rPr>
                      <w:rFonts w:hint="default" w:ascii="Times New Roman" w:hAnsi="Times New Roman" w:cs="Times New Roman"/>
                      <w:color w:val="auto"/>
                      <w:spacing w:val="8"/>
                      <w:szCs w:val="21"/>
                    </w:rPr>
                    <w:t>能吸潮。熔点(℃)</w:t>
                  </w:r>
                  <w:r>
                    <w:rPr>
                      <w:rFonts w:hint="eastAsia" w:cs="Times New Roman"/>
                      <w:color w:val="auto"/>
                      <w:spacing w:val="8"/>
                      <w:szCs w:val="21"/>
                      <w:lang w:eastAsia="zh-CN"/>
                    </w:rPr>
                    <w:t>：</w:t>
                  </w:r>
                  <w:r>
                    <w:rPr>
                      <w:rFonts w:hint="default" w:ascii="Times New Roman" w:hAnsi="Times New Roman" w:cs="Times New Roman"/>
                      <w:color w:val="auto"/>
                      <w:spacing w:val="8"/>
                      <w:szCs w:val="21"/>
                    </w:rPr>
                    <w:t>20</w:t>
                  </w:r>
                  <w:r>
                    <w:rPr>
                      <w:rFonts w:hint="eastAsia" w:cs="Times New Roman"/>
                      <w:color w:val="auto"/>
                      <w:spacing w:val="8"/>
                      <w:szCs w:val="21"/>
                      <w:lang w:eastAsia="zh-CN"/>
                    </w:rPr>
                    <w:t>，</w:t>
                  </w:r>
                  <w:r>
                    <w:rPr>
                      <w:rFonts w:hint="eastAsia" w:cs="Times New Roman"/>
                      <w:color w:val="auto"/>
                      <w:spacing w:val="8"/>
                      <w:szCs w:val="21"/>
                      <w:lang w:val="en-US" w:eastAsia="zh-CN"/>
                    </w:rPr>
                    <w:t>沸点(℃):290.0（分解），相对密度(水=1): 1.261(20℃)，可混溶于</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"https://baike.so.com/doc/3036121-3200992.html"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乙醇</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，与水混溶，不溶于氯仿、</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"https://baike.so.com/doc/1396101-1475990.html"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醚</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"https://baike.so.com/doc/3452665-3633155.html"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二硫化碳</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"https://baike.so.com/doc/3194557-3366490.html"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苯</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，油类。 可溶解某些</w:t>
                  </w:r>
                  <w:r>
                    <w:rPr>
                      <w:rFonts w:hint="eastAsia" w:cs="Times New Roman"/>
                      <w:color w:val="auto"/>
                      <w:spacing w:val="8"/>
                      <w:szCs w:val="21"/>
                      <w:lang w:val="en-US" w:eastAsia="zh-CN"/>
                    </w:rPr>
                    <w:fldChar w:fldCharType="begin"/>
                  </w:r>
                  <w:r>
                    <w:rPr>
                      <w:rFonts w:hint="eastAsia" w:cs="Times New Roman"/>
                      <w:color w:val="auto"/>
                      <w:spacing w:val="8"/>
                      <w:szCs w:val="21"/>
                      <w:lang w:val="en-US" w:eastAsia="zh-CN"/>
                    </w:rPr>
                    <w:instrText xml:space="preserve"> HYPERLINK "https://baike.so.com/doc/4688054-4901976.html" \t "https://baike.so.com/doc/_blank" </w:instrText>
                  </w:r>
                  <w:r>
                    <w:rPr>
                      <w:rFonts w:hint="eastAsia" w:cs="Times New Roman"/>
                      <w:color w:val="auto"/>
                      <w:spacing w:val="8"/>
                      <w:szCs w:val="21"/>
                      <w:lang w:val="en-US" w:eastAsia="zh-CN"/>
                    </w:rPr>
                    <w:fldChar w:fldCharType="separate"/>
                  </w:r>
                  <w:r>
                    <w:rPr>
                      <w:rFonts w:hint="eastAsia" w:cs="Times New Roman"/>
                      <w:color w:val="auto"/>
                      <w:spacing w:val="8"/>
                      <w:szCs w:val="21"/>
                      <w:lang w:val="en-US" w:eastAsia="zh-CN"/>
                    </w:rPr>
                    <w:t>无机物</w:t>
                  </w:r>
                  <w:r>
                    <w:rPr>
                      <w:rFonts w:hint="eastAsia" w:cs="Times New Roman"/>
                      <w:color w:val="auto"/>
                      <w:spacing w:val="8"/>
                      <w:szCs w:val="21"/>
                      <w:lang w:val="en-US" w:eastAsia="zh-CN"/>
                    </w:rPr>
                    <w:fldChar w:fldCharType="end"/>
                  </w:r>
                  <w:r>
                    <w:rPr>
                      <w:rFonts w:hint="eastAsia" w:cs="Times New Roman"/>
                      <w:color w:val="auto"/>
                      <w:spacing w:val="8"/>
                      <w:szCs w:val="21"/>
                      <w:lang w:val="en-US" w:eastAsia="zh-CN"/>
                    </w:rPr>
                    <w:t>。</w:t>
                  </w:r>
                </w:p>
              </w:tc>
            </w:tr>
          </w:tbl>
          <w:p w14:paraId="7E8E62B9">
            <w:pPr>
              <w:adjustRightInd w:val="0"/>
              <w:snapToGrid w:val="0"/>
              <w:spacing w:before="120" w:beforeLines="50" w:line="360" w:lineRule="auto"/>
              <w:rPr>
                <w:rFonts w:hint="default" w:ascii="Times New Roman" w:hAnsi="Times New Roman" w:cs="Times New Roman"/>
                <w:b/>
                <w:color w:val="auto"/>
                <w:sz w:val="24"/>
              </w:rPr>
            </w:pPr>
            <w:r>
              <w:rPr>
                <w:rFonts w:hint="default" w:ascii="Times New Roman" w:hAnsi="Times New Roman" w:cs="Times New Roman"/>
                <w:b/>
                <w:color w:val="auto"/>
                <w:sz w:val="24"/>
                <w:lang w:val="zh-CN"/>
              </w:rPr>
              <w:t>（</w:t>
            </w:r>
            <w:r>
              <w:rPr>
                <w:rFonts w:hint="eastAsia" w:cs="Times New Roman"/>
                <w:b/>
                <w:color w:val="auto"/>
                <w:sz w:val="24"/>
                <w:lang w:val="en-US" w:eastAsia="zh-CN"/>
              </w:rPr>
              <w:t>六</w:t>
            </w:r>
            <w:r>
              <w:rPr>
                <w:rFonts w:hint="default" w:ascii="Times New Roman" w:hAnsi="Times New Roman" w:cs="Times New Roman"/>
                <w:b/>
                <w:color w:val="auto"/>
                <w:sz w:val="24"/>
                <w:lang w:val="zh-CN"/>
              </w:rPr>
              <w:t>）公用工程</w:t>
            </w:r>
          </w:p>
          <w:p w14:paraId="376E40AE">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1、给水</w:t>
            </w:r>
          </w:p>
          <w:p w14:paraId="1BB4153A">
            <w:pPr>
              <w:adjustRightInd w:val="0"/>
              <w:snapToGrid w:val="0"/>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项目供水直接自市政供水管网引入，用水项目主要为职工生活用水</w:t>
            </w:r>
            <w:r>
              <w:rPr>
                <w:rFonts w:hint="eastAsia" w:cs="Times New Roman"/>
                <w:color w:val="auto"/>
                <w:sz w:val="24"/>
                <w:lang w:val="en-US" w:eastAsia="zh-CN"/>
              </w:rPr>
              <w:t>和</w:t>
            </w:r>
            <w:r>
              <w:rPr>
                <w:rFonts w:hint="default" w:ascii="Times New Roman" w:hAnsi="Times New Roman" w:cs="Times New Roman"/>
                <w:color w:val="auto"/>
                <w:sz w:val="24"/>
              </w:rPr>
              <w:t>实验室用水</w:t>
            </w:r>
            <w:r>
              <w:rPr>
                <w:rFonts w:hint="eastAsia" w:cs="Times New Roman"/>
                <w:color w:val="auto"/>
                <w:sz w:val="24"/>
                <w:lang w:eastAsia="zh-CN"/>
              </w:rPr>
              <w:t>。</w:t>
            </w:r>
            <w:r>
              <w:rPr>
                <w:rFonts w:hint="default" w:ascii="Times New Roman" w:hAnsi="Times New Roman" w:cs="Times New Roman"/>
                <w:color w:val="auto"/>
                <w:sz w:val="24"/>
              </w:rPr>
              <w:t>其中实验室用水主要</w:t>
            </w:r>
            <w:r>
              <w:rPr>
                <w:rFonts w:hint="eastAsia" w:cs="Times New Roman"/>
                <w:color w:val="auto"/>
                <w:sz w:val="24"/>
                <w:lang w:val="en-US" w:eastAsia="zh-CN"/>
              </w:rPr>
              <w:t>为检测分析用水</w:t>
            </w:r>
            <w:r>
              <w:rPr>
                <w:rFonts w:hint="default" w:ascii="Times New Roman" w:hAnsi="Times New Roman" w:cs="Times New Roman"/>
                <w:color w:val="auto"/>
                <w:sz w:val="24"/>
              </w:rPr>
              <w:t>、实验器材清洗用水和</w:t>
            </w:r>
            <w:r>
              <w:rPr>
                <w:rFonts w:hint="eastAsia" w:cs="Times New Roman"/>
                <w:color w:val="auto"/>
                <w:sz w:val="24"/>
                <w:lang w:val="en-US" w:eastAsia="zh-CN"/>
              </w:rPr>
              <w:t>实验室清洁用水</w:t>
            </w:r>
            <w:r>
              <w:rPr>
                <w:rFonts w:hint="default" w:ascii="Times New Roman" w:hAnsi="Times New Roman" w:cs="Times New Roman"/>
                <w:color w:val="auto"/>
                <w:sz w:val="24"/>
              </w:rPr>
              <w:t>。</w:t>
            </w:r>
          </w:p>
          <w:p w14:paraId="669F0685">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（1）生活用水</w:t>
            </w:r>
          </w:p>
          <w:p w14:paraId="7DC9FBD9">
            <w:pPr>
              <w:pStyle w:val="65"/>
              <w:snapToGrid w:val="0"/>
              <w:spacing w:line="360" w:lineRule="auto"/>
              <w:ind w:firstLine="480" w:firstLineChars="200"/>
              <w:rPr>
                <w:rFonts w:hint="default" w:ascii="Times New Roman" w:hAnsi="Times New Roman" w:eastAsia="宋体" w:cs="Times New Roman"/>
                <w:color w:val="auto"/>
                <w:kern w:val="2"/>
                <w:highlight w:val="none"/>
              </w:rPr>
            </w:pPr>
            <w:r>
              <w:rPr>
                <w:rFonts w:hint="default" w:ascii="Times New Roman" w:hAnsi="Times New Roman" w:eastAsia="宋体" w:cs="Times New Roman"/>
                <w:color w:val="auto"/>
                <w:kern w:val="2"/>
                <w:highlight w:val="none"/>
              </w:rPr>
              <w:t>本项目劳动定员15人，主要为实验室工作人员，人员生活用水定额参照</w:t>
            </w:r>
            <w:r>
              <w:rPr>
                <w:rFonts w:hint="eastAsia" w:ascii="Times New Roman" w:eastAsia="宋体" w:cs="Times New Roman"/>
                <w:color w:val="auto"/>
                <w:kern w:val="2"/>
                <w:highlight w:val="none"/>
                <w:lang w:eastAsia="zh-CN"/>
              </w:rPr>
              <w:t>“</w:t>
            </w:r>
            <w:r>
              <w:rPr>
                <w:rFonts w:hint="default" w:ascii="Times New Roman" w:hAnsi="Times New Roman" w:eastAsia="宋体" w:cs="Times New Roman"/>
                <w:color w:val="auto"/>
                <w:kern w:val="2"/>
                <w:highlight w:val="none"/>
              </w:rPr>
              <w:t>表B.17行政办公及科研院所用水量先进值10m</w:t>
            </w:r>
            <w:r>
              <w:rPr>
                <w:rFonts w:hint="default" w:ascii="Times New Roman" w:hAnsi="Times New Roman" w:eastAsia="宋体" w:cs="Times New Roman"/>
                <w:color w:val="auto"/>
                <w:kern w:val="2"/>
                <w:highlight w:val="none"/>
                <w:vertAlign w:val="superscript"/>
              </w:rPr>
              <w:t>3</w:t>
            </w:r>
            <w:r>
              <w:rPr>
                <w:rFonts w:hint="default" w:ascii="Times New Roman" w:hAnsi="Times New Roman" w:eastAsia="宋体" w:cs="Times New Roman"/>
                <w:color w:val="auto"/>
                <w:kern w:val="2"/>
                <w:highlight w:val="none"/>
              </w:rPr>
              <w:t>/（人·a）</w:t>
            </w:r>
            <w:r>
              <w:rPr>
                <w:rFonts w:hint="eastAsia" w:ascii="Times New Roman" w:eastAsia="宋体" w:cs="Times New Roman"/>
                <w:color w:val="auto"/>
                <w:kern w:val="2"/>
                <w:highlight w:val="none"/>
                <w:lang w:eastAsia="zh-CN"/>
              </w:rPr>
              <w:t>”</w:t>
            </w:r>
            <w:r>
              <w:rPr>
                <w:rFonts w:hint="default" w:ascii="Times New Roman" w:hAnsi="Times New Roman" w:eastAsia="宋体" w:cs="Times New Roman"/>
                <w:color w:val="auto"/>
                <w:kern w:val="2"/>
                <w:highlight w:val="none"/>
              </w:rPr>
              <w:t>，</w:t>
            </w:r>
            <w:r>
              <w:rPr>
                <w:rFonts w:hint="eastAsia" w:ascii="Times New Roman" w:eastAsia="宋体" w:cs="Times New Roman"/>
                <w:color w:val="auto"/>
                <w:kern w:val="2"/>
                <w:highlight w:val="none"/>
                <w:lang w:val="en-US" w:eastAsia="zh-CN"/>
              </w:rPr>
              <w:t>因本项目</w:t>
            </w:r>
            <w:r>
              <w:rPr>
                <w:rFonts w:hint="default" w:ascii="Times New Roman" w:hAnsi="Times New Roman" w:eastAsia="宋体" w:cs="Times New Roman"/>
                <w:color w:val="auto"/>
                <w:kern w:val="2"/>
                <w:highlight w:val="none"/>
              </w:rPr>
              <w:t>年工作</w:t>
            </w:r>
            <w:r>
              <w:rPr>
                <w:rFonts w:hint="eastAsia" w:ascii="Times New Roman" w:eastAsia="宋体" w:cs="Times New Roman"/>
                <w:color w:val="auto"/>
                <w:kern w:val="2"/>
                <w:highlight w:val="none"/>
                <w:lang w:val="en-US" w:eastAsia="zh-CN"/>
              </w:rPr>
              <w:t>时间为</w:t>
            </w:r>
            <w:r>
              <w:rPr>
                <w:rFonts w:hint="default" w:ascii="Times New Roman" w:hAnsi="Times New Roman" w:eastAsia="宋体" w:cs="Times New Roman"/>
                <w:color w:val="auto"/>
                <w:kern w:val="2"/>
                <w:highlight w:val="none"/>
              </w:rPr>
              <w:t>250天，则本项目工作人员生活用水量为</w:t>
            </w:r>
            <w:r>
              <w:rPr>
                <w:rFonts w:hint="eastAsia" w:ascii="Times New Roman" w:eastAsia="宋体" w:cs="Times New Roman"/>
                <w:color w:val="auto"/>
                <w:kern w:val="2"/>
                <w:highlight w:val="none"/>
                <w:lang w:val="en-US" w:eastAsia="zh-CN"/>
              </w:rPr>
              <w:t>102.74</w:t>
            </w:r>
            <w:r>
              <w:rPr>
                <w:rFonts w:hint="default" w:ascii="Times New Roman" w:hAnsi="Times New Roman" w:eastAsia="宋体" w:cs="Times New Roman"/>
                <w:color w:val="auto"/>
                <w:kern w:val="2"/>
                <w:highlight w:val="none"/>
              </w:rPr>
              <w:t>m</w:t>
            </w:r>
            <w:r>
              <w:rPr>
                <w:rFonts w:hint="default" w:ascii="Times New Roman" w:hAnsi="Times New Roman" w:eastAsia="宋体" w:cs="Times New Roman"/>
                <w:color w:val="auto"/>
                <w:kern w:val="2"/>
                <w:highlight w:val="none"/>
                <w:vertAlign w:val="superscript"/>
              </w:rPr>
              <w:t>3</w:t>
            </w:r>
            <w:r>
              <w:rPr>
                <w:rFonts w:hint="default" w:ascii="Times New Roman" w:hAnsi="Times New Roman" w:eastAsia="宋体" w:cs="Times New Roman"/>
                <w:color w:val="auto"/>
                <w:kern w:val="2"/>
                <w:highlight w:val="none"/>
              </w:rPr>
              <w:t>/a。</w:t>
            </w:r>
          </w:p>
          <w:p w14:paraId="48CFA460">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（2）实验室用水</w:t>
            </w:r>
          </w:p>
          <w:p w14:paraId="60E1CA1E">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①</w:t>
            </w:r>
            <w:r>
              <w:rPr>
                <w:rFonts w:hint="eastAsia" w:ascii="Times New Roman" w:eastAsia="宋体" w:cs="Times New Roman"/>
                <w:color w:val="auto"/>
                <w:kern w:val="2"/>
                <w:lang w:val="en-US" w:eastAsia="zh-CN"/>
              </w:rPr>
              <w:t>检测</w:t>
            </w:r>
            <w:r>
              <w:rPr>
                <w:rFonts w:hint="default" w:ascii="Times New Roman" w:hAnsi="Times New Roman" w:eastAsia="宋体" w:cs="Times New Roman"/>
                <w:color w:val="auto"/>
                <w:kern w:val="2"/>
              </w:rPr>
              <w:t>分析用水</w:t>
            </w:r>
          </w:p>
          <w:p w14:paraId="5113D988">
            <w:pPr>
              <w:pStyle w:val="65"/>
              <w:snapToGrid w:val="0"/>
              <w:spacing w:line="360" w:lineRule="auto"/>
              <w:ind w:firstLine="480" w:firstLineChars="200"/>
              <w:rPr>
                <w:rFonts w:hint="default" w:ascii="Times New Roman" w:hAnsi="Times New Roman" w:eastAsia="宋体" w:cs="Times New Roman"/>
                <w:color w:val="auto"/>
                <w:kern w:val="2"/>
              </w:rPr>
            </w:pPr>
            <w:r>
              <w:rPr>
                <w:rFonts w:hint="eastAsia" w:ascii="Times New Roman" w:eastAsia="宋体" w:cs="Times New Roman"/>
                <w:color w:val="auto"/>
                <w:kern w:val="2"/>
                <w:lang w:val="en-US" w:eastAsia="zh-CN"/>
              </w:rPr>
              <w:t>根据建设单位提供资料，</w:t>
            </w:r>
            <w:r>
              <w:rPr>
                <w:rFonts w:hint="default" w:ascii="Times New Roman" w:hAnsi="Times New Roman" w:eastAsia="宋体" w:cs="Times New Roman"/>
                <w:color w:val="auto"/>
                <w:kern w:val="2"/>
              </w:rPr>
              <w:t>本项目用于</w:t>
            </w:r>
            <w:r>
              <w:rPr>
                <w:rFonts w:hint="eastAsia" w:ascii="Times New Roman" w:eastAsia="宋体" w:cs="Times New Roman"/>
                <w:color w:val="auto"/>
                <w:kern w:val="2"/>
                <w:lang w:val="en-US" w:eastAsia="zh-CN"/>
              </w:rPr>
              <w:t>检测分析</w:t>
            </w:r>
            <w:r>
              <w:rPr>
                <w:rFonts w:hint="default" w:ascii="Times New Roman" w:hAnsi="Times New Roman" w:eastAsia="宋体" w:cs="Times New Roman"/>
                <w:color w:val="auto"/>
                <w:kern w:val="2"/>
              </w:rPr>
              <w:t>纯水使用量为15m</w:t>
            </w:r>
            <w:r>
              <w:rPr>
                <w:rFonts w:hint="default" w:ascii="Times New Roman" w:hAnsi="Times New Roman" w:eastAsia="宋体" w:cs="Times New Roman"/>
                <w:color w:val="auto"/>
                <w:kern w:val="2"/>
                <w:vertAlign w:val="superscript"/>
              </w:rPr>
              <w:t>3</w:t>
            </w:r>
            <w:r>
              <w:rPr>
                <w:rFonts w:hint="default" w:ascii="Times New Roman" w:hAnsi="Times New Roman" w:eastAsia="宋体" w:cs="Times New Roman"/>
                <w:color w:val="auto"/>
                <w:kern w:val="2"/>
              </w:rPr>
              <w:t>/a。</w:t>
            </w:r>
          </w:p>
          <w:p w14:paraId="018D212F">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②实验器材清洗用水</w:t>
            </w:r>
          </w:p>
          <w:p w14:paraId="2CEAF49E">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lang w:val="en-US" w:eastAsia="zh-CN"/>
              </w:rPr>
              <w:t>项目实验过程中实验设备、仪器和玻璃器皿等需进行清洗，以便下一个实验能够顺利进行。根据建设单位提供的资料，本项目清洗</w:t>
            </w:r>
            <w:r>
              <w:rPr>
                <w:rFonts w:hint="eastAsia" w:ascii="Times New Roman" w:eastAsia="宋体" w:cs="Times New Roman"/>
                <w:color w:val="auto"/>
                <w:kern w:val="2"/>
                <w:lang w:val="en-US" w:eastAsia="zh-CN"/>
              </w:rPr>
              <w:t>使用纯水进行清洗，</w:t>
            </w:r>
            <w:r>
              <w:rPr>
                <w:rFonts w:hint="default" w:ascii="Times New Roman" w:hAnsi="Times New Roman" w:eastAsia="宋体" w:cs="Times New Roman"/>
                <w:color w:val="auto"/>
                <w:kern w:val="2"/>
                <w:lang w:val="en-US" w:eastAsia="zh-CN"/>
              </w:rPr>
              <w:t>用水量为2</w:t>
            </w:r>
            <w:r>
              <w:rPr>
                <w:rFonts w:hint="eastAsia" w:ascii="Times New Roman" w:eastAsia="宋体" w:cs="Times New Roman"/>
                <w:color w:val="auto"/>
                <w:kern w:val="2"/>
                <w:lang w:val="en-US" w:eastAsia="zh-CN"/>
              </w:rPr>
              <w:t>5</w:t>
            </w:r>
            <w:r>
              <w:rPr>
                <w:rFonts w:hint="default" w:ascii="Times New Roman" w:hAnsi="Times New Roman" w:eastAsia="宋体" w:cs="Times New Roman"/>
                <w:color w:val="auto"/>
                <w:kern w:val="2"/>
                <w:lang w:val="en-US" w:eastAsia="zh-CN"/>
              </w:rPr>
              <w:t>m</w:t>
            </w:r>
            <w:r>
              <w:rPr>
                <w:rFonts w:hint="default" w:ascii="Times New Roman" w:hAnsi="Times New Roman" w:eastAsia="宋体" w:cs="Times New Roman"/>
                <w:color w:val="auto"/>
                <w:kern w:val="2"/>
                <w:vertAlign w:val="superscript"/>
                <w:lang w:val="en-US" w:eastAsia="zh-CN"/>
              </w:rPr>
              <w:t>3</w:t>
            </w:r>
            <w:r>
              <w:rPr>
                <w:rFonts w:hint="default" w:ascii="Times New Roman" w:hAnsi="Times New Roman" w:eastAsia="宋体" w:cs="Times New Roman"/>
                <w:color w:val="auto"/>
                <w:kern w:val="2"/>
                <w:lang w:val="en-US" w:eastAsia="zh-CN"/>
              </w:rPr>
              <w:t>/a。</w:t>
            </w:r>
          </w:p>
          <w:p w14:paraId="66BF4CA1">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综上，本项目</w:t>
            </w:r>
            <w:r>
              <w:rPr>
                <w:rFonts w:hint="eastAsia" w:ascii="Times New Roman" w:eastAsia="宋体" w:cs="Times New Roman"/>
                <w:color w:val="auto"/>
                <w:kern w:val="2"/>
                <w:lang w:val="en-US" w:eastAsia="zh-CN"/>
              </w:rPr>
              <w:t>检测</w:t>
            </w:r>
            <w:r>
              <w:rPr>
                <w:rFonts w:hint="default" w:ascii="Times New Roman" w:hAnsi="Times New Roman" w:eastAsia="宋体" w:cs="Times New Roman"/>
                <w:color w:val="auto"/>
                <w:kern w:val="2"/>
              </w:rPr>
              <w:t>分析和实验器材清洗全部使用纯水。根据企业提供资料，项目预计纯水使用量约为</w:t>
            </w:r>
            <w:r>
              <w:rPr>
                <w:rFonts w:hint="eastAsia" w:ascii="Times New Roman" w:eastAsia="宋体" w:cs="Times New Roman"/>
                <w:color w:val="auto"/>
                <w:kern w:val="2"/>
                <w:lang w:val="en-US" w:eastAsia="zh-CN"/>
              </w:rPr>
              <w:t>40</w:t>
            </w:r>
            <w:r>
              <w:rPr>
                <w:rFonts w:hint="default" w:ascii="Times New Roman" w:hAnsi="Times New Roman" w:eastAsia="宋体" w:cs="Times New Roman"/>
                <w:color w:val="auto"/>
                <w:kern w:val="2"/>
              </w:rPr>
              <w:t>m</w:t>
            </w:r>
            <w:r>
              <w:rPr>
                <w:rFonts w:hint="default" w:ascii="Times New Roman" w:hAnsi="Times New Roman" w:eastAsia="宋体" w:cs="Times New Roman"/>
                <w:color w:val="auto"/>
                <w:kern w:val="2"/>
                <w:vertAlign w:val="superscript"/>
              </w:rPr>
              <w:t>3</w:t>
            </w:r>
            <w:r>
              <w:rPr>
                <w:rFonts w:hint="default" w:ascii="Times New Roman" w:hAnsi="Times New Roman" w:eastAsia="宋体" w:cs="Times New Roman"/>
                <w:color w:val="auto"/>
                <w:kern w:val="2"/>
              </w:rPr>
              <w:t>/</w:t>
            </w:r>
            <w:r>
              <w:rPr>
                <w:rFonts w:hint="eastAsia" w:ascii="Times New Roman" w:eastAsia="宋体" w:cs="Times New Roman"/>
                <w:color w:val="auto"/>
                <w:kern w:val="2"/>
                <w:lang w:val="en-US" w:eastAsia="zh-CN"/>
              </w:rPr>
              <w:t>a</w:t>
            </w:r>
            <w:r>
              <w:rPr>
                <w:rFonts w:hint="default" w:ascii="Times New Roman" w:hAnsi="Times New Roman" w:eastAsia="宋体" w:cs="Times New Roman"/>
                <w:color w:val="auto"/>
                <w:kern w:val="2"/>
              </w:rPr>
              <w:t>，本项目纯水制备得水率按70%计算，则本项目纯水制备用水量（新鲜水）约为57.</w:t>
            </w:r>
            <w:r>
              <w:rPr>
                <w:rFonts w:hint="eastAsia" w:ascii="Times New Roman" w:eastAsia="宋体" w:cs="Times New Roman"/>
                <w:color w:val="auto"/>
                <w:kern w:val="2"/>
                <w:lang w:val="en-US" w:eastAsia="zh-CN"/>
              </w:rPr>
              <w:t>14</w:t>
            </w:r>
            <w:r>
              <w:rPr>
                <w:rFonts w:hint="default" w:ascii="Times New Roman" w:hAnsi="Times New Roman" w:eastAsia="宋体" w:cs="Times New Roman"/>
                <w:color w:val="auto"/>
                <w:kern w:val="2"/>
              </w:rPr>
              <w:t>m</w:t>
            </w:r>
            <w:r>
              <w:rPr>
                <w:rFonts w:hint="default" w:ascii="Times New Roman" w:hAnsi="Times New Roman" w:eastAsia="宋体" w:cs="Times New Roman"/>
                <w:color w:val="auto"/>
                <w:kern w:val="2"/>
                <w:vertAlign w:val="superscript"/>
              </w:rPr>
              <w:t>3</w:t>
            </w:r>
            <w:r>
              <w:rPr>
                <w:rFonts w:hint="default" w:ascii="Times New Roman" w:hAnsi="Times New Roman" w:eastAsia="宋体" w:cs="Times New Roman"/>
                <w:color w:val="auto"/>
                <w:kern w:val="2"/>
              </w:rPr>
              <w:t>/a。</w:t>
            </w:r>
          </w:p>
          <w:p w14:paraId="53EB9E28">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w:t>
            </w:r>
            <w:r>
              <w:rPr>
                <w:rFonts w:hint="eastAsia" w:cs="Times New Roman"/>
                <w:color w:val="auto"/>
                <w:sz w:val="24"/>
                <w:lang w:val="en-US" w:eastAsia="zh-CN"/>
              </w:rPr>
              <w:t>实验室</w:t>
            </w:r>
            <w:r>
              <w:rPr>
                <w:rFonts w:hint="default" w:ascii="Times New Roman" w:hAnsi="Times New Roman" w:cs="Times New Roman"/>
                <w:color w:val="auto"/>
                <w:sz w:val="24"/>
              </w:rPr>
              <w:t>清洗用水</w:t>
            </w:r>
          </w:p>
          <w:p w14:paraId="0C9CF9BE">
            <w:pPr>
              <w:adjustRightInd w:val="0"/>
              <w:snapToGrid w:val="0"/>
              <w:spacing w:line="360" w:lineRule="auto"/>
              <w:ind w:firstLine="480" w:firstLineChars="200"/>
              <w:rPr>
                <w:rFonts w:hint="eastAsia" w:cs="Times New Roman"/>
                <w:color w:val="auto"/>
                <w:sz w:val="24"/>
                <w:lang w:eastAsia="zh-CN"/>
              </w:rPr>
            </w:pPr>
            <w:r>
              <w:rPr>
                <w:rFonts w:hint="default" w:ascii="Times New Roman" w:hAnsi="Times New Roman" w:cs="Times New Roman"/>
                <w:color w:val="auto"/>
                <w:sz w:val="24"/>
              </w:rPr>
              <w:t>项目</w:t>
            </w:r>
            <w:r>
              <w:rPr>
                <w:rFonts w:hint="default" w:ascii="Times New Roman" w:hAnsi="Times New Roman" w:cs="Times New Roman"/>
                <w:color w:val="auto"/>
                <w:sz w:val="24"/>
                <w:lang w:val="en-US" w:eastAsia="zh-CN"/>
              </w:rPr>
              <w:t>每天</w:t>
            </w:r>
            <w:r>
              <w:rPr>
                <w:rFonts w:hint="default" w:ascii="Times New Roman" w:hAnsi="Times New Roman" w:cs="Times New Roman"/>
                <w:color w:val="auto"/>
                <w:sz w:val="24"/>
              </w:rPr>
              <w:t>需对实验平台、地面等进行清洁，清洁用水为自来水，根据建设单位提供的资料，</w:t>
            </w:r>
            <w:r>
              <w:rPr>
                <w:rFonts w:hint="default" w:ascii="Times New Roman" w:hAnsi="Times New Roman" w:cs="Times New Roman"/>
                <w:color w:val="auto"/>
                <w:sz w:val="24"/>
                <w:lang w:val="en-US" w:eastAsia="zh-CN"/>
              </w:rPr>
              <w:t>清洁</w:t>
            </w:r>
            <w:r>
              <w:rPr>
                <w:rFonts w:hint="default" w:ascii="Times New Roman" w:hAnsi="Times New Roman" w:cs="Times New Roman"/>
                <w:color w:val="auto"/>
                <w:sz w:val="24"/>
              </w:rPr>
              <w:t>用水量</w:t>
            </w:r>
            <w:r>
              <w:rPr>
                <w:rFonts w:hint="default" w:ascii="Times New Roman" w:hAnsi="Times New Roman" w:cs="Times New Roman"/>
                <w:color w:val="auto"/>
                <w:sz w:val="24"/>
                <w:lang w:val="en-US" w:eastAsia="zh-CN"/>
              </w:rPr>
              <w:t>约</w:t>
            </w:r>
            <w:r>
              <w:rPr>
                <w:rFonts w:hint="default" w:ascii="Times New Roman" w:hAnsi="Times New Roman" w:cs="Times New Roman"/>
                <w:color w:val="auto"/>
                <w:sz w:val="24"/>
              </w:rPr>
              <w:t>为</w:t>
            </w:r>
            <w:r>
              <w:rPr>
                <w:rFonts w:hint="eastAsia" w:cs="Times New Roman"/>
                <w:color w:val="auto"/>
                <w:sz w:val="24"/>
                <w:lang w:val="en-US" w:eastAsia="zh-CN"/>
              </w:rPr>
              <w:t>25</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w:t>
            </w:r>
            <w:r>
              <w:rPr>
                <w:rFonts w:hint="eastAsia" w:cs="Times New Roman"/>
                <w:color w:val="auto"/>
                <w:sz w:val="24"/>
                <w:lang w:eastAsia="zh-CN"/>
              </w:rPr>
              <w:t>。</w:t>
            </w:r>
          </w:p>
          <w:p w14:paraId="1C67748D">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2、排水</w:t>
            </w:r>
          </w:p>
          <w:p w14:paraId="47EF18EB">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项目产生的废水主要为生活污水、纯水制备浓水、实验器材清洗废水、</w:t>
            </w:r>
            <w:r>
              <w:rPr>
                <w:rFonts w:hint="eastAsia" w:cs="Times New Roman"/>
                <w:color w:val="auto"/>
                <w:sz w:val="24"/>
                <w:lang w:val="en-US" w:eastAsia="zh-CN"/>
              </w:rPr>
              <w:t>实验室</w:t>
            </w:r>
            <w:r>
              <w:rPr>
                <w:rFonts w:hint="default" w:ascii="Times New Roman" w:hAnsi="Times New Roman" w:cs="Times New Roman"/>
                <w:color w:val="auto"/>
                <w:sz w:val="24"/>
              </w:rPr>
              <w:t>清洗废水。</w:t>
            </w:r>
          </w:p>
          <w:p w14:paraId="3A9BC517">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①生活污水</w:t>
            </w:r>
          </w:p>
          <w:p w14:paraId="04E4D568">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本项目生活污水产生量按用水量的80%计，则生活污水产生量为</w:t>
            </w:r>
            <w:r>
              <w:rPr>
                <w:rFonts w:hint="eastAsia" w:cs="Times New Roman"/>
                <w:color w:val="auto"/>
                <w:sz w:val="24"/>
                <w:lang w:val="en-US" w:eastAsia="zh-CN"/>
              </w:rPr>
              <w:t>82.19</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/a。其主要污染物为COD、BOD</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、SS和氨氮</w:t>
            </w:r>
            <w:r>
              <w:rPr>
                <w:rFonts w:hint="eastAsia" w:cs="Times New Roman"/>
                <w:color w:val="auto"/>
                <w:sz w:val="24"/>
                <w:lang w:val="en-US" w:eastAsia="zh-CN"/>
              </w:rPr>
              <w:t>等</w:t>
            </w:r>
            <w:r>
              <w:rPr>
                <w:rFonts w:hint="default" w:ascii="Times New Roman" w:hAnsi="Times New Roman" w:cs="Times New Roman"/>
                <w:color w:val="auto"/>
                <w:sz w:val="24"/>
              </w:rPr>
              <w:t>，生活污水经</w:t>
            </w:r>
            <w:r>
              <w:rPr>
                <w:rFonts w:hint="eastAsia" w:cs="Times New Roman"/>
                <w:color w:val="auto"/>
                <w:sz w:val="24"/>
                <w:lang w:val="en-US" w:eastAsia="zh-CN"/>
              </w:rPr>
              <w:t>小区公共</w:t>
            </w:r>
            <w:r>
              <w:rPr>
                <w:rFonts w:hint="default" w:ascii="Times New Roman" w:hAnsi="Times New Roman" w:cs="Times New Roman"/>
                <w:color w:val="auto"/>
                <w:sz w:val="24"/>
              </w:rPr>
              <w:t>化粪池预处理达标后至</w:t>
            </w:r>
            <w:r>
              <w:rPr>
                <w:rFonts w:hint="eastAsia" w:cs="Times New Roman"/>
                <w:color w:val="auto"/>
                <w:sz w:val="24"/>
                <w:lang w:val="en-US" w:eastAsia="zh-CN"/>
              </w:rPr>
              <w:t>西安市第一污水处理厂（</w:t>
            </w:r>
            <w:r>
              <w:rPr>
                <w:rFonts w:hint="default" w:ascii="Times New Roman" w:hAnsi="Times New Roman" w:cs="Times New Roman"/>
                <w:color w:val="auto"/>
                <w:sz w:val="24"/>
              </w:rPr>
              <w:t>邓家村污水处理厂</w:t>
            </w:r>
            <w:r>
              <w:rPr>
                <w:rFonts w:hint="eastAsia" w:cs="Times New Roman"/>
                <w:color w:val="auto"/>
                <w:sz w:val="24"/>
                <w:lang w:val="en-US" w:eastAsia="zh-CN"/>
              </w:rPr>
              <w:t>）</w:t>
            </w:r>
            <w:r>
              <w:rPr>
                <w:rFonts w:hint="default" w:ascii="Times New Roman" w:hAnsi="Times New Roman" w:cs="Times New Roman"/>
                <w:color w:val="auto"/>
                <w:sz w:val="24"/>
              </w:rPr>
              <w:t>进一步处理。</w:t>
            </w:r>
          </w:p>
          <w:p w14:paraId="59DBA649">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②纯水制备浓水</w:t>
            </w:r>
          </w:p>
          <w:p w14:paraId="5A871E80">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cs="Times New Roman"/>
                <w:color w:val="auto"/>
                <w:sz w:val="24"/>
              </w:rPr>
              <w:t>项目纯水设备会产生浓水，根据企业提供资料，本项目纯水制备效率约为70%。项目制备纯水所需自来水用量为57.</w:t>
            </w:r>
            <w:r>
              <w:rPr>
                <w:rFonts w:hint="eastAsia" w:cs="Times New Roman"/>
                <w:color w:val="auto"/>
                <w:sz w:val="24"/>
                <w:lang w:val="en-US" w:eastAsia="zh-CN"/>
              </w:rPr>
              <w:t>14</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/a，纯水制备过程中产生浓排水为17.</w:t>
            </w:r>
            <w:r>
              <w:rPr>
                <w:rFonts w:hint="eastAsia" w:cs="Times New Roman"/>
                <w:color w:val="auto"/>
                <w:sz w:val="24"/>
                <w:lang w:val="en-US" w:eastAsia="zh-CN"/>
              </w:rPr>
              <w:t>14</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w:t>
            </w:r>
            <w:r>
              <w:rPr>
                <w:rFonts w:hint="eastAsia" w:cs="Times New Roman"/>
                <w:color w:val="auto"/>
                <w:sz w:val="24"/>
                <w:lang w:val="en-US" w:eastAsia="zh-CN"/>
              </w:rPr>
              <w:t>纯水制备浓水</w:t>
            </w:r>
            <w:r>
              <w:rPr>
                <w:rFonts w:hint="default" w:ascii="Times New Roman" w:hAnsi="Times New Roman" w:cs="Times New Roman"/>
                <w:color w:val="auto"/>
                <w:sz w:val="24"/>
              </w:rPr>
              <w:t>同生活污水经现有化粪池预处理后至</w:t>
            </w:r>
            <w:r>
              <w:rPr>
                <w:rFonts w:hint="eastAsia" w:cs="Times New Roman"/>
                <w:color w:val="auto"/>
                <w:sz w:val="24"/>
                <w:lang w:val="en-US" w:eastAsia="zh-CN"/>
              </w:rPr>
              <w:t>西安市第一污水处理厂（</w:t>
            </w:r>
            <w:r>
              <w:rPr>
                <w:rFonts w:hint="default" w:ascii="Times New Roman" w:hAnsi="Times New Roman" w:cs="Times New Roman"/>
                <w:color w:val="auto"/>
                <w:sz w:val="24"/>
              </w:rPr>
              <w:t>邓家村污水处理厂</w:t>
            </w:r>
            <w:r>
              <w:rPr>
                <w:rFonts w:hint="eastAsia" w:cs="Times New Roman"/>
                <w:color w:val="auto"/>
                <w:sz w:val="24"/>
                <w:lang w:val="en-US" w:eastAsia="zh-CN"/>
              </w:rPr>
              <w:t>）</w:t>
            </w:r>
            <w:r>
              <w:rPr>
                <w:rFonts w:hint="default" w:ascii="Times New Roman" w:hAnsi="Times New Roman" w:cs="Times New Roman"/>
                <w:color w:val="auto"/>
                <w:sz w:val="24"/>
              </w:rPr>
              <w:t>进一步处理。</w:t>
            </w:r>
          </w:p>
          <w:p w14:paraId="0CAA087E">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③实验器材清洗废水</w:t>
            </w:r>
          </w:p>
          <w:p w14:paraId="72148424">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本项目实验室清洗废水排污系数以0.9计，实验器材清洗废水产生量为</w:t>
            </w:r>
            <w:r>
              <w:rPr>
                <w:rFonts w:hint="eastAsia" w:ascii="Times New Roman" w:eastAsia="宋体" w:cs="Times New Roman"/>
                <w:color w:val="auto"/>
                <w:kern w:val="2"/>
                <w:lang w:val="en-US" w:eastAsia="zh-CN"/>
              </w:rPr>
              <w:t>22.5</w:t>
            </w:r>
            <w:r>
              <w:rPr>
                <w:rFonts w:hint="default" w:ascii="Times New Roman" w:hAnsi="Times New Roman" w:eastAsia="宋体" w:cs="Times New Roman"/>
                <w:color w:val="auto"/>
                <w:kern w:val="2"/>
              </w:rPr>
              <w:t>m</w:t>
            </w:r>
            <w:r>
              <w:rPr>
                <w:rFonts w:hint="default" w:ascii="Times New Roman" w:hAnsi="Times New Roman" w:eastAsia="宋体" w:cs="Times New Roman"/>
                <w:color w:val="auto"/>
                <w:kern w:val="2"/>
                <w:vertAlign w:val="superscript"/>
              </w:rPr>
              <w:t>3</w:t>
            </w:r>
            <w:r>
              <w:rPr>
                <w:rFonts w:hint="default" w:ascii="Times New Roman" w:hAnsi="Times New Roman" w:eastAsia="宋体" w:cs="Times New Roman"/>
                <w:color w:val="auto"/>
                <w:kern w:val="2"/>
              </w:rPr>
              <w:t>/a。</w:t>
            </w:r>
          </w:p>
          <w:p w14:paraId="181E4607">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④</w:t>
            </w:r>
            <w:r>
              <w:rPr>
                <w:rFonts w:hint="eastAsia" w:cs="Times New Roman"/>
                <w:color w:val="auto"/>
                <w:sz w:val="24"/>
                <w:lang w:val="en-US" w:eastAsia="zh-CN"/>
              </w:rPr>
              <w:t>实验室</w:t>
            </w:r>
            <w:r>
              <w:rPr>
                <w:rFonts w:hint="default" w:ascii="Times New Roman" w:hAnsi="Times New Roman" w:cs="Times New Roman"/>
                <w:color w:val="auto"/>
                <w:sz w:val="24"/>
              </w:rPr>
              <w:t>清洗废水</w:t>
            </w:r>
          </w:p>
          <w:p w14:paraId="5C713237">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w:t>
            </w:r>
            <w:r>
              <w:rPr>
                <w:rFonts w:hint="eastAsia" w:cs="Times New Roman"/>
                <w:color w:val="auto"/>
                <w:sz w:val="24"/>
                <w:lang w:val="en-US" w:eastAsia="zh-CN"/>
              </w:rPr>
              <w:t>实验室</w:t>
            </w:r>
            <w:r>
              <w:rPr>
                <w:rFonts w:hint="default" w:ascii="Times New Roman" w:hAnsi="Times New Roman" w:cs="Times New Roman"/>
                <w:color w:val="auto"/>
                <w:sz w:val="24"/>
              </w:rPr>
              <w:t>清洁废水排污系数以0.9计，本项目实验室清洗废水产生量约为</w:t>
            </w:r>
            <w:r>
              <w:rPr>
                <w:rFonts w:hint="eastAsia" w:cs="Times New Roman"/>
                <w:color w:val="auto"/>
                <w:sz w:val="24"/>
                <w:lang w:val="en-US" w:eastAsia="zh-CN"/>
              </w:rPr>
              <w:t>22.5</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w:t>
            </w:r>
          </w:p>
          <w:p w14:paraId="4E85C617">
            <w:pPr>
              <w:adjustRightInd w:val="0"/>
              <w:snapToGrid w:val="0"/>
              <w:spacing w:line="360" w:lineRule="auto"/>
              <w:ind w:firstLine="480" w:firstLineChars="200"/>
              <w:rPr>
                <w:rFonts w:hint="default" w:ascii="Times New Roman" w:hAnsi="Times New Roman" w:cs="Times New Roman"/>
                <w:b/>
                <w:color w:val="auto"/>
                <w:kern w:val="0"/>
                <w:szCs w:val="21"/>
                <w:lang w:bidi="ar"/>
              </w:rPr>
            </w:pPr>
            <w:r>
              <w:rPr>
                <w:rFonts w:hint="default" w:ascii="Times New Roman" w:hAnsi="Times New Roman" w:cs="Times New Roman"/>
                <w:color w:val="auto"/>
                <w:kern w:val="0"/>
                <w:sz w:val="24"/>
              </w:rPr>
              <w:t>本项目</w:t>
            </w:r>
            <w:r>
              <w:rPr>
                <w:rFonts w:hint="eastAsia" w:cs="Times New Roman"/>
                <w:color w:val="auto"/>
                <w:kern w:val="0"/>
                <w:sz w:val="24"/>
                <w:lang w:val="en-US" w:eastAsia="zh-CN"/>
              </w:rPr>
              <w:t>水平衡</w:t>
            </w:r>
            <w:r>
              <w:rPr>
                <w:rFonts w:hint="default" w:ascii="Times New Roman" w:hAnsi="Times New Roman" w:cs="Times New Roman"/>
                <w:color w:val="auto"/>
                <w:kern w:val="0"/>
                <w:sz w:val="24"/>
              </w:rPr>
              <w:t>情况见表2-</w:t>
            </w:r>
            <w:r>
              <w:rPr>
                <w:rFonts w:hint="eastAsia" w:cs="Times New Roman"/>
                <w:color w:val="auto"/>
                <w:kern w:val="0"/>
                <w:sz w:val="24"/>
                <w:lang w:val="en-US" w:eastAsia="zh-CN"/>
              </w:rPr>
              <w:t>6</w:t>
            </w:r>
            <w:r>
              <w:rPr>
                <w:rFonts w:hint="default" w:ascii="Times New Roman" w:hAnsi="Times New Roman" w:cs="Times New Roman"/>
                <w:color w:val="auto"/>
                <w:kern w:val="0"/>
                <w:sz w:val="24"/>
              </w:rPr>
              <w:t>，水平衡图见图</w:t>
            </w:r>
            <w:r>
              <w:rPr>
                <w:rFonts w:hint="eastAsia" w:cs="Times New Roman"/>
                <w:color w:val="auto"/>
                <w:kern w:val="0"/>
                <w:sz w:val="24"/>
                <w:lang w:val="en-US" w:eastAsia="zh-CN"/>
              </w:rPr>
              <w:t>2-1</w:t>
            </w:r>
            <w:r>
              <w:rPr>
                <w:rFonts w:hint="default" w:ascii="Times New Roman" w:hAnsi="Times New Roman" w:cs="Times New Roman"/>
                <w:color w:val="auto"/>
                <w:kern w:val="0"/>
                <w:sz w:val="24"/>
              </w:rPr>
              <w:t>。</w:t>
            </w:r>
          </w:p>
          <w:p w14:paraId="7CB3EF95">
            <w:pPr>
              <w:widowControl/>
              <w:adjustRightInd w:val="0"/>
              <w:snapToGrid w:val="0"/>
              <w:jc w:val="right"/>
              <w:rPr>
                <w:rFonts w:hint="default" w:ascii="Times New Roman" w:hAnsi="Times New Roman" w:cs="Times New Roman"/>
                <w:b/>
                <w:bCs/>
                <w:color w:val="auto"/>
                <w:szCs w:val="21"/>
              </w:rPr>
            </w:pPr>
            <w:r>
              <w:rPr>
                <w:rFonts w:hint="default" w:ascii="Times New Roman" w:hAnsi="Times New Roman" w:cs="Times New Roman"/>
                <w:b/>
                <w:color w:val="auto"/>
                <w:kern w:val="0"/>
                <w:szCs w:val="21"/>
                <w:lang w:bidi="ar"/>
              </w:rPr>
              <w:t>表2-</w:t>
            </w:r>
            <w:r>
              <w:rPr>
                <w:rFonts w:hint="eastAsia" w:cs="Times New Roman"/>
                <w:b/>
                <w:color w:val="auto"/>
                <w:kern w:val="0"/>
                <w:szCs w:val="21"/>
                <w:lang w:val="en-US" w:eastAsia="zh-CN" w:bidi="ar"/>
              </w:rPr>
              <w:t>6</w:t>
            </w:r>
            <w:r>
              <w:rPr>
                <w:rFonts w:hint="default" w:ascii="Times New Roman" w:hAnsi="Times New Roman" w:cs="Times New Roman"/>
                <w:b/>
                <w:color w:val="auto"/>
                <w:kern w:val="0"/>
                <w:szCs w:val="21"/>
                <w:lang w:bidi="ar"/>
              </w:rPr>
              <w:t xml:space="preserve"> 项目</w:t>
            </w:r>
            <w:r>
              <w:rPr>
                <w:rFonts w:hint="eastAsia" w:cs="Times New Roman"/>
                <w:b/>
                <w:color w:val="auto"/>
                <w:kern w:val="0"/>
                <w:szCs w:val="21"/>
                <w:lang w:val="en-US" w:eastAsia="zh-CN" w:bidi="ar"/>
              </w:rPr>
              <w:t>水平衡</w:t>
            </w:r>
            <w:r>
              <w:rPr>
                <w:rFonts w:hint="default" w:ascii="Times New Roman" w:hAnsi="Times New Roman" w:cs="Times New Roman"/>
                <w:b/>
                <w:color w:val="auto"/>
                <w:kern w:val="0"/>
                <w:szCs w:val="21"/>
                <w:lang w:bidi="ar"/>
              </w:rPr>
              <w:t xml:space="preserve">一览表                   </w:t>
            </w:r>
            <w:r>
              <w:rPr>
                <w:rFonts w:hint="default" w:ascii="Times New Roman" w:hAnsi="Times New Roman" w:cs="Times New Roman"/>
                <w:b/>
                <w:bCs/>
                <w:color w:val="auto"/>
                <w:szCs w:val="21"/>
              </w:rPr>
              <w:t>单位：m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/a</w:t>
            </w:r>
          </w:p>
          <w:tbl>
            <w:tblPr>
              <w:tblStyle w:val="29"/>
              <w:tblW w:w="4997" w:type="pct"/>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40"/>
              <w:gridCol w:w="1229"/>
              <w:gridCol w:w="1277"/>
              <w:gridCol w:w="1038"/>
              <w:gridCol w:w="1738"/>
              <w:gridCol w:w="1252"/>
              <w:gridCol w:w="825"/>
              <w:gridCol w:w="1038"/>
            </w:tblGrid>
            <w:tr w14:paraId="3276520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4" w:type="pct"/>
                  <w:tcBorders>
                    <w:tl2br w:val="nil"/>
                    <w:tr2bl w:val="nil"/>
                  </w:tcBorders>
                  <w:shd w:val="clear" w:color="auto" w:fill="auto"/>
                  <w:noWrap/>
                  <w:vAlign w:val="center"/>
                </w:tcPr>
                <w:p w14:paraId="2F3B6399">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679" w:type="pct"/>
                  <w:tcBorders>
                    <w:tl2br w:val="nil"/>
                    <w:tr2bl w:val="nil"/>
                  </w:tcBorders>
                  <w:shd w:val="clear" w:color="auto" w:fill="auto"/>
                  <w:vAlign w:val="center"/>
                </w:tcPr>
                <w:p w14:paraId="4782753A">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用水名称</w:t>
                  </w:r>
                </w:p>
              </w:tc>
              <w:tc>
                <w:tcPr>
                  <w:tcW w:w="706" w:type="pct"/>
                  <w:tcBorders>
                    <w:tl2br w:val="nil"/>
                    <w:tr2bl w:val="nil"/>
                  </w:tcBorders>
                  <w:shd w:val="clear" w:color="auto" w:fill="auto"/>
                  <w:vAlign w:val="center"/>
                </w:tcPr>
                <w:p w14:paraId="72D81FC3">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新鲜用水量</w:t>
                  </w:r>
                </w:p>
              </w:tc>
              <w:tc>
                <w:tcPr>
                  <w:tcW w:w="574" w:type="pct"/>
                  <w:tcBorders>
                    <w:tl2br w:val="nil"/>
                    <w:tr2bl w:val="nil"/>
                  </w:tcBorders>
                  <w:shd w:val="clear" w:color="auto" w:fill="auto"/>
                  <w:vAlign w:val="center"/>
                </w:tcPr>
                <w:p w14:paraId="6847790B">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纯水用量</w:t>
                  </w:r>
                </w:p>
              </w:tc>
              <w:tc>
                <w:tcPr>
                  <w:tcW w:w="961" w:type="pct"/>
                  <w:tcBorders>
                    <w:tl2br w:val="nil"/>
                    <w:tr2bl w:val="nil"/>
                  </w:tcBorders>
                  <w:shd w:val="clear" w:color="auto" w:fill="auto"/>
                  <w:vAlign w:val="center"/>
                </w:tcPr>
                <w:p w14:paraId="04C064C2">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损耗/纯水制备量</w:t>
                  </w:r>
                </w:p>
              </w:tc>
              <w:tc>
                <w:tcPr>
                  <w:tcW w:w="692" w:type="pct"/>
                  <w:tcBorders>
                    <w:tl2br w:val="nil"/>
                    <w:tr2bl w:val="nil"/>
                  </w:tcBorders>
                  <w:shd w:val="clear" w:color="auto" w:fill="auto"/>
                  <w:vAlign w:val="center"/>
                </w:tcPr>
                <w:p w14:paraId="63E62198">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废水产生量</w:t>
                  </w:r>
                </w:p>
              </w:tc>
              <w:tc>
                <w:tcPr>
                  <w:tcW w:w="456" w:type="pct"/>
                  <w:tcBorders>
                    <w:tl2br w:val="nil"/>
                    <w:tr2bl w:val="nil"/>
                  </w:tcBorders>
                  <w:shd w:val="clear" w:color="auto" w:fill="auto"/>
                  <w:vAlign w:val="center"/>
                </w:tcPr>
                <w:p w14:paraId="0EA3AA20">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排放量</w:t>
                  </w:r>
                </w:p>
              </w:tc>
              <w:tc>
                <w:tcPr>
                  <w:tcW w:w="574" w:type="pct"/>
                  <w:tcBorders>
                    <w:tl2br w:val="nil"/>
                    <w:tr2bl w:val="nil"/>
                  </w:tcBorders>
                  <w:shd w:val="clear" w:color="auto" w:fill="auto"/>
                  <w:vAlign w:val="center"/>
                </w:tcPr>
                <w:p w14:paraId="37C2424D">
                  <w:pPr>
                    <w:widowControl/>
                    <w:adjustRightInd w:val="0"/>
                    <w:snapToGrid w:val="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r>
            <w:tr w14:paraId="22E07DE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4" w:type="pct"/>
                  <w:tcBorders>
                    <w:tl2br w:val="nil"/>
                    <w:tr2bl w:val="nil"/>
                  </w:tcBorders>
                  <w:shd w:val="clear" w:color="auto" w:fill="auto"/>
                  <w:noWrap/>
                  <w:vAlign w:val="center"/>
                </w:tcPr>
                <w:p w14:paraId="67B01048">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w:t>
                  </w:r>
                </w:p>
              </w:tc>
              <w:tc>
                <w:tcPr>
                  <w:tcW w:w="679" w:type="pct"/>
                  <w:tcBorders>
                    <w:tl2br w:val="nil"/>
                    <w:tr2bl w:val="nil"/>
                  </w:tcBorders>
                  <w:shd w:val="clear" w:color="auto" w:fill="auto"/>
                  <w:vAlign w:val="center"/>
                </w:tcPr>
                <w:p w14:paraId="2AFCCB8C">
                  <w:pPr>
                    <w:widowControl/>
                    <w:adjustRightInd w:val="0"/>
                    <w:snapToGrid w:val="0"/>
                    <w:jc w:val="center"/>
                    <w:textAlignment w:val="center"/>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生活用水</w:t>
                  </w:r>
                </w:p>
              </w:tc>
              <w:tc>
                <w:tcPr>
                  <w:tcW w:w="706" w:type="pct"/>
                  <w:tcBorders>
                    <w:tl2br w:val="nil"/>
                    <w:tr2bl w:val="nil"/>
                  </w:tcBorders>
                  <w:shd w:val="clear" w:color="auto" w:fill="auto"/>
                  <w:vAlign w:val="center"/>
                </w:tcPr>
                <w:p w14:paraId="78B41772">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102.74</w:t>
                  </w:r>
                </w:p>
              </w:tc>
              <w:tc>
                <w:tcPr>
                  <w:tcW w:w="574" w:type="pct"/>
                  <w:tcBorders>
                    <w:tl2br w:val="nil"/>
                    <w:tr2bl w:val="nil"/>
                  </w:tcBorders>
                  <w:shd w:val="clear" w:color="auto" w:fill="auto"/>
                  <w:vAlign w:val="center"/>
                </w:tcPr>
                <w:p w14:paraId="654C60CB">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0</w:t>
                  </w:r>
                </w:p>
              </w:tc>
              <w:tc>
                <w:tcPr>
                  <w:tcW w:w="961" w:type="pct"/>
                  <w:tcBorders>
                    <w:tl2br w:val="nil"/>
                    <w:tr2bl w:val="nil"/>
                  </w:tcBorders>
                  <w:shd w:val="clear" w:color="auto" w:fill="auto"/>
                  <w:vAlign w:val="center"/>
                </w:tcPr>
                <w:p w14:paraId="785071A3">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20.55（损耗）</w:t>
                  </w:r>
                </w:p>
              </w:tc>
              <w:tc>
                <w:tcPr>
                  <w:tcW w:w="692" w:type="pct"/>
                  <w:tcBorders>
                    <w:tl2br w:val="nil"/>
                    <w:tr2bl w:val="nil"/>
                  </w:tcBorders>
                  <w:shd w:val="clear" w:color="auto" w:fill="auto"/>
                  <w:vAlign w:val="center"/>
                </w:tcPr>
                <w:p w14:paraId="2F8F1330">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82.19</w:t>
                  </w:r>
                </w:p>
              </w:tc>
              <w:tc>
                <w:tcPr>
                  <w:tcW w:w="456" w:type="pct"/>
                  <w:tcBorders>
                    <w:tl2br w:val="nil"/>
                    <w:tr2bl w:val="nil"/>
                  </w:tcBorders>
                  <w:shd w:val="clear" w:color="auto" w:fill="auto"/>
                  <w:vAlign w:val="center"/>
                </w:tcPr>
                <w:p w14:paraId="10A91666">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82.19</w:t>
                  </w:r>
                </w:p>
              </w:tc>
              <w:tc>
                <w:tcPr>
                  <w:tcW w:w="574" w:type="pct"/>
                  <w:vMerge w:val="restart"/>
                  <w:tcBorders>
                    <w:tl2br w:val="nil"/>
                    <w:tr2bl w:val="nil"/>
                  </w:tcBorders>
                  <w:shd w:val="clear" w:color="auto" w:fill="auto"/>
                  <w:vAlign w:val="center"/>
                </w:tcPr>
                <w:p w14:paraId="07969D04">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化粪池</w:t>
                  </w:r>
                </w:p>
              </w:tc>
            </w:tr>
            <w:tr w14:paraId="1CCBB6C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4" w:type="pct"/>
                  <w:tcBorders>
                    <w:tl2br w:val="nil"/>
                    <w:tr2bl w:val="nil"/>
                  </w:tcBorders>
                  <w:shd w:val="clear" w:color="auto" w:fill="auto"/>
                  <w:noWrap/>
                  <w:vAlign w:val="center"/>
                </w:tcPr>
                <w:p w14:paraId="3A1BBA06">
                  <w:pPr>
                    <w:widowControl/>
                    <w:adjustRightInd w:val="0"/>
                    <w:snapToGrid w:val="0"/>
                    <w:jc w:val="center"/>
                    <w:textAlignment w:val="center"/>
                    <w:rPr>
                      <w:rFonts w:hint="eastAsia"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szCs w:val="21"/>
                      <w:lang w:val="en-US" w:eastAsia="zh-CN"/>
                    </w:rPr>
                    <w:t>2</w:t>
                  </w:r>
                </w:p>
              </w:tc>
              <w:tc>
                <w:tcPr>
                  <w:tcW w:w="679" w:type="pct"/>
                  <w:tcBorders>
                    <w:tl2br w:val="nil"/>
                    <w:tr2bl w:val="nil"/>
                  </w:tcBorders>
                  <w:shd w:val="clear" w:color="auto" w:fill="auto"/>
                  <w:vAlign w:val="center"/>
                </w:tcPr>
                <w:p w14:paraId="56070215">
                  <w:pPr>
                    <w:widowControl/>
                    <w:adjustRightInd w:val="0"/>
                    <w:snapToGrid w:val="0"/>
                    <w:jc w:val="center"/>
                    <w:textAlignment w:val="center"/>
                    <w:rPr>
                      <w:rFonts w:hint="default" w:ascii="Times New Roman" w:hAnsi="Times New Roman" w:cs="Times New Roman"/>
                      <w:b w:val="0"/>
                      <w:bCs w:val="0"/>
                      <w:color w:val="auto"/>
                      <w:szCs w:val="21"/>
                    </w:rPr>
                  </w:pPr>
                  <w:r>
                    <w:rPr>
                      <w:rFonts w:hint="eastAsia" w:cs="Times New Roman"/>
                      <w:b w:val="0"/>
                      <w:bCs w:val="0"/>
                      <w:color w:val="auto"/>
                      <w:szCs w:val="21"/>
                      <w:lang w:val="en-US" w:eastAsia="zh-CN"/>
                    </w:rPr>
                    <w:t>纯水制备用水</w:t>
                  </w:r>
                </w:p>
              </w:tc>
              <w:tc>
                <w:tcPr>
                  <w:tcW w:w="706" w:type="pct"/>
                  <w:tcBorders>
                    <w:tl2br w:val="nil"/>
                    <w:tr2bl w:val="nil"/>
                  </w:tcBorders>
                  <w:shd w:val="clear" w:color="auto" w:fill="auto"/>
                  <w:vAlign w:val="center"/>
                </w:tcPr>
                <w:p w14:paraId="53D2A435">
                  <w:pPr>
                    <w:widowControl/>
                    <w:adjustRightInd w:val="0"/>
                    <w:snapToGrid w:val="0"/>
                    <w:jc w:val="center"/>
                    <w:textAlignment w:val="center"/>
                    <w:rPr>
                      <w:rFonts w:hint="default" w:cs="Times New Roman"/>
                      <w:b w:val="0"/>
                      <w:bCs w:val="0"/>
                      <w:color w:val="auto"/>
                      <w:szCs w:val="21"/>
                      <w:lang w:val="en-US" w:eastAsia="zh-CN"/>
                    </w:rPr>
                  </w:pPr>
                  <w:r>
                    <w:rPr>
                      <w:rFonts w:hint="eastAsia" w:cs="Times New Roman"/>
                      <w:b w:val="0"/>
                      <w:bCs w:val="0"/>
                      <w:color w:val="auto"/>
                      <w:szCs w:val="21"/>
                      <w:lang w:val="en-US" w:eastAsia="zh-CN"/>
                    </w:rPr>
                    <w:t>57.14</w:t>
                  </w:r>
                </w:p>
              </w:tc>
              <w:tc>
                <w:tcPr>
                  <w:tcW w:w="574" w:type="pct"/>
                  <w:tcBorders>
                    <w:tl2br w:val="nil"/>
                    <w:tr2bl w:val="nil"/>
                  </w:tcBorders>
                  <w:shd w:val="clear" w:color="auto" w:fill="auto"/>
                  <w:vAlign w:val="center"/>
                </w:tcPr>
                <w:p w14:paraId="5FFAD852">
                  <w:pPr>
                    <w:widowControl/>
                    <w:adjustRightInd w:val="0"/>
                    <w:snapToGrid w:val="0"/>
                    <w:jc w:val="center"/>
                    <w:textAlignment w:val="center"/>
                    <w:rPr>
                      <w:rFonts w:hint="default" w:cs="Times New Roman"/>
                      <w:b w:val="0"/>
                      <w:bCs w:val="0"/>
                      <w:color w:val="auto"/>
                      <w:szCs w:val="21"/>
                      <w:lang w:val="en-US" w:eastAsia="zh-CN"/>
                    </w:rPr>
                  </w:pPr>
                  <w:r>
                    <w:rPr>
                      <w:rFonts w:hint="eastAsia" w:cs="Times New Roman"/>
                      <w:b w:val="0"/>
                      <w:bCs w:val="0"/>
                      <w:color w:val="auto"/>
                      <w:szCs w:val="21"/>
                      <w:lang w:val="en-US" w:eastAsia="zh-CN"/>
                    </w:rPr>
                    <w:t>0</w:t>
                  </w:r>
                </w:p>
              </w:tc>
              <w:tc>
                <w:tcPr>
                  <w:tcW w:w="961" w:type="pct"/>
                  <w:tcBorders>
                    <w:tl2br w:val="nil"/>
                    <w:tr2bl w:val="nil"/>
                  </w:tcBorders>
                  <w:shd w:val="clear" w:color="auto" w:fill="auto"/>
                  <w:vAlign w:val="center"/>
                </w:tcPr>
                <w:p w14:paraId="6A12FC25">
                  <w:pPr>
                    <w:widowControl/>
                    <w:adjustRightInd w:val="0"/>
                    <w:snapToGrid w:val="0"/>
                    <w:jc w:val="center"/>
                    <w:textAlignment w:val="center"/>
                    <w:rPr>
                      <w:rFonts w:hint="default" w:cs="Times New Roman"/>
                      <w:b w:val="0"/>
                      <w:bCs w:val="0"/>
                      <w:color w:val="auto"/>
                      <w:szCs w:val="21"/>
                      <w:lang w:val="en-US" w:eastAsia="zh-CN"/>
                    </w:rPr>
                  </w:pPr>
                  <w:r>
                    <w:rPr>
                      <w:rFonts w:hint="eastAsia" w:cs="Times New Roman"/>
                      <w:b w:val="0"/>
                      <w:bCs w:val="0"/>
                      <w:color w:val="auto"/>
                      <w:szCs w:val="21"/>
                      <w:lang w:val="en-US" w:eastAsia="zh-CN"/>
                    </w:rPr>
                    <w:t>40（纯水制备量）</w:t>
                  </w:r>
                </w:p>
              </w:tc>
              <w:tc>
                <w:tcPr>
                  <w:tcW w:w="692" w:type="pct"/>
                  <w:tcBorders>
                    <w:tl2br w:val="nil"/>
                    <w:tr2bl w:val="nil"/>
                  </w:tcBorders>
                  <w:shd w:val="clear" w:color="auto" w:fill="auto"/>
                  <w:vAlign w:val="center"/>
                </w:tcPr>
                <w:p w14:paraId="2303960A">
                  <w:pPr>
                    <w:widowControl/>
                    <w:adjustRightInd w:val="0"/>
                    <w:snapToGrid w:val="0"/>
                    <w:jc w:val="center"/>
                    <w:textAlignment w:val="center"/>
                    <w:rPr>
                      <w:rFonts w:hint="default" w:cs="Times New Roman"/>
                      <w:b w:val="0"/>
                      <w:bCs w:val="0"/>
                      <w:color w:val="auto"/>
                      <w:szCs w:val="21"/>
                      <w:lang w:val="en-US" w:eastAsia="zh-CN"/>
                    </w:rPr>
                  </w:pPr>
                  <w:r>
                    <w:rPr>
                      <w:rFonts w:hint="eastAsia" w:cs="Times New Roman"/>
                      <w:b w:val="0"/>
                      <w:bCs w:val="0"/>
                      <w:color w:val="auto"/>
                      <w:szCs w:val="21"/>
                      <w:lang w:val="en-US" w:eastAsia="zh-CN"/>
                    </w:rPr>
                    <w:t>17.14</w:t>
                  </w:r>
                </w:p>
              </w:tc>
              <w:tc>
                <w:tcPr>
                  <w:tcW w:w="456" w:type="pct"/>
                  <w:tcBorders>
                    <w:tl2br w:val="nil"/>
                    <w:tr2bl w:val="nil"/>
                  </w:tcBorders>
                  <w:shd w:val="clear" w:color="auto" w:fill="auto"/>
                  <w:vAlign w:val="center"/>
                </w:tcPr>
                <w:p w14:paraId="4FB175B3">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17.14</w:t>
                  </w:r>
                </w:p>
              </w:tc>
              <w:tc>
                <w:tcPr>
                  <w:tcW w:w="574" w:type="pct"/>
                  <w:vMerge w:val="continue"/>
                  <w:tcBorders>
                    <w:tl2br w:val="nil"/>
                    <w:tr2bl w:val="nil"/>
                  </w:tcBorders>
                  <w:shd w:val="clear" w:color="auto" w:fill="auto"/>
                  <w:vAlign w:val="center"/>
                </w:tcPr>
                <w:p w14:paraId="11055A53">
                  <w:pPr>
                    <w:widowControl/>
                    <w:adjustRightInd w:val="0"/>
                    <w:snapToGrid w:val="0"/>
                    <w:jc w:val="center"/>
                    <w:textAlignment w:val="center"/>
                    <w:rPr>
                      <w:rFonts w:hint="default" w:ascii="Times New Roman" w:hAnsi="Times New Roman" w:cs="Times New Roman"/>
                      <w:b w:val="0"/>
                      <w:bCs w:val="0"/>
                      <w:color w:val="auto"/>
                      <w:szCs w:val="21"/>
                    </w:rPr>
                  </w:pPr>
                </w:p>
              </w:tc>
            </w:tr>
            <w:tr w14:paraId="6F1C0CB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4" w:type="pct"/>
                  <w:tcBorders>
                    <w:tl2br w:val="nil"/>
                    <w:tr2bl w:val="nil"/>
                  </w:tcBorders>
                  <w:shd w:val="clear" w:color="auto" w:fill="auto"/>
                  <w:noWrap/>
                  <w:vAlign w:val="center"/>
                </w:tcPr>
                <w:p w14:paraId="3F88A40D">
                  <w:pPr>
                    <w:widowControl/>
                    <w:adjustRightInd w:val="0"/>
                    <w:snapToGrid w:val="0"/>
                    <w:jc w:val="center"/>
                    <w:textAlignment w:val="center"/>
                    <w:rPr>
                      <w:rFonts w:hint="eastAsia"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szCs w:val="21"/>
                      <w:lang w:val="en-US" w:eastAsia="zh-CN"/>
                    </w:rPr>
                    <w:t>3</w:t>
                  </w:r>
                </w:p>
              </w:tc>
              <w:tc>
                <w:tcPr>
                  <w:tcW w:w="679" w:type="pct"/>
                  <w:tcBorders>
                    <w:tl2br w:val="nil"/>
                    <w:tr2bl w:val="nil"/>
                  </w:tcBorders>
                  <w:shd w:val="clear" w:color="auto" w:fill="auto"/>
                  <w:vAlign w:val="center"/>
                </w:tcPr>
                <w:p w14:paraId="73B46AC9">
                  <w:pPr>
                    <w:widowControl/>
                    <w:adjustRightInd w:val="0"/>
                    <w:snapToGrid w:val="0"/>
                    <w:jc w:val="center"/>
                    <w:textAlignment w:val="center"/>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实验器材清洗用水</w:t>
                  </w:r>
                </w:p>
              </w:tc>
              <w:tc>
                <w:tcPr>
                  <w:tcW w:w="706" w:type="pct"/>
                  <w:tcBorders>
                    <w:tl2br w:val="nil"/>
                    <w:tr2bl w:val="nil"/>
                  </w:tcBorders>
                  <w:shd w:val="clear" w:color="auto" w:fill="auto"/>
                  <w:vAlign w:val="center"/>
                </w:tcPr>
                <w:p w14:paraId="51B1F62E">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0</w:t>
                  </w:r>
                </w:p>
              </w:tc>
              <w:tc>
                <w:tcPr>
                  <w:tcW w:w="574" w:type="pct"/>
                  <w:tcBorders>
                    <w:tl2br w:val="nil"/>
                    <w:tr2bl w:val="nil"/>
                  </w:tcBorders>
                  <w:shd w:val="clear" w:color="auto" w:fill="auto"/>
                  <w:vAlign w:val="center"/>
                </w:tcPr>
                <w:p w14:paraId="57C2DEBA">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25</w:t>
                  </w:r>
                </w:p>
              </w:tc>
              <w:tc>
                <w:tcPr>
                  <w:tcW w:w="961" w:type="pct"/>
                  <w:tcBorders>
                    <w:tl2br w:val="nil"/>
                    <w:tr2bl w:val="nil"/>
                  </w:tcBorders>
                  <w:shd w:val="clear" w:color="auto" w:fill="auto"/>
                  <w:vAlign w:val="center"/>
                </w:tcPr>
                <w:p w14:paraId="74D16A78">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2.5（损耗）</w:t>
                  </w:r>
                </w:p>
              </w:tc>
              <w:tc>
                <w:tcPr>
                  <w:tcW w:w="692" w:type="pct"/>
                  <w:tcBorders>
                    <w:tl2br w:val="nil"/>
                    <w:tr2bl w:val="nil"/>
                  </w:tcBorders>
                  <w:shd w:val="clear" w:color="auto" w:fill="auto"/>
                  <w:vAlign w:val="center"/>
                </w:tcPr>
                <w:p w14:paraId="06AEB009">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22.5</w:t>
                  </w:r>
                </w:p>
              </w:tc>
              <w:tc>
                <w:tcPr>
                  <w:tcW w:w="456" w:type="pct"/>
                  <w:tcBorders>
                    <w:tl2br w:val="nil"/>
                    <w:tr2bl w:val="nil"/>
                  </w:tcBorders>
                  <w:shd w:val="clear" w:color="auto" w:fill="auto"/>
                  <w:vAlign w:val="center"/>
                </w:tcPr>
                <w:p w14:paraId="7DD73351">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22.5</w:t>
                  </w:r>
                </w:p>
              </w:tc>
              <w:tc>
                <w:tcPr>
                  <w:tcW w:w="574" w:type="pct"/>
                  <w:vMerge w:val="restart"/>
                  <w:tcBorders>
                    <w:tl2br w:val="nil"/>
                    <w:tr2bl w:val="nil"/>
                  </w:tcBorders>
                  <w:shd w:val="clear" w:color="auto" w:fill="auto"/>
                  <w:vAlign w:val="center"/>
                </w:tcPr>
                <w:p w14:paraId="7F9EADD9">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酸碱中和池处理后进入化粪池</w:t>
                  </w:r>
                </w:p>
              </w:tc>
            </w:tr>
            <w:tr w14:paraId="0B7D3FC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4" w:type="pct"/>
                  <w:tcBorders>
                    <w:tl2br w:val="nil"/>
                    <w:tr2bl w:val="nil"/>
                  </w:tcBorders>
                  <w:shd w:val="clear" w:color="auto" w:fill="auto"/>
                  <w:noWrap/>
                  <w:vAlign w:val="center"/>
                </w:tcPr>
                <w:p w14:paraId="5DE89941">
                  <w:pPr>
                    <w:widowControl/>
                    <w:adjustRightInd w:val="0"/>
                    <w:snapToGrid w:val="0"/>
                    <w:jc w:val="center"/>
                    <w:textAlignment w:val="center"/>
                    <w:rPr>
                      <w:rFonts w:hint="default" w:cs="Times New Roman"/>
                      <w:b w:val="0"/>
                      <w:bCs w:val="0"/>
                      <w:color w:val="auto"/>
                      <w:szCs w:val="21"/>
                      <w:lang w:val="en-US" w:eastAsia="zh-CN"/>
                    </w:rPr>
                  </w:pPr>
                  <w:r>
                    <w:rPr>
                      <w:rFonts w:hint="eastAsia" w:cs="Times New Roman"/>
                      <w:b w:val="0"/>
                      <w:bCs w:val="0"/>
                      <w:color w:val="auto"/>
                      <w:szCs w:val="21"/>
                      <w:lang w:val="en-US" w:eastAsia="zh-CN"/>
                    </w:rPr>
                    <w:t>4</w:t>
                  </w:r>
                </w:p>
              </w:tc>
              <w:tc>
                <w:tcPr>
                  <w:tcW w:w="679" w:type="pct"/>
                  <w:tcBorders>
                    <w:tl2br w:val="nil"/>
                    <w:tr2bl w:val="nil"/>
                  </w:tcBorders>
                  <w:shd w:val="clear" w:color="auto" w:fill="auto"/>
                  <w:vAlign w:val="center"/>
                </w:tcPr>
                <w:p w14:paraId="1900B803">
                  <w:pPr>
                    <w:widowControl/>
                    <w:adjustRightInd w:val="0"/>
                    <w:snapToGrid w:val="0"/>
                    <w:jc w:val="center"/>
                    <w:textAlignment w:val="center"/>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lang w:val="en-US" w:eastAsia="zh-CN"/>
                    </w:rPr>
                    <w:t>实验室</w:t>
                  </w:r>
                  <w:r>
                    <w:rPr>
                      <w:rFonts w:hint="default" w:ascii="Times New Roman" w:hAnsi="Times New Roman" w:cs="Times New Roman"/>
                      <w:b w:val="0"/>
                      <w:bCs w:val="0"/>
                      <w:color w:val="auto"/>
                      <w:szCs w:val="21"/>
                    </w:rPr>
                    <w:t>清洗用水</w:t>
                  </w:r>
                </w:p>
              </w:tc>
              <w:tc>
                <w:tcPr>
                  <w:tcW w:w="706" w:type="pct"/>
                  <w:tcBorders>
                    <w:tl2br w:val="nil"/>
                    <w:tr2bl w:val="nil"/>
                  </w:tcBorders>
                  <w:shd w:val="clear" w:color="auto" w:fill="auto"/>
                  <w:vAlign w:val="center"/>
                </w:tcPr>
                <w:p w14:paraId="3A0CCAE1">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25</w:t>
                  </w:r>
                </w:p>
              </w:tc>
              <w:tc>
                <w:tcPr>
                  <w:tcW w:w="574" w:type="pct"/>
                  <w:tcBorders>
                    <w:tl2br w:val="nil"/>
                    <w:tr2bl w:val="nil"/>
                  </w:tcBorders>
                  <w:shd w:val="clear" w:color="auto" w:fill="auto"/>
                  <w:vAlign w:val="center"/>
                </w:tcPr>
                <w:p w14:paraId="7F07E8A8">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0</w:t>
                  </w:r>
                </w:p>
              </w:tc>
              <w:tc>
                <w:tcPr>
                  <w:tcW w:w="961" w:type="pct"/>
                  <w:tcBorders>
                    <w:tl2br w:val="nil"/>
                    <w:tr2bl w:val="nil"/>
                  </w:tcBorders>
                  <w:shd w:val="clear" w:color="auto" w:fill="auto"/>
                  <w:vAlign w:val="center"/>
                </w:tcPr>
                <w:p w14:paraId="62904782">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2.5（损耗）</w:t>
                  </w:r>
                </w:p>
              </w:tc>
              <w:tc>
                <w:tcPr>
                  <w:tcW w:w="692" w:type="pct"/>
                  <w:tcBorders>
                    <w:tl2br w:val="nil"/>
                    <w:tr2bl w:val="nil"/>
                  </w:tcBorders>
                  <w:shd w:val="clear" w:color="auto" w:fill="auto"/>
                  <w:vAlign w:val="center"/>
                </w:tcPr>
                <w:p w14:paraId="4A566CAF">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22.5</w:t>
                  </w:r>
                </w:p>
              </w:tc>
              <w:tc>
                <w:tcPr>
                  <w:tcW w:w="456" w:type="pct"/>
                  <w:tcBorders>
                    <w:tl2br w:val="nil"/>
                    <w:tr2bl w:val="nil"/>
                  </w:tcBorders>
                  <w:shd w:val="clear" w:color="auto" w:fill="auto"/>
                  <w:vAlign w:val="center"/>
                </w:tcPr>
                <w:p w14:paraId="07F809B4">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22.5</w:t>
                  </w:r>
                </w:p>
              </w:tc>
              <w:tc>
                <w:tcPr>
                  <w:tcW w:w="574" w:type="pct"/>
                  <w:vMerge w:val="continue"/>
                  <w:tcBorders>
                    <w:tl2br w:val="nil"/>
                    <w:tr2bl w:val="nil"/>
                  </w:tcBorders>
                  <w:shd w:val="clear" w:color="auto" w:fill="auto"/>
                  <w:vAlign w:val="center"/>
                </w:tcPr>
                <w:p w14:paraId="1BF41357">
                  <w:pPr>
                    <w:widowControl/>
                    <w:adjustRightInd w:val="0"/>
                    <w:snapToGrid w:val="0"/>
                    <w:jc w:val="center"/>
                    <w:textAlignment w:val="center"/>
                    <w:rPr>
                      <w:rFonts w:hint="default" w:ascii="Times New Roman" w:hAnsi="Times New Roman" w:cs="Times New Roman"/>
                      <w:b w:val="0"/>
                      <w:bCs w:val="0"/>
                      <w:color w:val="auto"/>
                      <w:szCs w:val="21"/>
                    </w:rPr>
                  </w:pPr>
                </w:p>
              </w:tc>
            </w:tr>
            <w:tr w14:paraId="002FEAA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54" w:type="pct"/>
                  <w:tcBorders>
                    <w:tl2br w:val="nil"/>
                    <w:tr2bl w:val="nil"/>
                  </w:tcBorders>
                  <w:shd w:val="clear" w:color="auto" w:fill="auto"/>
                  <w:noWrap/>
                  <w:vAlign w:val="center"/>
                </w:tcPr>
                <w:p w14:paraId="2088E764">
                  <w:pPr>
                    <w:widowControl/>
                    <w:adjustRightInd w:val="0"/>
                    <w:snapToGrid w:val="0"/>
                    <w:jc w:val="center"/>
                    <w:textAlignment w:val="center"/>
                    <w:rPr>
                      <w:rFonts w:hint="default" w:cs="Times New Roman"/>
                      <w:b w:val="0"/>
                      <w:bCs w:val="0"/>
                      <w:color w:val="auto"/>
                      <w:szCs w:val="21"/>
                      <w:lang w:val="en-US" w:eastAsia="zh-CN"/>
                    </w:rPr>
                  </w:pPr>
                  <w:r>
                    <w:rPr>
                      <w:rFonts w:hint="eastAsia" w:cs="Times New Roman"/>
                      <w:b w:val="0"/>
                      <w:bCs w:val="0"/>
                      <w:color w:val="auto"/>
                      <w:szCs w:val="21"/>
                      <w:lang w:val="en-US" w:eastAsia="zh-CN"/>
                    </w:rPr>
                    <w:t>5</w:t>
                  </w:r>
                </w:p>
              </w:tc>
              <w:tc>
                <w:tcPr>
                  <w:tcW w:w="679" w:type="pct"/>
                  <w:tcBorders>
                    <w:tl2br w:val="nil"/>
                    <w:tr2bl w:val="nil"/>
                  </w:tcBorders>
                  <w:shd w:val="clear" w:color="auto" w:fill="auto"/>
                  <w:vAlign w:val="center"/>
                </w:tcPr>
                <w:p w14:paraId="129D2B03">
                  <w:pPr>
                    <w:widowControl/>
                    <w:adjustRightInd w:val="0"/>
                    <w:snapToGrid w:val="0"/>
                    <w:jc w:val="center"/>
                    <w:textAlignment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检测</w:t>
                  </w:r>
                  <w:r>
                    <w:rPr>
                      <w:rFonts w:hint="default" w:ascii="Times New Roman" w:hAnsi="Times New Roman" w:cs="Times New Roman"/>
                      <w:b w:val="0"/>
                      <w:bCs w:val="0"/>
                      <w:color w:val="auto"/>
                      <w:szCs w:val="21"/>
                    </w:rPr>
                    <w:t>分析用水</w:t>
                  </w:r>
                </w:p>
              </w:tc>
              <w:tc>
                <w:tcPr>
                  <w:tcW w:w="706" w:type="pct"/>
                  <w:tcBorders>
                    <w:tl2br w:val="nil"/>
                    <w:tr2bl w:val="nil"/>
                  </w:tcBorders>
                  <w:shd w:val="clear" w:color="auto" w:fill="auto"/>
                  <w:vAlign w:val="center"/>
                </w:tcPr>
                <w:p w14:paraId="7940675D">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0</w:t>
                  </w:r>
                </w:p>
              </w:tc>
              <w:tc>
                <w:tcPr>
                  <w:tcW w:w="574" w:type="pct"/>
                  <w:tcBorders>
                    <w:tl2br w:val="nil"/>
                    <w:tr2bl w:val="nil"/>
                  </w:tcBorders>
                  <w:shd w:val="clear" w:color="auto" w:fill="auto"/>
                  <w:vAlign w:val="center"/>
                </w:tcPr>
                <w:p w14:paraId="0C16461F">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15</w:t>
                  </w:r>
                </w:p>
              </w:tc>
              <w:tc>
                <w:tcPr>
                  <w:tcW w:w="961" w:type="pct"/>
                  <w:tcBorders>
                    <w:tl2br w:val="nil"/>
                    <w:tr2bl w:val="nil"/>
                  </w:tcBorders>
                  <w:shd w:val="clear" w:color="auto" w:fill="auto"/>
                  <w:vAlign w:val="center"/>
                </w:tcPr>
                <w:p w14:paraId="6B79FCCE">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0</w:t>
                  </w:r>
                </w:p>
              </w:tc>
              <w:tc>
                <w:tcPr>
                  <w:tcW w:w="692" w:type="pct"/>
                  <w:tcBorders>
                    <w:tl2br w:val="nil"/>
                    <w:tr2bl w:val="nil"/>
                  </w:tcBorders>
                  <w:shd w:val="clear" w:color="auto" w:fill="auto"/>
                  <w:vAlign w:val="center"/>
                </w:tcPr>
                <w:p w14:paraId="52B3E757">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15</w:t>
                  </w:r>
                </w:p>
              </w:tc>
              <w:tc>
                <w:tcPr>
                  <w:tcW w:w="456" w:type="pct"/>
                  <w:tcBorders>
                    <w:tl2br w:val="nil"/>
                    <w:tr2bl w:val="nil"/>
                  </w:tcBorders>
                  <w:shd w:val="clear" w:color="auto" w:fill="auto"/>
                  <w:vAlign w:val="center"/>
                </w:tcPr>
                <w:p w14:paraId="58633D5B">
                  <w:pPr>
                    <w:widowControl/>
                    <w:adjustRightInd w:val="0"/>
                    <w:snapToGrid w:val="0"/>
                    <w:jc w:val="center"/>
                    <w:textAlignment w:val="center"/>
                    <w:rPr>
                      <w:rFonts w:hint="eastAsia"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0</w:t>
                  </w:r>
                </w:p>
              </w:tc>
              <w:tc>
                <w:tcPr>
                  <w:tcW w:w="574" w:type="pct"/>
                  <w:tcBorders>
                    <w:tl2br w:val="nil"/>
                    <w:tr2bl w:val="nil"/>
                  </w:tcBorders>
                  <w:shd w:val="clear" w:color="auto" w:fill="auto"/>
                  <w:vAlign w:val="center"/>
                </w:tcPr>
                <w:p w14:paraId="4EB7A5DF">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作危险废物处置</w:t>
                  </w:r>
                </w:p>
              </w:tc>
            </w:tr>
            <w:tr w14:paraId="0B32269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34" w:type="pct"/>
                  <w:gridSpan w:val="2"/>
                  <w:tcBorders>
                    <w:tl2br w:val="nil"/>
                    <w:tr2bl w:val="nil"/>
                  </w:tcBorders>
                  <w:shd w:val="clear" w:color="auto" w:fill="auto"/>
                  <w:noWrap/>
                  <w:vAlign w:val="center"/>
                </w:tcPr>
                <w:p w14:paraId="48456DBA">
                  <w:pPr>
                    <w:widowControl/>
                    <w:adjustRightInd w:val="0"/>
                    <w:snapToGrid w:val="0"/>
                    <w:jc w:val="center"/>
                    <w:textAlignment w:val="center"/>
                    <w:rPr>
                      <w:rFonts w:hint="default" w:ascii="Times New Roman" w:hAnsi="Times New Roman" w:cs="Times New Roman"/>
                      <w:b w:val="0"/>
                      <w:bCs w:val="0"/>
                      <w:color w:val="auto"/>
                      <w:szCs w:val="21"/>
                      <w:lang w:val="en-US" w:eastAsia="zh-CN"/>
                    </w:rPr>
                  </w:pPr>
                  <w:r>
                    <w:rPr>
                      <w:rFonts w:hint="eastAsia" w:cs="Times New Roman"/>
                      <w:b w:val="0"/>
                      <w:bCs w:val="0"/>
                      <w:color w:val="auto"/>
                      <w:szCs w:val="21"/>
                      <w:lang w:val="en-US" w:eastAsia="zh-CN"/>
                    </w:rPr>
                    <w:t>合计</w:t>
                  </w:r>
                </w:p>
              </w:tc>
              <w:tc>
                <w:tcPr>
                  <w:tcW w:w="706" w:type="pct"/>
                  <w:tcBorders>
                    <w:tl2br w:val="nil"/>
                    <w:tr2bl w:val="nil"/>
                  </w:tcBorders>
                  <w:shd w:val="clear" w:color="auto" w:fill="auto"/>
                  <w:vAlign w:val="center"/>
                </w:tcPr>
                <w:p w14:paraId="143E5A2C">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184.88</w:t>
                  </w:r>
                </w:p>
              </w:tc>
              <w:tc>
                <w:tcPr>
                  <w:tcW w:w="574" w:type="pct"/>
                  <w:tcBorders>
                    <w:tl2br w:val="nil"/>
                    <w:tr2bl w:val="nil"/>
                  </w:tcBorders>
                  <w:shd w:val="clear" w:color="auto" w:fill="auto"/>
                  <w:vAlign w:val="center"/>
                </w:tcPr>
                <w:p w14:paraId="15F88EDA">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40</w:t>
                  </w:r>
                </w:p>
              </w:tc>
              <w:tc>
                <w:tcPr>
                  <w:tcW w:w="961" w:type="pct"/>
                  <w:tcBorders>
                    <w:tl2br w:val="nil"/>
                    <w:tr2bl w:val="nil"/>
                  </w:tcBorders>
                  <w:shd w:val="clear" w:color="auto" w:fill="auto"/>
                  <w:vAlign w:val="center"/>
                </w:tcPr>
                <w:p w14:paraId="5D46326D">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65.55</w:t>
                  </w:r>
                </w:p>
              </w:tc>
              <w:tc>
                <w:tcPr>
                  <w:tcW w:w="692" w:type="pct"/>
                  <w:tcBorders>
                    <w:tl2br w:val="nil"/>
                    <w:tr2bl w:val="nil"/>
                  </w:tcBorders>
                  <w:shd w:val="clear" w:color="auto" w:fill="auto"/>
                  <w:vAlign w:val="center"/>
                </w:tcPr>
                <w:p w14:paraId="0E1DE354">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159.33</w:t>
                  </w:r>
                </w:p>
              </w:tc>
              <w:tc>
                <w:tcPr>
                  <w:tcW w:w="456" w:type="pct"/>
                  <w:tcBorders>
                    <w:tl2br w:val="nil"/>
                    <w:tr2bl w:val="nil"/>
                  </w:tcBorders>
                  <w:shd w:val="clear" w:color="auto" w:fill="auto"/>
                  <w:vAlign w:val="center"/>
                </w:tcPr>
                <w:p w14:paraId="422A7775">
                  <w:pPr>
                    <w:widowControl/>
                    <w:adjustRightInd w:val="0"/>
                    <w:snapToGrid w:val="0"/>
                    <w:jc w:val="center"/>
                    <w:textAlignment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zCs w:val="21"/>
                      <w:lang w:val="en-US" w:eastAsia="zh-CN"/>
                    </w:rPr>
                    <w:t>144.33</w:t>
                  </w:r>
                </w:p>
              </w:tc>
              <w:tc>
                <w:tcPr>
                  <w:tcW w:w="574" w:type="pct"/>
                  <w:tcBorders>
                    <w:tl2br w:val="nil"/>
                    <w:tr2bl w:val="nil"/>
                  </w:tcBorders>
                  <w:shd w:val="clear" w:color="auto" w:fill="auto"/>
                  <w:vAlign w:val="center"/>
                </w:tcPr>
                <w:p w14:paraId="0C63E32C">
                  <w:pPr>
                    <w:widowControl/>
                    <w:adjustRightInd w:val="0"/>
                    <w:snapToGrid w:val="0"/>
                    <w:jc w:val="center"/>
                    <w:textAlignment w:val="center"/>
                    <w:rPr>
                      <w:rFonts w:hint="default" w:ascii="Times New Roman" w:hAnsi="Times New Roman" w:cs="Times New Roman"/>
                      <w:b w:val="0"/>
                      <w:bCs w:val="0"/>
                      <w:color w:val="auto"/>
                      <w:szCs w:val="21"/>
                    </w:rPr>
                  </w:pPr>
                </w:p>
              </w:tc>
            </w:tr>
          </w:tbl>
          <w:p w14:paraId="2DED509A">
            <w:pPr>
              <w:adjustRightInd w:val="0"/>
              <w:snapToGrid w:val="0"/>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object>
                <v:shape id="_x0000_i1025" o:spt="75" type="#_x0000_t75" style="height:220.9pt;width:448.4pt;" o:ole="t" filled="f" o:preferrelative="t" stroked="f" coordsize="21600,21600">
                  <v:path/>
                  <v:fill on="f" focussize="0,0"/>
                  <v:stroke on="f"/>
                  <v:imagedata r:id="rId12" cropleft="3980f" o:title=""/>
                  <o:lock v:ext="edit" aspectratio="t"/>
                  <w10:wrap type="none"/>
                  <w10:anchorlock/>
                </v:shape>
                <o:OLEObject Type="Embed" ProgID="Visio.Drawing.11" ShapeID="_x0000_i1025" DrawAspect="Content" ObjectID="_1468075725" r:id="rId11">
                  <o:LockedField>false</o:LockedField>
                </o:OLEObject>
              </w:object>
            </w:r>
          </w:p>
          <w:p w14:paraId="7362EBAB">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图</w:t>
            </w:r>
            <w:r>
              <w:rPr>
                <w:rFonts w:hint="eastAsia" w:cs="Times New Roman"/>
                <w:b/>
                <w:bCs/>
                <w:color w:val="auto"/>
                <w:szCs w:val="21"/>
                <w:lang w:val="en-US" w:eastAsia="zh-CN"/>
              </w:rPr>
              <w:t>2-</w:t>
            </w:r>
            <w:r>
              <w:rPr>
                <w:rFonts w:hint="default" w:ascii="Times New Roman" w:hAnsi="Times New Roman" w:cs="Times New Roman"/>
                <w:b/>
                <w:bCs/>
                <w:color w:val="auto"/>
                <w:szCs w:val="21"/>
              </w:rPr>
              <w:t>1</w:t>
            </w:r>
            <w:r>
              <w:rPr>
                <w:rFonts w:hint="default" w:ascii="Times New Roman" w:hAnsi="Times New Roman" w:cs="Times New Roman"/>
                <w:b/>
                <w:bCs/>
                <w:color w:val="auto"/>
                <w:szCs w:val="21"/>
                <w:lang w:val="zh-CN"/>
              </w:rPr>
              <w:t xml:space="preserve"> </w:t>
            </w:r>
            <w:r>
              <w:rPr>
                <w:rFonts w:hint="default" w:ascii="Times New Roman" w:hAnsi="Times New Roman" w:cs="Times New Roman"/>
                <w:b/>
                <w:bCs/>
                <w:color w:val="auto"/>
                <w:szCs w:val="21"/>
              </w:rPr>
              <w:t>项目水平衡图</w:t>
            </w:r>
            <w:r>
              <w:rPr>
                <w:rFonts w:hint="eastAsia" w:cs="Times New Roman"/>
                <w:b/>
                <w:bCs/>
                <w:color w:val="auto"/>
                <w:szCs w:val="21"/>
                <w:lang w:eastAsia="zh-CN"/>
              </w:rPr>
              <w:t>（</w:t>
            </w:r>
            <w:r>
              <w:rPr>
                <w:rFonts w:hint="default" w:ascii="Times New Roman" w:hAnsi="Times New Roman" w:cs="Times New Roman"/>
                <w:b/>
                <w:bCs/>
                <w:color w:val="auto"/>
                <w:szCs w:val="21"/>
              </w:rPr>
              <w:t>单位：m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/a</w:t>
            </w:r>
            <w:r>
              <w:rPr>
                <w:rFonts w:hint="eastAsia" w:cs="Times New Roman"/>
                <w:b/>
                <w:bCs/>
                <w:color w:val="auto"/>
                <w:szCs w:val="21"/>
                <w:lang w:eastAsia="zh-CN"/>
              </w:rPr>
              <w:t>）</w:t>
            </w:r>
          </w:p>
          <w:p w14:paraId="34F80458">
            <w:pPr>
              <w:autoSpaceDE w:val="0"/>
              <w:autoSpaceDN w:val="0"/>
              <w:adjustRightInd w:val="0"/>
              <w:snapToGrid w:val="0"/>
              <w:spacing w:line="360" w:lineRule="auto"/>
              <w:rPr>
                <w:rFonts w:hint="default" w:ascii="Times New Roman" w:hAnsi="Times New Roman" w:cs="Times New Roman"/>
                <w:b/>
                <w:color w:val="auto"/>
                <w:kern w:val="0"/>
                <w:sz w:val="24"/>
              </w:rPr>
            </w:pPr>
            <w:r>
              <w:rPr>
                <w:rFonts w:hint="default" w:ascii="Times New Roman" w:hAnsi="Times New Roman" w:cs="Times New Roman"/>
                <w:b/>
                <w:color w:val="auto"/>
                <w:sz w:val="24"/>
              </w:rPr>
              <w:t>（</w:t>
            </w:r>
            <w:r>
              <w:rPr>
                <w:rFonts w:hint="eastAsia" w:cs="Times New Roman"/>
                <w:b/>
                <w:color w:val="auto"/>
                <w:kern w:val="0"/>
                <w:sz w:val="24"/>
                <w:lang w:val="en-US" w:eastAsia="zh-CN"/>
              </w:rPr>
              <w:t>七</w:t>
            </w:r>
            <w:r>
              <w:rPr>
                <w:rFonts w:hint="default" w:ascii="Times New Roman" w:hAnsi="Times New Roman" w:cs="Times New Roman"/>
                <w:b/>
                <w:color w:val="auto"/>
                <w:sz w:val="24"/>
              </w:rPr>
              <w:t>）</w:t>
            </w:r>
            <w:r>
              <w:rPr>
                <w:rFonts w:hint="default" w:ascii="Times New Roman" w:hAnsi="Times New Roman" w:cs="Times New Roman"/>
                <w:b/>
                <w:color w:val="auto"/>
                <w:kern w:val="0"/>
                <w:sz w:val="24"/>
              </w:rPr>
              <w:t>劳动定员及工作制度</w:t>
            </w:r>
          </w:p>
          <w:p w14:paraId="29CB7C50">
            <w:pPr>
              <w:pStyle w:val="28"/>
              <w:adjustRightInd w:val="0"/>
              <w:snapToGrid w:val="0"/>
              <w:spacing w:after="0" w:line="360" w:lineRule="auto"/>
              <w:ind w:left="0" w:leftChars="0" w:firstLine="480"/>
              <w:rPr>
                <w:rFonts w:hint="default" w:ascii="Times New Roman" w:hAnsi="Times New Roman" w:cs="Times New Roman"/>
                <w:color w:val="auto"/>
                <w:szCs w:val="24"/>
              </w:rPr>
            </w:pPr>
            <w:r>
              <w:rPr>
                <w:rFonts w:hint="default" w:ascii="Times New Roman" w:hAnsi="Times New Roman" w:cs="Times New Roman"/>
                <w:color w:val="auto"/>
                <w:szCs w:val="24"/>
              </w:rPr>
              <w:t>本项目劳动职工为15人，1班制</w:t>
            </w:r>
            <w:r>
              <w:rPr>
                <w:rFonts w:hint="eastAsia" w:cs="Times New Roman"/>
                <w:color w:val="auto"/>
                <w:szCs w:val="24"/>
                <w:lang w:eastAsia="zh-CN"/>
              </w:rPr>
              <w:t>，</w:t>
            </w:r>
            <w:r>
              <w:rPr>
                <w:rFonts w:hint="default" w:ascii="Times New Roman" w:hAnsi="Times New Roman" w:cs="Times New Roman"/>
                <w:color w:val="auto"/>
                <w:szCs w:val="24"/>
              </w:rPr>
              <w:t>每班工作8小时</w:t>
            </w:r>
            <w:r>
              <w:rPr>
                <w:rFonts w:hint="eastAsia" w:cs="Times New Roman"/>
                <w:color w:val="auto"/>
                <w:szCs w:val="24"/>
                <w:lang w:eastAsia="zh-CN"/>
              </w:rPr>
              <w:t>，</w:t>
            </w:r>
            <w:r>
              <w:rPr>
                <w:rFonts w:hint="default" w:ascii="Times New Roman" w:hAnsi="Times New Roman" w:cs="Times New Roman"/>
                <w:color w:val="auto"/>
                <w:szCs w:val="24"/>
              </w:rPr>
              <w:t>每年工作250天，夜间不运营。</w:t>
            </w:r>
          </w:p>
          <w:p w14:paraId="7E6CC274">
            <w:pPr>
              <w:autoSpaceDE w:val="0"/>
              <w:autoSpaceDN w:val="0"/>
              <w:adjustRightInd w:val="0"/>
              <w:snapToGrid w:val="0"/>
              <w:spacing w:line="360" w:lineRule="auto"/>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w:t>
            </w:r>
            <w:r>
              <w:rPr>
                <w:rFonts w:hint="eastAsia" w:cs="Times New Roman"/>
                <w:b/>
                <w:color w:val="auto"/>
                <w:kern w:val="0"/>
                <w:sz w:val="24"/>
                <w:lang w:val="en-US" w:eastAsia="zh-CN"/>
              </w:rPr>
              <w:t>八</w:t>
            </w:r>
            <w:r>
              <w:rPr>
                <w:rFonts w:hint="default" w:ascii="Times New Roman" w:hAnsi="Times New Roman" w:cs="Times New Roman"/>
                <w:b/>
                <w:color w:val="auto"/>
                <w:kern w:val="0"/>
                <w:sz w:val="24"/>
              </w:rPr>
              <w:t>）平面布置</w:t>
            </w:r>
          </w:p>
          <w:p w14:paraId="7A39F536">
            <w:pPr>
              <w:autoSpaceDE w:val="0"/>
              <w:autoSpaceDN w:val="0"/>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本项目租赁陕西省西安市莲湖区沣惠北路2666号天健望湖大观商铺3-6铺，总建筑面积365</w:t>
            </w:r>
            <w:r>
              <w:rPr>
                <w:rFonts w:hint="eastAsia" w:cs="Times New Roman"/>
                <w:color w:val="auto"/>
                <w:kern w:val="0"/>
                <w:sz w:val="24"/>
                <w:lang w:val="en-US" w:eastAsia="zh-CN"/>
              </w:rPr>
              <w:t>.21</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2</w:t>
            </w:r>
            <w:r>
              <w:rPr>
                <w:rFonts w:hint="default" w:ascii="Times New Roman" w:hAnsi="Times New Roman" w:cs="Times New Roman"/>
                <w:color w:val="auto"/>
                <w:kern w:val="0"/>
                <w:sz w:val="24"/>
              </w:rPr>
              <w:t>，</w:t>
            </w:r>
            <w:r>
              <w:rPr>
                <w:rFonts w:hint="eastAsia" w:cs="Times New Roman"/>
                <w:color w:val="auto"/>
                <w:kern w:val="0"/>
                <w:sz w:val="24"/>
                <w:lang w:val="en-US" w:eastAsia="zh-CN"/>
              </w:rPr>
              <w:t>中东部设实验检测实验区、东南角设微生物实验室，北部设试剂室，西部设办公区，危废贮存库位于项目区中部，酸碱中和池装置位于东南角，废气治理设施位于西北</w:t>
            </w:r>
            <w:r>
              <w:rPr>
                <w:rFonts w:hint="default" w:ascii="Times New Roman" w:hAnsi="Times New Roman" w:cs="Times New Roman"/>
                <w:color w:val="auto"/>
                <w:kern w:val="0"/>
                <w:sz w:val="24"/>
              </w:rPr>
              <w:t>。具体项目整体布局见附图3。</w:t>
            </w:r>
          </w:p>
        </w:tc>
      </w:tr>
      <w:tr w14:paraId="4EAC2E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264" w:type="pct"/>
            <w:vAlign w:val="center"/>
          </w:tcPr>
          <w:p w14:paraId="1BEA8CC5">
            <w:pPr>
              <w:pStyle w:val="25"/>
              <w:adjustRightInd w:val="0"/>
              <w:snapToGrid w:val="0"/>
              <w:spacing w:before="0" w:beforeAutospacing="0" w:after="0" w:afterAutospacing="0"/>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工艺流程和产排污环节</w:t>
            </w:r>
          </w:p>
        </w:tc>
        <w:tc>
          <w:tcPr>
            <w:tcW w:w="4735" w:type="pct"/>
          </w:tcPr>
          <w:p w14:paraId="102729F3">
            <w:pPr>
              <w:adjustRightInd w:val="0"/>
              <w:snapToGrid w:val="0"/>
              <w:spacing w:before="120" w:beforeLines="50" w:line="360" w:lineRule="auto"/>
              <w:jc w:val="left"/>
              <w:rPr>
                <w:rFonts w:hint="default" w:ascii="Times New Roman" w:hAnsi="Times New Roman" w:cs="Times New Roman"/>
                <w:b/>
                <w:snapToGrid w:val="0"/>
                <w:color w:val="auto"/>
                <w:kern w:val="0"/>
                <w:sz w:val="24"/>
              </w:rPr>
            </w:pPr>
            <w:r>
              <w:rPr>
                <w:rFonts w:hint="default" w:ascii="Times New Roman" w:hAnsi="Times New Roman" w:cs="Times New Roman"/>
                <w:b/>
                <w:snapToGrid w:val="0"/>
                <w:color w:val="auto"/>
                <w:kern w:val="0"/>
                <w:sz w:val="24"/>
              </w:rPr>
              <w:t>（一）施工期工艺流程和产污分析</w:t>
            </w:r>
          </w:p>
          <w:p w14:paraId="49811496">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项目利用已建建筑物，施工内容主要包括</w:t>
            </w:r>
            <w:r>
              <w:rPr>
                <w:rFonts w:hint="eastAsia" w:cs="Times New Roman"/>
                <w:color w:val="auto"/>
                <w:sz w:val="24"/>
                <w:lang w:val="en-US" w:eastAsia="zh-CN"/>
              </w:rPr>
              <w:t>简单装修、</w:t>
            </w:r>
            <w:r>
              <w:rPr>
                <w:rFonts w:hint="default" w:ascii="Times New Roman" w:hAnsi="Times New Roman" w:cs="Times New Roman"/>
                <w:color w:val="auto"/>
                <w:sz w:val="24"/>
              </w:rPr>
              <w:t>设备的安装和调试。施工过程中主要产生少量的废气</w:t>
            </w:r>
            <w:r>
              <w:rPr>
                <w:rFonts w:hint="eastAsia" w:cs="Times New Roman"/>
                <w:color w:val="auto"/>
                <w:sz w:val="24"/>
                <w:lang w:val="en-US" w:eastAsia="zh-CN"/>
              </w:rPr>
              <w:t>、废水、</w:t>
            </w:r>
            <w:r>
              <w:rPr>
                <w:rFonts w:hint="default" w:ascii="Times New Roman" w:hAnsi="Times New Roman" w:cs="Times New Roman"/>
                <w:color w:val="auto"/>
                <w:sz w:val="24"/>
              </w:rPr>
              <w:t>噪声、固废。项目施工期较短，施工量较小，施工结束后污染也随之消失，对环境影响较小。</w:t>
            </w:r>
          </w:p>
          <w:p w14:paraId="319F463D">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object>
                <v:shape id="_x0000_i1026" o:spt="75" type="#_x0000_t75" style="height:110.55pt;width:430pt;" o:ole="t" filled="f" o:preferrelative="t" stroked="f" coordsize="21600,21600">
                  <v:path/>
                  <v:fill on="f" focussize="0,0"/>
                  <v:stroke on="f"/>
                  <v:imagedata r:id="rId14" cropleft="9180f" croptop="18242f" cropright="20155f" cropbottom="34163f" o:title=""/>
                  <o:lock v:ext="edit" aspectratio="t"/>
                  <w10:wrap type="none"/>
                  <w10:anchorlock/>
                </v:shape>
                <o:OLEObject Type="Embed" ProgID="Visio.Drawing.11" ShapeID="_x0000_i1026" DrawAspect="Content" ObjectID="_1468075726" r:id="rId13">
                  <o:LockedField>false</o:LockedField>
                </o:OLEObject>
              </w:object>
            </w:r>
          </w:p>
          <w:p w14:paraId="77FF9901">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图</w:t>
            </w:r>
            <w:r>
              <w:rPr>
                <w:rFonts w:hint="eastAsia" w:cs="Times New Roman"/>
                <w:b/>
                <w:color w:val="auto"/>
                <w:szCs w:val="21"/>
                <w:lang w:val="en-US" w:eastAsia="zh-CN"/>
              </w:rPr>
              <w:t>2-2</w:t>
            </w:r>
            <w:r>
              <w:rPr>
                <w:rFonts w:hint="default" w:ascii="Times New Roman" w:hAnsi="Times New Roman" w:cs="Times New Roman"/>
                <w:b/>
                <w:color w:val="auto"/>
                <w:szCs w:val="21"/>
              </w:rPr>
              <w:t xml:space="preserve"> 施工期工艺流程图</w:t>
            </w:r>
          </w:p>
          <w:p w14:paraId="239DA564">
            <w:pPr>
              <w:adjustRightInd w:val="0"/>
              <w:snapToGrid w:val="0"/>
              <w:spacing w:before="120" w:beforeLines="50" w:line="360" w:lineRule="auto"/>
              <w:jc w:val="left"/>
              <w:rPr>
                <w:rFonts w:hint="default" w:ascii="Times New Roman" w:hAnsi="Times New Roman" w:cs="Times New Roman"/>
                <w:b/>
                <w:snapToGrid w:val="0"/>
                <w:color w:val="auto"/>
                <w:kern w:val="0"/>
                <w:sz w:val="24"/>
              </w:rPr>
            </w:pPr>
            <w:r>
              <w:rPr>
                <w:rFonts w:hint="default" w:ascii="Times New Roman" w:hAnsi="Times New Roman" w:cs="Times New Roman"/>
                <w:b/>
                <w:snapToGrid w:val="0"/>
                <w:color w:val="auto"/>
                <w:kern w:val="0"/>
                <w:sz w:val="24"/>
              </w:rPr>
              <w:t>（二）运营期工艺流程和产污分析</w:t>
            </w:r>
          </w:p>
          <w:p w14:paraId="71DEA1B3">
            <w:pPr>
              <w:adjustRightInd w:val="0"/>
              <w:snapToGrid w:val="0"/>
              <w:spacing w:line="360" w:lineRule="auto"/>
              <w:ind w:firstLine="482" w:firstLineChars="200"/>
              <w:rPr>
                <w:rFonts w:hint="default" w:ascii="Times New Roman" w:hAnsi="Times New Roman" w:eastAsia="宋体" w:cs="Times New Roman"/>
                <w:b/>
                <w:bCs/>
                <w:color w:val="auto"/>
                <w:sz w:val="24"/>
                <w:lang w:val="en-US" w:eastAsia="zh-CN"/>
              </w:rPr>
            </w:pPr>
            <w:r>
              <w:rPr>
                <w:rFonts w:hint="default" w:ascii="Times New Roman" w:hAnsi="Times New Roman" w:cs="Times New Roman"/>
                <w:b/>
                <w:bCs/>
                <w:color w:val="auto"/>
                <w:sz w:val="24"/>
              </w:rPr>
              <w:t>1、</w:t>
            </w:r>
            <w:r>
              <w:rPr>
                <w:rFonts w:hint="eastAsia" w:cs="Times New Roman"/>
                <w:b/>
                <w:bCs/>
                <w:color w:val="auto"/>
                <w:sz w:val="24"/>
                <w:lang w:val="en-US" w:eastAsia="zh-CN"/>
              </w:rPr>
              <w:t>运营期工艺流程</w:t>
            </w:r>
          </w:p>
          <w:p w14:paraId="7DDCFAC1">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object>
                <v:shape id="_x0000_i1027" o:spt="75" type="#_x0000_t75" style="height:412.75pt;width:293.85pt;" o:ole="t" filled="f" o:preferrelative="t" stroked="f" coordsize="21600,21600">
                  <v:path/>
                  <v:fill on="f" focussize="0,0"/>
                  <v:stroke on="f"/>
                  <v:imagedata r:id="rId16" o:title=""/>
                  <o:lock v:ext="edit" aspectratio="t"/>
                  <w10:wrap type="none"/>
                  <w10:anchorlock/>
                </v:shape>
                <o:OLEObject Type="Embed" ProgID="Visio.Drawing.11" ShapeID="_x0000_i1027" DrawAspect="Content" ObjectID="_1468075727" r:id="rId15">
                  <o:LockedField>false</o:LockedField>
                </o:OLEObject>
              </w:object>
            </w:r>
          </w:p>
          <w:p w14:paraId="04EE4EF6">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图</w:t>
            </w:r>
            <w:r>
              <w:rPr>
                <w:rFonts w:hint="eastAsia" w:cs="Times New Roman"/>
                <w:b/>
                <w:color w:val="auto"/>
                <w:szCs w:val="21"/>
                <w:lang w:val="en-US" w:eastAsia="zh-CN"/>
              </w:rPr>
              <w:t>2-</w:t>
            </w:r>
            <w:r>
              <w:rPr>
                <w:rFonts w:hint="default" w:ascii="Times New Roman" w:hAnsi="Times New Roman" w:cs="Times New Roman"/>
                <w:b/>
                <w:color w:val="auto"/>
                <w:szCs w:val="21"/>
              </w:rPr>
              <w:t>3 运营期检测</w:t>
            </w:r>
            <w:r>
              <w:rPr>
                <w:rFonts w:hint="eastAsia" w:cs="Times New Roman"/>
                <w:b/>
                <w:color w:val="auto"/>
                <w:szCs w:val="21"/>
                <w:lang w:val="en-US" w:eastAsia="zh-CN"/>
              </w:rPr>
              <w:t>工艺</w:t>
            </w:r>
            <w:r>
              <w:rPr>
                <w:rFonts w:hint="default" w:ascii="Times New Roman" w:hAnsi="Times New Roman" w:cs="Times New Roman"/>
                <w:b/>
                <w:color w:val="auto"/>
                <w:szCs w:val="21"/>
              </w:rPr>
              <w:t>流程及产污环节图</w:t>
            </w:r>
          </w:p>
          <w:p w14:paraId="4557DB74">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w:t>
            </w:r>
            <w:r>
              <w:rPr>
                <w:rFonts w:hint="eastAsia" w:cs="Times New Roman"/>
                <w:color w:val="auto"/>
                <w:sz w:val="24"/>
                <w:lang w:val="en-US" w:eastAsia="zh-CN"/>
              </w:rPr>
              <w:t>拟定方案</w:t>
            </w:r>
            <w:r>
              <w:rPr>
                <w:rFonts w:hint="default" w:ascii="Times New Roman" w:hAnsi="Times New Roman" w:cs="Times New Roman"/>
                <w:color w:val="auto"/>
                <w:sz w:val="24"/>
              </w:rPr>
              <w:t>：接受监测委托后，按照委托要求，</w:t>
            </w:r>
            <w:r>
              <w:rPr>
                <w:rFonts w:hint="eastAsia" w:cs="Times New Roman"/>
                <w:color w:val="auto"/>
                <w:sz w:val="24"/>
                <w:lang w:val="en-US" w:eastAsia="zh-CN"/>
              </w:rPr>
              <w:t>拟定现场检测方案，安排</w:t>
            </w:r>
            <w:r>
              <w:rPr>
                <w:rFonts w:hint="default" w:ascii="Times New Roman" w:hAnsi="Times New Roman" w:cs="Times New Roman"/>
                <w:color w:val="auto"/>
                <w:sz w:val="24"/>
              </w:rPr>
              <w:t>技术人员</w:t>
            </w:r>
            <w:r>
              <w:rPr>
                <w:rFonts w:hint="eastAsia" w:cs="Times New Roman"/>
                <w:color w:val="auto"/>
                <w:sz w:val="24"/>
                <w:lang w:val="en-US" w:eastAsia="zh-CN"/>
              </w:rPr>
              <w:t>检测</w:t>
            </w:r>
            <w:r>
              <w:rPr>
                <w:rFonts w:hint="default" w:ascii="Times New Roman" w:hAnsi="Times New Roman" w:cs="Times New Roman"/>
                <w:color w:val="auto"/>
                <w:sz w:val="24"/>
              </w:rPr>
              <w:t>，或者由委托方送样监测。</w:t>
            </w:r>
          </w:p>
          <w:p w14:paraId="568AD1CC">
            <w:pPr>
              <w:adjustRightInd w:val="0"/>
              <w:snapToGrid w:val="0"/>
              <w:spacing w:line="360" w:lineRule="auto"/>
              <w:ind w:firstLine="480" w:firstLineChars="200"/>
              <w:rPr>
                <w:rFonts w:hint="default" w:ascii="Times New Roman" w:hAnsi="Times New Roman" w:cs="Times New Roman"/>
                <w:color w:val="auto"/>
                <w:sz w:val="24"/>
                <w:lang w:val="en-US"/>
              </w:rPr>
            </w:pPr>
            <w:r>
              <w:rPr>
                <w:rFonts w:hint="default" w:ascii="Times New Roman" w:hAnsi="Times New Roman" w:cs="Times New Roman"/>
                <w:color w:val="auto"/>
                <w:sz w:val="24"/>
              </w:rPr>
              <w:t>（2）</w:t>
            </w:r>
            <w:r>
              <w:rPr>
                <w:rFonts w:hint="eastAsia" w:cs="Times New Roman"/>
                <w:color w:val="auto"/>
                <w:sz w:val="24"/>
                <w:lang w:val="en-US" w:eastAsia="zh-CN"/>
              </w:rPr>
              <w:t>现场采样及检测</w:t>
            </w:r>
            <w:r>
              <w:rPr>
                <w:rFonts w:hint="default" w:ascii="Times New Roman" w:hAnsi="Times New Roman" w:cs="Times New Roman"/>
                <w:color w:val="auto"/>
                <w:sz w:val="24"/>
              </w:rPr>
              <w:t>：根据检测需求，准备好相应的样品、试剂和仪器</w:t>
            </w:r>
            <w:r>
              <w:rPr>
                <w:rFonts w:hint="eastAsia" w:cs="Times New Roman"/>
                <w:color w:val="auto"/>
                <w:sz w:val="24"/>
                <w:lang w:val="en-US" w:eastAsia="zh-CN"/>
              </w:rPr>
              <w:t>进行现场采样及检测。该过程会产生少量废样品。</w:t>
            </w:r>
          </w:p>
          <w:p w14:paraId="269F6517">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（3）样品</w:t>
            </w:r>
            <w:r>
              <w:rPr>
                <w:rFonts w:hint="eastAsia" w:cs="Times New Roman"/>
                <w:color w:val="auto"/>
                <w:sz w:val="24"/>
                <w:lang w:val="en-US" w:eastAsia="zh-CN"/>
              </w:rPr>
              <w:t>前</w:t>
            </w:r>
            <w:r>
              <w:rPr>
                <w:rFonts w:hint="default" w:ascii="Times New Roman" w:hAnsi="Times New Roman" w:cs="Times New Roman"/>
                <w:color w:val="auto"/>
                <w:sz w:val="24"/>
              </w:rPr>
              <w:t>处理：样品接收后，按照检验要求决定是否进行预处理；预处理方式一般包括过滤、烘干和消解等，根据实际要求进行。部分进行实验的仪器需用纯水进行清洗。该检测过程中会产生废气、废水、设备噪声</w:t>
            </w:r>
            <w:r>
              <w:rPr>
                <w:rFonts w:hint="eastAsia" w:cs="Times New Roman"/>
                <w:color w:val="auto"/>
                <w:sz w:val="24"/>
                <w:lang w:val="en-US" w:eastAsia="zh-CN"/>
              </w:rPr>
              <w:t>和固体废物</w:t>
            </w:r>
            <w:r>
              <w:rPr>
                <w:rFonts w:hint="default" w:ascii="Times New Roman" w:hAnsi="Times New Roman" w:cs="Times New Roman"/>
                <w:color w:val="auto"/>
                <w:sz w:val="24"/>
              </w:rPr>
              <w:t>。</w:t>
            </w:r>
          </w:p>
          <w:p w14:paraId="4BF5DEFF">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w:t>
            </w:r>
            <w:r>
              <w:rPr>
                <w:rFonts w:hint="eastAsia" w:cs="Times New Roman"/>
                <w:color w:val="auto"/>
                <w:sz w:val="24"/>
                <w:lang w:val="en-US" w:eastAsia="zh-CN"/>
              </w:rPr>
              <w:t>检测</w:t>
            </w:r>
            <w:r>
              <w:rPr>
                <w:rFonts w:hint="default" w:ascii="Times New Roman" w:hAnsi="Times New Roman" w:cs="Times New Roman"/>
                <w:color w:val="auto"/>
                <w:sz w:val="24"/>
              </w:rPr>
              <w:t>分析：针对不同检测指标，对</w:t>
            </w:r>
            <w:r>
              <w:rPr>
                <w:rFonts w:hint="eastAsia" w:cs="Times New Roman"/>
                <w:color w:val="auto"/>
                <w:sz w:val="24"/>
                <w:lang w:val="en-US" w:eastAsia="zh-CN"/>
              </w:rPr>
              <w:t>经过</w:t>
            </w:r>
            <w:r>
              <w:rPr>
                <w:rFonts w:hint="default" w:ascii="Times New Roman" w:hAnsi="Times New Roman" w:cs="Times New Roman"/>
                <w:color w:val="auto"/>
                <w:sz w:val="24"/>
              </w:rPr>
              <w:t>前处理</w:t>
            </w:r>
            <w:r>
              <w:rPr>
                <w:rFonts w:hint="eastAsia" w:cs="Times New Roman"/>
                <w:color w:val="auto"/>
                <w:sz w:val="24"/>
                <w:lang w:val="en-US" w:eastAsia="zh-CN"/>
              </w:rPr>
              <w:t>的</w:t>
            </w:r>
            <w:r>
              <w:rPr>
                <w:rFonts w:hint="default" w:ascii="Times New Roman" w:hAnsi="Times New Roman" w:cs="Times New Roman"/>
                <w:color w:val="auto"/>
                <w:sz w:val="24"/>
              </w:rPr>
              <w:t>样品，使用不同的分析仪器进行检测。该检测过程中会产生废气、废水、设备噪声</w:t>
            </w:r>
            <w:r>
              <w:rPr>
                <w:rFonts w:hint="default" w:ascii="Times New Roman" w:hAnsi="Times New Roman" w:cs="Times New Roman"/>
                <w:color w:val="auto"/>
                <w:sz w:val="24"/>
                <w:lang w:val="en-US" w:eastAsia="zh-CN"/>
              </w:rPr>
              <w:t>和固体废物</w:t>
            </w:r>
            <w:r>
              <w:rPr>
                <w:rFonts w:hint="default" w:ascii="Times New Roman" w:hAnsi="Times New Roman" w:cs="Times New Roman"/>
                <w:color w:val="auto"/>
                <w:sz w:val="24"/>
              </w:rPr>
              <w:t>。</w:t>
            </w:r>
          </w:p>
          <w:p w14:paraId="14743996">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气样检测：对于气态样本，利用气袋、滤膜、滤筒及吸附剂采集，运回实验室后，利用溶剂解析、热解析和消解等前处理，最后利用相应仪器测定相应指标。</w:t>
            </w:r>
          </w:p>
          <w:p w14:paraId="767FA2F5">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水样检测：对水样等液态样本，先测定其物理指标，再根据不同检测要求，将样品进行消解或萃取等前处理，最后利用仪器测定相应指标。</w:t>
            </w:r>
          </w:p>
          <w:p w14:paraId="664CB0AE">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微生物检测：进行检测的微生物样本，均根据样本情况进行稀释，然后根据不同测定项目用不同培养基进行培养，最后进行菌落计数。</w:t>
            </w:r>
          </w:p>
          <w:p w14:paraId="2E41BBF4">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噪声检测：对于工业噪声、厂界噪声、城市环境噪声、交通噪声、建筑施工噪声、社会生活噪声等，利用多功能声级计、多功能噪声分析仪、声校准器等仪器进行测定。</w:t>
            </w:r>
          </w:p>
          <w:p w14:paraId="0BA4559E">
            <w:pPr>
              <w:adjustRightInd w:val="0"/>
              <w:snapToGri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户外广告设施检测：进行物理检测，主要检测构件垂直度、构件变形、钢材截面厚度、焊接外观质量、构件锈蚀情况等。</w:t>
            </w:r>
          </w:p>
          <w:p w14:paraId="2D3A4386">
            <w:pPr>
              <w:adjustRightInd w:val="0"/>
              <w:snapToGrid w:val="0"/>
              <w:spacing w:line="360" w:lineRule="auto"/>
              <w:ind w:firstLine="480" w:firstLineChars="200"/>
              <w:rPr>
                <w:rFonts w:hint="default"/>
                <w:color w:val="auto"/>
                <w:lang w:val="en-US" w:eastAsia="zh-CN"/>
              </w:rPr>
            </w:pPr>
            <w:r>
              <w:rPr>
                <w:rFonts w:hint="eastAsia" w:cs="Times New Roman"/>
                <w:color w:val="auto"/>
                <w:sz w:val="24"/>
                <w:lang w:val="en-US" w:eastAsia="zh-CN"/>
              </w:rPr>
              <w:t>发光二极管（LED）显示屏检测：进行物理检测，主要检测外观质量、拼装精度、像素失控率、抗电强度、对地漏电流等。</w:t>
            </w:r>
          </w:p>
          <w:p w14:paraId="3278CCF5">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（5）数据</w:t>
            </w:r>
            <w:r>
              <w:rPr>
                <w:rFonts w:hint="eastAsia" w:cs="Times New Roman"/>
                <w:color w:val="auto"/>
                <w:sz w:val="24"/>
                <w:lang w:val="en-US" w:eastAsia="zh-CN"/>
              </w:rPr>
              <w:t>处理</w:t>
            </w:r>
            <w:r>
              <w:rPr>
                <w:rFonts w:hint="default" w:ascii="Times New Roman" w:hAnsi="Times New Roman" w:cs="Times New Roman"/>
                <w:color w:val="auto"/>
                <w:sz w:val="24"/>
              </w:rPr>
              <w:t>：获取分析实验得到的原始数据</w:t>
            </w:r>
            <w:r>
              <w:rPr>
                <w:rFonts w:hint="eastAsia" w:cs="Times New Roman"/>
                <w:color w:val="auto"/>
                <w:sz w:val="24"/>
                <w:lang w:val="en-US" w:eastAsia="zh-CN"/>
              </w:rPr>
              <w:t>进行分析</w:t>
            </w:r>
            <w:r>
              <w:rPr>
                <w:rFonts w:hint="default" w:ascii="Times New Roman" w:hAnsi="Times New Roman" w:cs="Times New Roman"/>
                <w:color w:val="auto"/>
                <w:sz w:val="24"/>
              </w:rPr>
              <w:t>。</w:t>
            </w:r>
          </w:p>
          <w:p w14:paraId="56DDFBDC">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w:t>
            </w:r>
            <w:r>
              <w:rPr>
                <w:rFonts w:hint="eastAsia" w:cs="Times New Roman"/>
                <w:color w:val="auto"/>
                <w:sz w:val="24"/>
                <w:lang w:val="en-US" w:eastAsia="zh-CN"/>
              </w:rPr>
              <w:t>6</w:t>
            </w:r>
            <w:r>
              <w:rPr>
                <w:rFonts w:hint="default" w:ascii="Times New Roman" w:hAnsi="Times New Roman" w:cs="Times New Roman"/>
                <w:color w:val="auto"/>
                <w:sz w:val="24"/>
              </w:rPr>
              <w:t>）</w:t>
            </w:r>
            <w:r>
              <w:rPr>
                <w:rFonts w:hint="eastAsia" w:cs="Times New Roman"/>
                <w:color w:val="auto"/>
                <w:sz w:val="24"/>
                <w:lang w:val="en-US" w:eastAsia="zh-CN"/>
              </w:rPr>
              <w:t>出具检测报告：</w:t>
            </w:r>
            <w:r>
              <w:rPr>
                <w:rFonts w:hint="default" w:ascii="Times New Roman" w:hAnsi="Times New Roman" w:cs="Times New Roman"/>
                <w:color w:val="auto"/>
                <w:sz w:val="24"/>
              </w:rPr>
              <w:t>根据检测结果进行数据分析、处理，将实验结果编制</w:t>
            </w:r>
            <w:r>
              <w:rPr>
                <w:rFonts w:hint="eastAsia" w:cs="Times New Roman"/>
                <w:color w:val="auto"/>
                <w:sz w:val="24"/>
                <w:lang w:eastAsia="zh-CN"/>
              </w:rPr>
              <w:t>成</w:t>
            </w:r>
            <w:r>
              <w:rPr>
                <w:rFonts w:hint="default" w:ascii="Times New Roman" w:hAnsi="Times New Roman" w:cs="Times New Roman"/>
                <w:color w:val="auto"/>
                <w:sz w:val="24"/>
              </w:rPr>
              <w:t>检测报告，技术负责人对报告中的数据进行审核，出具检测报告给客户。</w:t>
            </w:r>
          </w:p>
          <w:p w14:paraId="4D5C2628">
            <w:pPr>
              <w:adjustRightInd w:val="0"/>
              <w:snapToGrid w:val="0"/>
              <w:spacing w:line="360" w:lineRule="auto"/>
              <w:ind w:firstLine="482" w:firstLineChars="200"/>
              <w:rPr>
                <w:rFonts w:hint="default" w:ascii="Times New Roman" w:hAnsi="Times New Roman" w:cs="Times New Roman"/>
                <w:b/>
                <w:bCs/>
                <w:color w:val="auto"/>
                <w:sz w:val="24"/>
                <w:lang w:val="en-US" w:eastAsia="zh-CN"/>
              </w:rPr>
            </w:pPr>
            <w:r>
              <w:rPr>
                <w:rFonts w:hint="eastAsia" w:ascii="Times New Roman" w:hAnsi="Times New Roman" w:cs="Times New Roman"/>
                <w:b/>
                <w:bCs/>
                <w:color w:val="auto"/>
                <w:sz w:val="24"/>
                <w:lang w:val="en-US" w:eastAsia="zh-CN"/>
              </w:rPr>
              <w:t>2、产污环节</w:t>
            </w:r>
          </w:p>
          <w:p w14:paraId="6330B248">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w:t>
            </w:r>
            <w:r>
              <w:rPr>
                <w:rFonts w:hint="eastAsia" w:cs="Times New Roman"/>
                <w:color w:val="auto"/>
                <w:sz w:val="24"/>
                <w:lang w:val="en-US" w:eastAsia="zh-CN"/>
              </w:rPr>
              <w:t>项目工艺流程</w:t>
            </w:r>
            <w:r>
              <w:rPr>
                <w:rFonts w:hint="default" w:ascii="Times New Roman" w:hAnsi="Times New Roman" w:cs="Times New Roman"/>
                <w:color w:val="auto"/>
                <w:sz w:val="24"/>
              </w:rPr>
              <w:t>及产污环节分析，本项目运营过程中产生的污染物包括废气、废水、噪声和固废，其具体类型及产生来源情况见下表2</w:t>
            </w:r>
            <w:r>
              <w:rPr>
                <w:rFonts w:hint="eastAsia" w:cs="Times New Roman"/>
                <w:color w:val="auto"/>
                <w:sz w:val="24"/>
                <w:lang w:val="en-US" w:eastAsia="zh-CN"/>
              </w:rPr>
              <w:t>-7</w:t>
            </w:r>
            <w:r>
              <w:rPr>
                <w:rFonts w:hint="default" w:ascii="Times New Roman" w:hAnsi="Times New Roman" w:cs="Times New Roman"/>
                <w:color w:val="auto"/>
                <w:sz w:val="24"/>
              </w:rPr>
              <w:t>。</w:t>
            </w:r>
          </w:p>
          <w:p w14:paraId="5E34679F">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表2-</w:t>
            </w:r>
            <w:r>
              <w:rPr>
                <w:rFonts w:hint="eastAsia" w:cs="Times New Roman"/>
                <w:b/>
                <w:bCs/>
                <w:color w:val="auto"/>
                <w:szCs w:val="21"/>
                <w:lang w:val="en-US" w:eastAsia="zh-CN"/>
              </w:rPr>
              <w:t>7</w:t>
            </w:r>
            <w:r>
              <w:rPr>
                <w:rFonts w:hint="default" w:ascii="Times New Roman" w:hAnsi="Times New Roman" w:cs="Times New Roman"/>
                <w:b/>
                <w:bCs/>
                <w:color w:val="auto"/>
                <w:szCs w:val="21"/>
              </w:rPr>
              <w:t xml:space="preserve"> 主要污染源及排污点一览表</w:t>
            </w:r>
          </w:p>
          <w:tbl>
            <w:tblPr>
              <w:tblStyle w:val="30"/>
              <w:tblW w:w="5000" w:type="pct"/>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79"/>
              <w:gridCol w:w="2575"/>
              <w:gridCol w:w="2874"/>
              <w:gridCol w:w="3013"/>
            </w:tblGrid>
            <w:tr w14:paraId="77FED01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1B781515">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424" w:type="pct"/>
                  <w:tcBorders>
                    <w:tl2br w:val="nil"/>
                    <w:tr2bl w:val="nil"/>
                  </w:tcBorders>
                  <w:vAlign w:val="center"/>
                </w:tcPr>
                <w:p w14:paraId="68CD83B1">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产污环节</w:t>
                  </w:r>
                </w:p>
              </w:tc>
              <w:tc>
                <w:tcPr>
                  <w:tcW w:w="1589" w:type="pct"/>
                  <w:tcBorders>
                    <w:tl2br w:val="nil"/>
                    <w:tr2bl w:val="nil"/>
                  </w:tcBorders>
                  <w:vAlign w:val="center"/>
                </w:tcPr>
                <w:p w14:paraId="2F421EEE">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污染物名称</w:t>
                  </w:r>
                </w:p>
              </w:tc>
              <w:tc>
                <w:tcPr>
                  <w:tcW w:w="1666" w:type="pct"/>
                  <w:tcBorders>
                    <w:tl2br w:val="nil"/>
                    <w:tr2bl w:val="nil"/>
                  </w:tcBorders>
                  <w:vAlign w:val="center"/>
                </w:tcPr>
                <w:p w14:paraId="16A94D15">
                  <w:pPr>
                    <w:pStyle w:val="28"/>
                    <w:adjustRightInd w:val="0"/>
                    <w:snapToGrid w:val="0"/>
                    <w:spacing w:after="0"/>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污染因子</w:t>
                  </w:r>
                </w:p>
              </w:tc>
            </w:tr>
            <w:tr w14:paraId="25E3101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restart"/>
                  <w:tcBorders>
                    <w:tl2br w:val="nil"/>
                    <w:tr2bl w:val="nil"/>
                  </w:tcBorders>
                  <w:vAlign w:val="center"/>
                </w:tcPr>
                <w:p w14:paraId="05818AFA">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1424" w:type="pct"/>
                  <w:vMerge w:val="restart"/>
                  <w:tcBorders>
                    <w:tl2br w:val="nil"/>
                    <w:tr2bl w:val="nil"/>
                  </w:tcBorders>
                  <w:vAlign w:val="center"/>
                </w:tcPr>
                <w:p w14:paraId="55BD4819">
                  <w:pPr>
                    <w:widowControl/>
                    <w:adjustRightInd w:val="0"/>
                    <w:snapToGrid w:val="0"/>
                    <w:jc w:val="center"/>
                    <w:rPr>
                      <w:rFonts w:hint="default" w:ascii="Times New Roman" w:hAnsi="Times New Roman" w:cs="Times New Roman"/>
                      <w:color w:val="auto"/>
                      <w:sz w:val="21"/>
                      <w:szCs w:val="21"/>
                    </w:rPr>
                  </w:pPr>
                  <w:r>
                    <w:rPr>
                      <w:rFonts w:hint="eastAsia" w:cs="Times New Roman"/>
                      <w:color w:val="auto"/>
                      <w:sz w:val="21"/>
                      <w:szCs w:val="21"/>
                      <w:lang w:eastAsia="zh-CN"/>
                    </w:rPr>
                    <w:t>配制溶液</w:t>
                  </w:r>
                  <w:r>
                    <w:rPr>
                      <w:rFonts w:hint="default" w:ascii="Times New Roman" w:hAnsi="Times New Roman" w:cs="Times New Roman"/>
                      <w:color w:val="auto"/>
                      <w:sz w:val="21"/>
                      <w:szCs w:val="21"/>
                    </w:rPr>
                    <w:t>、样品前处理、检测分析</w:t>
                  </w:r>
                </w:p>
              </w:tc>
              <w:tc>
                <w:tcPr>
                  <w:tcW w:w="1589" w:type="pct"/>
                  <w:vMerge w:val="restart"/>
                  <w:tcBorders>
                    <w:tl2br w:val="nil"/>
                    <w:tr2bl w:val="nil"/>
                  </w:tcBorders>
                  <w:vAlign w:val="center"/>
                </w:tcPr>
                <w:p w14:paraId="5983D886">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酸碱废气</w:t>
                  </w:r>
                </w:p>
              </w:tc>
              <w:tc>
                <w:tcPr>
                  <w:tcW w:w="1666" w:type="pct"/>
                  <w:tcBorders>
                    <w:tl2br w:val="nil"/>
                    <w:tr2bl w:val="nil"/>
                  </w:tcBorders>
                  <w:vAlign w:val="center"/>
                </w:tcPr>
                <w:p w14:paraId="206D8DBB">
                  <w:pPr>
                    <w:adjustRightInd w:val="0"/>
                    <w:snapToGrid w:val="0"/>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硫酸雾、氯化氢、</w:t>
                  </w:r>
                  <w:r>
                    <w:rPr>
                      <w:rFonts w:hint="eastAsia" w:cs="Times New Roman"/>
                      <w:color w:val="auto"/>
                      <w:sz w:val="21"/>
                      <w:szCs w:val="21"/>
                      <w:lang w:val="en-US" w:eastAsia="zh-CN"/>
                    </w:rPr>
                    <w:t>氮氧化物</w:t>
                  </w:r>
                </w:p>
              </w:tc>
            </w:tr>
            <w:tr w14:paraId="449841D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12ECC49B">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vMerge w:val="continue"/>
                  <w:tcBorders>
                    <w:tl2br w:val="nil"/>
                    <w:tr2bl w:val="nil"/>
                  </w:tcBorders>
                  <w:vAlign w:val="center"/>
                </w:tcPr>
                <w:p w14:paraId="203F3305">
                  <w:pPr>
                    <w:widowControl/>
                    <w:adjustRightInd w:val="0"/>
                    <w:snapToGrid w:val="0"/>
                    <w:jc w:val="center"/>
                    <w:rPr>
                      <w:rFonts w:hint="default" w:ascii="Times New Roman" w:hAnsi="Times New Roman" w:cs="Times New Roman"/>
                      <w:color w:val="auto"/>
                      <w:sz w:val="21"/>
                      <w:szCs w:val="21"/>
                    </w:rPr>
                  </w:pPr>
                </w:p>
              </w:tc>
              <w:tc>
                <w:tcPr>
                  <w:tcW w:w="1589" w:type="pct"/>
                  <w:vMerge w:val="continue"/>
                  <w:tcBorders>
                    <w:tl2br w:val="nil"/>
                    <w:tr2bl w:val="nil"/>
                  </w:tcBorders>
                  <w:vAlign w:val="center"/>
                </w:tcPr>
                <w:p w14:paraId="33950FF3">
                  <w:pPr>
                    <w:widowControl/>
                    <w:adjustRightInd w:val="0"/>
                    <w:snapToGrid w:val="0"/>
                    <w:jc w:val="center"/>
                    <w:rPr>
                      <w:rFonts w:hint="default" w:ascii="Times New Roman" w:hAnsi="Times New Roman" w:cs="Times New Roman"/>
                      <w:color w:val="auto"/>
                      <w:sz w:val="21"/>
                      <w:szCs w:val="21"/>
                    </w:rPr>
                  </w:pPr>
                </w:p>
              </w:tc>
              <w:tc>
                <w:tcPr>
                  <w:tcW w:w="1666" w:type="pct"/>
                  <w:tcBorders>
                    <w:tl2br w:val="nil"/>
                    <w:tr2bl w:val="nil"/>
                  </w:tcBorders>
                  <w:vAlign w:val="center"/>
                </w:tcPr>
                <w:p w14:paraId="0508FB2B">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氨（氨气）</w:t>
                  </w:r>
                </w:p>
              </w:tc>
            </w:tr>
            <w:tr w14:paraId="703D68F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2021B450">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vMerge w:val="continue"/>
                  <w:tcBorders>
                    <w:tl2br w:val="nil"/>
                    <w:tr2bl w:val="nil"/>
                  </w:tcBorders>
                  <w:vAlign w:val="center"/>
                </w:tcPr>
                <w:p w14:paraId="480F1C2E">
                  <w:pPr>
                    <w:widowControl/>
                    <w:adjustRightInd w:val="0"/>
                    <w:snapToGrid w:val="0"/>
                    <w:jc w:val="center"/>
                    <w:rPr>
                      <w:rFonts w:hint="default" w:ascii="Times New Roman" w:hAnsi="Times New Roman" w:cs="Times New Roman"/>
                      <w:color w:val="auto"/>
                      <w:sz w:val="21"/>
                      <w:szCs w:val="21"/>
                    </w:rPr>
                  </w:pPr>
                </w:p>
              </w:tc>
              <w:tc>
                <w:tcPr>
                  <w:tcW w:w="1589" w:type="pct"/>
                  <w:tcBorders>
                    <w:tl2br w:val="nil"/>
                    <w:tr2bl w:val="nil"/>
                  </w:tcBorders>
                  <w:vAlign w:val="center"/>
                </w:tcPr>
                <w:p w14:paraId="06B8F69E">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有机废气</w:t>
                  </w:r>
                </w:p>
              </w:tc>
              <w:tc>
                <w:tcPr>
                  <w:tcW w:w="1666" w:type="pct"/>
                  <w:tcBorders>
                    <w:tl2br w:val="nil"/>
                    <w:tr2bl w:val="nil"/>
                  </w:tcBorders>
                  <w:vAlign w:val="center"/>
                </w:tcPr>
                <w:p w14:paraId="3CAA66FA">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r>
            <w:tr w14:paraId="0662361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7EF204AE">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vMerge w:val="continue"/>
                  <w:tcBorders>
                    <w:tl2br w:val="nil"/>
                    <w:tr2bl w:val="nil"/>
                  </w:tcBorders>
                  <w:vAlign w:val="center"/>
                </w:tcPr>
                <w:p w14:paraId="25AA85C4">
                  <w:pPr>
                    <w:widowControl/>
                    <w:adjustRightInd w:val="0"/>
                    <w:snapToGrid w:val="0"/>
                    <w:jc w:val="center"/>
                    <w:rPr>
                      <w:rFonts w:hint="default" w:ascii="Times New Roman" w:hAnsi="Times New Roman" w:cs="Times New Roman"/>
                      <w:color w:val="auto"/>
                      <w:sz w:val="21"/>
                      <w:szCs w:val="21"/>
                    </w:rPr>
                  </w:pPr>
                </w:p>
              </w:tc>
              <w:tc>
                <w:tcPr>
                  <w:tcW w:w="1589" w:type="pct"/>
                  <w:tcBorders>
                    <w:tl2br w:val="nil"/>
                    <w:tr2bl w:val="nil"/>
                  </w:tcBorders>
                  <w:vAlign w:val="center"/>
                </w:tcPr>
                <w:p w14:paraId="19DA821A">
                  <w:pPr>
                    <w:widowControl/>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含菌废气</w:t>
                  </w:r>
                </w:p>
              </w:tc>
              <w:tc>
                <w:tcPr>
                  <w:tcW w:w="1666" w:type="pct"/>
                  <w:tcBorders>
                    <w:tl2br w:val="nil"/>
                    <w:tr2bl w:val="nil"/>
                  </w:tcBorders>
                  <w:vAlign w:val="center"/>
                </w:tcPr>
                <w:p w14:paraId="6EBDE760">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细菌</w:t>
                  </w:r>
                </w:p>
              </w:tc>
            </w:tr>
            <w:tr w14:paraId="25D1EF0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restart"/>
                  <w:tcBorders>
                    <w:tl2br w:val="nil"/>
                    <w:tr2bl w:val="nil"/>
                  </w:tcBorders>
                  <w:vAlign w:val="center"/>
                </w:tcPr>
                <w:p w14:paraId="00C25067">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1424" w:type="pct"/>
                  <w:tcBorders>
                    <w:tl2br w:val="nil"/>
                    <w:tr2bl w:val="nil"/>
                  </w:tcBorders>
                  <w:vAlign w:val="center"/>
                </w:tcPr>
                <w:p w14:paraId="39932170">
                  <w:pPr>
                    <w:pStyle w:val="28"/>
                    <w:adjustRightInd w:val="0"/>
                    <w:snapToGrid w:val="0"/>
                    <w:spacing w:after="0"/>
                    <w:ind w:left="0" w:leftChars="0" w:firstLine="0" w:firstLineChars="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职工生活</w:t>
                  </w:r>
                </w:p>
              </w:tc>
              <w:tc>
                <w:tcPr>
                  <w:tcW w:w="1589" w:type="pct"/>
                  <w:tcBorders>
                    <w:tl2br w:val="nil"/>
                    <w:tr2bl w:val="nil"/>
                  </w:tcBorders>
                  <w:vAlign w:val="center"/>
                </w:tcPr>
                <w:p w14:paraId="5C768AFF">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生活污水</w:t>
                  </w:r>
                </w:p>
              </w:tc>
              <w:tc>
                <w:tcPr>
                  <w:tcW w:w="1666" w:type="pct"/>
                  <w:tcBorders>
                    <w:tl2br w:val="nil"/>
                    <w:tr2bl w:val="nil"/>
                  </w:tcBorders>
                  <w:vAlign w:val="center"/>
                </w:tcPr>
                <w:p w14:paraId="4ABF3E9D">
                  <w:pPr>
                    <w:pStyle w:val="28"/>
                    <w:adjustRightInd w:val="0"/>
                    <w:snapToGrid w:val="0"/>
                    <w:spacing w:after="0"/>
                    <w:ind w:left="0" w:leftChars="0" w:firstLine="0" w:firstLineChars="0"/>
                    <w:jc w:val="center"/>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COD、BOD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-N等</w:t>
                  </w:r>
                </w:p>
              </w:tc>
            </w:tr>
            <w:tr w14:paraId="2978277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01CC42F4">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143148D6">
                  <w:pPr>
                    <w:pStyle w:val="28"/>
                    <w:adjustRightInd w:val="0"/>
                    <w:snapToGrid w:val="0"/>
                    <w:spacing w:after="0"/>
                    <w:ind w:left="0" w:leftChars="0" w:firstLine="0" w:firstLineChars="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纯水制备</w:t>
                  </w:r>
                </w:p>
              </w:tc>
              <w:tc>
                <w:tcPr>
                  <w:tcW w:w="1589" w:type="pct"/>
                  <w:tcBorders>
                    <w:tl2br w:val="nil"/>
                    <w:tr2bl w:val="nil"/>
                  </w:tcBorders>
                  <w:vAlign w:val="center"/>
                </w:tcPr>
                <w:p w14:paraId="0CC6A830">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纯水制备废水</w:t>
                  </w:r>
                </w:p>
                <w:p w14:paraId="41C3E414">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（浓水）</w:t>
                  </w:r>
                </w:p>
              </w:tc>
              <w:tc>
                <w:tcPr>
                  <w:tcW w:w="1666" w:type="pct"/>
                  <w:tcBorders>
                    <w:tl2br w:val="nil"/>
                    <w:tr2bl w:val="nil"/>
                  </w:tcBorders>
                  <w:vAlign w:val="center"/>
                </w:tcPr>
                <w:p w14:paraId="1311B5CD">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COD、SS、</w:t>
                  </w:r>
                  <w:r>
                    <w:rPr>
                      <w:rFonts w:hint="default" w:ascii="Times New Roman" w:hAnsi="Times New Roman" w:cs="Times New Roman"/>
                      <w:color w:val="auto"/>
                      <w:sz w:val="21"/>
                      <w:szCs w:val="21"/>
                    </w:rPr>
                    <w:t>无机盐</w:t>
                  </w:r>
                </w:p>
              </w:tc>
            </w:tr>
            <w:tr w14:paraId="1F5E7DC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018F6165">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74980CA5">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仪器、器皿的清洗</w:t>
                  </w:r>
                </w:p>
              </w:tc>
              <w:tc>
                <w:tcPr>
                  <w:tcW w:w="1589" w:type="pct"/>
                  <w:tcBorders>
                    <w:tl2br w:val="nil"/>
                    <w:tr2bl w:val="nil"/>
                  </w:tcBorders>
                  <w:vAlign w:val="center"/>
                </w:tcPr>
                <w:p w14:paraId="082A158D">
                  <w:pPr>
                    <w:pStyle w:val="5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实验器材清洗废水</w:t>
                  </w:r>
                </w:p>
              </w:tc>
              <w:tc>
                <w:tcPr>
                  <w:tcW w:w="1666" w:type="pct"/>
                  <w:tcBorders>
                    <w:tl2br w:val="nil"/>
                    <w:tr2bl w:val="nil"/>
                  </w:tcBorders>
                  <w:vAlign w:val="center"/>
                </w:tcPr>
                <w:p w14:paraId="518967C3">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、SS等</w:t>
                  </w:r>
                </w:p>
              </w:tc>
            </w:tr>
            <w:tr w14:paraId="6DB54B5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385A85B7">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0FA10AF4">
                  <w:pPr>
                    <w:pStyle w:val="28"/>
                    <w:adjustRightInd w:val="0"/>
                    <w:snapToGrid w:val="0"/>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实验室的清洗</w:t>
                  </w:r>
                </w:p>
              </w:tc>
              <w:tc>
                <w:tcPr>
                  <w:tcW w:w="1589" w:type="pct"/>
                  <w:tcBorders>
                    <w:tl2br w:val="nil"/>
                    <w:tr2bl w:val="nil"/>
                  </w:tcBorders>
                  <w:vAlign w:val="center"/>
                </w:tcPr>
                <w:p w14:paraId="2A88ED1B">
                  <w:pPr>
                    <w:pStyle w:val="58"/>
                    <w:spacing w:before="0" w:after="0" w:line="240" w:lineRule="auto"/>
                    <w:ind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实验室清洗废水</w:t>
                  </w:r>
                </w:p>
              </w:tc>
              <w:tc>
                <w:tcPr>
                  <w:tcW w:w="1666" w:type="pct"/>
                  <w:tcBorders>
                    <w:tl2br w:val="nil"/>
                    <w:tr2bl w:val="nil"/>
                  </w:tcBorders>
                  <w:vAlign w:val="center"/>
                </w:tcPr>
                <w:p w14:paraId="753CA0AE">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、SS等</w:t>
                  </w:r>
                </w:p>
              </w:tc>
            </w:tr>
            <w:tr w14:paraId="027AC41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70A56E64">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424" w:type="pct"/>
                  <w:tcBorders>
                    <w:tl2br w:val="nil"/>
                    <w:tr2bl w:val="nil"/>
                  </w:tcBorders>
                  <w:vAlign w:val="center"/>
                </w:tcPr>
                <w:p w14:paraId="1588DB9B">
                  <w:pPr>
                    <w:pStyle w:val="28"/>
                    <w:adjustRightInd w:val="0"/>
                    <w:snapToGrid w:val="0"/>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废气处理风机</w:t>
                  </w:r>
                  <w:r>
                    <w:rPr>
                      <w:rFonts w:hint="eastAsia" w:cs="Times New Roman"/>
                      <w:color w:val="auto"/>
                      <w:sz w:val="21"/>
                      <w:szCs w:val="21"/>
                      <w:lang w:val="en-US" w:eastAsia="zh-CN"/>
                    </w:rPr>
                    <w:t>等设备</w:t>
                  </w:r>
                </w:p>
              </w:tc>
              <w:tc>
                <w:tcPr>
                  <w:tcW w:w="1589" w:type="pct"/>
                  <w:tcBorders>
                    <w:tl2br w:val="nil"/>
                    <w:tr2bl w:val="nil"/>
                  </w:tcBorders>
                  <w:vAlign w:val="center"/>
                </w:tcPr>
                <w:p w14:paraId="3E5D84BA">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设备运行噪声</w:t>
                  </w:r>
                </w:p>
              </w:tc>
              <w:tc>
                <w:tcPr>
                  <w:tcW w:w="1666" w:type="pct"/>
                  <w:tcBorders>
                    <w:tl2br w:val="nil"/>
                    <w:tr2bl w:val="nil"/>
                  </w:tcBorders>
                  <w:vAlign w:val="center"/>
                </w:tcPr>
                <w:p w14:paraId="24B9AEFC">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机械噪声</w:t>
                  </w:r>
                </w:p>
              </w:tc>
            </w:tr>
            <w:tr w14:paraId="55093709">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restart"/>
                  <w:tcBorders>
                    <w:tl2br w:val="nil"/>
                    <w:tr2bl w:val="nil"/>
                  </w:tcBorders>
                  <w:vAlign w:val="center"/>
                </w:tcPr>
                <w:p w14:paraId="643C69F3">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1424" w:type="pct"/>
                  <w:tcBorders>
                    <w:tl2br w:val="nil"/>
                    <w:tr2bl w:val="nil"/>
                  </w:tcBorders>
                  <w:vAlign w:val="center"/>
                </w:tcPr>
                <w:p w14:paraId="23002D2B">
                  <w:pPr>
                    <w:pStyle w:val="62"/>
                    <w:kinsoku w:val="0"/>
                    <w:overflowPunct w:val="0"/>
                    <w:adjustRightInd w:val="0"/>
                    <w:snapToGrid w:val="0"/>
                    <w:spacing w:line="240" w:lineRule="auto"/>
                    <w:ind w:firstLine="0"/>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人员办公</w:t>
                  </w:r>
                </w:p>
              </w:tc>
              <w:tc>
                <w:tcPr>
                  <w:tcW w:w="1589" w:type="pct"/>
                  <w:tcBorders>
                    <w:tl2br w:val="nil"/>
                    <w:tr2bl w:val="nil"/>
                  </w:tcBorders>
                  <w:vAlign w:val="center"/>
                </w:tcPr>
                <w:p w14:paraId="467164D6">
                  <w:pPr>
                    <w:pStyle w:val="62"/>
                    <w:kinsoku w:val="0"/>
                    <w:overflowPunct w:val="0"/>
                    <w:spacing w:line="240" w:lineRule="auto"/>
                    <w:ind w:firstLine="0"/>
                    <w:contextualSpacing/>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生活垃圾</w:t>
                  </w:r>
                </w:p>
              </w:tc>
              <w:tc>
                <w:tcPr>
                  <w:tcW w:w="1666" w:type="pct"/>
                  <w:tcBorders>
                    <w:tl2br w:val="nil"/>
                    <w:tr2bl w:val="nil"/>
                  </w:tcBorders>
                  <w:vAlign w:val="center"/>
                </w:tcPr>
                <w:p w14:paraId="00A43F42">
                  <w:pPr>
                    <w:pStyle w:val="62"/>
                    <w:kinsoku w:val="0"/>
                    <w:overflowPunct w:val="0"/>
                    <w:adjustRightInd w:val="0"/>
                    <w:snapToGrid w:val="0"/>
                    <w:spacing w:line="240" w:lineRule="auto"/>
                    <w:ind w:firstLine="0"/>
                    <w:contextualSpacing/>
                    <w:jc w:val="center"/>
                    <w:rPr>
                      <w:rFonts w:hint="eastAsia" w:ascii="Times New Roman" w:hAnsi="Times New Roman" w:eastAsia="宋体"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生活垃圾</w:t>
                  </w:r>
                </w:p>
              </w:tc>
            </w:tr>
            <w:tr w14:paraId="6F6367D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4BFC2BA7">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24238B7F">
                  <w:pPr>
                    <w:pStyle w:val="62"/>
                    <w:kinsoku w:val="0"/>
                    <w:overflowPunct w:val="0"/>
                    <w:adjustRightInd w:val="0"/>
                    <w:snapToGrid w:val="0"/>
                    <w:spacing w:line="240" w:lineRule="auto"/>
                    <w:ind w:firstLine="0"/>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实验过程</w:t>
                  </w:r>
                </w:p>
              </w:tc>
              <w:tc>
                <w:tcPr>
                  <w:tcW w:w="1589" w:type="pct"/>
                  <w:tcBorders>
                    <w:tl2br w:val="nil"/>
                    <w:tr2bl w:val="nil"/>
                  </w:tcBorders>
                  <w:vAlign w:val="center"/>
                </w:tcPr>
                <w:p w14:paraId="02AB5B36">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未被污染的废包装</w:t>
                  </w:r>
                </w:p>
                <w:p w14:paraId="02D6D274">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材料</w:t>
                  </w:r>
                </w:p>
              </w:tc>
              <w:tc>
                <w:tcPr>
                  <w:tcW w:w="1666" w:type="pct"/>
                  <w:vMerge w:val="restart"/>
                  <w:tcBorders>
                    <w:tl2br w:val="nil"/>
                    <w:tr2bl w:val="nil"/>
                  </w:tcBorders>
                  <w:vAlign w:val="center"/>
                </w:tcPr>
                <w:p w14:paraId="0654699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pacing w:val="-1"/>
                      <w:sz w:val="21"/>
                      <w:szCs w:val="21"/>
                    </w:rPr>
                    <w:t>一般固废</w:t>
                  </w:r>
                </w:p>
              </w:tc>
            </w:tr>
            <w:tr w14:paraId="09E1A8A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539493B1">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05F2CA9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纯水制备</w:t>
                  </w:r>
                </w:p>
              </w:tc>
              <w:tc>
                <w:tcPr>
                  <w:tcW w:w="1589" w:type="pct"/>
                  <w:tcBorders>
                    <w:tl2br w:val="nil"/>
                    <w:tr2bl w:val="nil"/>
                  </w:tcBorders>
                  <w:vAlign w:val="center"/>
                </w:tcPr>
                <w:p w14:paraId="4E52BBCD">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废滤芯</w:t>
                  </w:r>
                </w:p>
              </w:tc>
              <w:tc>
                <w:tcPr>
                  <w:tcW w:w="1666" w:type="pct"/>
                  <w:vMerge w:val="continue"/>
                  <w:tcBorders>
                    <w:tl2br w:val="nil"/>
                    <w:tr2bl w:val="nil"/>
                  </w:tcBorders>
                  <w:vAlign w:val="center"/>
                </w:tcPr>
                <w:p w14:paraId="56FB831C">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z w:val="21"/>
                      <w:szCs w:val="21"/>
                    </w:rPr>
                  </w:pPr>
                </w:p>
              </w:tc>
            </w:tr>
            <w:tr w14:paraId="7BF5ACC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310F1210">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2A34C708">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实验分析</w:t>
                  </w:r>
                </w:p>
              </w:tc>
              <w:tc>
                <w:tcPr>
                  <w:tcW w:w="1589" w:type="pct"/>
                  <w:tcBorders>
                    <w:tl2br w:val="nil"/>
                    <w:tr2bl w:val="nil"/>
                  </w:tcBorders>
                  <w:vAlign w:val="center"/>
                </w:tcPr>
                <w:p w14:paraId="45C441DE">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灭菌后的废培养基</w:t>
                  </w:r>
                </w:p>
              </w:tc>
              <w:tc>
                <w:tcPr>
                  <w:tcW w:w="1666" w:type="pct"/>
                  <w:vMerge w:val="continue"/>
                  <w:tcBorders>
                    <w:tl2br w:val="nil"/>
                    <w:tr2bl w:val="nil"/>
                  </w:tcBorders>
                  <w:vAlign w:val="center"/>
                </w:tcPr>
                <w:p w14:paraId="151FB1D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r>
            <w:tr w14:paraId="02BE138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1AF1AF20">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vMerge w:val="restart"/>
                  <w:tcBorders>
                    <w:tl2br w:val="nil"/>
                    <w:tr2bl w:val="nil"/>
                  </w:tcBorders>
                  <w:vAlign w:val="center"/>
                </w:tcPr>
                <w:p w14:paraId="44D822E2">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样品前处理，</w:t>
                  </w:r>
                  <w:r>
                    <w:rPr>
                      <w:rFonts w:hint="default" w:ascii="Times New Roman" w:hAnsi="Times New Roman" w:cs="Times New Roman"/>
                      <w:color w:val="auto"/>
                      <w:sz w:val="21"/>
                      <w:szCs w:val="21"/>
                    </w:rPr>
                    <w:t>检测分析</w:t>
                  </w:r>
                </w:p>
              </w:tc>
              <w:tc>
                <w:tcPr>
                  <w:tcW w:w="1589" w:type="pct"/>
                  <w:tcBorders>
                    <w:tl2br w:val="nil"/>
                    <w:tr2bl w:val="nil"/>
                  </w:tcBorders>
                  <w:vAlign w:val="center"/>
                </w:tcPr>
                <w:p w14:paraId="32BF2426">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实验室废液</w:t>
                  </w:r>
                </w:p>
              </w:tc>
              <w:tc>
                <w:tcPr>
                  <w:tcW w:w="1666" w:type="pct"/>
                  <w:vMerge w:val="restart"/>
                  <w:tcBorders>
                    <w:tl2br w:val="nil"/>
                    <w:tr2bl w:val="nil"/>
                  </w:tcBorders>
                  <w:vAlign w:val="center"/>
                </w:tcPr>
                <w:p w14:paraId="69DA9CCB">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r>
            <w:tr w14:paraId="09F825E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50FFFE94">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vMerge w:val="continue"/>
                  <w:tcBorders>
                    <w:tl2br w:val="nil"/>
                    <w:tr2bl w:val="nil"/>
                  </w:tcBorders>
                  <w:vAlign w:val="center"/>
                </w:tcPr>
                <w:p w14:paraId="07D65A20">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589" w:type="pct"/>
                  <w:tcBorders>
                    <w:tl2br w:val="nil"/>
                    <w:tr2bl w:val="nil"/>
                  </w:tcBorders>
                  <w:vAlign w:val="center"/>
                </w:tcPr>
                <w:p w14:paraId="454C2663">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废样品</w:t>
                  </w:r>
                </w:p>
              </w:tc>
              <w:tc>
                <w:tcPr>
                  <w:tcW w:w="1666" w:type="pct"/>
                  <w:vMerge w:val="continue"/>
                  <w:tcBorders>
                    <w:tl2br w:val="nil"/>
                    <w:tr2bl w:val="nil"/>
                  </w:tcBorders>
                  <w:vAlign w:val="center"/>
                </w:tcPr>
                <w:p w14:paraId="1569769D">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r>
            <w:tr w14:paraId="5595A289">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0FD3B41E">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vMerge w:val="continue"/>
                  <w:tcBorders>
                    <w:tl2br w:val="nil"/>
                    <w:tr2bl w:val="nil"/>
                  </w:tcBorders>
                  <w:vAlign w:val="center"/>
                </w:tcPr>
                <w:p w14:paraId="47B18D28">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589" w:type="pct"/>
                  <w:tcBorders>
                    <w:tl2br w:val="nil"/>
                    <w:tr2bl w:val="nil"/>
                  </w:tcBorders>
                  <w:vAlign w:val="center"/>
                </w:tcPr>
                <w:p w14:paraId="01812275">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沾染危险化学品的包装材料及实验器材</w:t>
                  </w:r>
                </w:p>
              </w:tc>
              <w:tc>
                <w:tcPr>
                  <w:tcW w:w="1666" w:type="pct"/>
                  <w:vMerge w:val="continue"/>
                  <w:tcBorders>
                    <w:tl2br w:val="nil"/>
                    <w:tr2bl w:val="nil"/>
                  </w:tcBorders>
                  <w:vAlign w:val="center"/>
                </w:tcPr>
                <w:p w14:paraId="52139DB2">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r>
            <w:tr w14:paraId="047C84FF">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68894426">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75085299">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微生物实验室废气处理</w:t>
                  </w:r>
                </w:p>
              </w:tc>
              <w:tc>
                <w:tcPr>
                  <w:tcW w:w="1589" w:type="pct"/>
                  <w:tcBorders>
                    <w:tl2br w:val="nil"/>
                    <w:tr2bl w:val="nil"/>
                  </w:tcBorders>
                  <w:vAlign w:val="center"/>
                </w:tcPr>
                <w:p w14:paraId="5B55ADE4">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废过滤介质</w:t>
                  </w:r>
                </w:p>
              </w:tc>
              <w:tc>
                <w:tcPr>
                  <w:tcW w:w="1666" w:type="pct"/>
                  <w:vMerge w:val="continue"/>
                  <w:tcBorders>
                    <w:tl2br w:val="nil"/>
                    <w:tr2bl w:val="nil"/>
                  </w:tcBorders>
                  <w:vAlign w:val="center"/>
                </w:tcPr>
                <w:p w14:paraId="00FCFCD7">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r>
            <w:tr w14:paraId="1CB5114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0" w:type="pct"/>
                  <w:vMerge w:val="continue"/>
                  <w:tcBorders>
                    <w:tl2br w:val="nil"/>
                    <w:tr2bl w:val="nil"/>
                  </w:tcBorders>
                  <w:vAlign w:val="center"/>
                </w:tcPr>
                <w:p w14:paraId="3806E9A7">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c>
                <w:tcPr>
                  <w:tcW w:w="1424" w:type="pct"/>
                  <w:tcBorders>
                    <w:tl2br w:val="nil"/>
                    <w:tr2bl w:val="nil"/>
                  </w:tcBorders>
                  <w:vAlign w:val="center"/>
                </w:tcPr>
                <w:p w14:paraId="7C3E87C9">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实验废气处理</w:t>
                  </w:r>
                </w:p>
              </w:tc>
              <w:tc>
                <w:tcPr>
                  <w:tcW w:w="1589" w:type="pct"/>
                  <w:tcBorders>
                    <w:tl2br w:val="nil"/>
                    <w:tr2bl w:val="nil"/>
                  </w:tcBorders>
                  <w:vAlign w:val="center"/>
                </w:tcPr>
                <w:p w14:paraId="05EC1BFD">
                  <w:pPr>
                    <w:pStyle w:val="62"/>
                    <w:kinsoku w:val="0"/>
                    <w:overflowPunct w:val="0"/>
                    <w:spacing w:line="240" w:lineRule="auto"/>
                    <w:ind w:firstLine="0"/>
                    <w:contextualSpacing/>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1666" w:type="pct"/>
                  <w:vMerge w:val="continue"/>
                  <w:tcBorders>
                    <w:tl2br w:val="nil"/>
                    <w:tr2bl w:val="nil"/>
                  </w:tcBorders>
                  <w:vAlign w:val="center"/>
                </w:tcPr>
                <w:p w14:paraId="4DFA7706">
                  <w:pPr>
                    <w:pStyle w:val="28"/>
                    <w:adjustRightInd w:val="0"/>
                    <w:snapToGrid w:val="0"/>
                    <w:spacing w:after="0"/>
                    <w:ind w:left="0" w:leftChars="0" w:firstLine="0" w:firstLineChars="0"/>
                    <w:jc w:val="center"/>
                    <w:rPr>
                      <w:rFonts w:hint="default" w:ascii="Times New Roman" w:hAnsi="Times New Roman" w:cs="Times New Roman"/>
                      <w:color w:val="auto"/>
                      <w:sz w:val="21"/>
                      <w:szCs w:val="21"/>
                    </w:rPr>
                  </w:pPr>
                </w:p>
              </w:tc>
            </w:tr>
          </w:tbl>
          <w:p w14:paraId="6C73DD0C">
            <w:pPr>
              <w:adjustRightInd w:val="0"/>
              <w:snapToGrid w:val="0"/>
              <w:rPr>
                <w:rFonts w:hint="default" w:ascii="Times New Roman" w:hAnsi="Times New Roman" w:cs="Times New Roman"/>
                <w:color w:val="auto"/>
                <w:sz w:val="24"/>
              </w:rPr>
            </w:pPr>
          </w:p>
        </w:tc>
      </w:tr>
      <w:tr w14:paraId="361F89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76" w:hRule="atLeast"/>
          <w:jc w:val="center"/>
        </w:trPr>
        <w:tc>
          <w:tcPr>
            <w:tcW w:w="264" w:type="pct"/>
            <w:vAlign w:val="center"/>
          </w:tcPr>
          <w:p w14:paraId="3E7A16EB">
            <w:pPr>
              <w:pStyle w:val="25"/>
              <w:adjustRightInd w:val="0"/>
              <w:snapToGrid w:val="0"/>
              <w:spacing w:before="0" w:beforeAutospacing="0" w:after="0" w:afterAutospacing="0"/>
              <w:jc w:val="center"/>
              <w:rPr>
                <w:rFonts w:hint="default" w:ascii="Times New Roman" w:hAnsi="Times New Roman" w:cs="Times New Roman"/>
                <w:b/>
                <w:bCs/>
                <w:color w:val="auto"/>
                <w:szCs w:val="24"/>
              </w:rPr>
            </w:pPr>
            <w:r>
              <w:rPr>
                <w:rFonts w:hint="default" w:ascii="Times New Roman" w:hAnsi="Times New Roman" w:cs="Times New Roman"/>
                <w:b/>
                <w:bCs/>
                <w:color w:val="auto"/>
                <w:kern w:val="2"/>
                <w:szCs w:val="24"/>
              </w:rPr>
              <w:t>与项目有关的原有环境污染问题</w:t>
            </w:r>
          </w:p>
        </w:tc>
        <w:tc>
          <w:tcPr>
            <w:tcW w:w="4735" w:type="pct"/>
            <w:vAlign w:val="center"/>
          </w:tcPr>
          <w:p w14:paraId="3A49A3D9">
            <w:pPr>
              <w:adjustRightInd w:val="0"/>
              <w:snapToGrid w:val="0"/>
              <w:spacing w:line="360" w:lineRule="auto"/>
              <w:ind w:firstLine="480" w:firstLineChars="200"/>
              <w:rPr>
                <w:rFonts w:hint="eastAsia" w:ascii="Times New Roman" w:hAnsi="Times New Roman" w:eastAsia="宋体" w:cs="Times New Roman"/>
                <w:bCs/>
                <w:color w:val="auto"/>
                <w:sz w:val="24"/>
                <w:lang w:eastAsia="zh-CN"/>
              </w:rPr>
            </w:pPr>
            <w:r>
              <w:rPr>
                <w:rFonts w:hint="default" w:ascii="Times New Roman" w:hAnsi="Times New Roman" w:cs="Times New Roman"/>
                <w:color w:val="auto"/>
                <w:sz w:val="24"/>
                <w:szCs w:val="32"/>
              </w:rPr>
              <w:t>本项目租赁陕西省西安市莲湖区沣惠北路2666号天健望湖大观商铺3-6铺，</w:t>
            </w:r>
            <w:r>
              <w:rPr>
                <w:rFonts w:hint="eastAsia" w:cs="Times New Roman"/>
                <w:color w:val="auto"/>
                <w:sz w:val="24"/>
                <w:szCs w:val="32"/>
                <w:lang w:val="en-US" w:eastAsia="zh-CN"/>
              </w:rPr>
              <w:t>租赁建筑物为商业楼，无环境影响评价、竣工环保验收等环保手续。</w:t>
            </w:r>
            <w:r>
              <w:rPr>
                <w:rFonts w:hint="default" w:ascii="Times New Roman" w:hAnsi="Times New Roman" w:cs="Times New Roman"/>
                <w:color w:val="auto"/>
                <w:sz w:val="24"/>
                <w:szCs w:val="32"/>
              </w:rPr>
              <w:t>本项目为新建工程，入场前为空置</w:t>
            </w:r>
            <w:r>
              <w:rPr>
                <w:rFonts w:hint="eastAsia" w:cs="Times New Roman"/>
                <w:color w:val="auto"/>
                <w:sz w:val="24"/>
                <w:szCs w:val="32"/>
                <w:lang w:val="en-US" w:eastAsia="zh-CN"/>
              </w:rPr>
              <w:t>建筑物</w:t>
            </w:r>
            <w:r>
              <w:rPr>
                <w:rFonts w:hint="default" w:ascii="Times New Roman" w:hAnsi="Times New Roman" w:cs="Times New Roman"/>
                <w:color w:val="auto"/>
                <w:sz w:val="24"/>
                <w:szCs w:val="32"/>
              </w:rPr>
              <w:t>，根据现场调查，无遗留环保问题。</w:t>
            </w:r>
          </w:p>
        </w:tc>
      </w:tr>
    </w:tbl>
    <w:p w14:paraId="72F1CDD8">
      <w:pPr>
        <w:pStyle w:val="25"/>
        <w:jc w:val="center"/>
        <w:rPr>
          <w:rFonts w:hint="default" w:ascii="Times New Roman" w:hAnsi="Times New Roman" w:eastAsia="黑体" w:cs="Times New Roman"/>
          <w:snapToGrid w:val="0"/>
          <w:color w:val="auto"/>
          <w:sz w:val="36"/>
          <w:szCs w:val="36"/>
        </w:rPr>
        <w:sectPr>
          <w:pgSz w:w="11906" w:h="16838"/>
          <w:pgMar w:top="1440" w:right="1080" w:bottom="1440" w:left="1080" w:header="851" w:footer="850" w:gutter="0"/>
          <w:pgBorders>
            <w:top w:val="none" w:sz="0" w:space="0"/>
            <w:left w:val="none" w:sz="0" w:space="0"/>
            <w:bottom w:val="none" w:sz="0" w:space="0"/>
            <w:right w:val="none" w:sz="0" w:space="0"/>
          </w:pgBorders>
          <w:cols w:space="0" w:num="1"/>
          <w:docGrid w:linePitch="312" w:charSpace="0"/>
        </w:sectPr>
      </w:pPr>
    </w:p>
    <w:p w14:paraId="4172DE6A">
      <w:pPr>
        <w:pStyle w:val="25"/>
        <w:adjustRightInd w:val="0"/>
        <w:snapToGrid w:val="0"/>
        <w:spacing w:before="0" w:beforeAutospacing="0" w:after="0" w:afterAutospacing="0" w:line="14" w:lineRule="auto"/>
        <w:jc w:val="center"/>
        <w:outlineLvl w:val="0"/>
        <w:rPr>
          <w:rFonts w:hint="default" w:ascii="Times New Roman" w:hAnsi="Times New Roman" w:eastAsia="黑体" w:cs="Times New Roman"/>
          <w:snapToGrid w:val="0"/>
          <w:color w:val="auto"/>
          <w:sz w:val="30"/>
          <w:szCs w:val="30"/>
        </w:rPr>
      </w:pPr>
    </w:p>
    <w:p w14:paraId="6ECB6797">
      <w:pPr>
        <w:pStyle w:val="25"/>
        <w:spacing w:before="0" w:beforeAutospacing="0"/>
        <w:jc w:val="center"/>
        <w:outlineLvl w:val="0"/>
        <w:rPr>
          <w:rFonts w:hint="default" w:ascii="Times New Roman" w:hAnsi="Times New Roman" w:eastAsia="黑体" w:cs="Times New Roman"/>
          <w:snapToGrid w:val="0"/>
          <w:color w:val="auto"/>
          <w:sz w:val="30"/>
          <w:szCs w:val="30"/>
        </w:rPr>
      </w:pPr>
      <w:bookmarkStart w:id="6" w:name="_Toc1346"/>
      <w:r>
        <w:rPr>
          <w:rFonts w:hint="default" w:ascii="Times New Roman" w:hAnsi="Times New Roman" w:eastAsia="黑体" w:cs="Times New Roman"/>
          <w:snapToGrid w:val="0"/>
          <w:color w:val="auto"/>
          <w:sz w:val="30"/>
          <w:szCs w:val="30"/>
        </w:rPr>
        <w:t>三、区域环境质量现状、环境保护目标及评价标准</w:t>
      </w:r>
      <w:bookmarkEnd w:id="6"/>
    </w:p>
    <w:tbl>
      <w:tblPr>
        <w:tblStyle w:val="29"/>
        <w:tblW w:w="494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9155"/>
      </w:tblGrid>
      <w:tr w14:paraId="228C6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8" w:hRule="atLeast"/>
          <w:jc w:val="center"/>
        </w:trPr>
        <w:tc>
          <w:tcPr>
            <w:tcW w:w="357" w:type="pct"/>
            <w:vAlign w:val="center"/>
          </w:tcPr>
          <w:p w14:paraId="0C51F8F4">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区域</w:t>
            </w:r>
          </w:p>
          <w:p w14:paraId="3FC86E19">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环境</w:t>
            </w:r>
          </w:p>
          <w:p w14:paraId="07349D89">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质量</w:t>
            </w:r>
          </w:p>
          <w:p w14:paraId="088C4C31">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现状</w:t>
            </w:r>
          </w:p>
        </w:tc>
        <w:tc>
          <w:tcPr>
            <w:tcW w:w="4642" w:type="pct"/>
            <w:vAlign w:val="center"/>
          </w:tcPr>
          <w:p w14:paraId="0953A8DB">
            <w:pPr>
              <w:tabs>
                <w:tab w:val="right" w:leader="hyphen" w:pos="8190"/>
              </w:tabs>
              <w:adjustRightInd w:val="0"/>
              <w:snapToGrid w:val="0"/>
              <w:spacing w:line="360" w:lineRule="auto"/>
              <w:rPr>
                <w:rFonts w:hint="default" w:ascii="Times New Roman" w:hAnsi="Times New Roman" w:eastAsia="宋体" w:cs="Times New Roman"/>
                <w:b/>
                <w:bCs/>
                <w:color w:val="auto"/>
                <w:sz w:val="24"/>
                <w:lang w:val="en-US" w:eastAsia="zh-CN"/>
              </w:rPr>
            </w:pPr>
            <w:r>
              <w:rPr>
                <w:rFonts w:hint="default" w:ascii="Times New Roman" w:hAnsi="Times New Roman" w:cs="Times New Roman"/>
                <w:b/>
                <w:bCs/>
                <w:color w:val="auto"/>
                <w:sz w:val="24"/>
              </w:rPr>
              <w:t>（一）</w:t>
            </w:r>
            <w:r>
              <w:rPr>
                <w:rFonts w:hint="eastAsia" w:cs="Times New Roman"/>
                <w:b/>
                <w:bCs/>
                <w:color w:val="auto"/>
                <w:sz w:val="24"/>
                <w:lang w:val="en-US" w:eastAsia="zh-CN"/>
              </w:rPr>
              <w:t>大气环境质量</w:t>
            </w:r>
          </w:p>
          <w:p w14:paraId="3A3F1342">
            <w:pPr>
              <w:spacing w:line="360" w:lineRule="auto"/>
              <w:ind w:firstLine="465"/>
              <w:rPr>
                <w:rFonts w:hint="default" w:ascii="Times New Roman" w:hAnsi="Times New Roman" w:eastAsia="宋体" w:cs="Times New Roman"/>
                <w:b/>
                <w:bCs/>
                <w:color w:val="auto"/>
                <w:sz w:val="24"/>
                <w:lang w:val="en-US" w:eastAsia="zh-CN"/>
              </w:rPr>
            </w:pPr>
            <w:r>
              <w:rPr>
                <w:rFonts w:hint="default" w:ascii="Times New Roman" w:hAnsi="Times New Roman" w:cs="Times New Roman"/>
                <w:b/>
                <w:bCs/>
                <w:color w:val="auto"/>
                <w:sz w:val="24"/>
              </w:rPr>
              <w:t>1、</w:t>
            </w:r>
            <w:r>
              <w:rPr>
                <w:rFonts w:hint="eastAsia" w:cs="Times New Roman"/>
                <w:b/>
                <w:bCs/>
                <w:color w:val="auto"/>
                <w:sz w:val="24"/>
                <w:lang w:val="en-US" w:eastAsia="zh-CN"/>
              </w:rPr>
              <w:t>环境空气质量现状</w:t>
            </w:r>
          </w:p>
          <w:p w14:paraId="2C2C880C">
            <w:pPr>
              <w:spacing w:line="360" w:lineRule="auto"/>
              <w:ind w:firstLine="465"/>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本项目位于陕西省西安市莲湖区，根据大气功能区划，本项目所在地为二类功能区，环境空气质量标准执行《环境空气质量标准》（GB3095-2012）二级标准要求。根据陕西省生态环境厅办公室《环保快报》中</w:t>
            </w:r>
            <w:r>
              <w:rPr>
                <w:rFonts w:hint="eastAsia" w:cs="Times New Roman"/>
                <w:color w:val="auto"/>
                <w:sz w:val="24"/>
                <w:lang w:eastAsia="zh-CN"/>
              </w:rPr>
              <w:t>“</w:t>
            </w:r>
            <w:r>
              <w:rPr>
                <w:rFonts w:hint="default" w:ascii="Times New Roman" w:hAnsi="Times New Roman" w:cs="Times New Roman"/>
                <w:color w:val="auto"/>
                <w:sz w:val="24"/>
              </w:rPr>
              <w:t>2024年陕西省1~12月</w:t>
            </w:r>
            <w:r>
              <w:rPr>
                <w:rFonts w:hint="eastAsia"/>
                <w:color w:val="auto"/>
                <w:spacing w:val="0"/>
                <w:sz w:val="24"/>
                <w:szCs w:val="24"/>
                <w:lang w:val="en-US" w:eastAsia="zh-CN"/>
              </w:rPr>
              <w:t>关中地区64个县（区）空气质量状况统计表</w:t>
            </w:r>
            <w:r>
              <w:rPr>
                <w:rFonts w:hint="eastAsia" w:cs="Times New Roman"/>
                <w:color w:val="auto"/>
                <w:sz w:val="24"/>
                <w:lang w:eastAsia="zh-CN"/>
              </w:rPr>
              <w:t>”</w:t>
            </w:r>
            <w:r>
              <w:rPr>
                <w:rFonts w:hint="default" w:ascii="Times New Roman" w:hAnsi="Times New Roman" w:cs="Times New Roman"/>
                <w:color w:val="auto"/>
                <w:sz w:val="24"/>
              </w:rPr>
              <w:t>中西安市莲湖区空气</w:t>
            </w:r>
            <w:r>
              <w:rPr>
                <w:rFonts w:hint="eastAsia" w:cs="Times New Roman"/>
                <w:color w:val="auto"/>
                <w:sz w:val="24"/>
                <w:lang w:val="en-US" w:eastAsia="zh-CN"/>
              </w:rPr>
              <w:t>质量状况</w:t>
            </w:r>
            <w:r>
              <w:rPr>
                <w:rFonts w:hint="default" w:ascii="Times New Roman" w:hAnsi="Times New Roman" w:cs="Times New Roman"/>
                <w:color w:val="auto"/>
                <w:sz w:val="24"/>
              </w:rPr>
              <w:t>，对区域环境空气质量现状进行分析，具体统计结果见表</w:t>
            </w:r>
            <w:r>
              <w:rPr>
                <w:rFonts w:hint="eastAsia" w:cs="Times New Roman"/>
                <w:color w:val="auto"/>
                <w:sz w:val="24"/>
                <w:lang w:val="en-US" w:eastAsia="zh-CN"/>
              </w:rPr>
              <w:t>3-1</w:t>
            </w:r>
            <w:r>
              <w:rPr>
                <w:rFonts w:hint="eastAsia" w:cs="Times New Roman"/>
                <w:color w:val="auto"/>
                <w:sz w:val="24"/>
                <w:lang w:eastAsia="zh-CN"/>
              </w:rPr>
              <w:t>。</w:t>
            </w:r>
          </w:p>
          <w:p w14:paraId="48D67C7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表3-1项目所在地达标区判定情况一览表</w:t>
            </w:r>
          </w:p>
          <w:tbl>
            <w:tblPr>
              <w:tblStyle w:val="2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2650"/>
              <w:gridCol w:w="1750"/>
              <w:gridCol w:w="1596"/>
              <w:gridCol w:w="1276"/>
              <w:gridCol w:w="880"/>
            </w:tblGrid>
            <w:tr w14:paraId="22DB00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0" w:type="pct"/>
                  <w:noWrap w:val="0"/>
                  <w:vAlign w:val="center"/>
                </w:tcPr>
                <w:p w14:paraId="22E08B64">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pacing w:val="0"/>
                      <w:sz w:val="21"/>
                      <w:szCs w:val="21"/>
                    </w:rPr>
                  </w:pPr>
                  <w:r>
                    <w:rPr>
                      <w:b/>
                      <w:bCs/>
                      <w:color w:val="auto"/>
                      <w:spacing w:val="0"/>
                      <w:sz w:val="21"/>
                      <w:szCs w:val="21"/>
                    </w:rPr>
                    <w:t>污染物</w:t>
                  </w:r>
                </w:p>
              </w:tc>
              <w:tc>
                <w:tcPr>
                  <w:tcW w:w="1481" w:type="pct"/>
                  <w:noWrap w:val="0"/>
                  <w:vAlign w:val="center"/>
                </w:tcPr>
                <w:p w14:paraId="44DB58D9">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pacing w:val="0"/>
                      <w:sz w:val="21"/>
                      <w:szCs w:val="21"/>
                    </w:rPr>
                  </w:pPr>
                  <w:r>
                    <w:rPr>
                      <w:b/>
                      <w:bCs/>
                      <w:color w:val="auto"/>
                      <w:spacing w:val="0"/>
                      <w:sz w:val="21"/>
                      <w:szCs w:val="21"/>
                    </w:rPr>
                    <w:t>年评价指标</w:t>
                  </w:r>
                </w:p>
              </w:tc>
              <w:tc>
                <w:tcPr>
                  <w:tcW w:w="978" w:type="pct"/>
                  <w:noWrap w:val="0"/>
                  <w:vAlign w:val="center"/>
                </w:tcPr>
                <w:p w14:paraId="45139854">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pacing w:val="0"/>
                      <w:sz w:val="21"/>
                      <w:szCs w:val="21"/>
                    </w:rPr>
                  </w:pPr>
                  <w:r>
                    <w:rPr>
                      <w:b/>
                      <w:bCs/>
                      <w:color w:val="auto"/>
                      <w:spacing w:val="0"/>
                      <w:sz w:val="21"/>
                      <w:szCs w:val="21"/>
                    </w:rPr>
                    <w:t>现状浓度（μg/m</w:t>
                  </w:r>
                  <w:r>
                    <w:rPr>
                      <w:b/>
                      <w:bCs/>
                      <w:color w:val="auto"/>
                      <w:spacing w:val="0"/>
                      <w:sz w:val="21"/>
                      <w:szCs w:val="21"/>
                      <w:vertAlign w:val="superscript"/>
                    </w:rPr>
                    <w:t>3</w:t>
                  </w:r>
                  <w:r>
                    <w:rPr>
                      <w:b/>
                      <w:bCs/>
                      <w:color w:val="auto"/>
                      <w:spacing w:val="0"/>
                      <w:sz w:val="21"/>
                      <w:szCs w:val="21"/>
                    </w:rPr>
                    <w:t>）</w:t>
                  </w:r>
                </w:p>
              </w:tc>
              <w:tc>
                <w:tcPr>
                  <w:tcW w:w="892" w:type="pct"/>
                  <w:noWrap w:val="0"/>
                  <w:vAlign w:val="center"/>
                </w:tcPr>
                <w:p w14:paraId="695AC2D3">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pacing w:val="0"/>
                      <w:sz w:val="21"/>
                      <w:szCs w:val="21"/>
                    </w:rPr>
                  </w:pPr>
                  <w:r>
                    <w:rPr>
                      <w:b/>
                      <w:bCs/>
                      <w:color w:val="auto"/>
                      <w:spacing w:val="0"/>
                      <w:sz w:val="21"/>
                      <w:szCs w:val="21"/>
                    </w:rPr>
                    <w:t>标准值（μg/m</w:t>
                  </w:r>
                  <w:r>
                    <w:rPr>
                      <w:b/>
                      <w:bCs/>
                      <w:color w:val="auto"/>
                      <w:spacing w:val="0"/>
                      <w:sz w:val="21"/>
                      <w:szCs w:val="21"/>
                      <w:vertAlign w:val="superscript"/>
                    </w:rPr>
                    <w:t>3</w:t>
                  </w:r>
                  <w:r>
                    <w:rPr>
                      <w:b/>
                      <w:bCs/>
                      <w:color w:val="auto"/>
                      <w:spacing w:val="0"/>
                      <w:sz w:val="21"/>
                      <w:szCs w:val="21"/>
                    </w:rPr>
                    <w:t>）</w:t>
                  </w:r>
                </w:p>
              </w:tc>
              <w:tc>
                <w:tcPr>
                  <w:tcW w:w="713" w:type="pct"/>
                  <w:noWrap w:val="0"/>
                  <w:vAlign w:val="center"/>
                </w:tcPr>
                <w:p w14:paraId="664C2A00">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pacing w:val="0"/>
                      <w:sz w:val="21"/>
                      <w:szCs w:val="21"/>
                    </w:rPr>
                  </w:pPr>
                  <w:r>
                    <w:rPr>
                      <w:b/>
                      <w:bCs/>
                      <w:color w:val="auto"/>
                      <w:spacing w:val="0"/>
                      <w:sz w:val="21"/>
                      <w:szCs w:val="21"/>
                    </w:rPr>
                    <w:t>最大占标率%</w:t>
                  </w:r>
                </w:p>
              </w:tc>
              <w:tc>
                <w:tcPr>
                  <w:tcW w:w="492" w:type="pct"/>
                  <w:noWrap w:val="0"/>
                  <w:vAlign w:val="center"/>
                </w:tcPr>
                <w:p w14:paraId="3D0FBCC5">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pacing w:val="0"/>
                      <w:sz w:val="21"/>
                      <w:szCs w:val="21"/>
                    </w:rPr>
                  </w:pPr>
                  <w:r>
                    <w:rPr>
                      <w:b/>
                      <w:bCs/>
                      <w:color w:val="auto"/>
                      <w:spacing w:val="0"/>
                      <w:sz w:val="21"/>
                      <w:szCs w:val="21"/>
                    </w:rPr>
                    <w:t>达标情况</w:t>
                  </w:r>
                </w:p>
              </w:tc>
            </w:tr>
            <w:tr w14:paraId="346DC4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0" w:type="pct"/>
                  <w:noWrap w:val="0"/>
                  <w:vAlign w:val="center"/>
                </w:tcPr>
                <w:p w14:paraId="4B96271B">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PM</w:t>
                  </w:r>
                  <w:r>
                    <w:rPr>
                      <w:color w:val="auto"/>
                      <w:spacing w:val="0"/>
                      <w:sz w:val="21"/>
                      <w:szCs w:val="21"/>
                      <w:vertAlign w:val="subscript"/>
                    </w:rPr>
                    <w:t>2.5</w:t>
                  </w:r>
                </w:p>
              </w:tc>
              <w:tc>
                <w:tcPr>
                  <w:tcW w:w="1481" w:type="pct"/>
                  <w:noWrap w:val="0"/>
                  <w:vAlign w:val="center"/>
                </w:tcPr>
                <w:p w14:paraId="0AD4F381">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年平均质量浓度</w:t>
                  </w:r>
                </w:p>
              </w:tc>
              <w:tc>
                <w:tcPr>
                  <w:tcW w:w="978" w:type="pct"/>
                  <w:noWrap w:val="0"/>
                  <w:vAlign w:val="center"/>
                </w:tcPr>
                <w:p w14:paraId="3EE00C39">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44</w:t>
                  </w:r>
                </w:p>
              </w:tc>
              <w:tc>
                <w:tcPr>
                  <w:tcW w:w="892" w:type="pct"/>
                  <w:noWrap w:val="0"/>
                  <w:vAlign w:val="center"/>
                </w:tcPr>
                <w:p w14:paraId="7155A109">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35</w:t>
                  </w:r>
                </w:p>
              </w:tc>
              <w:tc>
                <w:tcPr>
                  <w:tcW w:w="713" w:type="pct"/>
                  <w:noWrap w:val="0"/>
                  <w:vAlign w:val="center"/>
                </w:tcPr>
                <w:p w14:paraId="25CFB7A8">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125.71</w:t>
                  </w:r>
                </w:p>
              </w:tc>
              <w:tc>
                <w:tcPr>
                  <w:tcW w:w="492" w:type="pct"/>
                  <w:noWrap w:val="0"/>
                  <w:vAlign w:val="center"/>
                </w:tcPr>
                <w:p w14:paraId="563F609B">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不达标</w:t>
                  </w:r>
                </w:p>
              </w:tc>
            </w:tr>
            <w:tr w14:paraId="08FAA1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0" w:type="pct"/>
                  <w:noWrap w:val="0"/>
                  <w:vAlign w:val="center"/>
                </w:tcPr>
                <w:p w14:paraId="78DF6BDE">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PM</w:t>
                  </w:r>
                  <w:r>
                    <w:rPr>
                      <w:color w:val="auto"/>
                      <w:spacing w:val="0"/>
                      <w:sz w:val="21"/>
                      <w:szCs w:val="21"/>
                      <w:vertAlign w:val="subscript"/>
                    </w:rPr>
                    <w:t>10</w:t>
                  </w:r>
                </w:p>
              </w:tc>
              <w:tc>
                <w:tcPr>
                  <w:tcW w:w="1481" w:type="pct"/>
                  <w:noWrap w:val="0"/>
                  <w:vAlign w:val="center"/>
                </w:tcPr>
                <w:p w14:paraId="796D65C5">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年平均质量浓度</w:t>
                  </w:r>
                </w:p>
              </w:tc>
              <w:tc>
                <w:tcPr>
                  <w:tcW w:w="978" w:type="pct"/>
                  <w:noWrap w:val="0"/>
                  <w:vAlign w:val="center"/>
                </w:tcPr>
                <w:p w14:paraId="5B0D5800">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73</w:t>
                  </w:r>
                </w:p>
              </w:tc>
              <w:tc>
                <w:tcPr>
                  <w:tcW w:w="892" w:type="pct"/>
                  <w:noWrap w:val="0"/>
                  <w:vAlign w:val="center"/>
                </w:tcPr>
                <w:p w14:paraId="36FF450D">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70</w:t>
                  </w:r>
                </w:p>
              </w:tc>
              <w:tc>
                <w:tcPr>
                  <w:tcW w:w="713" w:type="pct"/>
                  <w:noWrap w:val="0"/>
                  <w:vAlign w:val="center"/>
                </w:tcPr>
                <w:p w14:paraId="5B41FF02">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104.29</w:t>
                  </w:r>
                </w:p>
              </w:tc>
              <w:tc>
                <w:tcPr>
                  <w:tcW w:w="492" w:type="pct"/>
                  <w:noWrap w:val="0"/>
                  <w:vAlign w:val="center"/>
                </w:tcPr>
                <w:p w14:paraId="65CCE467">
                  <w:pPr>
                    <w:keepNext w:val="0"/>
                    <w:keepLines w:val="0"/>
                    <w:widowControl/>
                    <w:suppressLineNumbers w:val="0"/>
                    <w:jc w:val="center"/>
                    <w:textAlignment w:val="center"/>
                    <w:rPr>
                      <w:rFonts w:hint="default" w:ascii="Times New Roman" w:hAnsi="Times New Roman" w:cs="Times New Roman"/>
                      <w:color w:val="auto"/>
                      <w:spacing w:val="0"/>
                      <w:sz w:val="21"/>
                      <w:szCs w:val="21"/>
                    </w:rPr>
                  </w:pPr>
                  <w:r>
                    <w:rPr>
                      <w:rFonts w:hint="default" w:ascii="Times New Roman" w:hAnsi="Times New Roman" w:eastAsia="宋体" w:cs="Times New Roman"/>
                      <w:i w:val="0"/>
                      <w:iCs w:val="0"/>
                      <w:color w:val="auto"/>
                      <w:kern w:val="0"/>
                      <w:sz w:val="21"/>
                      <w:szCs w:val="21"/>
                      <w:u w:val="none"/>
                      <w:lang w:val="en-US" w:eastAsia="zh-CN" w:bidi="ar"/>
                    </w:rPr>
                    <w:t>不达标</w:t>
                  </w:r>
                </w:p>
              </w:tc>
            </w:tr>
            <w:tr w14:paraId="1E3438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0" w:type="pct"/>
                  <w:noWrap w:val="0"/>
                  <w:vAlign w:val="center"/>
                </w:tcPr>
                <w:p w14:paraId="70F1EA82">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SO</w:t>
                  </w:r>
                  <w:r>
                    <w:rPr>
                      <w:color w:val="auto"/>
                      <w:spacing w:val="0"/>
                      <w:sz w:val="21"/>
                      <w:szCs w:val="21"/>
                      <w:vertAlign w:val="subscript"/>
                    </w:rPr>
                    <w:t>2</w:t>
                  </w:r>
                </w:p>
              </w:tc>
              <w:tc>
                <w:tcPr>
                  <w:tcW w:w="1481" w:type="pct"/>
                  <w:noWrap w:val="0"/>
                  <w:vAlign w:val="center"/>
                </w:tcPr>
                <w:p w14:paraId="79575089">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年平均质量浓度</w:t>
                  </w:r>
                </w:p>
              </w:tc>
              <w:tc>
                <w:tcPr>
                  <w:tcW w:w="978" w:type="pct"/>
                  <w:noWrap w:val="0"/>
                  <w:vAlign w:val="center"/>
                </w:tcPr>
                <w:p w14:paraId="6A5F7D26">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5</w:t>
                  </w:r>
                </w:p>
              </w:tc>
              <w:tc>
                <w:tcPr>
                  <w:tcW w:w="892" w:type="pct"/>
                  <w:noWrap w:val="0"/>
                  <w:vAlign w:val="center"/>
                </w:tcPr>
                <w:p w14:paraId="1ED1984C">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60</w:t>
                  </w:r>
                </w:p>
              </w:tc>
              <w:tc>
                <w:tcPr>
                  <w:tcW w:w="713" w:type="pct"/>
                  <w:noWrap w:val="0"/>
                  <w:vAlign w:val="center"/>
                </w:tcPr>
                <w:p w14:paraId="6FCAE022">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8.33</w:t>
                  </w:r>
                </w:p>
              </w:tc>
              <w:tc>
                <w:tcPr>
                  <w:tcW w:w="492" w:type="pct"/>
                  <w:noWrap w:val="0"/>
                  <w:vAlign w:val="center"/>
                </w:tcPr>
                <w:p w14:paraId="46AF6117">
                  <w:pPr>
                    <w:keepNext w:val="0"/>
                    <w:keepLines w:val="0"/>
                    <w:widowControl/>
                    <w:suppressLineNumbers w:val="0"/>
                    <w:jc w:val="center"/>
                    <w:textAlignment w:val="center"/>
                    <w:rPr>
                      <w:rFonts w:hint="default" w:ascii="Times New Roman" w:hAnsi="Times New Roman" w:cs="Times New Roman"/>
                      <w:color w:val="auto"/>
                      <w:spacing w:val="0"/>
                      <w:sz w:val="21"/>
                      <w:szCs w:val="21"/>
                    </w:rPr>
                  </w:pPr>
                  <w:r>
                    <w:rPr>
                      <w:rFonts w:hint="default" w:ascii="Times New Roman" w:hAnsi="Times New Roman" w:eastAsia="宋体" w:cs="Times New Roman"/>
                      <w:i w:val="0"/>
                      <w:iCs w:val="0"/>
                      <w:color w:val="auto"/>
                      <w:kern w:val="0"/>
                      <w:sz w:val="21"/>
                      <w:szCs w:val="21"/>
                      <w:u w:val="none"/>
                      <w:lang w:val="en-US" w:eastAsia="zh-CN" w:bidi="ar"/>
                    </w:rPr>
                    <w:t>达标</w:t>
                  </w:r>
                </w:p>
              </w:tc>
            </w:tr>
            <w:tr w14:paraId="68508A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0" w:type="pct"/>
                  <w:noWrap w:val="0"/>
                  <w:vAlign w:val="center"/>
                </w:tcPr>
                <w:p w14:paraId="639FC4D0">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NO</w:t>
                  </w:r>
                  <w:r>
                    <w:rPr>
                      <w:color w:val="auto"/>
                      <w:spacing w:val="0"/>
                      <w:sz w:val="21"/>
                      <w:szCs w:val="21"/>
                      <w:vertAlign w:val="subscript"/>
                    </w:rPr>
                    <w:t>2</w:t>
                  </w:r>
                </w:p>
              </w:tc>
              <w:tc>
                <w:tcPr>
                  <w:tcW w:w="1481" w:type="pct"/>
                  <w:noWrap w:val="0"/>
                  <w:vAlign w:val="center"/>
                </w:tcPr>
                <w:p w14:paraId="610C2AE7">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年平均质量浓度</w:t>
                  </w:r>
                </w:p>
              </w:tc>
              <w:tc>
                <w:tcPr>
                  <w:tcW w:w="978" w:type="pct"/>
                  <w:noWrap w:val="0"/>
                  <w:vAlign w:val="center"/>
                </w:tcPr>
                <w:p w14:paraId="72F95821">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32</w:t>
                  </w:r>
                </w:p>
              </w:tc>
              <w:tc>
                <w:tcPr>
                  <w:tcW w:w="892" w:type="pct"/>
                  <w:noWrap w:val="0"/>
                  <w:vAlign w:val="center"/>
                </w:tcPr>
                <w:p w14:paraId="7F98C9EB">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40</w:t>
                  </w:r>
                </w:p>
              </w:tc>
              <w:tc>
                <w:tcPr>
                  <w:tcW w:w="713" w:type="pct"/>
                  <w:noWrap w:val="0"/>
                  <w:vAlign w:val="center"/>
                </w:tcPr>
                <w:p w14:paraId="41921545">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80.00</w:t>
                  </w:r>
                </w:p>
              </w:tc>
              <w:tc>
                <w:tcPr>
                  <w:tcW w:w="492" w:type="pct"/>
                  <w:noWrap w:val="0"/>
                  <w:vAlign w:val="center"/>
                </w:tcPr>
                <w:p w14:paraId="240D8897">
                  <w:pPr>
                    <w:keepNext w:val="0"/>
                    <w:keepLines w:val="0"/>
                    <w:widowControl/>
                    <w:suppressLineNumbers w:val="0"/>
                    <w:jc w:val="center"/>
                    <w:textAlignment w:val="center"/>
                    <w:rPr>
                      <w:rFonts w:hint="default" w:ascii="Times New Roman" w:hAnsi="Times New Roman" w:cs="Times New Roman"/>
                      <w:color w:val="auto"/>
                      <w:spacing w:val="0"/>
                      <w:sz w:val="21"/>
                      <w:szCs w:val="21"/>
                    </w:rPr>
                  </w:pPr>
                  <w:r>
                    <w:rPr>
                      <w:rFonts w:hint="default" w:ascii="Times New Roman" w:hAnsi="Times New Roman" w:eastAsia="宋体" w:cs="Times New Roman"/>
                      <w:i w:val="0"/>
                      <w:iCs w:val="0"/>
                      <w:color w:val="auto"/>
                      <w:kern w:val="0"/>
                      <w:sz w:val="21"/>
                      <w:szCs w:val="21"/>
                      <w:u w:val="none"/>
                      <w:lang w:val="en-US" w:eastAsia="zh-CN" w:bidi="ar"/>
                    </w:rPr>
                    <w:t>达标</w:t>
                  </w:r>
                </w:p>
              </w:tc>
            </w:tr>
            <w:tr w14:paraId="4D3218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0" w:type="pct"/>
                  <w:tcBorders>
                    <w:bottom w:val="single" w:color="auto" w:sz="4" w:space="0"/>
                  </w:tcBorders>
                  <w:noWrap w:val="0"/>
                  <w:vAlign w:val="center"/>
                </w:tcPr>
                <w:p w14:paraId="4977D74C">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CO</w:t>
                  </w:r>
                </w:p>
              </w:tc>
              <w:tc>
                <w:tcPr>
                  <w:tcW w:w="1481" w:type="pct"/>
                  <w:tcBorders>
                    <w:bottom w:val="single" w:color="auto" w:sz="4" w:space="0"/>
                  </w:tcBorders>
                  <w:noWrap w:val="0"/>
                  <w:vAlign w:val="center"/>
                </w:tcPr>
                <w:p w14:paraId="6DB08F3F">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rFonts w:hint="eastAsia"/>
                      <w:color w:val="auto"/>
                      <w:spacing w:val="0"/>
                      <w:szCs w:val="21"/>
                      <w:highlight w:val="none"/>
                    </w:rPr>
                    <w:t>24小时平均第</w:t>
                  </w:r>
                  <w:r>
                    <w:rPr>
                      <w:color w:val="auto"/>
                      <w:spacing w:val="0"/>
                      <w:szCs w:val="21"/>
                      <w:highlight w:val="none"/>
                    </w:rPr>
                    <w:t>95</w:t>
                  </w:r>
                  <w:r>
                    <w:rPr>
                      <w:rFonts w:hint="eastAsia"/>
                      <w:color w:val="auto"/>
                      <w:spacing w:val="0"/>
                      <w:szCs w:val="21"/>
                      <w:highlight w:val="none"/>
                    </w:rPr>
                    <w:t>百分位浓度</w:t>
                  </w:r>
                </w:p>
              </w:tc>
              <w:tc>
                <w:tcPr>
                  <w:tcW w:w="978" w:type="pct"/>
                  <w:tcBorders>
                    <w:bottom w:val="single" w:color="auto" w:sz="4" w:space="0"/>
                  </w:tcBorders>
                  <w:noWrap w:val="0"/>
                  <w:vAlign w:val="center"/>
                </w:tcPr>
                <w:p w14:paraId="26AAA9C0">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1.2mg/m</w:t>
                  </w:r>
                  <w:r>
                    <w:rPr>
                      <w:rFonts w:hint="eastAsia"/>
                      <w:color w:val="auto"/>
                      <w:spacing w:val="0"/>
                      <w:sz w:val="21"/>
                      <w:szCs w:val="21"/>
                      <w:vertAlign w:val="superscript"/>
                      <w:lang w:val="en-US" w:eastAsia="zh-CN"/>
                    </w:rPr>
                    <w:t>3</w:t>
                  </w:r>
                </w:p>
              </w:tc>
              <w:tc>
                <w:tcPr>
                  <w:tcW w:w="892" w:type="pct"/>
                  <w:tcBorders>
                    <w:bottom w:val="single" w:color="auto" w:sz="4" w:space="0"/>
                  </w:tcBorders>
                  <w:noWrap w:val="0"/>
                  <w:vAlign w:val="center"/>
                </w:tcPr>
                <w:p w14:paraId="78BEC83A">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color w:val="auto"/>
                      <w:spacing w:val="0"/>
                      <w:sz w:val="21"/>
                      <w:szCs w:val="21"/>
                    </w:rPr>
                    <w:t>4</w:t>
                  </w:r>
                  <w:r>
                    <w:rPr>
                      <w:rFonts w:hint="eastAsia"/>
                      <w:color w:val="auto"/>
                      <w:spacing w:val="0"/>
                      <w:sz w:val="21"/>
                      <w:szCs w:val="21"/>
                      <w:lang w:val="en-US" w:eastAsia="zh-CN"/>
                    </w:rPr>
                    <w:t>mg/m</w:t>
                  </w:r>
                  <w:r>
                    <w:rPr>
                      <w:rFonts w:hint="eastAsia"/>
                      <w:color w:val="auto"/>
                      <w:spacing w:val="0"/>
                      <w:sz w:val="21"/>
                      <w:szCs w:val="21"/>
                      <w:vertAlign w:val="superscript"/>
                      <w:lang w:val="en-US" w:eastAsia="zh-CN"/>
                    </w:rPr>
                    <w:t>3</w:t>
                  </w:r>
                </w:p>
              </w:tc>
              <w:tc>
                <w:tcPr>
                  <w:tcW w:w="713" w:type="pct"/>
                  <w:tcBorders>
                    <w:bottom w:val="single" w:color="auto" w:sz="4" w:space="0"/>
                  </w:tcBorders>
                  <w:noWrap w:val="0"/>
                  <w:vAlign w:val="center"/>
                </w:tcPr>
                <w:p w14:paraId="1F539970">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30.00</w:t>
                  </w:r>
                </w:p>
              </w:tc>
              <w:tc>
                <w:tcPr>
                  <w:tcW w:w="492" w:type="pct"/>
                  <w:tcBorders>
                    <w:bottom w:val="single" w:color="auto" w:sz="4" w:space="0"/>
                  </w:tcBorders>
                  <w:noWrap w:val="0"/>
                  <w:vAlign w:val="center"/>
                </w:tcPr>
                <w:p w14:paraId="31E63CDC">
                  <w:pPr>
                    <w:keepNext w:val="0"/>
                    <w:keepLines w:val="0"/>
                    <w:widowControl/>
                    <w:suppressLineNumbers w:val="0"/>
                    <w:jc w:val="center"/>
                    <w:textAlignment w:val="center"/>
                    <w:rPr>
                      <w:rFonts w:hint="default" w:ascii="Times New Roman" w:hAnsi="Times New Roman" w:cs="Times New Roman"/>
                      <w:color w:val="auto"/>
                      <w:spacing w:val="0"/>
                      <w:sz w:val="21"/>
                      <w:szCs w:val="21"/>
                    </w:rPr>
                  </w:pPr>
                  <w:r>
                    <w:rPr>
                      <w:rFonts w:hint="default" w:ascii="Times New Roman" w:hAnsi="Times New Roman" w:eastAsia="宋体" w:cs="Times New Roman"/>
                      <w:i w:val="0"/>
                      <w:iCs w:val="0"/>
                      <w:color w:val="auto"/>
                      <w:kern w:val="0"/>
                      <w:sz w:val="21"/>
                      <w:szCs w:val="21"/>
                      <w:u w:val="none"/>
                      <w:lang w:val="en-US" w:eastAsia="zh-CN" w:bidi="ar"/>
                    </w:rPr>
                    <w:t>达标</w:t>
                  </w:r>
                </w:p>
              </w:tc>
            </w:tr>
            <w:tr w14:paraId="3A049B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40" w:type="pct"/>
                  <w:tcBorders>
                    <w:right w:val="single" w:color="auto" w:sz="6" w:space="0"/>
                  </w:tcBorders>
                  <w:noWrap w:val="0"/>
                  <w:vAlign w:val="center"/>
                </w:tcPr>
                <w:p w14:paraId="2FC32185">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O</w:t>
                  </w:r>
                  <w:r>
                    <w:rPr>
                      <w:color w:val="auto"/>
                      <w:spacing w:val="0"/>
                      <w:sz w:val="21"/>
                      <w:szCs w:val="21"/>
                      <w:vertAlign w:val="subscript"/>
                    </w:rPr>
                    <w:t>3</w:t>
                  </w:r>
                </w:p>
              </w:tc>
              <w:tc>
                <w:tcPr>
                  <w:tcW w:w="1481" w:type="pct"/>
                  <w:tcBorders>
                    <w:left w:val="single" w:color="auto" w:sz="6" w:space="0"/>
                    <w:right w:val="single" w:color="auto" w:sz="6" w:space="0"/>
                  </w:tcBorders>
                  <w:noWrap w:val="0"/>
                  <w:vAlign w:val="center"/>
                </w:tcPr>
                <w:p w14:paraId="5479BF77">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rFonts w:hint="eastAsia"/>
                      <w:color w:val="auto"/>
                      <w:spacing w:val="0"/>
                      <w:szCs w:val="21"/>
                      <w:highlight w:val="none"/>
                    </w:rPr>
                    <w:t>日最大8小时平均第</w:t>
                  </w:r>
                  <w:r>
                    <w:rPr>
                      <w:color w:val="auto"/>
                      <w:spacing w:val="0"/>
                      <w:szCs w:val="21"/>
                      <w:highlight w:val="none"/>
                    </w:rPr>
                    <w:t>90</w:t>
                  </w:r>
                  <w:r>
                    <w:rPr>
                      <w:rFonts w:hint="eastAsia"/>
                      <w:color w:val="auto"/>
                      <w:spacing w:val="0"/>
                      <w:szCs w:val="21"/>
                      <w:highlight w:val="none"/>
                    </w:rPr>
                    <w:t>百分位浓度</w:t>
                  </w:r>
                </w:p>
              </w:tc>
              <w:tc>
                <w:tcPr>
                  <w:tcW w:w="978" w:type="pct"/>
                  <w:tcBorders>
                    <w:left w:val="single" w:color="auto" w:sz="6" w:space="0"/>
                    <w:right w:val="single" w:color="auto" w:sz="6" w:space="0"/>
                  </w:tcBorders>
                  <w:noWrap w:val="0"/>
                  <w:vAlign w:val="center"/>
                </w:tcPr>
                <w:p w14:paraId="73F36A41">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170</w:t>
                  </w:r>
                </w:p>
              </w:tc>
              <w:tc>
                <w:tcPr>
                  <w:tcW w:w="892" w:type="pct"/>
                  <w:tcBorders>
                    <w:left w:val="single" w:color="auto" w:sz="6" w:space="0"/>
                    <w:right w:val="single" w:color="auto" w:sz="6" w:space="0"/>
                  </w:tcBorders>
                  <w:noWrap w:val="0"/>
                  <w:vAlign w:val="center"/>
                </w:tcPr>
                <w:p w14:paraId="111B27F6">
                  <w:pPr>
                    <w:pStyle w:val="68"/>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pacing w:val="0"/>
                      <w:sz w:val="21"/>
                      <w:szCs w:val="21"/>
                    </w:rPr>
                  </w:pPr>
                  <w:r>
                    <w:rPr>
                      <w:color w:val="auto"/>
                      <w:spacing w:val="0"/>
                      <w:sz w:val="21"/>
                      <w:szCs w:val="21"/>
                    </w:rPr>
                    <w:t>160</w:t>
                  </w:r>
                </w:p>
              </w:tc>
              <w:tc>
                <w:tcPr>
                  <w:tcW w:w="713" w:type="pct"/>
                  <w:tcBorders>
                    <w:left w:val="single" w:color="auto" w:sz="6" w:space="0"/>
                    <w:right w:val="single" w:color="auto" w:sz="6" w:space="0"/>
                  </w:tcBorders>
                  <w:noWrap w:val="0"/>
                  <w:vAlign w:val="center"/>
                </w:tcPr>
                <w:p w14:paraId="2642C63F">
                  <w:pPr>
                    <w:keepNext w:val="0"/>
                    <w:keepLines w:val="0"/>
                    <w:widowControl/>
                    <w:suppressLineNumbers w:val="0"/>
                    <w:jc w:val="center"/>
                    <w:textAlignment w:val="center"/>
                    <w:rPr>
                      <w:rFonts w:hint="default" w:ascii="Times New Roman" w:hAnsi="Times New Roman" w:eastAsia="宋体" w:cs="Times New Roman"/>
                      <w:color w:val="auto"/>
                      <w:spacing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106.25</w:t>
                  </w:r>
                </w:p>
              </w:tc>
              <w:tc>
                <w:tcPr>
                  <w:tcW w:w="492" w:type="pct"/>
                  <w:tcBorders>
                    <w:left w:val="single" w:color="auto" w:sz="6" w:space="0"/>
                  </w:tcBorders>
                  <w:noWrap w:val="0"/>
                  <w:vAlign w:val="center"/>
                </w:tcPr>
                <w:p w14:paraId="1497A2A5">
                  <w:pPr>
                    <w:keepNext w:val="0"/>
                    <w:keepLines w:val="0"/>
                    <w:widowControl/>
                    <w:suppressLineNumbers w:val="0"/>
                    <w:jc w:val="center"/>
                    <w:textAlignment w:val="center"/>
                    <w:rPr>
                      <w:rFonts w:hint="default" w:ascii="Times New Roman" w:hAnsi="Times New Roman" w:cs="Times New Roman"/>
                      <w:color w:val="auto"/>
                      <w:spacing w:val="0"/>
                      <w:sz w:val="21"/>
                      <w:szCs w:val="21"/>
                    </w:rPr>
                  </w:pPr>
                  <w:r>
                    <w:rPr>
                      <w:rFonts w:hint="default" w:ascii="Times New Roman" w:hAnsi="Times New Roman" w:eastAsia="宋体" w:cs="Times New Roman"/>
                      <w:i w:val="0"/>
                      <w:iCs w:val="0"/>
                      <w:color w:val="auto"/>
                      <w:kern w:val="0"/>
                      <w:sz w:val="21"/>
                      <w:szCs w:val="21"/>
                      <w:u w:val="none"/>
                      <w:lang w:val="en-US" w:eastAsia="zh-CN" w:bidi="ar"/>
                    </w:rPr>
                    <w:t>不达标</w:t>
                  </w:r>
                </w:p>
              </w:tc>
            </w:tr>
          </w:tbl>
          <w:p w14:paraId="7AE9605C">
            <w:pPr>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由上述统计结果可以看出，评价区域基本污染物中的PM</w:t>
            </w:r>
            <w:r>
              <w:rPr>
                <w:rFonts w:hint="default" w:ascii="Times New Roman" w:hAnsi="Times New Roman" w:cs="Times New Roman"/>
                <w:color w:val="auto"/>
                <w:sz w:val="24"/>
                <w:vertAlign w:val="subscript"/>
              </w:rPr>
              <w:t>2.5</w:t>
            </w:r>
            <w:r>
              <w:rPr>
                <w:rFonts w:hint="default" w:ascii="Times New Roman" w:hAnsi="Times New Roman" w:cs="Times New Roman"/>
                <w:color w:val="auto"/>
                <w:sz w:val="24"/>
              </w:rPr>
              <w:t>、PM</w:t>
            </w:r>
            <w:r>
              <w:rPr>
                <w:rFonts w:hint="default" w:ascii="Times New Roman" w:hAnsi="Times New Roman" w:cs="Times New Roman"/>
                <w:color w:val="auto"/>
                <w:sz w:val="24"/>
                <w:vertAlign w:val="subscript"/>
              </w:rPr>
              <w:t>10</w:t>
            </w:r>
            <w:r>
              <w:rPr>
                <w:rFonts w:hint="default" w:ascii="Times New Roman" w:hAnsi="Times New Roman" w:cs="Times New Roman"/>
                <w:color w:val="auto"/>
                <w:sz w:val="24"/>
              </w:rPr>
              <w:t>的年平均浓度</w:t>
            </w:r>
            <w:r>
              <w:rPr>
                <w:rFonts w:hint="eastAsia" w:cs="Times New Roman"/>
                <w:color w:val="auto"/>
                <w:sz w:val="24"/>
                <w:lang w:eastAsia="zh-CN"/>
              </w:rPr>
              <w:t>，</w:t>
            </w:r>
            <w:r>
              <w:rPr>
                <w:rFonts w:hint="default" w:ascii="Times New Roman" w:hAnsi="Times New Roman" w:cs="Times New Roman"/>
                <w:color w:val="auto"/>
                <w:sz w:val="24"/>
              </w:rPr>
              <w:t>O</w:t>
            </w:r>
            <w:r>
              <w:rPr>
                <w:rFonts w:hint="default" w:ascii="Times New Roman" w:hAnsi="Times New Roman" w:cs="Times New Roman"/>
                <w:color w:val="auto"/>
                <w:sz w:val="24"/>
                <w:vertAlign w:val="subscript"/>
              </w:rPr>
              <w:t>3</w:t>
            </w:r>
            <w:r>
              <w:rPr>
                <w:rFonts w:hint="eastAsia" w:cs="Times New Roman"/>
                <w:color w:val="auto"/>
                <w:sz w:val="24"/>
                <w:lang w:val="en-US" w:eastAsia="zh-CN"/>
              </w:rPr>
              <w:t>日最大</w:t>
            </w:r>
            <w:r>
              <w:rPr>
                <w:rFonts w:hint="default" w:ascii="Times New Roman" w:hAnsi="Times New Roman" w:cs="Times New Roman"/>
                <w:color w:val="auto"/>
                <w:sz w:val="24"/>
              </w:rPr>
              <w:t>8小时平均第90百分位数浓度均超出了《环境空气质量标准》（GB3095-2012）中二类标准限值；SO</w:t>
            </w:r>
            <w:r>
              <w:rPr>
                <w:rFonts w:hint="default" w:ascii="Times New Roman" w:hAnsi="Times New Roman" w:cs="Times New Roman"/>
                <w:color w:val="auto"/>
                <w:sz w:val="24"/>
                <w:vertAlign w:val="subscript"/>
              </w:rPr>
              <w:t>2</w:t>
            </w:r>
            <w:r>
              <w:rPr>
                <w:rFonts w:hint="eastAsia" w:cs="Times New Roman"/>
                <w:color w:val="auto"/>
                <w:sz w:val="24"/>
                <w:lang w:eastAsia="zh-CN"/>
              </w:rPr>
              <w:t>、</w:t>
            </w:r>
            <w:r>
              <w:rPr>
                <w:rFonts w:hint="eastAsia" w:cs="Times New Roman"/>
                <w:color w:val="auto"/>
                <w:sz w:val="24"/>
                <w:lang w:val="en-US" w:eastAsia="zh-CN"/>
              </w:rPr>
              <w:t>NO</w:t>
            </w:r>
            <w:r>
              <w:rPr>
                <w:rFonts w:hint="eastAsia" w:cs="Times New Roman"/>
                <w:color w:val="auto"/>
                <w:sz w:val="24"/>
                <w:vertAlign w:val="subscript"/>
                <w:lang w:val="en-US" w:eastAsia="zh-CN"/>
              </w:rPr>
              <w:t>2</w:t>
            </w:r>
            <w:r>
              <w:rPr>
                <w:rFonts w:hint="eastAsia" w:cs="Times New Roman"/>
                <w:color w:val="auto"/>
                <w:sz w:val="24"/>
                <w:lang w:val="en-US" w:eastAsia="zh-CN"/>
              </w:rPr>
              <w:t>年</w:t>
            </w:r>
            <w:r>
              <w:rPr>
                <w:rFonts w:hint="default" w:ascii="Times New Roman" w:hAnsi="Times New Roman" w:cs="Times New Roman"/>
                <w:color w:val="auto"/>
                <w:sz w:val="24"/>
              </w:rPr>
              <w:t>平均浓度，CO24小时平均浓度第95百分位</w:t>
            </w:r>
            <w:r>
              <w:rPr>
                <w:rFonts w:hint="eastAsia" w:cs="Times New Roman"/>
                <w:color w:val="auto"/>
                <w:sz w:val="24"/>
                <w:lang w:val="en-US" w:eastAsia="zh-CN"/>
              </w:rPr>
              <w:t>浓度</w:t>
            </w:r>
            <w:r>
              <w:rPr>
                <w:rFonts w:hint="default" w:ascii="Times New Roman" w:hAnsi="Times New Roman" w:cs="Times New Roman"/>
                <w:color w:val="auto"/>
                <w:sz w:val="24"/>
              </w:rPr>
              <w:t>符合《环境空气质量标准》（GB3095-2012）中</w:t>
            </w:r>
            <w:r>
              <w:rPr>
                <w:rFonts w:hint="eastAsia" w:cs="Times New Roman"/>
                <w:color w:val="auto"/>
                <w:sz w:val="24"/>
                <w:lang w:val="en-US" w:eastAsia="zh-CN"/>
              </w:rPr>
              <w:t>二级</w:t>
            </w:r>
            <w:r>
              <w:rPr>
                <w:rFonts w:hint="default" w:ascii="Times New Roman" w:hAnsi="Times New Roman" w:cs="Times New Roman"/>
                <w:color w:val="auto"/>
                <w:sz w:val="24"/>
              </w:rPr>
              <w:t>标准限值的要求。</w:t>
            </w:r>
            <w:r>
              <w:rPr>
                <w:rFonts w:hint="eastAsia" w:cs="Times New Roman"/>
                <w:color w:val="auto"/>
                <w:sz w:val="24"/>
                <w:lang w:val="en-US" w:eastAsia="zh-CN"/>
              </w:rPr>
              <w:t>因此，本项目所在区域属于不达标区域。</w:t>
            </w:r>
          </w:p>
          <w:p w14:paraId="3D58D8CA">
            <w:pPr>
              <w:wordWrap w:val="0"/>
              <w:adjustRightInd w:val="0"/>
              <w:snapToGrid w:val="0"/>
              <w:spacing w:line="360" w:lineRule="auto"/>
              <w:ind w:firstLine="482" w:firstLineChars="200"/>
              <w:outlineLvl w:val="3"/>
              <w:rPr>
                <w:rFonts w:hint="default" w:ascii="Times New Roman" w:hAnsi="Times New Roman" w:cs="Times New Roman"/>
                <w:b/>
                <w:bCs/>
                <w:color w:val="auto"/>
                <w:sz w:val="24"/>
              </w:rPr>
            </w:pPr>
            <w:r>
              <w:rPr>
                <w:rFonts w:hint="default" w:ascii="Times New Roman" w:hAnsi="Times New Roman" w:cs="Times New Roman"/>
                <w:b/>
                <w:bCs/>
                <w:color w:val="auto"/>
                <w:sz w:val="24"/>
              </w:rPr>
              <w:t>2、特征污染物环境质量状况</w:t>
            </w:r>
          </w:p>
          <w:p w14:paraId="4B708D6C">
            <w:pPr>
              <w:pStyle w:val="68"/>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根据《建设项目环境影响报告表编制技术指南（污染影响类）（试行）》中区域环境质量现状大气环境的有关规定，</w:t>
            </w:r>
            <w:r>
              <w:rPr>
                <w:rFonts w:hint="eastAsia" w:cs="Times New Roman"/>
                <w:color w:val="auto"/>
                <w:sz w:val="24"/>
                <w:szCs w:val="24"/>
                <w:lang w:eastAsia="zh-CN"/>
              </w:rPr>
              <w:t>“</w:t>
            </w:r>
            <w:r>
              <w:rPr>
                <w:rFonts w:hint="default" w:ascii="Times New Roman" w:hAnsi="Times New Roman" w:cs="Times New Roman"/>
                <w:color w:val="auto"/>
                <w:sz w:val="24"/>
                <w:szCs w:val="24"/>
              </w:rPr>
              <w:t>排放国家、地方环境空气质量标准中有标准限值要求的特征污染物时，引用建设项目周边5千米范围内近3年的现有监测数据，无相关数据的选择当季主导风向下风向1个点位补充不少于3天的</w:t>
            </w:r>
            <w:r>
              <w:rPr>
                <w:rFonts w:hint="eastAsia" w:cs="Times New Roman"/>
                <w:color w:val="auto"/>
                <w:sz w:val="24"/>
                <w:szCs w:val="24"/>
                <w:lang w:eastAsia="zh-CN"/>
              </w:rPr>
              <w:t>监测数据”</w:t>
            </w:r>
            <w:r>
              <w:rPr>
                <w:rFonts w:hint="default" w:ascii="Times New Roman" w:hAnsi="Times New Roman" w:cs="Times New Roman"/>
                <w:color w:val="auto"/>
                <w:sz w:val="24"/>
                <w:szCs w:val="24"/>
              </w:rPr>
              <w:t>的要求。本项目</w:t>
            </w:r>
            <w:r>
              <w:rPr>
                <w:rFonts w:hint="eastAsia" w:cs="Times New Roman"/>
                <w:color w:val="auto"/>
                <w:sz w:val="24"/>
                <w:szCs w:val="24"/>
                <w:lang w:val="en-US" w:eastAsia="zh-CN"/>
              </w:rPr>
              <w:t>特征污染物为非甲烷总烃、硫酸雾、氯化氢、氮氧化物、氨等，但</w:t>
            </w:r>
            <w:r>
              <w:rPr>
                <w:rFonts w:hint="default" w:ascii="Times New Roman" w:hAnsi="Times New Roman" w:cs="Times New Roman"/>
                <w:color w:val="auto"/>
                <w:sz w:val="24"/>
                <w:szCs w:val="24"/>
              </w:rPr>
              <w:t>国家、地方环境空气质量标准中无相应标准限值要求，故不进行特征污染物的补充监测。</w:t>
            </w:r>
          </w:p>
          <w:p w14:paraId="48C8D754">
            <w:pPr>
              <w:adjustRightInd w:val="0"/>
              <w:snapToGrid w:val="0"/>
              <w:spacing w:line="360" w:lineRule="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（二）声环境</w:t>
            </w:r>
            <w:r>
              <w:rPr>
                <w:rFonts w:hint="eastAsia" w:cs="Times New Roman"/>
                <w:b/>
                <w:color w:val="auto"/>
                <w:sz w:val="24"/>
                <w:highlight w:val="none"/>
                <w:lang w:val="en-US" w:eastAsia="zh-CN"/>
              </w:rPr>
              <w:t>质量</w:t>
            </w:r>
            <w:r>
              <w:rPr>
                <w:rFonts w:hint="default" w:ascii="Times New Roman" w:hAnsi="Times New Roman" w:cs="Times New Roman"/>
                <w:b/>
                <w:color w:val="auto"/>
                <w:sz w:val="24"/>
                <w:highlight w:val="none"/>
              </w:rPr>
              <w:t>现状监测</w:t>
            </w:r>
          </w:p>
          <w:p w14:paraId="59938D5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lang w:eastAsia="zh-CN"/>
              </w:rPr>
            </w:pPr>
            <w:r>
              <w:rPr>
                <w:rFonts w:hint="default" w:ascii="Times New Roman" w:hAnsi="Times New Roman" w:cs="Times New Roman"/>
                <w:color w:val="auto"/>
                <w:sz w:val="24"/>
              </w:rPr>
              <w:t>根据现场调查，企业</w:t>
            </w:r>
            <w:r>
              <w:rPr>
                <w:rFonts w:hint="eastAsia" w:cs="Times New Roman"/>
                <w:color w:val="auto"/>
                <w:sz w:val="24"/>
                <w:lang w:val="en-US" w:eastAsia="zh-CN"/>
              </w:rPr>
              <w:t>厂界外周边</w:t>
            </w:r>
            <w:r>
              <w:rPr>
                <w:rFonts w:hint="default" w:ascii="Times New Roman" w:hAnsi="Times New Roman" w:cs="Times New Roman"/>
                <w:color w:val="auto"/>
                <w:sz w:val="24"/>
              </w:rPr>
              <w:t>50m范围</w:t>
            </w:r>
            <w:r>
              <w:rPr>
                <w:rFonts w:hint="eastAsia" w:cs="Times New Roman"/>
                <w:color w:val="auto"/>
                <w:sz w:val="24"/>
                <w:lang w:val="en-US" w:eastAsia="zh-CN"/>
              </w:rPr>
              <w:t>内有居民区，具体为南侧天健望湖大观1号楼、北侧天健望湖大观2号楼</w:t>
            </w:r>
            <w:r>
              <w:rPr>
                <w:rFonts w:hint="default" w:ascii="Times New Roman" w:hAnsi="Times New Roman" w:cs="Times New Roman"/>
                <w:color w:val="auto"/>
                <w:sz w:val="24"/>
              </w:rPr>
              <w:t>，根据《建设项目环境影响报告表编制技术指南</w:t>
            </w:r>
            <w:r>
              <w:rPr>
                <w:rFonts w:hint="eastAsia" w:cs="Times New Roman"/>
                <w:color w:val="auto"/>
                <w:sz w:val="24"/>
                <w:lang w:eastAsia="zh-CN"/>
              </w:rPr>
              <w:t>（</w:t>
            </w:r>
            <w:r>
              <w:rPr>
                <w:rFonts w:hint="default" w:ascii="Times New Roman" w:hAnsi="Times New Roman" w:cs="Times New Roman"/>
                <w:color w:val="auto"/>
                <w:sz w:val="24"/>
              </w:rPr>
              <w:t>污染影响类</w:t>
            </w:r>
            <w:r>
              <w:rPr>
                <w:rFonts w:hint="eastAsia" w:cs="Times New Roman"/>
                <w:color w:val="auto"/>
                <w:sz w:val="24"/>
                <w:lang w:eastAsia="zh-CN"/>
              </w:rPr>
              <w:t>）（</w:t>
            </w:r>
            <w:r>
              <w:rPr>
                <w:rFonts w:hint="default" w:ascii="Times New Roman" w:hAnsi="Times New Roman" w:cs="Times New Roman"/>
                <w:color w:val="auto"/>
                <w:sz w:val="24"/>
              </w:rPr>
              <w:t>试行</w:t>
            </w:r>
            <w:r>
              <w:rPr>
                <w:rFonts w:hint="eastAsia" w:cs="Times New Roman"/>
                <w:color w:val="auto"/>
                <w:sz w:val="24"/>
                <w:lang w:eastAsia="zh-CN"/>
              </w:rPr>
              <w:t>）</w:t>
            </w:r>
            <w:r>
              <w:rPr>
                <w:rFonts w:hint="default" w:ascii="Times New Roman" w:hAnsi="Times New Roman" w:cs="Times New Roman"/>
                <w:color w:val="auto"/>
                <w:sz w:val="24"/>
              </w:rPr>
              <w:t>》，</w:t>
            </w:r>
            <w:r>
              <w:rPr>
                <w:rFonts w:hint="eastAsia" w:cs="Times New Roman"/>
                <w:color w:val="auto"/>
                <w:sz w:val="24"/>
                <w:lang w:val="en-US" w:eastAsia="zh-CN"/>
              </w:rPr>
              <w:t>本</w:t>
            </w:r>
            <w:r>
              <w:rPr>
                <w:rFonts w:hint="default" w:ascii="Times New Roman" w:hAnsi="Times New Roman" w:cs="Times New Roman"/>
                <w:color w:val="auto"/>
                <w:sz w:val="24"/>
              </w:rPr>
              <w:t>项目于天健望湖大观1号楼一至四层设置</w:t>
            </w:r>
            <w:r>
              <w:rPr>
                <w:rFonts w:hint="eastAsia" w:cs="Times New Roman"/>
                <w:color w:val="auto"/>
                <w:sz w:val="24"/>
                <w:lang w:val="en-US" w:eastAsia="zh-CN"/>
              </w:rPr>
              <w:t>4</w:t>
            </w:r>
            <w:r>
              <w:rPr>
                <w:rFonts w:hint="default" w:ascii="Times New Roman" w:hAnsi="Times New Roman" w:cs="Times New Roman"/>
                <w:color w:val="auto"/>
                <w:sz w:val="24"/>
              </w:rPr>
              <w:t>个监测点</w:t>
            </w:r>
            <w:r>
              <w:rPr>
                <w:rFonts w:hint="eastAsia" w:cs="Times New Roman"/>
                <w:color w:val="auto"/>
                <w:sz w:val="24"/>
                <w:lang w:eastAsia="zh-CN"/>
              </w:rPr>
              <w:t>、</w:t>
            </w:r>
            <w:r>
              <w:rPr>
                <w:rFonts w:hint="eastAsia" w:cs="Times New Roman"/>
                <w:color w:val="auto"/>
                <w:sz w:val="24"/>
                <w:lang w:val="en-US" w:eastAsia="zh-CN"/>
              </w:rPr>
              <w:t>于天健望湖大观2号楼三层设置1个监测点，</w:t>
            </w:r>
            <w:r>
              <w:rPr>
                <w:rFonts w:hint="default" w:ascii="Times New Roman" w:hAnsi="Times New Roman" w:cs="Times New Roman"/>
                <w:color w:val="auto"/>
                <w:sz w:val="24"/>
              </w:rPr>
              <w:t>共</w:t>
            </w:r>
            <w:r>
              <w:rPr>
                <w:rFonts w:hint="eastAsia" w:cs="Times New Roman"/>
                <w:color w:val="auto"/>
                <w:sz w:val="24"/>
                <w:lang w:val="en-US" w:eastAsia="zh-CN"/>
              </w:rPr>
              <w:t>5</w:t>
            </w:r>
            <w:r>
              <w:rPr>
                <w:rFonts w:hint="default" w:ascii="Times New Roman" w:hAnsi="Times New Roman" w:cs="Times New Roman"/>
                <w:color w:val="auto"/>
                <w:sz w:val="24"/>
              </w:rPr>
              <w:t>个监测点。</w:t>
            </w:r>
            <w:r>
              <w:rPr>
                <w:rFonts w:hint="default" w:ascii="Times New Roman" w:hAnsi="Times New Roman" w:cs="Times New Roman"/>
                <w:color w:val="auto"/>
                <w:sz w:val="24"/>
                <w:lang w:val="en-US" w:eastAsia="zh-CN"/>
              </w:rPr>
              <w:t>根据《西安市声环境功能区划方案》（市政办函</w:t>
            </w:r>
            <w:r>
              <w:rPr>
                <w:rFonts w:hint="eastAsia" w:cs="Times New Roman"/>
                <w:color w:val="auto"/>
                <w:sz w:val="24"/>
                <w:lang w:val="en-US" w:eastAsia="zh-CN"/>
              </w:rPr>
              <w:t>〔2019〕107号</w:t>
            </w:r>
            <w:r>
              <w:rPr>
                <w:rFonts w:hint="default" w:ascii="Times New Roman" w:hAnsi="Times New Roman" w:cs="Times New Roman"/>
                <w:color w:val="auto"/>
                <w:sz w:val="24"/>
                <w:lang w:val="en-US" w:eastAsia="zh-CN"/>
              </w:rPr>
              <w:t>），本项目声环境敏感点所在区域位于</w:t>
            </w:r>
            <w:r>
              <w:rPr>
                <w:rFonts w:hint="eastAsia" w:cs="Times New Roman"/>
                <w:color w:val="auto"/>
                <w:sz w:val="24"/>
                <w:lang w:val="en-US" w:eastAsia="zh-CN"/>
              </w:rPr>
              <w:t>1</w:t>
            </w:r>
            <w:r>
              <w:rPr>
                <w:rFonts w:hint="default" w:ascii="Times New Roman" w:hAnsi="Times New Roman" w:cs="Times New Roman"/>
                <w:color w:val="auto"/>
                <w:sz w:val="24"/>
                <w:lang w:val="en-US" w:eastAsia="zh-CN"/>
              </w:rPr>
              <w:t>类标准区，因此声环境现状</w:t>
            </w:r>
            <w:r>
              <w:rPr>
                <w:rFonts w:hint="default" w:ascii="Times New Roman" w:hAnsi="Times New Roman" w:cs="Times New Roman"/>
                <w:color w:val="auto"/>
                <w:sz w:val="24"/>
                <w:lang w:eastAsia="zh-CN"/>
              </w:rPr>
              <w:t>执行《声环境质量标准》（</w:t>
            </w:r>
            <w:r>
              <w:rPr>
                <w:rFonts w:hint="default" w:ascii="Times New Roman" w:hAnsi="Times New Roman" w:cs="Times New Roman"/>
                <w:color w:val="auto"/>
                <w:sz w:val="24"/>
                <w:lang w:val="en-US" w:eastAsia="zh-CN"/>
              </w:rPr>
              <w:t>GB3096-2008</w:t>
            </w:r>
            <w:r>
              <w:rPr>
                <w:rFonts w:hint="default" w:ascii="Times New Roman" w:hAnsi="Times New Roman" w:cs="Times New Roman"/>
                <w:color w:val="auto"/>
                <w:sz w:val="24"/>
                <w:lang w:eastAsia="zh-CN"/>
              </w:rPr>
              <w:t>）</w:t>
            </w:r>
            <w:r>
              <w:rPr>
                <w:rFonts w:hint="eastAsia" w:cs="Times New Roman"/>
                <w:color w:val="auto"/>
                <w:sz w:val="24"/>
                <w:lang w:val="en-US" w:eastAsia="zh-CN"/>
              </w:rPr>
              <w:t>1</w:t>
            </w:r>
            <w:r>
              <w:rPr>
                <w:rFonts w:hint="default" w:ascii="Times New Roman" w:hAnsi="Times New Roman" w:cs="Times New Roman"/>
                <w:color w:val="auto"/>
                <w:sz w:val="24"/>
              </w:rPr>
              <w:t>类</w:t>
            </w:r>
            <w:r>
              <w:rPr>
                <w:rFonts w:hint="default" w:ascii="Times New Roman" w:hAnsi="Times New Roman" w:cs="Times New Roman"/>
                <w:color w:val="auto"/>
                <w:sz w:val="24"/>
                <w:lang w:eastAsia="zh-CN"/>
              </w:rPr>
              <w:t>标准。</w:t>
            </w:r>
          </w:p>
          <w:p w14:paraId="1F11490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lang w:eastAsia="zh-CN"/>
              </w:rPr>
            </w:pPr>
            <w:r>
              <w:rPr>
                <w:rFonts w:hint="default" w:ascii="Times New Roman" w:hAnsi="Times New Roman" w:cs="Times New Roman"/>
                <w:color w:val="auto"/>
                <w:sz w:val="24"/>
                <w:lang w:val="en-US" w:eastAsia="zh-CN"/>
              </w:rPr>
              <w:t>2025年</w:t>
            </w:r>
            <w:r>
              <w:rPr>
                <w:rFonts w:hint="eastAsia" w:cs="Times New Roman"/>
                <w:color w:val="auto"/>
                <w:sz w:val="24"/>
                <w:lang w:val="en-US" w:eastAsia="zh-CN"/>
              </w:rPr>
              <w:t>4</w:t>
            </w:r>
            <w:r>
              <w:rPr>
                <w:rFonts w:hint="default" w:ascii="Times New Roman" w:hAnsi="Times New Roman" w:cs="Times New Roman"/>
                <w:color w:val="auto"/>
                <w:sz w:val="24"/>
                <w:lang w:val="en-US" w:eastAsia="zh-CN"/>
              </w:rPr>
              <w:t>月</w:t>
            </w:r>
            <w:r>
              <w:rPr>
                <w:rFonts w:hint="eastAsia" w:cs="Times New Roman"/>
                <w:color w:val="auto"/>
                <w:sz w:val="24"/>
                <w:lang w:val="en-US" w:eastAsia="zh-CN"/>
              </w:rPr>
              <w:t>2</w:t>
            </w:r>
            <w:r>
              <w:rPr>
                <w:rFonts w:hint="default" w:ascii="Times New Roman" w:hAnsi="Times New Roman" w:cs="Times New Roman"/>
                <w:color w:val="auto"/>
                <w:sz w:val="24"/>
                <w:lang w:val="en-US" w:eastAsia="zh-CN"/>
              </w:rPr>
              <w:t>日，</w:t>
            </w:r>
            <w:r>
              <w:rPr>
                <w:rFonts w:hint="eastAsia" w:cs="Times New Roman"/>
                <w:color w:val="auto"/>
                <w:sz w:val="24"/>
                <w:lang w:val="en-US" w:eastAsia="zh-CN"/>
              </w:rPr>
              <w:t>陕西环宇百嘉检测服务有限公司</w:t>
            </w:r>
            <w:r>
              <w:rPr>
                <w:rFonts w:hint="default" w:ascii="Times New Roman" w:hAnsi="Times New Roman" w:cs="Times New Roman"/>
                <w:color w:val="auto"/>
                <w:sz w:val="24"/>
                <w:lang w:val="en-US" w:eastAsia="zh-CN"/>
              </w:rPr>
              <w:t>委托陕西明铖检测技术有限公司对敏感目标声环境质量进行了监测。</w:t>
            </w:r>
            <w:r>
              <w:rPr>
                <w:rFonts w:hint="default" w:ascii="Times New Roman" w:hAnsi="Times New Roman" w:cs="Times New Roman"/>
                <w:color w:val="auto"/>
                <w:sz w:val="24"/>
                <w:lang w:eastAsia="zh-CN"/>
              </w:rPr>
              <w:t>监测结果见表</w:t>
            </w:r>
            <w:r>
              <w:rPr>
                <w:rFonts w:hint="default" w:ascii="Times New Roman" w:hAnsi="Times New Roman" w:cs="Times New Roman"/>
                <w:color w:val="auto"/>
                <w:sz w:val="24"/>
                <w:lang w:val="en-US" w:eastAsia="zh-CN"/>
              </w:rPr>
              <w:t>3-2</w:t>
            </w:r>
            <w:r>
              <w:rPr>
                <w:rFonts w:hint="default" w:ascii="Times New Roman" w:hAnsi="Times New Roman" w:cs="Times New Roman"/>
                <w:color w:val="auto"/>
                <w:sz w:val="24"/>
                <w:lang w:eastAsia="zh-CN"/>
              </w:rPr>
              <w:t>，监测点位图见附图</w:t>
            </w:r>
            <w:r>
              <w:rPr>
                <w:rFonts w:hint="default" w:ascii="Times New Roman" w:hAnsi="Times New Roman" w:cs="Times New Roman"/>
                <w:color w:val="auto"/>
                <w:sz w:val="24"/>
                <w:lang w:val="en-US" w:eastAsia="zh-CN"/>
              </w:rPr>
              <w:t>5，监测报告见附件4</w:t>
            </w:r>
            <w:r>
              <w:rPr>
                <w:rFonts w:hint="default" w:ascii="Times New Roman" w:hAnsi="Times New Roman" w:cs="Times New Roman"/>
                <w:color w:val="auto"/>
                <w:sz w:val="24"/>
                <w:lang w:eastAsia="zh-CN"/>
              </w:rPr>
              <w:t>。</w:t>
            </w:r>
          </w:p>
          <w:p w14:paraId="1DF929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rPr>
              <w:t>表3-</w:t>
            </w:r>
            <w:r>
              <w:rPr>
                <w:rFonts w:hint="default" w:ascii="Times New Roman" w:hAnsi="Times New Roman" w:cs="Times New Roman"/>
                <w:b/>
                <w:bCs/>
                <w:color w:val="auto"/>
                <w:sz w:val="21"/>
                <w:szCs w:val="21"/>
                <w:lang w:val="en-US" w:eastAsia="zh-CN"/>
              </w:rPr>
              <w:t>2</w:t>
            </w:r>
            <w:r>
              <w:rPr>
                <w:rFonts w:hint="default" w:ascii="Times New Roman" w:hAnsi="Times New Roman" w:cs="Times New Roman"/>
                <w:b/>
                <w:bCs/>
                <w:color w:val="auto"/>
                <w:sz w:val="21"/>
                <w:szCs w:val="21"/>
              </w:rPr>
              <w:t xml:space="preserve"> 噪声</w:t>
            </w:r>
            <w:r>
              <w:rPr>
                <w:rFonts w:hint="default" w:ascii="Times New Roman" w:hAnsi="Times New Roman" w:cs="Times New Roman"/>
                <w:b/>
                <w:bCs/>
                <w:color w:val="auto"/>
                <w:sz w:val="21"/>
                <w:szCs w:val="21"/>
                <w:lang w:val="en-US" w:eastAsia="zh-CN"/>
              </w:rPr>
              <w:t>现状</w:t>
            </w:r>
            <w:r>
              <w:rPr>
                <w:rFonts w:hint="default" w:ascii="Times New Roman" w:hAnsi="Times New Roman" w:cs="Times New Roman"/>
                <w:b/>
                <w:bCs/>
                <w:color w:val="auto"/>
                <w:sz w:val="21"/>
                <w:szCs w:val="21"/>
              </w:rPr>
              <w:t>监测结果统计表</w:t>
            </w:r>
            <w:r>
              <w:rPr>
                <w:rFonts w:hint="default" w:ascii="Times New Roman" w:hAnsi="Times New Roman" w:cs="Times New Roman"/>
                <w:b/>
                <w:bCs/>
                <w:color w:val="auto"/>
                <w:sz w:val="21"/>
                <w:szCs w:val="21"/>
                <w:lang w:val="en-US" w:eastAsia="zh-CN"/>
              </w:rPr>
              <w:t xml:space="preserve">             单位：</w:t>
            </w:r>
            <w:r>
              <w:rPr>
                <w:rFonts w:hint="default" w:ascii="Times New Roman" w:hAnsi="Times New Roman" w:cs="Times New Roman"/>
                <w:b/>
                <w:bCs/>
                <w:color w:val="auto"/>
                <w:sz w:val="21"/>
                <w:szCs w:val="21"/>
              </w:rPr>
              <w:t>dB(A)</w:t>
            </w:r>
          </w:p>
          <w:tbl>
            <w:tblPr>
              <w:tblStyle w:val="30"/>
              <w:tblW w:w="4996"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5668"/>
              <w:gridCol w:w="2253"/>
            </w:tblGrid>
            <w:tr w14:paraId="3849AB3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tcBorders>
                    <w:tl2br w:val="nil"/>
                    <w:tr2bl w:val="nil"/>
                  </w:tcBorders>
                  <w:noWrap w:val="0"/>
                  <w:vAlign w:val="center"/>
                </w:tcPr>
                <w:p w14:paraId="5CD2DB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3171" w:type="pct"/>
                  <w:tcBorders>
                    <w:tl2br w:val="nil"/>
                    <w:tr2bl w:val="nil"/>
                  </w:tcBorders>
                  <w:noWrap w:val="0"/>
                  <w:vAlign w:val="center"/>
                </w:tcPr>
                <w:p w14:paraId="7C61C4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1261" w:type="pct"/>
                  <w:tcBorders>
                    <w:tl2br w:val="nil"/>
                    <w:tr2bl w:val="nil"/>
                  </w:tcBorders>
                  <w:noWrap w:val="0"/>
                  <w:vAlign w:val="center"/>
                </w:tcPr>
                <w:p w14:paraId="200381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昼间</w:t>
                  </w:r>
                  <w:r>
                    <w:rPr>
                      <w:rFonts w:hint="default" w:ascii="Times New Roman" w:hAnsi="Times New Roman" w:cs="Times New Roman"/>
                      <w:b/>
                      <w:bCs/>
                      <w:color w:val="auto"/>
                      <w:sz w:val="21"/>
                      <w:szCs w:val="21"/>
                    </w:rPr>
                    <w:t>监测结果</w:t>
                  </w:r>
                </w:p>
              </w:tc>
            </w:tr>
            <w:tr w14:paraId="3300736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tcBorders>
                    <w:tl2br w:val="nil"/>
                    <w:tr2bl w:val="nil"/>
                  </w:tcBorders>
                  <w:noWrap w:val="0"/>
                  <w:vAlign w:val="center"/>
                </w:tcPr>
                <w:p w14:paraId="60710A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3171" w:type="pct"/>
                  <w:tcBorders>
                    <w:tl2br w:val="nil"/>
                    <w:tr2bl w:val="nil"/>
                  </w:tcBorders>
                  <w:noWrap w:val="0"/>
                  <w:vAlign w:val="center"/>
                </w:tcPr>
                <w:p w14:paraId="5B42AF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南侧居民楼（天健望湖大观1号楼）一楼1#</w:t>
                  </w:r>
                </w:p>
              </w:tc>
              <w:tc>
                <w:tcPr>
                  <w:tcW w:w="1261" w:type="pct"/>
                  <w:tcBorders>
                    <w:tl2br w:val="nil"/>
                    <w:tr2bl w:val="nil"/>
                  </w:tcBorders>
                  <w:noWrap w:val="0"/>
                  <w:vAlign w:val="center"/>
                </w:tcPr>
                <w:p w14:paraId="3478E7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46</w:t>
                  </w:r>
                </w:p>
              </w:tc>
            </w:tr>
            <w:tr w14:paraId="6B31B46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tcBorders>
                    <w:tl2br w:val="nil"/>
                    <w:tr2bl w:val="nil"/>
                  </w:tcBorders>
                  <w:noWrap w:val="0"/>
                  <w:vAlign w:val="center"/>
                </w:tcPr>
                <w:p w14:paraId="43360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3171" w:type="pct"/>
                  <w:tcBorders>
                    <w:tl2br w:val="nil"/>
                    <w:tr2bl w:val="nil"/>
                  </w:tcBorders>
                  <w:noWrap w:val="0"/>
                  <w:vAlign w:val="center"/>
                </w:tcPr>
                <w:p w14:paraId="70E213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南侧居民楼（天健望湖大观1号楼）</w:t>
                  </w:r>
                  <w:r>
                    <w:rPr>
                      <w:rFonts w:hint="eastAsia" w:ascii="Times New Roman" w:hAnsi="Times New Roman" w:cs="Times New Roman"/>
                      <w:color w:val="auto"/>
                      <w:sz w:val="21"/>
                      <w:szCs w:val="21"/>
                      <w:lang w:val="en-US" w:eastAsia="zh-CN"/>
                    </w:rPr>
                    <w:t>二</w:t>
                  </w:r>
                  <w:r>
                    <w:rPr>
                      <w:rFonts w:hint="default" w:ascii="Times New Roman" w:hAnsi="Times New Roman" w:cs="Times New Roman"/>
                      <w:color w:val="auto"/>
                      <w:sz w:val="21"/>
                      <w:szCs w:val="21"/>
                      <w:lang w:val="en-US" w:eastAsia="zh-CN"/>
                    </w:rPr>
                    <w:t>楼</w:t>
                  </w: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p>
              </w:tc>
              <w:tc>
                <w:tcPr>
                  <w:tcW w:w="1261" w:type="pct"/>
                  <w:tcBorders>
                    <w:tl2br w:val="nil"/>
                    <w:tr2bl w:val="nil"/>
                  </w:tcBorders>
                  <w:noWrap w:val="0"/>
                  <w:vAlign w:val="center"/>
                </w:tcPr>
                <w:p w14:paraId="268404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48</w:t>
                  </w:r>
                </w:p>
              </w:tc>
            </w:tr>
            <w:tr w14:paraId="280DDF0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tcBorders>
                    <w:tl2br w:val="nil"/>
                    <w:tr2bl w:val="nil"/>
                  </w:tcBorders>
                  <w:noWrap w:val="0"/>
                  <w:vAlign w:val="center"/>
                </w:tcPr>
                <w:p w14:paraId="1109B3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w:t>
                  </w:r>
                </w:p>
              </w:tc>
              <w:tc>
                <w:tcPr>
                  <w:tcW w:w="3171" w:type="pct"/>
                  <w:tcBorders>
                    <w:tl2br w:val="nil"/>
                    <w:tr2bl w:val="nil"/>
                  </w:tcBorders>
                  <w:noWrap w:val="0"/>
                  <w:vAlign w:val="center"/>
                </w:tcPr>
                <w:p w14:paraId="441EAA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南侧居民楼（天健望湖大观1号楼）</w:t>
                  </w:r>
                  <w:r>
                    <w:rPr>
                      <w:rFonts w:hint="eastAsia" w:ascii="Times New Roman" w:hAnsi="Times New Roman" w:cs="Times New Roman"/>
                      <w:color w:val="auto"/>
                      <w:sz w:val="21"/>
                      <w:szCs w:val="21"/>
                      <w:lang w:val="en-US" w:eastAsia="zh-CN"/>
                    </w:rPr>
                    <w:t>三</w:t>
                  </w:r>
                  <w:r>
                    <w:rPr>
                      <w:rFonts w:hint="default" w:ascii="Times New Roman" w:hAnsi="Times New Roman" w:cs="Times New Roman"/>
                      <w:color w:val="auto"/>
                      <w:sz w:val="21"/>
                      <w:szCs w:val="21"/>
                      <w:lang w:val="en-US" w:eastAsia="zh-CN"/>
                    </w:rPr>
                    <w:t>楼</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p>
              </w:tc>
              <w:tc>
                <w:tcPr>
                  <w:tcW w:w="1261" w:type="pct"/>
                  <w:tcBorders>
                    <w:tl2br w:val="nil"/>
                    <w:tr2bl w:val="nil"/>
                  </w:tcBorders>
                  <w:noWrap w:val="0"/>
                  <w:vAlign w:val="center"/>
                </w:tcPr>
                <w:p w14:paraId="4A70A3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47</w:t>
                  </w:r>
                </w:p>
              </w:tc>
            </w:tr>
            <w:tr w14:paraId="1406EB0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tcBorders>
                    <w:tl2br w:val="nil"/>
                    <w:tr2bl w:val="nil"/>
                  </w:tcBorders>
                  <w:noWrap w:val="0"/>
                  <w:vAlign w:val="center"/>
                </w:tcPr>
                <w:p w14:paraId="0CD095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3171" w:type="pct"/>
                  <w:tcBorders>
                    <w:tl2br w:val="nil"/>
                    <w:tr2bl w:val="nil"/>
                  </w:tcBorders>
                  <w:noWrap w:val="0"/>
                  <w:vAlign w:val="center"/>
                </w:tcPr>
                <w:p w14:paraId="4D6FD7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南侧居民楼（天健望湖大观1号楼）</w:t>
                  </w:r>
                  <w:r>
                    <w:rPr>
                      <w:rFonts w:hint="eastAsia" w:ascii="Times New Roman" w:hAnsi="Times New Roman" w:cs="Times New Roman"/>
                      <w:color w:val="auto"/>
                      <w:sz w:val="21"/>
                      <w:szCs w:val="21"/>
                      <w:lang w:val="en-US" w:eastAsia="zh-CN"/>
                    </w:rPr>
                    <w:t>四</w:t>
                  </w:r>
                  <w:r>
                    <w:rPr>
                      <w:rFonts w:hint="default" w:ascii="Times New Roman" w:hAnsi="Times New Roman" w:cs="Times New Roman"/>
                      <w:color w:val="auto"/>
                      <w:sz w:val="21"/>
                      <w:szCs w:val="21"/>
                      <w:lang w:val="en-US" w:eastAsia="zh-CN"/>
                    </w:rPr>
                    <w:t>楼</w:t>
                  </w:r>
                  <w:r>
                    <w:rPr>
                      <w:rFonts w:hint="eastAsia"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lang w:val="en-US" w:eastAsia="zh-CN"/>
                    </w:rPr>
                    <w:t>#</w:t>
                  </w:r>
                </w:p>
              </w:tc>
              <w:tc>
                <w:tcPr>
                  <w:tcW w:w="1261" w:type="pct"/>
                  <w:tcBorders>
                    <w:tl2br w:val="nil"/>
                    <w:tr2bl w:val="nil"/>
                  </w:tcBorders>
                  <w:noWrap w:val="0"/>
                  <w:vAlign w:val="center"/>
                </w:tcPr>
                <w:p w14:paraId="760ECC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38</w:t>
                  </w:r>
                </w:p>
              </w:tc>
            </w:tr>
            <w:tr w14:paraId="7A1DD86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tcBorders>
                    <w:tl2br w:val="nil"/>
                    <w:tr2bl w:val="nil"/>
                  </w:tcBorders>
                  <w:noWrap w:val="0"/>
                  <w:vAlign w:val="center"/>
                </w:tcPr>
                <w:p w14:paraId="095696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3171" w:type="pct"/>
                  <w:tcBorders>
                    <w:tl2br w:val="nil"/>
                    <w:tr2bl w:val="nil"/>
                  </w:tcBorders>
                  <w:noWrap w:val="0"/>
                  <w:vAlign w:val="center"/>
                </w:tcPr>
                <w:p w14:paraId="1B9422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北</w:t>
                  </w:r>
                  <w:r>
                    <w:rPr>
                      <w:rFonts w:hint="default" w:ascii="Times New Roman" w:hAnsi="Times New Roman" w:cs="Times New Roman"/>
                      <w:color w:val="auto"/>
                      <w:sz w:val="21"/>
                      <w:szCs w:val="21"/>
                      <w:lang w:val="en-US" w:eastAsia="zh-CN"/>
                    </w:rPr>
                    <w:t>侧居民楼（天健望湖大观</w:t>
                  </w: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号楼）</w:t>
                  </w:r>
                  <w:r>
                    <w:rPr>
                      <w:rFonts w:hint="eastAsia" w:ascii="Times New Roman" w:hAnsi="Times New Roman" w:cs="Times New Roman"/>
                      <w:color w:val="auto"/>
                      <w:sz w:val="21"/>
                      <w:szCs w:val="21"/>
                      <w:lang w:val="en-US" w:eastAsia="zh-CN"/>
                    </w:rPr>
                    <w:t>三</w:t>
                  </w:r>
                  <w:r>
                    <w:rPr>
                      <w:rFonts w:hint="default" w:ascii="Times New Roman" w:hAnsi="Times New Roman" w:cs="Times New Roman"/>
                      <w:color w:val="auto"/>
                      <w:sz w:val="21"/>
                      <w:szCs w:val="21"/>
                      <w:lang w:val="en-US" w:eastAsia="zh-CN"/>
                    </w:rPr>
                    <w:t>楼</w:t>
                  </w:r>
                  <w:r>
                    <w:rPr>
                      <w:rFonts w:hint="eastAsia" w:ascii="Times New Roman" w:hAnsi="Times New Roman" w:cs="Times New Roman"/>
                      <w:color w:val="auto"/>
                      <w:sz w:val="21"/>
                      <w:szCs w:val="21"/>
                      <w:lang w:val="en-US" w:eastAsia="zh-CN"/>
                    </w:rPr>
                    <w:t>5</w:t>
                  </w:r>
                  <w:r>
                    <w:rPr>
                      <w:rFonts w:hint="default" w:ascii="Times New Roman" w:hAnsi="Times New Roman" w:cs="Times New Roman"/>
                      <w:color w:val="auto"/>
                      <w:sz w:val="21"/>
                      <w:szCs w:val="21"/>
                      <w:lang w:val="en-US" w:eastAsia="zh-CN"/>
                    </w:rPr>
                    <w:t>#</w:t>
                  </w:r>
                </w:p>
              </w:tc>
              <w:tc>
                <w:tcPr>
                  <w:tcW w:w="1261" w:type="pct"/>
                  <w:tcBorders>
                    <w:tl2br w:val="nil"/>
                    <w:tr2bl w:val="nil"/>
                  </w:tcBorders>
                  <w:noWrap w:val="0"/>
                  <w:vAlign w:val="center"/>
                </w:tcPr>
                <w:p w14:paraId="52F757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42</w:t>
                  </w:r>
                </w:p>
              </w:tc>
            </w:tr>
            <w:tr w14:paraId="48148D3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340" w:hRule="atLeast"/>
                <w:jc w:val="center"/>
              </w:trPr>
              <w:tc>
                <w:tcPr>
                  <w:tcW w:w="3738" w:type="pct"/>
                  <w:gridSpan w:val="2"/>
                  <w:tcBorders>
                    <w:tl2br w:val="nil"/>
                    <w:tr2bl w:val="nil"/>
                  </w:tcBorders>
                  <w:noWrap w:val="0"/>
                  <w:vAlign w:val="center"/>
                </w:tcPr>
                <w:p w14:paraId="47F11A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标准值</w:t>
                  </w:r>
                </w:p>
              </w:tc>
              <w:tc>
                <w:tcPr>
                  <w:tcW w:w="1261" w:type="pct"/>
                  <w:tcBorders>
                    <w:tl2br w:val="nil"/>
                    <w:tr2bl w:val="nil"/>
                  </w:tcBorders>
                  <w:noWrap w:val="0"/>
                  <w:vAlign w:val="center"/>
                </w:tcPr>
                <w:p w14:paraId="269946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w:t>
                  </w:r>
                </w:p>
              </w:tc>
            </w:tr>
            <w:tr w14:paraId="4D20997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8" w:type="pct"/>
                  <w:gridSpan w:val="2"/>
                  <w:tcBorders>
                    <w:tl2br w:val="nil"/>
                    <w:tr2bl w:val="nil"/>
                  </w:tcBorders>
                  <w:noWrap w:val="0"/>
                  <w:vAlign w:val="center"/>
                </w:tcPr>
                <w:p w14:paraId="010987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达标情况</w:t>
                  </w:r>
                </w:p>
              </w:tc>
              <w:tc>
                <w:tcPr>
                  <w:tcW w:w="1261" w:type="pct"/>
                  <w:tcBorders>
                    <w:tl2br w:val="nil"/>
                    <w:tr2bl w:val="nil"/>
                  </w:tcBorders>
                  <w:noWrap w:val="0"/>
                  <w:vAlign w:val="center"/>
                </w:tcPr>
                <w:p w14:paraId="51A163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bl>
          <w:p w14:paraId="0409BF4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由监测结果可知，</w:t>
            </w:r>
            <w:r>
              <w:rPr>
                <w:rFonts w:hint="default" w:ascii="Times New Roman" w:hAnsi="Times New Roman" w:cs="Times New Roman"/>
                <w:color w:val="auto"/>
                <w:sz w:val="24"/>
                <w:lang w:eastAsia="zh-CN"/>
              </w:rPr>
              <w:t>项目</w:t>
            </w:r>
            <w:r>
              <w:rPr>
                <w:rFonts w:hint="default" w:ascii="Times New Roman" w:hAnsi="Times New Roman" w:cs="Times New Roman"/>
                <w:color w:val="auto"/>
                <w:sz w:val="24"/>
                <w:lang w:val="en-US" w:eastAsia="zh-CN"/>
              </w:rPr>
              <w:t>声环境敏感目标现状</w:t>
            </w:r>
            <w:r>
              <w:rPr>
                <w:rFonts w:hint="default" w:ascii="Times New Roman" w:hAnsi="Times New Roman" w:cs="Times New Roman"/>
                <w:color w:val="auto"/>
                <w:sz w:val="24"/>
              </w:rPr>
              <w:t>监测点昼间噪声均满足《声环境质量标准》（GB</w:t>
            </w:r>
            <w:r>
              <w:rPr>
                <w:rFonts w:hint="eastAsia" w:cs="Times New Roman"/>
                <w:color w:val="auto"/>
                <w:sz w:val="24"/>
                <w:lang w:val="en-US" w:eastAsia="zh-CN"/>
              </w:rPr>
              <w:t xml:space="preserve"> </w:t>
            </w:r>
            <w:r>
              <w:rPr>
                <w:rFonts w:hint="default" w:ascii="Times New Roman" w:hAnsi="Times New Roman" w:cs="Times New Roman"/>
                <w:color w:val="auto"/>
                <w:sz w:val="24"/>
              </w:rPr>
              <w:t>3096-2008）中</w:t>
            </w:r>
            <w:r>
              <w:rPr>
                <w:rFonts w:hint="eastAsia" w:cs="Times New Roman"/>
                <w:color w:val="auto"/>
                <w:sz w:val="24"/>
                <w:lang w:val="en-US" w:eastAsia="zh-CN"/>
              </w:rPr>
              <w:t>1</w:t>
            </w:r>
            <w:r>
              <w:rPr>
                <w:rFonts w:hint="default" w:ascii="Times New Roman" w:hAnsi="Times New Roman" w:cs="Times New Roman"/>
                <w:color w:val="auto"/>
                <w:sz w:val="24"/>
              </w:rPr>
              <w:t>类标准</w:t>
            </w:r>
            <w:r>
              <w:rPr>
                <w:rFonts w:hint="default" w:ascii="Times New Roman" w:hAnsi="Times New Roman" w:cs="Times New Roman"/>
                <w:color w:val="auto"/>
                <w:sz w:val="24"/>
                <w:lang w:eastAsia="zh-CN"/>
              </w:rPr>
              <w:t>。</w:t>
            </w:r>
          </w:p>
          <w:p w14:paraId="002F37CF">
            <w:pPr>
              <w:adjustRightInd w:val="0"/>
              <w:snapToGrid w:val="0"/>
              <w:spacing w:line="360" w:lineRule="auto"/>
              <w:rPr>
                <w:rFonts w:hint="default" w:ascii="Times New Roman" w:hAnsi="Times New Roman" w:cs="Times New Roman"/>
                <w:b/>
                <w:bCs/>
                <w:color w:val="auto"/>
                <w:sz w:val="24"/>
              </w:rPr>
            </w:pPr>
            <w:r>
              <w:rPr>
                <w:rFonts w:hint="default" w:ascii="Times New Roman" w:hAnsi="Times New Roman" w:cs="Times New Roman"/>
                <w:b/>
                <w:bCs/>
                <w:color w:val="auto"/>
                <w:sz w:val="24"/>
              </w:rPr>
              <w:t>（三）生态环境</w:t>
            </w:r>
          </w:p>
          <w:p w14:paraId="2E7CA3C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本项目位于已建成的</w:t>
            </w:r>
            <w:r>
              <w:rPr>
                <w:rFonts w:hint="default" w:ascii="Times New Roman" w:hAnsi="Times New Roman" w:cs="Times New Roman"/>
                <w:bCs/>
                <w:color w:val="auto"/>
                <w:sz w:val="24"/>
                <w:lang w:val="en-US" w:eastAsia="zh-CN"/>
              </w:rPr>
              <w:t>商业</w:t>
            </w:r>
            <w:r>
              <w:rPr>
                <w:rFonts w:hint="default" w:ascii="Times New Roman" w:hAnsi="Times New Roman" w:cs="Times New Roman"/>
                <w:bCs/>
                <w:color w:val="auto"/>
                <w:sz w:val="24"/>
              </w:rPr>
              <w:t>楼内，</w:t>
            </w:r>
            <w:r>
              <w:rPr>
                <w:rFonts w:hint="default" w:ascii="Times New Roman" w:hAnsi="Times New Roman" w:cs="Times New Roman"/>
                <w:bCs/>
                <w:color w:val="auto"/>
                <w:sz w:val="24"/>
                <w:lang w:val="en-US" w:eastAsia="zh-CN"/>
              </w:rPr>
              <w:t>属于已建成的城市规划区域，</w:t>
            </w:r>
            <w:r>
              <w:rPr>
                <w:rFonts w:hint="default" w:ascii="Times New Roman" w:hAnsi="Times New Roman" w:cs="Times New Roman"/>
                <w:bCs/>
                <w:color w:val="auto"/>
                <w:sz w:val="24"/>
              </w:rPr>
              <w:t>地面已采用混凝土硬化处理，对周边区域生态环境</w:t>
            </w:r>
            <w:r>
              <w:rPr>
                <w:rFonts w:hint="default" w:ascii="Times New Roman" w:hAnsi="Times New Roman" w:cs="Times New Roman"/>
                <w:bCs/>
                <w:color w:val="auto"/>
                <w:sz w:val="24"/>
                <w:lang w:val="en-US" w:eastAsia="zh-CN"/>
              </w:rPr>
              <w:t>不会造成不良</w:t>
            </w:r>
            <w:r>
              <w:rPr>
                <w:rFonts w:hint="default" w:ascii="Times New Roman" w:hAnsi="Times New Roman" w:cs="Times New Roman"/>
                <w:bCs/>
                <w:color w:val="auto"/>
                <w:sz w:val="24"/>
              </w:rPr>
              <w:t>影响。</w:t>
            </w:r>
          </w:p>
          <w:p w14:paraId="7EA460EF">
            <w:pPr>
              <w:adjustRightInd w:val="0"/>
              <w:snapToGrid w:val="0"/>
              <w:spacing w:line="360" w:lineRule="auto"/>
              <w:rPr>
                <w:rFonts w:hint="default" w:ascii="Times New Roman" w:hAnsi="Times New Roman" w:cs="Times New Roman"/>
                <w:b/>
                <w:bCs/>
                <w:color w:val="auto"/>
                <w:sz w:val="24"/>
              </w:rPr>
            </w:pPr>
            <w:r>
              <w:rPr>
                <w:rFonts w:hint="default" w:ascii="Times New Roman" w:hAnsi="Times New Roman" w:cs="Times New Roman"/>
                <w:b/>
                <w:bCs/>
                <w:color w:val="auto"/>
                <w:sz w:val="24"/>
              </w:rPr>
              <w:t>（四）地下水、土壤环境质量现状</w:t>
            </w:r>
          </w:p>
          <w:p w14:paraId="44A297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w:t>
            </w:r>
          </w:p>
          <w:p w14:paraId="4EA81D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kern w:val="0"/>
                <w:sz w:val="24"/>
              </w:rPr>
            </w:pPr>
            <w:r>
              <w:rPr>
                <w:rFonts w:hint="default" w:ascii="Times New Roman" w:hAnsi="Times New Roman" w:cs="Times New Roman"/>
                <w:bCs/>
                <w:color w:val="auto"/>
                <w:sz w:val="24"/>
              </w:rPr>
              <w:t>本项目</w:t>
            </w:r>
            <w:r>
              <w:rPr>
                <w:rFonts w:hint="eastAsia" w:cs="Times New Roman"/>
                <w:bCs/>
                <w:color w:val="auto"/>
                <w:sz w:val="24"/>
                <w:lang w:val="en-US" w:eastAsia="zh-CN"/>
              </w:rPr>
              <w:t>租赁</w:t>
            </w:r>
            <w:r>
              <w:rPr>
                <w:rFonts w:hint="default" w:ascii="Times New Roman" w:hAnsi="Times New Roman" w:cs="Times New Roman"/>
                <w:bCs/>
                <w:color w:val="auto"/>
                <w:sz w:val="24"/>
              </w:rPr>
              <w:t>已建好的</w:t>
            </w:r>
            <w:r>
              <w:rPr>
                <w:rFonts w:hint="default" w:ascii="Times New Roman" w:hAnsi="Times New Roman" w:cs="Times New Roman"/>
                <w:bCs/>
                <w:color w:val="auto"/>
                <w:sz w:val="24"/>
                <w:lang w:val="en-US" w:eastAsia="zh-CN"/>
              </w:rPr>
              <w:t>商业楼内</w:t>
            </w:r>
            <w:r>
              <w:rPr>
                <w:rFonts w:hint="default" w:ascii="Times New Roman" w:hAnsi="Times New Roman" w:cs="Times New Roman"/>
                <w:bCs/>
                <w:color w:val="auto"/>
                <w:sz w:val="24"/>
              </w:rPr>
              <w:t>安装设备，</w:t>
            </w:r>
            <w:r>
              <w:rPr>
                <w:rFonts w:hint="eastAsia" w:cs="Times New Roman"/>
                <w:bCs/>
                <w:color w:val="auto"/>
                <w:sz w:val="24"/>
                <w:lang w:val="en-US" w:eastAsia="zh-CN"/>
              </w:rPr>
              <w:t>位于三</w:t>
            </w:r>
            <w:r>
              <w:rPr>
                <w:rFonts w:hint="default" w:ascii="Times New Roman" w:hAnsi="Times New Roman" w:cs="Times New Roman"/>
                <w:bCs/>
                <w:color w:val="auto"/>
                <w:sz w:val="24"/>
                <w:lang w:val="en-US" w:eastAsia="zh-CN"/>
              </w:rPr>
              <w:t>层</w:t>
            </w:r>
            <w:r>
              <w:rPr>
                <w:rFonts w:hint="eastAsia" w:cs="Times New Roman"/>
                <w:bCs/>
                <w:color w:val="auto"/>
                <w:sz w:val="24"/>
                <w:lang w:val="en-US" w:eastAsia="zh-CN"/>
              </w:rPr>
              <w:t>，</w:t>
            </w:r>
            <w:r>
              <w:rPr>
                <w:rFonts w:hint="default" w:ascii="Times New Roman" w:hAnsi="Times New Roman" w:cs="Times New Roman"/>
                <w:bCs/>
                <w:color w:val="auto"/>
                <w:sz w:val="24"/>
                <w:lang w:val="en-US" w:eastAsia="zh-CN"/>
              </w:rPr>
              <w:t>地面全部硬化</w:t>
            </w:r>
            <w:r>
              <w:rPr>
                <w:rFonts w:hint="default" w:ascii="Times New Roman" w:hAnsi="Times New Roman" w:cs="Times New Roman"/>
                <w:bCs/>
                <w:color w:val="auto"/>
                <w:sz w:val="24"/>
              </w:rPr>
              <w:t>，无裸露土壤，危废贮存库后期按照要求进行建设，采取防渗措施</w:t>
            </w:r>
            <w:r>
              <w:rPr>
                <w:rFonts w:hint="eastAsia" w:cs="Times New Roman"/>
                <w:bCs/>
                <w:color w:val="auto"/>
                <w:sz w:val="24"/>
                <w:lang w:eastAsia="zh-CN"/>
              </w:rPr>
              <w:t>，</w:t>
            </w:r>
            <w:r>
              <w:rPr>
                <w:rFonts w:hint="default" w:ascii="Times New Roman" w:hAnsi="Times New Roman" w:cs="Times New Roman"/>
                <w:bCs/>
                <w:color w:val="auto"/>
                <w:sz w:val="24"/>
              </w:rPr>
              <w:t>经上述措施后不存在土壤及地下水环境污染途径，故不需开展现状调查。</w:t>
            </w:r>
          </w:p>
        </w:tc>
      </w:tr>
      <w:tr w14:paraId="692707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22" w:hRule="atLeast"/>
          <w:jc w:val="center"/>
        </w:trPr>
        <w:tc>
          <w:tcPr>
            <w:tcW w:w="357" w:type="pct"/>
            <w:vAlign w:val="center"/>
          </w:tcPr>
          <w:p w14:paraId="0057AF9C">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环境</w:t>
            </w:r>
          </w:p>
          <w:p w14:paraId="3EF8A487">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保护</w:t>
            </w:r>
          </w:p>
          <w:p w14:paraId="63CC9301">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目标</w:t>
            </w:r>
          </w:p>
        </w:tc>
        <w:tc>
          <w:tcPr>
            <w:tcW w:w="4642" w:type="pct"/>
            <w:vAlign w:val="center"/>
          </w:tcPr>
          <w:p w14:paraId="39E6A842">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现场调查及卫星地图，项目区及周边无自然保护区、风景名胜区、饮用水源保护区等需特殊保护的区域；评价区内也无重点保护文物、古迹、植物、动物等。结合本项目排污特征和所在区域的环境功能及环境总体控制目标，确定本项目评价范围内主要环境保护目标及保护级别见表3-</w:t>
            </w:r>
            <w:r>
              <w:rPr>
                <w:rFonts w:hint="eastAsia" w:cs="Times New Roman"/>
                <w:color w:val="auto"/>
                <w:sz w:val="24"/>
                <w:lang w:val="en-US" w:eastAsia="zh-CN"/>
              </w:rPr>
              <w:t>3</w:t>
            </w:r>
            <w:r>
              <w:rPr>
                <w:rFonts w:hint="default" w:ascii="Times New Roman" w:hAnsi="Times New Roman" w:cs="Times New Roman"/>
                <w:color w:val="auto"/>
                <w:sz w:val="24"/>
              </w:rPr>
              <w:t>，主要环境保护目标详见附图4。</w:t>
            </w:r>
          </w:p>
          <w:p w14:paraId="320332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表3-3 主要环境保护目标一览表</w:t>
            </w:r>
          </w:p>
          <w:tbl>
            <w:tblPr>
              <w:tblStyle w:val="29"/>
              <w:tblW w:w="499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464"/>
              <w:gridCol w:w="1214"/>
              <w:gridCol w:w="1109"/>
              <w:gridCol w:w="718"/>
              <w:gridCol w:w="803"/>
              <w:gridCol w:w="1839"/>
              <w:gridCol w:w="544"/>
              <w:gridCol w:w="814"/>
            </w:tblGrid>
            <w:tr w14:paraId="48E2D6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9" w:type="pct"/>
                  <w:vMerge w:val="restart"/>
                  <w:noWrap w:val="0"/>
                  <w:vAlign w:val="center"/>
                </w:tcPr>
                <w:p w14:paraId="26299B3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环境要素</w:t>
                  </w:r>
                </w:p>
              </w:tc>
              <w:tc>
                <w:tcPr>
                  <w:tcW w:w="846" w:type="pct"/>
                  <w:vMerge w:val="restart"/>
                  <w:noWrap w:val="0"/>
                  <w:vAlign w:val="center"/>
                </w:tcPr>
                <w:p w14:paraId="749AA14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1325" w:type="pct"/>
                  <w:gridSpan w:val="2"/>
                  <w:noWrap w:val="0"/>
                  <w:vAlign w:val="center"/>
                </w:tcPr>
                <w:p w14:paraId="31F1E8BF">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坐标</w:t>
                  </w:r>
                </w:p>
              </w:tc>
              <w:tc>
                <w:tcPr>
                  <w:tcW w:w="457" w:type="pct"/>
                  <w:vMerge w:val="restart"/>
                  <w:noWrap w:val="0"/>
                  <w:vAlign w:val="center"/>
                </w:tcPr>
                <w:p w14:paraId="72FD2C4D">
                  <w:pPr>
                    <w:pStyle w:val="68"/>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rPr>
                    <w:t>环境保护对象</w:t>
                  </w:r>
                </w:p>
              </w:tc>
              <w:tc>
                <w:tcPr>
                  <w:tcW w:w="476" w:type="pct"/>
                  <w:vMerge w:val="restart"/>
                  <w:noWrap w:val="0"/>
                  <w:vAlign w:val="center"/>
                </w:tcPr>
                <w:p w14:paraId="3362EC2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保护内容</w:t>
                  </w:r>
                </w:p>
              </w:tc>
              <w:tc>
                <w:tcPr>
                  <w:tcW w:w="902" w:type="pct"/>
                  <w:vMerge w:val="restart"/>
                  <w:noWrap w:val="0"/>
                  <w:vAlign w:val="center"/>
                </w:tcPr>
                <w:p w14:paraId="3CDBEAC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环境功能区</w:t>
                  </w:r>
                </w:p>
              </w:tc>
              <w:tc>
                <w:tcPr>
                  <w:tcW w:w="297" w:type="pct"/>
                  <w:vMerge w:val="restart"/>
                  <w:noWrap w:val="0"/>
                  <w:vAlign w:val="center"/>
                </w:tcPr>
                <w:p w14:paraId="13FCCA68">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相对厂址方位</w:t>
                  </w:r>
                </w:p>
              </w:tc>
              <w:tc>
                <w:tcPr>
                  <w:tcW w:w="455" w:type="pct"/>
                  <w:vMerge w:val="restart"/>
                  <w:noWrap w:val="0"/>
                  <w:vAlign w:val="center"/>
                </w:tcPr>
                <w:p w14:paraId="218E745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相对厂界距离（m）</w:t>
                  </w:r>
                </w:p>
              </w:tc>
            </w:tr>
            <w:tr w14:paraId="7E758D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239" w:type="pct"/>
                  <w:vMerge w:val="continue"/>
                  <w:noWrap w:val="0"/>
                  <w:vAlign w:val="center"/>
                </w:tcPr>
                <w:p w14:paraId="286EF2B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846" w:type="pct"/>
                  <w:vMerge w:val="continue"/>
                  <w:noWrap w:val="0"/>
                  <w:vAlign w:val="center"/>
                </w:tcPr>
                <w:p w14:paraId="2ACCD4C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682" w:type="pct"/>
                  <w:noWrap w:val="0"/>
                  <w:vAlign w:val="center"/>
                </w:tcPr>
                <w:p w14:paraId="332CD86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经度（°）</w:t>
                  </w:r>
                </w:p>
              </w:tc>
              <w:tc>
                <w:tcPr>
                  <w:tcW w:w="642" w:type="pct"/>
                  <w:noWrap w:val="0"/>
                  <w:vAlign w:val="center"/>
                </w:tcPr>
                <w:p w14:paraId="502BBE00">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纬度（°）</w:t>
                  </w:r>
                </w:p>
              </w:tc>
              <w:tc>
                <w:tcPr>
                  <w:tcW w:w="457" w:type="pct"/>
                  <w:vMerge w:val="continue"/>
                  <w:noWrap w:val="0"/>
                  <w:vAlign w:val="center"/>
                </w:tcPr>
                <w:p w14:paraId="1EE4F44A">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476" w:type="pct"/>
                  <w:vMerge w:val="continue"/>
                  <w:noWrap w:val="0"/>
                  <w:vAlign w:val="center"/>
                </w:tcPr>
                <w:p w14:paraId="5865352A">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274680B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vMerge w:val="continue"/>
                  <w:noWrap w:val="0"/>
                  <w:vAlign w:val="center"/>
                </w:tcPr>
                <w:p w14:paraId="45DED7C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455" w:type="pct"/>
                  <w:vMerge w:val="continue"/>
                  <w:noWrap w:val="0"/>
                  <w:vAlign w:val="center"/>
                </w:tcPr>
                <w:p w14:paraId="00478C2A">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r>
            <w:tr w14:paraId="6904E0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restart"/>
                  <w:noWrap w:val="0"/>
                  <w:vAlign w:val="center"/>
                </w:tcPr>
                <w:p w14:paraId="6FC6A500">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大气环境</w:t>
                  </w:r>
                </w:p>
              </w:tc>
              <w:tc>
                <w:tcPr>
                  <w:tcW w:w="846" w:type="pct"/>
                  <w:noWrap w:val="0"/>
                  <w:vAlign w:val="center"/>
                </w:tcPr>
                <w:p w14:paraId="27107253">
                  <w:pPr>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天健望湖大观</w:t>
                  </w:r>
                </w:p>
              </w:tc>
              <w:tc>
                <w:tcPr>
                  <w:tcW w:w="682" w:type="pct"/>
                  <w:noWrap w:val="0"/>
                  <w:vAlign w:val="center"/>
                </w:tcPr>
                <w:p w14:paraId="651232AC">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108.893437</w:t>
                  </w:r>
                </w:p>
              </w:tc>
              <w:tc>
                <w:tcPr>
                  <w:tcW w:w="642" w:type="pct"/>
                  <w:noWrap w:val="0"/>
                  <w:vAlign w:val="center"/>
                </w:tcPr>
                <w:p w14:paraId="177226A0">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34.290054</w:t>
                  </w:r>
                </w:p>
              </w:tc>
              <w:tc>
                <w:tcPr>
                  <w:tcW w:w="457" w:type="pct"/>
                  <w:noWrap w:val="0"/>
                  <w:vAlign w:val="center"/>
                </w:tcPr>
                <w:p w14:paraId="1DE8655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600</w:t>
                  </w:r>
                </w:p>
              </w:tc>
              <w:tc>
                <w:tcPr>
                  <w:tcW w:w="476" w:type="pct"/>
                  <w:vMerge w:val="restart"/>
                  <w:noWrap w:val="0"/>
                  <w:vAlign w:val="center"/>
                </w:tcPr>
                <w:p w14:paraId="6351EED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环境空气</w:t>
                  </w:r>
                </w:p>
              </w:tc>
              <w:tc>
                <w:tcPr>
                  <w:tcW w:w="902" w:type="pct"/>
                  <w:vMerge w:val="restart"/>
                  <w:noWrap w:val="0"/>
                  <w:vAlign w:val="center"/>
                </w:tcPr>
                <w:p w14:paraId="75D611C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《环境空气质量标准》（GB3095-2012）中二级标准</w:t>
                  </w:r>
                </w:p>
              </w:tc>
              <w:tc>
                <w:tcPr>
                  <w:tcW w:w="297" w:type="pct"/>
                  <w:noWrap w:val="0"/>
                  <w:vAlign w:val="center"/>
                </w:tcPr>
                <w:p w14:paraId="3CEA3518">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S、N</w:t>
                  </w:r>
                </w:p>
              </w:tc>
              <w:tc>
                <w:tcPr>
                  <w:tcW w:w="455" w:type="pct"/>
                  <w:noWrap w:val="0"/>
                  <w:vAlign w:val="center"/>
                </w:tcPr>
                <w:p w14:paraId="4309956F">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r>
            <w:tr w14:paraId="309BE1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29BB6CC8">
                  <w:pPr>
                    <w:jc w:val="center"/>
                    <w:rPr>
                      <w:rFonts w:hint="eastAsia" w:ascii="Times New Roman" w:hAnsi="Times New Roman" w:cs="Times New Roman"/>
                      <w:color w:val="auto"/>
                      <w:sz w:val="21"/>
                      <w:szCs w:val="21"/>
                      <w:lang w:eastAsia="zh-CN"/>
                    </w:rPr>
                  </w:pPr>
                </w:p>
              </w:tc>
              <w:tc>
                <w:tcPr>
                  <w:tcW w:w="846" w:type="pct"/>
                  <w:noWrap w:val="0"/>
                  <w:vAlign w:val="center"/>
                </w:tcPr>
                <w:p w14:paraId="08397B10">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西安莲湖大成幼儿园</w:t>
                  </w:r>
                </w:p>
              </w:tc>
              <w:tc>
                <w:tcPr>
                  <w:tcW w:w="682" w:type="pct"/>
                  <w:noWrap w:val="0"/>
                  <w:vAlign w:val="center"/>
                </w:tcPr>
                <w:p w14:paraId="2A689854">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108.89453</w:t>
                  </w:r>
                  <w:r>
                    <w:rPr>
                      <w:rFonts w:hint="eastAsia" w:ascii="Times New Roman" w:hAnsi="Times New Roman" w:eastAsia="宋体" w:cs="Times New Roman"/>
                      <w:color w:val="auto"/>
                      <w:sz w:val="21"/>
                      <w:szCs w:val="21"/>
                      <w:lang w:val="en-US" w:eastAsia="zh-CN"/>
                    </w:rPr>
                    <w:t>2</w:t>
                  </w:r>
                </w:p>
              </w:tc>
              <w:tc>
                <w:tcPr>
                  <w:tcW w:w="642" w:type="pct"/>
                  <w:noWrap w:val="0"/>
                  <w:vAlign w:val="center"/>
                </w:tcPr>
                <w:p w14:paraId="39552A18">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34.292353</w:t>
                  </w:r>
                </w:p>
              </w:tc>
              <w:tc>
                <w:tcPr>
                  <w:tcW w:w="457" w:type="pct"/>
                  <w:noWrap w:val="0"/>
                  <w:vAlign w:val="center"/>
                </w:tcPr>
                <w:p w14:paraId="5705790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260</w:t>
                  </w:r>
                </w:p>
              </w:tc>
              <w:tc>
                <w:tcPr>
                  <w:tcW w:w="476" w:type="pct"/>
                  <w:vMerge w:val="continue"/>
                  <w:noWrap w:val="0"/>
                  <w:vAlign w:val="center"/>
                </w:tcPr>
                <w:p w14:paraId="5480B7C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008F2DD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6AC0899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N</w:t>
                  </w:r>
                </w:p>
              </w:tc>
              <w:tc>
                <w:tcPr>
                  <w:tcW w:w="455" w:type="pct"/>
                  <w:noWrap w:val="0"/>
                  <w:vAlign w:val="center"/>
                </w:tcPr>
                <w:p w14:paraId="670A5A6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240</w:t>
                  </w:r>
                </w:p>
              </w:tc>
            </w:tr>
            <w:tr w14:paraId="51DCAF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23216166">
                  <w:pPr>
                    <w:jc w:val="center"/>
                    <w:rPr>
                      <w:rFonts w:hint="eastAsia" w:ascii="Times New Roman" w:hAnsi="Times New Roman" w:cs="Times New Roman"/>
                      <w:color w:val="auto"/>
                      <w:sz w:val="21"/>
                      <w:szCs w:val="21"/>
                      <w:lang w:eastAsia="zh-CN"/>
                    </w:rPr>
                  </w:pPr>
                </w:p>
              </w:tc>
              <w:tc>
                <w:tcPr>
                  <w:tcW w:w="846" w:type="pct"/>
                  <w:noWrap w:val="0"/>
                  <w:vAlign w:val="center"/>
                </w:tcPr>
                <w:p w14:paraId="3A9A5D26">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紫云溪</w:t>
                  </w:r>
                </w:p>
              </w:tc>
              <w:tc>
                <w:tcPr>
                  <w:tcW w:w="682" w:type="pct"/>
                  <w:noWrap w:val="0"/>
                  <w:vAlign w:val="center"/>
                </w:tcPr>
                <w:p w14:paraId="6D20B946">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108.895170</w:t>
                  </w:r>
                </w:p>
              </w:tc>
              <w:tc>
                <w:tcPr>
                  <w:tcW w:w="642" w:type="pct"/>
                  <w:noWrap w:val="0"/>
                  <w:vAlign w:val="center"/>
                </w:tcPr>
                <w:p w14:paraId="64CFCE0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34.291358</w:t>
                  </w:r>
                </w:p>
              </w:tc>
              <w:tc>
                <w:tcPr>
                  <w:tcW w:w="457" w:type="pct"/>
                  <w:noWrap w:val="0"/>
                  <w:vAlign w:val="center"/>
                </w:tcPr>
                <w:p w14:paraId="2B80659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400</w:t>
                  </w:r>
                </w:p>
              </w:tc>
              <w:tc>
                <w:tcPr>
                  <w:tcW w:w="476" w:type="pct"/>
                  <w:vMerge w:val="continue"/>
                  <w:noWrap w:val="0"/>
                  <w:vAlign w:val="center"/>
                </w:tcPr>
                <w:p w14:paraId="55ACF63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1EEB0DA4">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0833BFF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NE</w:t>
                  </w:r>
                </w:p>
              </w:tc>
              <w:tc>
                <w:tcPr>
                  <w:tcW w:w="455" w:type="pct"/>
                  <w:noWrap w:val="0"/>
                  <w:vAlign w:val="center"/>
                </w:tcPr>
                <w:p w14:paraId="4D9347B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175</w:t>
                  </w:r>
                </w:p>
              </w:tc>
            </w:tr>
            <w:tr w14:paraId="36F45F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55C2AE48">
                  <w:pPr>
                    <w:jc w:val="center"/>
                    <w:rPr>
                      <w:rFonts w:hint="eastAsia" w:ascii="Times New Roman" w:hAnsi="Times New Roman" w:cs="Times New Roman"/>
                      <w:color w:val="auto"/>
                      <w:sz w:val="21"/>
                      <w:szCs w:val="21"/>
                      <w:lang w:eastAsia="zh-CN"/>
                    </w:rPr>
                  </w:pPr>
                </w:p>
              </w:tc>
              <w:tc>
                <w:tcPr>
                  <w:tcW w:w="846" w:type="pct"/>
                  <w:noWrap w:val="0"/>
                  <w:vAlign w:val="center"/>
                </w:tcPr>
                <w:p w14:paraId="4346206D">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德佰幼儿园</w:t>
                  </w:r>
                </w:p>
              </w:tc>
              <w:tc>
                <w:tcPr>
                  <w:tcW w:w="682" w:type="pct"/>
                  <w:noWrap w:val="0"/>
                  <w:vAlign w:val="center"/>
                </w:tcPr>
                <w:p w14:paraId="7CB0C84D">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108.896067</w:t>
                  </w:r>
                </w:p>
              </w:tc>
              <w:tc>
                <w:tcPr>
                  <w:tcW w:w="642" w:type="pct"/>
                  <w:noWrap w:val="0"/>
                  <w:vAlign w:val="center"/>
                </w:tcPr>
                <w:p w14:paraId="561C2C2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34.29028</w:t>
                  </w:r>
                  <w:r>
                    <w:rPr>
                      <w:rFonts w:hint="eastAsia" w:ascii="Times New Roman" w:hAnsi="Times New Roman" w:eastAsia="宋体" w:cs="Times New Roman"/>
                      <w:color w:val="auto"/>
                      <w:sz w:val="21"/>
                      <w:szCs w:val="21"/>
                      <w:lang w:val="en-US" w:eastAsia="zh-CN"/>
                    </w:rPr>
                    <w:t>3</w:t>
                  </w:r>
                </w:p>
              </w:tc>
              <w:tc>
                <w:tcPr>
                  <w:tcW w:w="457" w:type="pct"/>
                  <w:noWrap w:val="0"/>
                  <w:vAlign w:val="center"/>
                </w:tcPr>
                <w:p w14:paraId="442FD5A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280</w:t>
                  </w:r>
                </w:p>
              </w:tc>
              <w:tc>
                <w:tcPr>
                  <w:tcW w:w="476" w:type="pct"/>
                  <w:vMerge w:val="continue"/>
                  <w:noWrap w:val="0"/>
                  <w:vAlign w:val="center"/>
                </w:tcPr>
                <w:p w14:paraId="15D73DE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782F32F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27C5DA06">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 xml:space="preserve">E </w:t>
                  </w:r>
                </w:p>
              </w:tc>
              <w:tc>
                <w:tcPr>
                  <w:tcW w:w="455" w:type="pct"/>
                  <w:noWrap w:val="0"/>
                  <w:vAlign w:val="center"/>
                </w:tcPr>
                <w:p w14:paraId="6C55A47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248</w:t>
                  </w:r>
                </w:p>
              </w:tc>
            </w:tr>
            <w:tr w14:paraId="4FCE7B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7E005A85">
                  <w:pPr>
                    <w:jc w:val="center"/>
                    <w:rPr>
                      <w:rFonts w:hint="eastAsia" w:ascii="Times New Roman" w:hAnsi="Times New Roman" w:cs="Times New Roman"/>
                      <w:color w:val="auto"/>
                      <w:sz w:val="21"/>
                      <w:szCs w:val="21"/>
                      <w:lang w:eastAsia="zh-CN"/>
                    </w:rPr>
                  </w:pPr>
                </w:p>
              </w:tc>
              <w:tc>
                <w:tcPr>
                  <w:tcW w:w="846" w:type="pct"/>
                  <w:noWrap w:val="0"/>
                  <w:vAlign w:val="center"/>
                </w:tcPr>
                <w:p w14:paraId="6057D449">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长兴园湖曲</w:t>
                  </w:r>
                </w:p>
              </w:tc>
              <w:tc>
                <w:tcPr>
                  <w:tcW w:w="682" w:type="pct"/>
                  <w:noWrap w:val="0"/>
                  <w:vAlign w:val="center"/>
                </w:tcPr>
                <w:p w14:paraId="07E297D3">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108.897889</w:t>
                  </w:r>
                </w:p>
              </w:tc>
              <w:tc>
                <w:tcPr>
                  <w:tcW w:w="642" w:type="pct"/>
                  <w:noWrap w:val="0"/>
                  <w:vAlign w:val="center"/>
                </w:tcPr>
                <w:p w14:paraId="330345F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34.29099</w:t>
                  </w:r>
                  <w:r>
                    <w:rPr>
                      <w:rFonts w:hint="eastAsia" w:ascii="Times New Roman" w:hAnsi="Times New Roman" w:eastAsia="宋体" w:cs="Times New Roman"/>
                      <w:color w:val="auto"/>
                      <w:sz w:val="21"/>
                      <w:szCs w:val="21"/>
                      <w:lang w:val="en-US" w:eastAsia="zh-CN"/>
                    </w:rPr>
                    <w:t>1</w:t>
                  </w:r>
                </w:p>
              </w:tc>
              <w:tc>
                <w:tcPr>
                  <w:tcW w:w="457" w:type="pct"/>
                  <w:noWrap w:val="0"/>
                  <w:vAlign w:val="center"/>
                </w:tcPr>
                <w:p w14:paraId="3084C5E8">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620</w:t>
                  </w:r>
                </w:p>
              </w:tc>
              <w:tc>
                <w:tcPr>
                  <w:tcW w:w="476" w:type="pct"/>
                  <w:vMerge w:val="continue"/>
                  <w:noWrap w:val="0"/>
                  <w:vAlign w:val="center"/>
                </w:tcPr>
                <w:p w14:paraId="004FD88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4B4DB08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2F78568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E</w:t>
                  </w:r>
                </w:p>
              </w:tc>
              <w:tc>
                <w:tcPr>
                  <w:tcW w:w="455" w:type="pct"/>
                  <w:noWrap w:val="0"/>
                  <w:vAlign w:val="center"/>
                </w:tcPr>
                <w:p w14:paraId="256A0DA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356</w:t>
                  </w:r>
                </w:p>
              </w:tc>
            </w:tr>
            <w:tr w14:paraId="7DDE42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0311F1B7">
                  <w:pPr>
                    <w:jc w:val="center"/>
                    <w:rPr>
                      <w:rFonts w:hint="eastAsia" w:ascii="Times New Roman" w:hAnsi="Times New Roman" w:cs="Times New Roman"/>
                      <w:color w:val="auto"/>
                      <w:sz w:val="21"/>
                      <w:szCs w:val="21"/>
                      <w:lang w:eastAsia="zh-CN"/>
                    </w:rPr>
                  </w:pPr>
                </w:p>
              </w:tc>
              <w:tc>
                <w:tcPr>
                  <w:tcW w:w="846" w:type="pct"/>
                  <w:noWrap w:val="0"/>
                  <w:vAlign w:val="center"/>
                </w:tcPr>
                <w:p w14:paraId="3D042443">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百佳星座</w:t>
                  </w:r>
                </w:p>
              </w:tc>
              <w:tc>
                <w:tcPr>
                  <w:tcW w:w="682" w:type="pct"/>
                  <w:noWrap w:val="0"/>
                  <w:vAlign w:val="center"/>
                </w:tcPr>
                <w:p w14:paraId="6BE04550">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108.897900</w:t>
                  </w:r>
                </w:p>
              </w:tc>
              <w:tc>
                <w:tcPr>
                  <w:tcW w:w="642" w:type="pct"/>
                  <w:noWrap w:val="0"/>
                  <w:vAlign w:val="center"/>
                </w:tcPr>
                <w:p w14:paraId="4D857DB6">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34.289661</w:t>
                  </w:r>
                </w:p>
              </w:tc>
              <w:tc>
                <w:tcPr>
                  <w:tcW w:w="457" w:type="pct"/>
                  <w:noWrap w:val="0"/>
                  <w:vAlign w:val="center"/>
                </w:tcPr>
                <w:p w14:paraId="67FADDD4">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400</w:t>
                  </w:r>
                </w:p>
              </w:tc>
              <w:tc>
                <w:tcPr>
                  <w:tcW w:w="476" w:type="pct"/>
                  <w:vMerge w:val="continue"/>
                  <w:noWrap w:val="0"/>
                  <w:vAlign w:val="center"/>
                </w:tcPr>
                <w:p w14:paraId="5F81215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6D16FFF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361B64E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E</w:t>
                  </w:r>
                </w:p>
              </w:tc>
              <w:tc>
                <w:tcPr>
                  <w:tcW w:w="455" w:type="pct"/>
                  <w:noWrap w:val="0"/>
                  <w:vAlign w:val="center"/>
                </w:tcPr>
                <w:p w14:paraId="68526776">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405</w:t>
                  </w:r>
                </w:p>
              </w:tc>
            </w:tr>
            <w:tr w14:paraId="5A83C2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0FBF2613">
                  <w:pPr>
                    <w:jc w:val="center"/>
                    <w:rPr>
                      <w:rFonts w:hint="eastAsia" w:ascii="Times New Roman" w:hAnsi="Times New Roman" w:cs="Times New Roman"/>
                      <w:color w:val="auto"/>
                      <w:sz w:val="21"/>
                      <w:szCs w:val="21"/>
                      <w:lang w:eastAsia="zh-CN"/>
                    </w:rPr>
                  </w:pPr>
                </w:p>
              </w:tc>
              <w:tc>
                <w:tcPr>
                  <w:tcW w:w="846" w:type="pct"/>
                  <w:noWrap w:val="0"/>
                  <w:vAlign w:val="center"/>
                </w:tcPr>
                <w:p w14:paraId="76D96D7A">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西安市莲湖区第八幼儿园</w:t>
                  </w:r>
                </w:p>
              </w:tc>
              <w:tc>
                <w:tcPr>
                  <w:tcW w:w="682" w:type="pct"/>
                  <w:noWrap w:val="0"/>
                  <w:vAlign w:val="center"/>
                </w:tcPr>
                <w:p w14:paraId="70691E8B">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108.898461</w:t>
                  </w:r>
                </w:p>
              </w:tc>
              <w:tc>
                <w:tcPr>
                  <w:tcW w:w="642" w:type="pct"/>
                  <w:noWrap w:val="0"/>
                  <w:vAlign w:val="center"/>
                </w:tcPr>
                <w:p w14:paraId="6CE1C13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34.28917</w:t>
                  </w:r>
                  <w:r>
                    <w:rPr>
                      <w:rFonts w:hint="eastAsia" w:ascii="Times New Roman" w:hAnsi="Times New Roman" w:eastAsia="宋体" w:cs="Times New Roman"/>
                      <w:color w:val="auto"/>
                      <w:sz w:val="21"/>
                      <w:szCs w:val="21"/>
                      <w:lang w:val="en-US" w:eastAsia="zh-CN"/>
                    </w:rPr>
                    <w:t>5</w:t>
                  </w:r>
                </w:p>
              </w:tc>
              <w:tc>
                <w:tcPr>
                  <w:tcW w:w="457" w:type="pct"/>
                  <w:noWrap w:val="0"/>
                  <w:vAlign w:val="center"/>
                </w:tcPr>
                <w:p w14:paraId="6792A040">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300</w:t>
                  </w:r>
                </w:p>
              </w:tc>
              <w:tc>
                <w:tcPr>
                  <w:tcW w:w="476" w:type="pct"/>
                  <w:vMerge w:val="continue"/>
                  <w:noWrap w:val="0"/>
                  <w:vAlign w:val="center"/>
                </w:tcPr>
                <w:p w14:paraId="1AC980F6">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7733CD98">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14C6BE1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E</w:t>
                  </w:r>
                </w:p>
              </w:tc>
              <w:tc>
                <w:tcPr>
                  <w:tcW w:w="455" w:type="pct"/>
                  <w:noWrap w:val="0"/>
                  <w:vAlign w:val="center"/>
                </w:tcPr>
                <w:p w14:paraId="0A34031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480</w:t>
                  </w:r>
                </w:p>
              </w:tc>
            </w:tr>
            <w:tr w14:paraId="7C7B28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5B41A59E">
                  <w:pPr>
                    <w:jc w:val="center"/>
                    <w:rPr>
                      <w:rFonts w:hint="eastAsia" w:ascii="Times New Roman" w:hAnsi="Times New Roman" w:cs="Times New Roman"/>
                      <w:color w:val="auto"/>
                      <w:sz w:val="21"/>
                      <w:szCs w:val="21"/>
                      <w:lang w:eastAsia="zh-CN"/>
                    </w:rPr>
                  </w:pPr>
                </w:p>
              </w:tc>
              <w:tc>
                <w:tcPr>
                  <w:tcW w:w="846" w:type="pct"/>
                  <w:noWrap w:val="0"/>
                  <w:vAlign w:val="center"/>
                </w:tcPr>
                <w:p w14:paraId="585C87E0">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小哈佛六一星系幼儿园</w:t>
                  </w:r>
                </w:p>
              </w:tc>
              <w:tc>
                <w:tcPr>
                  <w:tcW w:w="682" w:type="pct"/>
                  <w:noWrap w:val="0"/>
                  <w:vAlign w:val="center"/>
                </w:tcPr>
                <w:p w14:paraId="285B8EBB">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108.898415</w:t>
                  </w:r>
                </w:p>
              </w:tc>
              <w:tc>
                <w:tcPr>
                  <w:tcW w:w="642" w:type="pct"/>
                  <w:noWrap w:val="0"/>
                  <w:vAlign w:val="center"/>
                </w:tcPr>
                <w:p w14:paraId="3593998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34.28862</w:t>
                  </w:r>
                  <w:r>
                    <w:rPr>
                      <w:rFonts w:hint="eastAsia" w:ascii="Times New Roman" w:hAnsi="Times New Roman" w:eastAsia="宋体" w:cs="Times New Roman"/>
                      <w:color w:val="auto"/>
                      <w:sz w:val="21"/>
                      <w:szCs w:val="21"/>
                      <w:lang w:val="en-US" w:eastAsia="zh-CN"/>
                    </w:rPr>
                    <w:t>2</w:t>
                  </w:r>
                </w:p>
              </w:tc>
              <w:tc>
                <w:tcPr>
                  <w:tcW w:w="457" w:type="pct"/>
                  <w:noWrap w:val="0"/>
                  <w:vAlign w:val="center"/>
                </w:tcPr>
                <w:p w14:paraId="57B0368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120</w:t>
                  </w:r>
                </w:p>
              </w:tc>
              <w:tc>
                <w:tcPr>
                  <w:tcW w:w="476" w:type="pct"/>
                  <w:vMerge w:val="continue"/>
                  <w:noWrap w:val="0"/>
                  <w:vAlign w:val="center"/>
                </w:tcPr>
                <w:p w14:paraId="2BFEE498">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7F54E23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089A69B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SE</w:t>
                  </w:r>
                </w:p>
              </w:tc>
              <w:tc>
                <w:tcPr>
                  <w:tcW w:w="455" w:type="pct"/>
                  <w:noWrap w:val="0"/>
                  <w:vAlign w:val="center"/>
                </w:tcPr>
                <w:p w14:paraId="656587A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492</w:t>
                  </w:r>
                </w:p>
              </w:tc>
            </w:tr>
            <w:tr w14:paraId="60F6FA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18739B3F">
                  <w:pPr>
                    <w:jc w:val="center"/>
                    <w:rPr>
                      <w:rFonts w:hint="eastAsia" w:ascii="Times New Roman" w:hAnsi="Times New Roman" w:cs="Times New Roman"/>
                      <w:color w:val="auto"/>
                      <w:sz w:val="21"/>
                      <w:szCs w:val="21"/>
                      <w:lang w:eastAsia="zh-CN"/>
                    </w:rPr>
                  </w:pPr>
                </w:p>
              </w:tc>
              <w:tc>
                <w:tcPr>
                  <w:tcW w:w="846" w:type="pct"/>
                  <w:noWrap w:val="0"/>
                  <w:vAlign w:val="center"/>
                </w:tcPr>
                <w:p w14:paraId="2E8D70B5">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天朗.大兴郡悦城</w:t>
                  </w:r>
                </w:p>
              </w:tc>
              <w:tc>
                <w:tcPr>
                  <w:tcW w:w="682" w:type="pct"/>
                  <w:noWrap w:val="0"/>
                  <w:vAlign w:val="center"/>
                </w:tcPr>
                <w:p w14:paraId="5CD02C53">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108.898555</w:t>
                  </w:r>
                </w:p>
              </w:tc>
              <w:tc>
                <w:tcPr>
                  <w:tcW w:w="642" w:type="pct"/>
                  <w:noWrap w:val="0"/>
                  <w:vAlign w:val="center"/>
                </w:tcPr>
                <w:p w14:paraId="442B3E4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34.290153</w:t>
                  </w:r>
                </w:p>
              </w:tc>
              <w:tc>
                <w:tcPr>
                  <w:tcW w:w="457" w:type="pct"/>
                  <w:noWrap w:val="0"/>
                  <w:vAlign w:val="center"/>
                </w:tcPr>
                <w:p w14:paraId="7AA4CE7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680</w:t>
                  </w:r>
                </w:p>
              </w:tc>
              <w:tc>
                <w:tcPr>
                  <w:tcW w:w="476" w:type="pct"/>
                  <w:vMerge w:val="continue"/>
                  <w:noWrap w:val="0"/>
                  <w:vAlign w:val="center"/>
                </w:tcPr>
                <w:p w14:paraId="16F3422F">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0DFF794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3EA4000F">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 xml:space="preserve">E </w:t>
                  </w:r>
                </w:p>
              </w:tc>
              <w:tc>
                <w:tcPr>
                  <w:tcW w:w="455" w:type="pct"/>
                  <w:noWrap w:val="0"/>
                  <w:vAlign w:val="center"/>
                </w:tcPr>
                <w:p w14:paraId="3E84B14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470</w:t>
                  </w:r>
                </w:p>
              </w:tc>
            </w:tr>
            <w:tr w14:paraId="6DEABB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62A3B95A">
                  <w:pPr>
                    <w:jc w:val="center"/>
                    <w:rPr>
                      <w:rFonts w:hint="eastAsia" w:ascii="Times New Roman" w:hAnsi="Times New Roman" w:cs="Times New Roman"/>
                      <w:color w:val="auto"/>
                      <w:sz w:val="21"/>
                      <w:szCs w:val="21"/>
                      <w:lang w:eastAsia="zh-CN"/>
                    </w:rPr>
                  </w:pPr>
                </w:p>
              </w:tc>
              <w:tc>
                <w:tcPr>
                  <w:tcW w:w="846" w:type="pct"/>
                  <w:noWrap w:val="0"/>
                  <w:vAlign w:val="center"/>
                </w:tcPr>
                <w:p w14:paraId="40A8F904">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沁园春小区</w:t>
                  </w:r>
                </w:p>
              </w:tc>
              <w:tc>
                <w:tcPr>
                  <w:tcW w:w="682" w:type="pct"/>
                  <w:noWrap w:val="0"/>
                  <w:vAlign w:val="center"/>
                </w:tcPr>
                <w:p w14:paraId="7BED689D">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108.89678</w:t>
                  </w:r>
                  <w:r>
                    <w:rPr>
                      <w:rFonts w:hint="eastAsia" w:ascii="Times New Roman" w:hAnsi="Times New Roman" w:eastAsia="宋体" w:cs="Times New Roman"/>
                      <w:color w:val="auto"/>
                      <w:sz w:val="21"/>
                      <w:szCs w:val="21"/>
                      <w:lang w:val="en-US" w:eastAsia="zh-CN"/>
                    </w:rPr>
                    <w:t>5</w:t>
                  </w:r>
                </w:p>
              </w:tc>
              <w:tc>
                <w:tcPr>
                  <w:tcW w:w="642" w:type="pct"/>
                  <w:noWrap w:val="0"/>
                  <w:vAlign w:val="center"/>
                </w:tcPr>
                <w:p w14:paraId="654A619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34.29304</w:t>
                  </w:r>
                  <w:r>
                    <w:rPr>
                      <w:rFonts w:hint="eastAsia" w:ascii="Times New Roman" w:hAnsi="Times New Roman" w:eastAsia="宋体" w:cs="Times New Roman"/>
                      <w:color w:val="auto"/>
                      <w:sz w:val="21"/>
                      <w:szCs w:val="21"/>
                      <w:lang w:val="en-US" w:eastAsia="zh-CN"/>
                    </w:rPr>
                    <w:t>3</w:t>
                  </w:r>
                </w:p>
              </w:tc>
              <w:tc>
                <w:tcPr>
                  <w:tcW w:w="457" w:type="pct"/>
                  <w:noWrap w:val="0"/>
                  <w:vAlign w:val="center"/>
                </w:tcPr>
                <w:p w14:paraId="16A8506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400</w:t>
                  </w:r>
                </w:p>
              </w:tc>
              <w:tc>
                <w:tcPr>
                  <w:tcW w:w="476" w:type="pct"/>
                  <w:vMerge w:val="continue"/>
                  <w:noWrap w:val="0"/>
                  <w:vAlign w:val="center"/>
                </w:tcPr>
                <w:p w14:paraId="2661E40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401D8D3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2F75E76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NE</w:t>
                  </w:r>
                </w:p>
              </w:tc>
              <w:tc>
                <w:tcPr>
                  <w:tcW w:w="455" w:type="pct"/>
                  <w:noWrap w:val="0"/>
                  <w:vAlign w:val="center"/>
                </w:tcPr>
                <w:p w14:paraId="60A64DC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430</w:t>
                  </w:r>
                </w:p>
              </w:tc>
            </w:tr>
            <w:tr w14:paraId="703A2C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6D488A67">
                  <w:pPr>
                    <w:jc w:val="center"/>
                    <w:rPr>
                      <w:rFonts w:hint="eastAsia" w:ascii="Times New Roman" w:hAnsi="Times New Roman" w:cs="Times New Roman"/>
                      <w:color w:val="auto"/>
                      <w:sz w:val="21"/>
                      <w:szCs w:val="21"/>
                      <w:lang w:eastAsia="zh-CN"/>
                    </w:rPr>
                  </w:pPr>
                </w:p>
              </w:tc>
              <w:tc>
                <w:tcPr>
                  <w:tcW w:w="846" w:type="pct"/>
                  <w:noWrap w:val="0"/>
                  <w:vAlign w:val="center"/>
                </w:tcPr>
                <w:p w14:paraId="3F13FD23">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尚豪家园</w:t>
                  </w:r>
                </w:p>
              </w:tc>
              <w:tc>
                <w:tcPr>
                  <w:tcW w:w="682" w:type="pct"/>
                  <w:noWrap w:val="0"/>
                  <w:vAlign w:val="center"/>
                </w:tcPr>
                <w:p w14:paraId="36FEDEC6">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108.89526</w:t>
                  </w:r>
                  <w:r>
                    <w:rPr>
                      <w:rFonts w:hint="eastAsia" w:ascii="Times New Roman" w:hAnsi="Times New Roman" w:eastAsia="宋体" w:cs="Times New Roman"/>
                      <w:color w:val="auto"/>
                      <w:sz w:val="21"/>
                      <w:szCs w:val="21"/>
                      <w:lang w:val="en-US" w:eastAsia="zh-CN"/>
                    </w:rPr>
                    <w:t>7</w:t>
                  </w:r>
                </w:p>
              </w:tc>
              <w:tc>
                <w:tcPr>
                  <w:tcW w:w="642" w:type="pct"/>
                  <w:noWrap w:val="0"/>
                  <w:vAlign w:val="center"/>
                </w:tcPr>
                <w:p w14:paraId="71E6E35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34.29355</w:t>
                  </w:r>
                  <w:r>
                    <w:rPr>
                      <w:rFonts w:hint="eastAsia" w:ascii="Times New Roman" w:hAnsi="Times New Roman" w:eastAsia="宋体" w:cs="Times New Roman"/>
                      <w:color w:val="auto"/>
                      <w:sz w:val="21"/>
                      <w:szCs w:val="21"/>
                      <w:lang w:val="en-US" w:eastAsia="zh-CN"/>
                    </w:rPr>
                    <w:t>7</w:t>
                  </w:r>
                </w:p>
              </w:tc>
              <w:tc>
                <w:tcPr>
                  <w:tcW w:w="457" w:type="pct"/>
                  <w:noWrap w:val="0"/>
                  <w:vAlign w:val="center"/>
                </w:tcPr>
                <w:p w14:paraId="132ACB1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600</w:t>
                  </w:r>
                </w:p>
              </w:tc>
              <w:tc>
                <w:tcPr>
                  <w:tcW w:w="476" w:type="pct"/>
                  <w:vMerge w:val="continue"/>
                  <w:noWrap w:val="0"/>
                  <w:vAlign w:val="center"/>
                </w:tcPr>
                <w:p w14:paraId="26F48D3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128A6016">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54FA0FC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 xml:space="preserve">N </w:t>
                  </w:r>
                </w:p>
              </w:tc>
              <w:tc>
                <w:tcPr>
                  <w:tcW w:w="455" w:type="pct"/>
                  <w:noWrap w:val="0"/>
                  <w:vAlign w:val="center"/>
                </w:tcPr>
                <w:p w14:paraId="48E243C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350</w:t>
                  </w:r>
                </w:p>
              </w:tc>
            </w:tr>
            <w:tr w14:paraId="3954AC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5F53786F">
                  <w:pPr>
                    <w:jc w:val="center"/>
                    <w:rPr>
                      <w:rFonts w:hint="eastAsia" w:ascii="Times New Roman" w:hAnsi="Times New Roman" w:cs="Times New Roman"/>
                      <w:color w:val="auto"/>
                      <w:sz w:val="21"/>
                      <w:szCs w:val="21"/>
                      <w:lang w:eastAsia="zh-CN"/>
                    </w:rPr>
                  </w:pPr>
                </w:p>
              </w:tc>
              <w:tc>
                <w:tcPr>
                  <w:tcW w:w="846" w:type="pct"/>
                  <w:noWrap w:val="0"/>
                  <w:vAlign w:val="center"/>
                </w:tcPr>
                <w:p w14:paraId="3FE3BF9E">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中南.青樾</w:t>
                  </w:r>
                </w:p>
              </w:tc>
              <w:tc>
                <w:tcPr>
                  <w:tcW w:w="682" w:type="pct"/>
                  <w:noWrap w:val="0"/>
                  <w:vAlign w:val="center"/>
                </w:tcPr>
                <w:p w14:paraId="6132C4C5">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108.89356</w:t>
                  </w:r>
                  <w:r>
                    <w:rPr>
                      <w:rFonts w:hint="eastAsia" w:ascii="Times New Roman" w:hAnsi="Times New Roman" w:eastAsia="宋体" w:cs="Times New Roman"/>
                      <w:color w:val="auto"/>
                      <w:sz w:val="21"/>
                      <w:szCs w:val="21"/>
                      <w:lang w:val="en-US" w:eastAsia="zh-CN"/>
                    </w:rPr>
                    <w:t>1</w:t>
                  </w:r>
                </w:p>
              </w:tc>
              <w:tc>
                <w:tcPr>
                  <w:tcW w:w="642" w:type="pct"/>
                  <w:noWrap w:val="0"/>
                  <w:vAlign w:val="center"/>
                </w:tcPr>
                <w:p w14:paraId="2FCFE23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34.28886</w:t>
                  </w:r>
                  <w:r>
                    <w:rPr>
                      <w:rFonts w:hint="eastAsia" w:ascii="Times New Roman" w:hAnsi="Times New Roman" w:eastAsia="宋体" w:cs="Times New Roman"/>
                      <w:color w:val="auto"/>
                      <w:sz w:val="21"/>
                      <w:szCs w:val="21"/>
                      <w:lang w:val="en-US" w:eastAsia="zh-CN"/>
                    </w:rPr>
                    <w:t>8</w:t>
                  </w:r>
                </w:p>
              </w:tc>
              <w:tc>
                <w:tcPr>
                  <w:tcW w:w="457" w:type="pct"/>
                  <w:noWrap w:val="0"/>
                  <w:vAlign w:val="center"/>
                </w:tcPr>
                <w:p w14:paraId="700F878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580</w:t>
                  </w:r>
                </w:p>
              </w:tc>
              <w:tc>
                <w:tcPr>
                  <w:tcW w:w="476" w:type="pct"/>
                  <w:vMerge w:val="continue"/>
                  <w:noWrap w:val="0"/>
                  <w:vAlign w:val="center"/>
                </w:tcPr>
                <w:p w14:paraId="6D4A395F">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4056C54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shd w:val="clear" w:color="auto" w:fill="auto"/>
                  <w:noWrap w:val="0"/>
                  <w:vAlign w:val="center"/>
                </w:tcPr>
                <w:p w14:paraId="38C8C24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S</w:t>
                  </w:r>
                </w:p>
              </w:tc>
              <w:tc>
                <w:tcPr>
                  <w:tcW w:w="455" w:type="pct"/>
                  <w:shd w:val="clear" w:color="auto" w:fill="auto"/>
                  <w:noWrap w:val="0"/>
                  <w:vAlign w:val="center"/>
                </w:tcPr>
                <w:p w14:paraId="429F8290">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140</w:t>
                  </w:r>
                </w:p>
              </w:tc>
            </w:tr>
            <w:tr w14:paraId="5C1B91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320595B0">
                  <w:pPr>
                    <w:jc w:val="center"/>
                    <w:rPr>
                      <w:rFonts w:hint="eastAsia" w:ascii="Times New Roman" w:hAnsi="Times New Roman" w:cs="Times New Roman"/>
                      <w:color w:val="auto"/>
                      <w:sz w:val="21"/>
                      <w:szCs w:val="21"/>
                      <w:lang w:eastAsia="zh-CN"/>
                    </w:rPr>
                  </w:pPr>
                </w:p>
              </w:tc>
              <w:tc>
                <w:tcPr>
                  <w:tcW w:w="846" w:type="pct"/>
                  <w:noWrap w:val="0"/>
                  <w:vAlign w:val="center"/>
                </w:tcPr>
                <w:p w14:paraId="59EA3DB4">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莲清湖雅居</w:t>
                  </w:r>
                </w:p>
              </w:tc>
              <w:tc>
                <w:tcPr>
                  <w:tcW w:w="682" w:type="pct"/>
                  <w:noWrap w:val="0"/>
                  <w:vAlign w:val="center"/>
                </w:tcPr>
                <w:p w14:paraId="4BD2C73B">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108.8956</w:t>
                  </w:r>
                  <w:r>
                    <w:rPr>
                      <w:rFonts w:hint="eastAsia" w:ascii="Times New Roman" w:hAnsi="Times New Roman" w:eastAsia="宋体" w:cs="Times New Roman"/>
                      <w:color w:val="auto"/>
                      <w:sz w:val="21"/>
                      <w:szCs w:val="21"/>
                      <w:lang w:val="en-US" w:eastAsia="zh-CN"/>
                    </w:rPr>
                    <w:t>10</w:t>
                  </w:r>
                </w:p>
              </w:tc>
              <w:tc>
                <w:tcPr>
                  <w:tcW w:w="642" w:type="pct"/>
                  <w:noWrap w:val="0"/>
                  <w:vAlign w:val="center"/>
                </w:tcPr>
                <w:p w14:paraId="555208A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34.287826</w:t>
                  </w:r>
                </w:p>
              </w:tc>
              <w:tc>
                <w:tcPr>
                  <w:tcW w:w="457" w:type="pct"/>
                  <w:noWrap w:val="0"/>
                  <w:vAlign w:val="center"/>
                </w:tcPr>
                <w:p w14:paraId="7CD1A9F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p>
              </w:tc>
              <w:tc>
                <w:tcPr>
                  <w:tcW w:w="476" w:type="pct"/>
                  <w:vMerge w:val="continue"/>
                  <w:noWrap w:val="0"/>
                  <w:vAlign w:val="center"/>
                </w:tcPr>
                <w:p w14:paraId="3DA32451">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4A3B38E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57EA4FE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SE</w:t>
                  </w:r>
                </w:p>
              </w:tc>
              <w:tc>
                <w:tcPr>
                  <w:tcW w:w="455" w:type="pct"/>
                  <w:noWrap w:val="0"/>
                  <w:vAlign w:val="center"/>
                </w:tcPr>
                <w:p w14:paraId="6721D3F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334</w:t>
                  </w:r>
                </w:p>
              </w:tc>
            </w:tr>
            <w:tr w14:paraId="3D3F00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1F822793">
                  <w:pPr>
                    <w:jc w:val="center"/>
                    <w:rPr>
                      <w:rFonts w:hint="eastAsia" w:ascii="Times New Roman" w:hAnsi="Times New Roman" w:cs="Times New Roman"/>
                      <w:color w:val="auto"/>
                      <w:sz w:val="21"/>
                      <w:szCs w:val="21"/>
                      <w:lang w:eastAsia="zh-CN"/>
                    </w:rPr>
                  </w:pPr>
                </w:p>
              </w:tc>
              <w:tc>
                <w:tcPr>
                  <w:tcW w:w="846" w:type="pct"/>
                  <w:noWrap w:val="0"/>
                  <w:vAlign w:val="center"/>
                </w:tcPr>
                <w:p w14:paraId="158AB59F">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天朗.大兴郡</w:t>
                  </w:r>
                </w:p>
              </w:tc>
              <w:tc>
                <w:tcPr>
                  <w:tcW w:w="682" w:type="pct"/>
                  <w:noWrap w:val="0"/>
                  <w:vAlign w:val="center"/>
                </w:tcPr>
                <w:p w14:paraId="4646EE7A">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108.896350</w:t>
                  </w:r>
                </w:p>
              </w:tc>
              <w:tc>
                <w:tcPr>
                  <w:tcW w:w="642" w:type="pct"/>
                  <w:noWrap w:val="0"/>
                  <w:vAlign w:val="center"/>
                </w:tcPr>
                <w:p w14:paraId="1B1C282E">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34.28752</w:t>
                  </w:r>
                  <w:r>
                    <w:rPr>
                      <w:rFonts w:hint="eastAsia" w:ascii="Times New Roman" w:hAnsi="Times New Roman" w:eastAsia="宋体" w:cs="Times New Roman"/>
                      <w:color w:val="auto"/>
                      <w:sz w:val="21"/>
                      <w:szCs w:val="21"/>
                      <w:lang w:val="en-US" w:eastAsia="zh-CN"/>
                    </w:rPr>
                    <w:t>5</w:t>
                  </w:r>
                </w:p>
              </w:tc>
              <w:tc>
                <w:tcPr>
                  <w:tcW w:w="457" w:type="pct"/>
                  <w:noWrap w:val="0"/>
                  <w:vAlign w:val="center"/>
                </w:tcPr>
                <w:p w14:paraId="2251A82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680</w:t>
                  </w:r>
                </w:p>
              </w:tc>
              <w:tc>
                <w:tcPr>
                  <w:tcW w:w="476" w:type="pct"/>
                  <w:vMerge w:val="continue"/>
                  <w:noWrap w:val="0"/>
                  <w:vAlign w:val="center"/>
                </w:tcPr>
                <w:p w14:paraId="2EC62E1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065F3AA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1E5C9394">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SE</w:t>
                  </w:r>
                </w:p>
              </w:tc>
              <w:tc>
                <w:tcPr>
                  <w:tcW w:w="455" w:type="pct"/>
                  <w:noWrap w:val="0"/>
                  <w:vAlign w:val="center"/>
                </w:tcPr>
                <w:p w14:paraId="3AF39B6A">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405</w:t>
                  </w:r>
                </w:p>
              </w:tc>
            </w:tr>
            <w:tr w14:paraId="111DCA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336D9251">
                  <w:pPr>
                    <w:jc w:val="center"/>
                    <w:rPr>
                      <w:rFonts w:hint="eastAsia" w:ascii="Times New Roman" w:hAnsi="Times New Roman" w:cs="Times New Roman"/>
                      <w:color w:val="auto"/>
                      <w:sz w:val="21"/>
                      <w:szCs w:val="21"/>
                      <w:lang w:eastAsia="zh-CN"/>
                    </w:rPr>
                  </w:pPr>
                </w:p>
              </w:tc>
              <w:tc>
                <w:tcPr>
                  <w:tcW w:w="846" w:type="pct"/>
                  <w:noWrap w:val="0"/>
                  <w:vAlign w:val="center"/>
                </w:tcPr>
                <w:p w14:paraId="49955EC8">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青水源小区</w:t>
                  </w:r>
                </w:p>
              </w:tc>
              <w:tc>
                <w:tcPr>
                  <w:tcW w:w="682" w:type="pct"/>
                  <w:noWrap w:val="0"/>
                  <w:vAlign w:val="center"/>
                </w:tcPr>
                <w:p w14:paraId="2BE1E9CA">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108.89625</w:t>
                  </w:r>
                  <w:r>
                    <w:rPr>
                      <w:rFonts w:hint="eastAsia" w:ascii="Times New Roman" w:hAnsi="Times New Roman" w:eastAsia="宋体" w:cs="Times New Roman"/>
                      <w:color w:val="auto"/>
                      <w:sz w:val="21"/>
                      <w:szCs w:val="21"/>
                      <w:lang w:val="en-US" w:eastAsia="zh-CN"/>
                    </w:rPr>
                    <w:t>4</w:t>
                  </w:r>
                </w:p>
              </w:tc>
              <w:tc>
                <w:tcPr>
                  <w:tcW w:w="642" w:type="pct"/>
                  <w:noWrap w:val="0"/>
                  <w:vAlign w:val="center"/>
                </w:tcPr>
                <w:p w14:paraId="35D2B32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34.28861</w:t>
                  </w:r>
                  <w:r>
                    <w:rPr>
                      <w:rFonts w:hint="eastAsia" w:ascii="Times New Roman" w:hAnsi="Times New Roman" w:eastAsia="宋体" w:cs="Times New Roman"/>
                      <w:color w:val="auto"/>
                      <w:sz w:val="21"/>
                      <w:szCs w:val="21"/>
                      <w:lang w:val="en-US" w:eastAsia="zh-CN"/>
                    </w:rPr>
                    <w:t>1</w:t>
                  </w:r>
                </w:p>
              </w:tc>
              <w:tc>
                <w:tcPr>
                  <w:tcW w:w="457" w:type="pct"/>
                  <w:noWrap w:val="0"/>
                  <w:vAlign w:val="center"/>
                </w:tcPr>
                <w:p w14:paraId="4CF3608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670</w:t>
                  </w:r>
                </w:p>
              </w:tc>
              <w:tc>
                <w:tcPr>
                  <w:tcW w:w="476" w:type="pct"/>
                  <w:vMerge w:val="continue"/>
                  <w:noWrap w:val="0"/>
                  <w:vAlign w:val="center"/>
                </w:tcPr>
                <w:p w14:paraId="29850EA5">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04882186">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4BFC5AC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SE</w:t>
                  </w:r>
                </w:p>
              </w:tc>
              <w:tc>
                <w:tcPr>
                  <w:tcW w:w="455" w:type="pct"/>
                  <w:noWrap w:val="0"/>
                  <w:vAlign w:val="center"/>
                </w:tcPr>
                <w:p w14:paraId="5D1F455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310</w:t>
                  </w:r>
                </w:p>
              </w:tc>
            </w:tr>
            <w:tr w14:paraId="4EF0CE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Merge w:val="continue"/>
                  <w:noWrap w:val="0"/>
                  <w:vAlign w:val="center"/>
                </w:tcPr>
                <w:p w14:paraId="7AF93ECE">
                  <w:pPr>
                    <w:jc w:val="center"/>
                    <w:rPr>
                      <w:rFonts w:hint="eastAsia" w:ascii="Times New Roman" w:hAnsi="Times New Roman" w:cs="Times New Roman"/>
                      <w:color w:val="auto"/>
                      <w:sz w:val="21"/>
                      <w:szCs w:val="21"/>
                      <w:lang w:eastAsia="zh-CN"/>
                    </w:rPr>
                  </w:pPr>
                </w:p>
              </w:tc>
              <w:tc>
                <w:tcPr>
                  <w:tcW w:w="846" w:type="pct"/>
                  <w:noWrap w:val="0"/>
                  <w:vAlign w:val="center"/>
                </w:tcPr>
                <w:p w14:paraId="1EEECA2B">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宏源国际公寓小区</w:t>
                  </w:r>
                </w:p>
              </w:tc>
              <w:tc>
                <w:tcPr>
                  <w:tcW w:w="682" w:type="pct"/>
                  <w:noWrap w:val="0"/>
                  <w:vAlign w:val="center"/>
                </w:tcPr>
                <w:p w14:paraId="120E041F">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108.890594</w:t>
                  </w:r>
                </w:p>
              </w:tc>
              <w:tc>
                <w:tcPr>
                  <w:tcW w:w="642" w:type="pct"/>
                  <w:noWrap w:val="0"/>
                  <w:vAlign w:val="center"/>
                </w:tcPr>
                <w:p w14:paraId="190BAF0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34.289107</w:t>
                  </w:r>
                </w:p>
              </w:tc>
              <w:tc>
                <w:tcPr>
                  <w:tcW w:w="457" w:type="pct"/>
                  <w:noWrap w:val="0"/>
                  <w:vAlign w:val="center"/>
                </w:tcPr>
                <w:p w14:paraId="3A2953EA">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600</w:t>
                  </w:r>
                </w:p>
              </w:tc>
              <w:tc>
                <w:tcPr>
                  <w:tcW w:w="476" w:type="pct"/>
                  <w:vMerge w:val="continue"/>
                  <w:noWrap w:val="0"/>
                  <w:vAlign w:val="center"/>
                </w:tcPr>
                <w:p w14:paraId="71A08124">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5A1387A2">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0485339F">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SW</w:t>
                  </w:r>
                </w:p>
              </w:tc>
              <w:tc>
                <w:tcPr>
                  <w:tcW w:w="455" w:type="pct"/>
                  <w:noWrap w:val="0"/>
                  <w:vAlign w:val="center"/>
                </w:tcPr>
                <w:p w14:paraId="2188A66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224</w:t>
                  </w:r>
                </w:p>
              </w:tc>
            </w:tr>
            <w:tr w14:paraId="1AF550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90" w:hRule="atLeast"/>
                <w:jc w:val="center"/>
              </w:trPr>
              <w:tc>
                <w:tcPr>
                  <w:tcW w:w="239" w:type="pct"/>
                  <w:vMerge w:val="continue"/>
                  <w:noWrap w:val="0"/>
                  <w:vAlign w:val="center"/>
                </w:tcPr>
                <w:p w14:paraId="05F8E2E3">
                  <w:pPr>
                    <w:jc w:val="center"/>
                    <w:rPr>
                      <w:rFonts w:hint="eastAsia" w:ascii="Times New Roman" w:hAnsi="Times New Roman" w:cs="Times New Roman"/>
                      <w:color w:val="auto"/>
                      <w:sz w:val="21"/>
                      <w:szCs w:val="21"/>
                      <w:lang w:eastAsia="zh-CN"/>
                    </w:rPr>
                  </w:pPr>
                </w:p>
              </w:tc>
              <w:tc>
                <w:tcPr>
                  <w:tcW w:w="846" w:type="pct"/>
                  <w:noWrap w:val="0"/>
                  <w:vAlign w:val="center"/>
                </w:tcPr>
                <w:p w14:paraId="728DB40C">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御湖豪庭</w:t>
                  </w:r>
                </w:p>
              </w:tc>
              <w:tc>
                <w:tcPr>
                  <w:tcW w:w="682" w:type="pct"/>
                  <w:noWrap w:val="0"/>
                  <w:vAlign w:val="center"/>
                </w:tcPr>
                <w:p w14:paraId="5ECD0A96">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108.88914</w:t>
                  </w:r>
                  <w:r>
                    <w:rPr>
                      <w:rFonts w:hint="eastAsia" w:ascii="Times New Roman" w:hAnsi="Times New Roman" w:eastAsia="宋体" w:cs="Times New Roman"/>
                      <w:color w:val="auto"/>
                      <w:sz w:val="21"/>
                      <w:szCs w:val="21"/>
                      <w:lang w:val="en-US" w:eastAsia="zh-CN"/>
                    </w:rPr>
                    <w:t>6</w:t>
                  </w:r>
                </w:p>
              </w:tc>
              <w:tc>
                <w:tcPr>
                  <w:tcW w:w="642" w:type="pct"/>
                  <w:noWrap w:val="0"/>
                  <w:vAlign w:val="center"/>
                </w:tcPr>
                <w:p w14:paraId="11124010">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34.289178</w:t>
                  </w:r>
                </w:p>
              </w:tc>
              <w:tc>
                <w:tcPr>
                  <w:tcW w:w="457" w:type="pct"/>
                  <w:noWrap w:val="0"/>
                  <w:vAlign w:val="center"/>
                </w:tcPr>
                <w:p w14:paraId="00349DAC">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630</w:t>
                  </w:r>
                </w:p>
              </w:tc>
              <w:tc>
                <w:tcPr>
                  <w:tcW w:w="476" w:type="pct"/>
                  <w:vMerge w:val="continue"/>
                  <w:noWrap w:val="0"/>
                  <w:vAlign w:val="center"/>
                </w:tcPr>
                <w:p w14:paraId="1EE6E683">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902" w:type="pct"/>
                  <w:vMerge w:val="continue"/>
                  <w:noWrap w:val="0"/>
                  <w:vAlign w:val="center"/>
                </w:tcPr>
                <w:p w14:paraId="5132099A">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p>
              </w:tc>
              <w:tc>
                <w:tcPr>
                  <w:tcW w:w="297" w:type="pct"/>
                  <w:noWrap w:val="0"/>
                  <w:vAlign w:val="center"/>
                </w:tcPr>
                <w:p w14:paraId="756DDF1B">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SW</w:t>
                  </w:r>
                </w:p>
              </w:tc>
              <w:tc>
                <w:tcPr>
                  <w:tcW w:w="455" w:type="pct"/>
                  <w:noWrap w:val="0"/>
                  <w:vAlign w:val="center"/>
                </w:tcPr>
                <w:p w14:paraId="55D86917">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328</w:t>
                  </w:r>
                </w:p>
              </w:tc>
            </w:tr>
            <w:tr w14:paraId="030C66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noWrap w:val="0"/>
                  <w:vAlign w:val="center"/>
                </w:tcPr>
                <w:p w14:paraId="255D4304">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声环境</w:t>
                  </w:r>
                </w:p>
              </w:tc>
              <w:tc>
                <w:tcPr>
                  <w:tcW w:w="846" w:type="pct"/>
                  <w:noWrap w:val="0"/>
                  <w:vAlign w:val="center"/>
                </w:tcPr>
                <w:p w14:paraId="0077CB25">
                  <w:pPr>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天健望湖大观</w:t>
                  </w:r>
                </w:p>
              </w:tc>
              <w:tc>
                <w:tcPr>
                  <w:tcW w:w="682" w:type="pct"/>
                  <w:noWrap w:val="0"/>
                  <w:vAlign w:val="center"/>
                </w:tcPr>
                <w:p w14:paraId="1799A32B">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108.893437</w:t>
                  </w:r>
                </w:p>
              </w:tc>
              <w:tc>
                <w:tcPr>
                  <w:tcW w:w="642" w:type="pct"/>
                  <w:noWrap w:val="0"/>
                  <w:vAlign w:val="center"/>
                </w:tcPr>
                <w:p w14:paraId="6EEE9BF3">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34.290054</w:t>
                  </w:r>
                </w:p>
              </w:tc>
              <w:tc>
                <w:tcPr>
                  <w:tcW w:w="457" w:type="pct"/>
                  <w:noWrap w:val="0"/>
                  <w:vAlign w:val="center"/>
                </w:tcPr>
                <w:p w14:paraId="74213A4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600</w:t>
                  </w:r>
                </w:p>
              </w:tc>
              <w:tc>
                <w:tcPr>
                  <w:tcW w:w="476" w:type="pct"/>
                  <w:noWrap w:val="0"/>
                  <w:vAlign w:val="center"/>
                </w:tcPr>
                <w:p w14:paraId="6156B3DC">
                  <w:pPr>
                    <w:pStyle w:val="68"/>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声环境</w:t>
                  </w:r>
                </w:p>
              </w:tc>
              <w:tc>
                <w:tcPr>
                  <w:tcW w:w="902" w:type="pct"/>
                  <w:noWrap w:val="0"/>
                  <w:vAlign w:val="center"/>
                </w:tcPr>
                <w:p w14:paraId="4FC9DE4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《声环境质量标准》（GB</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3096-2008）中</w:t>
                  </w:r>
                  <w:r>
                    <w:rPr>
                      <w:rFonts w:hint="default"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rPr>
                    <w:t>类标准</w:t>
                  </w:r>
                </w:p>
              </w:tc>
              <w:tc>
                <w:tcPr>
                  <w:tcW w:w="297" w:type="pct"/>
                  <w:noWrap w:val="0"/>
                  <w:vAlign w:val="center"/>
                </w:tcPr>
                <w:p w14:paraId="08B31B6D">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S、N</w:t>
                  </w:r>
                </w:p>
              </w:tc>
              <w:tc>
                <w:tcPr>
                  <w:tcW w:w="455" w:type="pct"/>
                  <w:noWrap w:val="0"/>
                  <w:vAlign w:val="center"/>
                </w:tcPr>
                <w:p w14:paraId="4C182959">
                  <w:pPr>
                    <w:pStyle w:val="68"/>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r>
          </w:tbl>
          <w:p w14:paraId="6EA91F6A">
            <w:pPr>
              <w:adjustRightInd w:val="0"/>
              <w:snapToGrid w:val="0"/>
              <w:spacing w:line="360" w:lineRule="auto"/>
              <w:rPr>
                <w:rFonts w:hint="default" w:ascii="Times New Roman" w:hAnsi="Times New Roman" w:cs="Times New Roman"/>
                <w:color w:val="auto"/>
                <w:kern w:val="0"/>
                <w:sz w:val="24"/>
              </w:rPr>
            </w:pPr>
          </w:p>
        </w:tc>
      </w:tr>
      <w:tr w14:paraId="41644E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7" w:type="pct"/>
            <w:vAlign w:val="center"/>
          </w:tcPr>
          <w:p w14:paraId="19639C65">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污</w:t>
            </w:r>
          </w:p>
          <w:p w14:paraId="1D737C66">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染</w:t>
            </w:r>
          </w:p>
          <w:p w14:paraId="72782740">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物</w:t>
            </w:r>
          </w:p>
          <w:p w14:paraId="0686A60F">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排</w:t>
            </w:r>
          </w:p>
          <w:p w14:paraId="769D3ED3">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放</w:t>
            </w:r>
          </w:p>
          <w:p w14:paraId="09801965">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控</w:t>
            </w:r>
          </w:p>
          <w:p w14:paraId="125AEB2C">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制</w:t>
            </w:r>
          </w:p>
          <w:p w14:paraId="44FCA24B">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标</w:t>
            </w:r>
          </w:p>
          <w:p w14:paraId="2AEAF0A3">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准</w:t>
            </w:r>
          </w:p>
        </w:tc>
        <w:tc>
          <w:tcPr>
            <w:tcW w:w="4642" w:type="pct"/>
            <w:vAlign w:val="center"/>
          </w:tcPr>
          <w:p w14:paraId="121E6B71">
            <w:pPr>
              <w:adjustRightInd w:val="0"/>
              <w:snapToGrid w:val="0"/>
              <w:spacing w:before="120" w:beforeLines="50"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（一）大气污染物排放标准</w:t>
            </w:r>
          </w:p>
          <w:p w14:paraId="4FC7F0D1">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施工期扬尘执行《施工厂界扬尘排放限值》（DB61/1078-2017），具体见表3-4。</w:t>
            </w:r>
          </w:p>
          <w:p w14:paraId="27CCB5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表3-</w:t>
            </w:r>
            <w:r>
              <w:rPr>
                <w:rFonts w:hint="eastAsia" w:cs="Times New Roman"/>
                <w:b/>
                <w:bCs/>
                <w:color w:val="auto"/>
                <w:sz w:val="21"/>
                <w:szCs w:val="21"/>
                <w:lang w:val="en-US" w:eastAsia="zh-CN"/>
              </w:rPr>
              <w:t xml:space="preserve">4 </w:t>
            </w:r>
            <w:r>
              <w:rPr>
                <w:rFonts w:hint="default" w:ascii="Times New Roman" w:hAnsi="Times New Roman" w:cs="Times New Roman"/>
                <w:b/>
                <w:bCs/>
                <w:color w:val="auto"/>
                <w:sz w:val="21"/>
                <w:szCs w:val="21"/>
                <w:lang w:eastAsia="zh-CN"/>
              </w:rPr>
              <w:t>施工期废气污染物排放标准限值</w:t>
            </w:r>
          </w:p>
          <w:tbl>
            <w:tblPr>
              <w:tblStyle w:val="29"/>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1296"/>
              <w:gridCol w:w="1332"/>
              <w:gridCol w:w="4692"/>
            </w:tblGrid>
            <w:tr w14:paraId="372609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3" w:type="pct"/>
                  <w:tcBorders>
                    <w:tl2br w:val="nil"/>
                    <w:tr2bl w:val="nil"/>
                  </w:tcBorders>
                  <w:noWrap w:val="0"/>
                  <w:vAlign w:val="center"/>
                </w:tcPr>
                <w:p w14:paraId="544DA3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类别</w:t>
                  </w:r>
                </w:p>
              </w:tc>
              <w:tc>
                <w:tcPr>
                  <w:tcW w:w="725" w:type="pct"/>
                  <w:tcBorders>
                    <w:tl2br w:val="nil"/>
                    <w:tr2bl w:val="nil"/>
                  </w:tcBorders>
                  <w:noWrap w:val="0"/>
                  <w:vAlign w:val="center"/>
                </w:tcPr>
                <w:p w14:paraId="3C9BD9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污染物</w:t>
                  </w:r>
                </w:p>
              </w:tc>
              <w:tc>
                <w:tcPr>
                  <w:tcW w:w="745" w:type="pct"/>
                  <w:tcBorders>
                    <w:tl2br w:val="nil"/>
                    <w:tr2bl w:val="nil"/>
                  </w:tcBorders>
                  <w:noWrap w:val="0"/>
                  <w:vAlign w:val="center"/>
                </w:tcPr>
                <w:p w14:paraId="241AAC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标准限值</w:t>
                  </w:r>
                </w:p>
              </w:tc>
              <w:tc>
                <w:tcPr>
                  <w:tcW w:w="2625" w:type="pct"/>
                  <w:tcBorders>
                    <w:tl2br w:val="nil"/>
                    <w:tr2bl w:val="nil"/>
                  </w:tcBorders>
                  <w:noWrap w:val="0"/>
                  <w:vAlign w:val="center"/>
                </w:tcPr>
                <w:p w14:paraId="63DCE4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排放</w:t>
                  </w:r>
                  <w:r>
                    <w:rPr>
                      <w:rFonts w:hint="default" w:ascii="Times New Roman" w:hAnsi="Times New Roman" w:eastAsia="宋体" w:cs="Times New Roman"/>
                      <w:b/>
                      <w:bCs/>
                      <w:color w:val="auto"/>
                      <w:sz w:val="21"/>
                      <w:szCs w:val="21"/>
                      <w:lang w:val="en-US" w:eastAsia="zh-CN"/>
                    </w:rPr>
                    <w:t>标准</w:t>
                  </w:r>
                </w:p>
              </w:tc>
            </w:tr>
            <w:tr w14:paraId="3B6C35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3" w:type="pct"/>
                  <w:tcBorders>
                    <w:tl2br w:val="nil"/>
                    <w:tr2bl w:val="nil"/>
                  </w:tcBorders>
                  <w:noWrap w:val="0"/>
                  <w:vAlign w:val="center"/>
                </w:tcPr>
                <w:p w14:paraId="4F8656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施工扬尘</w:t>
                  </w:r>
                </w:p>
              </w:tc>
              <w:tc>
                <w:tcPr>
                  <w:tcW w:w="725" w:type="pct"/>
                  <w:tcBorders>
                    <w:tl2br w:val="nil"/>
                    <w:tr2bl w:val="nil"/>
                  </w:tcBorders>
                  <w:noWrap w:val="0"/>
                  <w:vAlign w:val="center"/>
                </w:tcPr>
                <w:p w14:paraId="4C09FF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745" w:type="pct"/>
                  <w:tcBorders>
                    <w:tl2br w:val="nil"/>
                    <w:tr2bl w:val="nil"/>
                  </w:tcBorders>
                  <w:noWrap w:val="0"/>
                  <w:vAlign w:val="center"/>
                </w:tcPr>
                <w:p w14:paraId="59FB98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≤0.7mg/m</w:t>
                  </w:r>
                  <w:r>
                    <w:rPr>
                      <w:rFonts w:hint="default" w:ascii="Times New Roman" w:hAnsi="Times New Roman" w:eastAsia="宋体" w:cs="Times New Roman"/>
                      <w:color w:val="auto"/>
                      <w:sz w:val="21"/>
                      <w:szCs w:val="21"/>
                      <w:vertAlign w:val="superscript"/>
                      <w:lang w:val="en-US" w:eastAsia="zh-CN"/>
                    </w:rPr>
                    <w:t>3</w:t>
                  </w:r>
                </w:p>
              </w:tc>
              <w:tc>
                <w:tcPr>
                  <w:tcW w:w="2625" w:type="pct"/>
                  <w:tcBorders>
                    <w:tl2br w:val="nil"/>
                    <w:tr2bl w:val="nil"/>
                  </w:tcBorders>
                  <w:noWrap w:val="0"/>
                  <w:vAlign w:val="center"/>
                </w:tcPr>
                <w:p w14:paraId="7A5F39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《施工场界扬尘排放限值》（DB61/1078-2017）</w:t>
                  </w:r>
                </w:p>
              </w:tc>
            </w:tr>
          </w:tbl>
          <w:p w14:paraId="340C99CE">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项目运营过程中产生</w:t>
            </w:r>
            <w:r>
              <w:rPr>
                <w:rFonts w:hint="eastAsia" w:cs="Times New Roman"/>
                <w:color w:val="auto"/>
                <w:sz w:val="24"/>
                <w:lang w:val="en-US" w:eastAsia="zh-CN"/>
              </w:rPr>
              <w:t>酸碱废气（硫酸雾、NO</w:t>
            </w:r>
            <w:r>
              <w:rPr>
                <w:rFonts w:hint="eastAsia" w:cs="Times New Roman"/>
                <w:color w:val="auto"/>
                <w:sz w:val="24"/>
                <w:vertAlign w:val="subscript"/>
                <w:lang w:val="en-US" w:eastAsia="zh-CN"/>
              </w:rPr>
              <w:t>X</w:t>
            </w:r>
            <w:r>
              <w:rPr>
                <w:rFonts w:hint="eastAsia" w:cs="Times New Roman"/>
                <w:color w:val="auto"/>
                <w:sz w:val="24"/>
                <w:lang w:val="en-US" w:eastAsia="zh-CN"/>
              </w:rPr>
              <w:t>、HCl、氨）和</w:t>
            </w:r>
            <w:r>
              <w:rPr>
                <w:rFonts w:hint="default" w:ascii="Times New Roman" w:hAnsi="Times New Roman" w:cs="Times New Roman"/>
                <w:color w:val="auto"/>
                <w:sz w:val="24"/>
              </w:rPr>
              <w:t>有机废气</w:t>
            </w:r>
            <w:r>
              <w:rPr>
                <w:rFonts w:hint="eastAsia" w:cs="Times New Roman"/>
                <w:color w:val="auto"/>
                <w:sz w:val="24"/>
                <w:lang w:eastAsia="zh-CN"/>
              </w:rPr>
              <w:t>（</w:t>
            </w:r>
            <w:r>
              <w:rPr>
                <w:rFonts w:hint="eastAsia" w:cs="Times New Roman"/>
                <w:color w:val="auto"/>
                <w:sz w:val="24"/>
                <w:lang w:val="en-US" w:eastAsia="zh-CN"/>
              </w:rPr>
              <w:t>非甲烷总烃</w:t>
            </w:r>
            <w:r>
              <w:rPr>
                <w:rFonts w:hint="eastAsia" w:cs="Times New Roman"/>
                <w:color w:val="auto"/>
                <w:sz w:val="24"/>
                <w:lang w:eastAsia="zh-CN"/>
              </w:rPr>
              <w:t>）</w:t>
            </w:r>
            <w:r>
              <w:rPr>
                <w:rFonts w:hint="default" w:ascii="Times New Roman" w:hAnsi="Times New Roman" w:cs="Times New Roman"/>
                <w:color w:val="auto"/>
                <w:sz w:val="24"/>
              </w:rPr>
              <w:t>。</w:t>
            </w:r>
            <w:r>
              <w:rPr>
                <w:rFonts w:hint="eastAsia" w:cs="Times New Roman"/>
                <w:color w:val="auto"/>
                <w:sz w:val="24"/>
                <w:lang w:val="en-US" w:eastAsia="zh-CN"/>
              </w:rPr>
              <w:t>项目大气</w:t>
            </w:r>
            <w:r>
              <w:rPr>
                <w:rFonts w:hint="default" w:ascii="Times New Roman" w:hAnsi="Times New Roman" w:cs="Times New Roman"/>
                <w:color w:val="auto"/>
                <w:sz w:val="24"/>
              </w:rPr>
              <w:t>污染物执行标准见表3-</w:t>
            </w:r>
            <w:r>
              <w:rPr>
                <w:rFonts w:hint="eastAsia" w:cs="Times New Roman"/>
                <w:color w:val="auto"/>
                <w:sz w:val="24"/>
                <w:lang w:val="en-US" w:eastAsia="zh-CN"/>
              </w:rPr>
              <w:t>5</w:t>
            </w:r>
            <w:r>
              <w:rPr>
                <w:rFonts w:hint="default" w:ascii="Times New Roman" w:hAnsi="Times New Roman" w:cs="Times New Roman"/>
                <w:color w:val="auto"/>
                <w:sz w:val="24"/>
              </w:rPr>
              <w:t>。</w:t>
            </w:r>
          </w:p>
          <w:p w14:paraId="17234996">
            <w:pPr>
              <w:adjustRightInd w:val="0"/>
              <w:snapToGrid w:val="0"/>
              <w:spacing w:before="120" w:beforeLines="5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表3-</w:t>
            </w:r>
            <w:r>
              <w:rPr>
                <w:rFonts w:hint="eastAsia" w:cs="Times New Roman"/>
                <w:b/>
                <w:bCs/>
                <w:color w:val="auto"/>
                <w:szCs w:val="21"/>
                <w:lang w:val="en-US" w:eastAsia="zh-CN"/>
              </w:rPr>
              <w:t>5</w:t>
            </w:r>
            <w:r>
              <w:rPr>
                <w:rFonts w:hint="default" w:ascii="Times New Roman" w:hAnsi="Times New Roman" w:cs="Times New Roman"/>
                <w:b/>
                <w:bCs/>
                <w:color w:val="auto"/>
                <w:szCs w:val="21"/>
              </w:rPr>
              <w:t xml:space="preserve"> </w:t>
            </w:r>
            <w:r>
              <w:rPr>
                <w:rFonts w:hint="eastAsia" w:cs="Times New Roman"/>
                <w:b/>
                <w:bCs/>
                <w:color w:val="auto"/>
                <w:szCs w:val="21"/>
                <w:lang w:val="en-US" w:eastAsia="zh-CN"/>
              </w:rPr>
              <w:t>项目</w:t>
            </w:r>
            <w:r>
              <w:rPr>
                <w:rFonts w:hint="default" w:ascii="Times New Roman" w:hAnsi="Times New Roman" w:cs="Times New Roman"/>
                <w:b/>
                <w:bCs/>
                <w:color w:val="auto"/>
                <w:szCs w:val="21"/>
              </w:rPr>
              <w:t>大气污染物</w:t>
            </w:r>
            <w:r>
              <w:rPr>
                <w:rFonts w:hint="eastAsia" w:cs="Times New Roman"/>
                <w:b/>
                <w:bCs/>
                <w:color w:val="auto"/>
                <w:szCs w:val="21"/>
                <w:lang w:val="en-US" w:eastAsia="zh-CN"/>
              </w:rPr>
              <w:t>排放</w:t>
            </w:r>
            <w:r>
              <w:rPr>
                <w:rFonts w:hint="default" w:ascii="Times New Roman" w:hAnsi="Times New Roman" w:cs="Times New Roman"/>
                <w:b/>
                <w:bCs/>
                <w:color w:val="auto"/>
                <w:szCs w:val="21"/>
              </w:rPr>
              <w:t>执行标准</w:t>
            </w:r>
          </w:p>
          <w:tbl>
            <w:tblPr>
              <w:tblStyle w:val="30"/>
              <w:tblW w:w="0" w:type="auto"/>
              <w:tblInd w:w="0" w:type="dxa"/>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41"/>
              <w:gridCol w:w="1306"/>
              <w:gridCol w:w="426"/>
              <w:gridCol w:w="2517"/>
              <w:gridCol w:w="1188"/>
              <w:gridCol w:w="2861"/>
            </w:tblGrid>
            <w:tr w14:paraId="359C5B8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43" w:type="dxa"/>
                  <w:tcBorders>
                    <w:tl2br w:val="nil"/>
                    <w:tr2bl w:val="nil"/>
                  </w:tcBorders>
                  <w:vAlign w:val="center"/>
                </w:tcPr>
                <w:p w14:paraId="3FCAAE2C">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排放方式</w:t>
                  </w:r>
                </w:p>
              </w:tc>
              <w:tc>
                <w:tcPr>
                  <w:tcW w:w="1313" w:type="dxa"/>
                  <w:tcBorders>
                    <w:tl2br w:val="nil"/>
                    <w:tr2bl w:val="nil"/>
                  </w:tcBorders>
                  <w:vAlign w:val="center"/>
                </w:tcPr>
                <w:p w14:paraId="27B31BAC">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污染物名称</w:t>
                  </w:r>
                </w:p>
              </w:tc>
              <w:tc>
                <w:tcPr>
                  <w:tcW w:w="4113" w:type="dxa"/>
                  <w:gridSpan w:val="3"/>
                  <w:tcBorders>
                    <w:tl2br w:val="nil"/>
                    <w:tr2bl w:val="nil"/>
                  </w:tcBorders>
                  <w:vAlign w:val="center"/>
                </w:tcPr>
                <w:p w14:paraId="5F89B097">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标准限值</w:t>
                  </w:r>
                </w:p>
              </w:tc>
              <w:tc>
                <w:tcPr>
                  <w:tcW w:w="2870" w:type="dxa"/>
                  <w:tcBorders>
                    <w:tl2br w:val="nil"/>
                    <w:tr2bl w:val="nil"/>
                  </w:tcBorders>
                  <w:vAlign w:val="center"/>
                </w:tcPr>
                <w:p w14:paraId="40486D78">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执行标准</w:t>
                  </w:r>
                </w:p>
              </w:tc>
            </w:tr>
            <w:tr w14:paraId="20EB44E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43" w:type="dxa"/>
                  <w:vMerge w:val="restart"/>
                  <w:tcBorders>
                    <w:tl2br w:val="nil"/>
                    <w:tr2bl w:val="nil"/>
                  </w:tcBorders>
                  <w:vAlign w:val="center"/>
                </w:tcPr>
                <w:p w14:paraId="4A710A9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w:t>
                  </w:r>
                </w:p>
              </w:tc>
              <w:tc>
                <w:tcPr>
                  <w:tcW w:w="1313" w:type="dxa"/>
                  <w:tcBorders>
                    <w:tl2br w:val="nil"/>
                    <w:tr2bl w:val="nil"/>
                  </w:tcBorders>
                  <w:vAlign w:val="center"/>
                </w:tcPr>
                <w:p w14:paraId="12E028A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硫酸雾</w:t>
                  </w:r>
                </w:p>
              </w:tc>
              <w:tc>
                <w:tcPr>
                  <w:tcW w:w="2925" w:type="dxa"/>
                  <w:gridSpan w:val="2"/>
                  <w:tcBorders>
                    <w:tl2br w:val="nil"/>
                    <w:tr2bl w:val="nil"/>
                  </w:tcBorders>
                  <w:vAlign w:val="center"/>
                </w:tcPr>
                <w:p w14:paraId="3C851F5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周界外浓度最高点</w:t>
                  </w:r>
                </w:p>
              </w:tc>
              <w:tc>
                <w:tcPr>
                  <w:tcW w:w="1188" w:type="dxa"/>
                  <w:tcBorders>
                    <w:tl2br w:val="nil"/>
                    <w:tr2bl w:val="nil"/>
                  </w:tcBorders>
                  <w:vAlign w:val="center"/>
                </w:tcPr>
                <w:p w14:paraId="5A0FD95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1.2mg/m</w:t>
                  </w:r>
                  <w:r>
                    <w:rPr>
                      <w:rFonts w:hint="default" w:ascii="Times New Roman" w:hAnsi="Times New Roman" w:cs="Times New Roman"/>
                      <w:color w:val="auto"/>
                      <w:szCs w:val="21"/>
                      <w:vertAlign w:val="superscript"/>
                    </w:rPr>
                    <w:t>3</w:t>
                  </w:r>
                </w:p>
              </w:tc>
              <w:tc>
                <w:tcPr>
                  <w:tcW w:w="2870" w:type="dxa"/>
                  <w:vMerge w:val="restart"/>
                  <w:tcBorders>
                    <w:tl2br w:val="nil"/>
                    <w:tr2bl w:val="nil"/>
                  </w:tcBorders>
                  <w:vAlign w:val="center"/>
                </w:tcPr>
                <w:p w14:paraId="2D11DA2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《大气污染物综合排放标准》（GB16297-1996）</w:t>
                  </w:r>
                </w:p>
              </w:tc>
            </w:tr>
            <w:tr w14:paraId="07FF93E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43" w:type="dxa"/>
                  <w:vMerge w:val="continue"/>
                  <w:tcBorders>
                    <w:tl2br w:val="nil"/>
                    <w:tr2bl w:val="nil"/>
                  </w:tcBorders>
                  <w:vAlign w:val="center"/>
                </w:tcPr>
                <w:p w14:paraId="7CBEAB2D">
                  <w:pPr>
                    <w:adjustRightInd w:val="0"/>
                    <w:snapToGrid w:val="0"/>
                    <w:jc w:val="center"/>
                    <w:rPr>
                      <w:rFonts w:hint="default" w:ascii="Times New Roman" w:hAnsi="Times New Roman" w:cs="Times New Roman"/>
                      <w:color w:val="auto"/>
                      <w:szCs w:val="21"/>
                    </w:rPr>
                  </w:pPr>
                </w:p>
              </w:tc>
              <w:tc>
                <w:tcPr>
                  <w:tcW w:w="1313" w:type="dxa"/>
                  <w:tcBorders>
                    <w:tl2br w:val="nil"/>
                    <w:tr2bl w:val="nil"/>
                  </w:tcBorders>
                  <w:vAlign w:val="center"/>
                </w:tcPr>
                <w:p w14:paraId="2AFC55F8">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NO</w:t>
                  </w:r>
                  <w:r>
                    <w:rPr>
                      <w:rFonts w:hint="default" w:ascii="Times New Roman" w:hAnsi="Times New Roman" w:cs="Times New Roman"/>
                      <w:color w:val="auto"/>
                      <w:szCs w:val="21"/>
                      <w:vertAlign w:val="subscript"/>
                    </w:rPr>
                    <w:t>X</w:t>
                  </w:r>
                </w:p>
              </w:tc>
              <w:tc>
                <w:tcPr>
                  <w:tcW w:w="2925" w:type="dxa"/>
                  <w:gridSpan w:val="2"/>
                  <w:tcBorders>
                    <w:tl2br w:val="nil"/>
                    <w:tr2bl w:val="nil"/>
                  </w:tcBorders>
                  <w:vAlign w:val="center"/>
                </w:tcPr>
                <w:p w14:paraId="2D7ACA2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周界外浓度最高点</w:t>
                  </w:r>
                </w:p>
              </w:tc>
              <w:tc>
                <w:tcPr>
                  <w:tcW w:w="1188" w:type="dxa"/>
                  <w:tcBorders>
                    <w:tl2br w:val="nil"/>
                    <w:tr2bl w:val="nil"/>
                  </w:tcBorders>
                  <w:vAlign w:val="center"/>
                </w:tcPr>
                <w:p w14:paraId="5AAB44A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0.12mg/m</w:t>
                  </w:r>
                  <w:r>
                    <w:rPr>
                      <w:rFonts w:hint="default" w:ascii="Times New Roman" w:hAnsi="Times New Roman" w:cs="Times New Roman"/>
                      <w:color w:val="auto"/>
                      <w:szCs w:val="21"/>
                      <w:vertAlign w:val="superscript"/>
                    </w:rPr>
                    <w:t>3</w:t>
                  </w:r>
                </w:p>
              </w:tc>
              <w:tc>
                <w:tcPr>
                  <w:tcW w:w="2870" w:type="dxa"/>
                  <w:vMerge w:val="continue"/>
                  <w:tcBorders>
                    <w:tl2br w:val="nil"/>
                    <w:tr2bl w:val="nil"/>
                  </w:tcBorders>
                  <w:vAlign w:val="center"/>
                </w:tcPr>
                <w:p w14:paraId="7776148E">
                  <w:pPr>
                    <w:adjustRightInd w:val="0"/>
                    <w:snapToGrid w:val="0"/>
                    <w:jc w:val="center"/>
                    <w:rPr>
                      <w:rFonts w:hint="default" w:ascii="Times New Roman" w:hAnsi="Times New Roman" w:cs="Times New Roman"/>
                      <w:color w:val="auto"/>
                      <w:szCs w:val="21"/>
                    </w:rPr>
                  </w:pPr>
                </w:p>
              </w:tc>
            </w:tr>
            <w:tr w14:paraId="4FFD5D90">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43" w:type="dxa"/>
                  <w:vMerge w:val="continue"/>
                  <w:tcBorders>
                    <w:tl2br w:val="nil"/>
                    <w:tr2bl w:val="nil"/>
                  </w:tcBorders>
                  <w:vAlign w:val="center"/>
                </w:tcPr>
                <w:p w14:paraId="72D90829">
                  <w:pPr>
                    <w:adjustRightInd w:val="0"/>
                    <w:snapToGrid w:val="0"/>
                    <w:jc w:val="center"/>
                    <w:rPr>
                      <w:rFonts w:hint="default" w:ascii="Times New Roman" w:hAnsi="Times New Roman" w:cs="Times New Roman"/>
                      <w:color w:val="auto"/>
                      <w:szCs w:val="21"/>
                    </w:rPr>
                  </w:pPr>
                </w:p>
              </w:tc>
              <w:tc>
                <w:tcPr>
                  <w:tcW w:w="1313" w:type="dxa"/>
                  <w:tcBorders>
                    <w:tl2br w:val="nil"/>
                    <w:tr2bl w:val="nil"/>
                  </w:tcBorders>
                  <w:vAlign w:val="center"/>
                </w:tcPr>
                <w:p w14:paraId="2557067D">
                  <w:pPr>
                    <w:adjustRightInd w:val="0"/>
                    <w:snapToGrid w:val="0"/>
                    <w:jc w:val="center"/>
                    <w:rPr>
                      <w:rFonts w:hint="eastAsia" w:ascii="Times New Roman" w:hAnsi="Times New Roman" w:eastAsia="宋体" w:cs="Times New Roman"/>
                      <w:color w:val="auto"/>
                      <w:kern w:val="0"/>
                      <w:szCs w:val="21"/>
                      <w:lang w:eastAsia="zh-CN" w:bidi="ar"/>
                    </w:rPr>
                  </w:pPr>
                  <w:r>
                    <w:rPr>
                      <w:rFonts w:hint="default" w:ascii="Times New Roman" w:hAnsi="Times New Roman" w:cs="Times New Roman"/>
                      <w:color w:val="auto"/>
                      <w:kern w:val="0"/>
                      <w:szCs w:val="21"/>
                      <w:lang w:bidi="ar"/>
                    </w:rPr>
                    <w:t>HC</w:t>
                  </w:r>
                  <w:r>
                    <w:rPr>
                      <w:rFonts w:hint="eastAsia" w:cs="Times New Roman"/>
                      <w:color w:val="auto"/>
                      <w:kern w:val="0"/>
                      <w:szCs w:val="21"/>
                      <w:lang w:val="en-US" w:eastAsia="zh-CN" w:bidi="ar"/>
                    </w:rPr>
                    <w:t>l</w:t>
                  </w:r>
                </w:p>
              </w:tc>
              <w:tc>
                <w:tcPr>
                  <w:tcW w:w="2925" w:type="dxa"/>
                  <w:gridSpan w:val="2"/>
                  <w:tcBorders>
                    <w:tl2br w:val="nil"/>
                    <w:tr2bl w:val="nil"/>
                  </w:tcBorders>
                  <w:vAlign w:val="center"/>
                </w:tcPr>
                <w:p w14:paraId="16A0A06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周界外浓度最高点</w:t>
                  </w:r>
                </w:p>
              </w:tc>
              <w:tc>
                <w:tcPr>
                  <w:tcW w:w="1188" w:type="dxa"/>
                  <w:tcBorders>
                    <w:tl2br w:val="nil"/>
                    <w:tr2bl w:val="nil"/>
                  </w:tcBorders>
                  <w:vAlign w:val="center"/>
                </w:tcPr>
                <w:p w14:paraId="2B369C0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0.2mg/m</w:t>
                  </w:r>
                  <w:r>
                    <w:rPr>
                      <w:rFonts w:hint="default" w:ascii="Times New Roman" w:hAnsi="Times New Roman" w:cs="Times New Roman"/>
                      <w:color w:val="auto"/>
                      <w:szCs w:val="21"/>
                      <w:vertAlign w:val="superscript"/>
                    </w:rPr>
                    <w:t>3</w:t>
                  </w:r>
                </w:p>
              </w:tc>
              <w:tc>
                <w:tcPr>
                  <w:tcW w:w="2870" w:type="dxa"/>
                  <w:vMerge w:val="continue"/>
                  <w:tcBorders>
                    <w:tl2br w:val="nil"/>
                    <w:tr2bl w:val="nil"/>
                  </w:tcBorders>
                  <w:vAlign w:val="center"/>
                </w:tcPr>
                <w:p w14:paraId="690DC2F7">
                  <w:pPr>
                    <w:adjustRightInd w:val="0"/>
                    <w:snapToGrid w:val="0"/>
                    <w:jc w:val="center"/>
                    <w:rPr>
                      <w:rFonts w:hint="default" w:ascii="Times New Roman" w:hAnsi="Times New Roman" w:cs="Times New Roman"/>
                      <w:color w:val="auto"/>
                      <w:szCs w:val="21"/>
                    </w:rPr>
                  </w:pPr>
                </w:p>
              </w:tc>
            </w:tr>
            <w:tr w14:paraId="37A4743B">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643" w:type="dxa"/>
                  <w:vMerge w:val="continue"/>
                  <w:tcBorders>
                    <w:tl2br w:val="nil"/>
                    <w:tr2bl w:val="nil"/>
                  </w:tcBorders>
                  <w:vAlign w:val="center"/>
                </w:tcPr>
                <w:p w14:paraId="45FB435D">
                  <w:pPr>
                    <w:adjustRightInd w:val="0"/>
                    <w:snapToGrid w:val="0"/>
                    <w:jc w:val="center"/>
                    <w:rPr>
                      <w:rFonts w:hint="default" w:ascii="Times New Roman" w:hAnsi="Times New Roman" w:cs="Times New Roman"/>
                      <w:color w:val="auto"/>
                      <w:szCs w:val="21"/>
                    </w:rPr>
                  </w:pPr>
                </w:p>
              </w:tc>
              <w:tc>
                <w:tcPr>
                  <w:tcW w:w="1313" w:type="dxa"/>
                  <w:tcBorders>
                    <w:tl2br w:val="nil"/>
                    <w:tr2bl w:val="nil"/>
                  </w:tcBorders>
                  <w:vAlign w:val="center"/>
                </w:tcPr>
                <w:p w14:paraId="5FB911AC">
                  <w:pPr>
                    <w:adjustRightInd w:val="0"/>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氨</w:t>
                  </w:r>
                </w:p>
              </w:tc>
              <w:tc>
                <w:tcPr>
                  <w:tcW w:w="2925" w:type="dxa"/>
                  <w:gridSpan w:val="2"/>
                  <w:tcBorders>
                    <w:tl2br w:val="nil"/>
                    <w:tr2bl w:val="nil"/>
                  </w:tcBorders>
                  <w:vAlign w:val="center"/>
                </w:tcPr>
                <w:p w14:paraId="59E7D86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厂界浓度</w:t>
                  </w:r>
                </w:p>
              </w:tc>
              <w:tc>
                <w:tcPr>
                  <w:tcW w:w="1188" w:type="dxa"/>
                  <w:tcBorders>
                    <w:tl2br w:val="nil"/>
                    <w:tr2bl w:val="nil"/>
                  </w:tcBorders>
                  <w:vAlign w:val="center"/>
                </w:tcPr>
                <w:p w14:paraId="2E6627A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1.5mg/m</w:t>
                  </w:r>
                  <w:r>
                    <w:rPr>
                      <w:rFonts w:hint="default" w:ascii="Times New Roman" w:hAnsi="Times New Roman" w:cs="Times New Roman"/>
                      <w:color w:val="auto"/>
                      <w:szCs w:val="21"/>
                      <w:vertAlign w:val="superscript"/>
                    </w:rPr>
                    <w:t>3</w:t>
                  </w:r>
                </w:p>
              </w:tc>
              <w:tc>
                <w:tcPr>
                  <w:tcW w:w="2870" w:type="dxa"/>
                  <w:tcBorders>
                    <w:tl2br w:val="nil"/>
                    <w:tr2bl w:val="nil"/>
                  </w:tcBorders>
                  <w:vAlign w:val="center"/>
                </w:tcPr>
                <w:p w14:paraId="200D41D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《恶臭污染物排放标准》（GB14554-93）</w:t>
                  </w:r>
                </w:p>
              </w:tc>
            </w:tr>
            <w:tr w14:paraId="2C93BFC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643" w:type="dxa"/>
                  <w:vMerge w:val="continue"/>
                  <w:tcBorders>
                    <w:tl2br w:val="nil"/>
                    <w:tr2bl w:val="nil"/>
                  </w:tcBorders>
                  <w:vAlign w:val="center"/>
                </w:tcPr>
                <w:p w14:paraId="3B0BD712">
                  <w:pPr>
                    <w:adjustRightInd w:val="0"/>
                    <w:snapToGrid w:val="0"/>
                    <w:jc w:val="center"/>
                    <w:rPr>
                      <w:rFonts w:hint="default" w:ascii="Times New Roman" w:hAnsi="Times New Roman" w:cs="Times New Roman"/>
                      <w:color w:val="auto"/>
                      <w:szCs w:val="21"/>
                    </w:rPr>
                  </w:pPr>
                </w:p>
              </w:tc>
              <w:tc>
                <w:tcPr>
                  <w:tcW w:w="1313" w:type="dxa"/>
                  <w:vMerge w:val="restart"/>
                  <w:tcBorders>
                    <w:tl2br w:val="nil"/>
                    <w:tr2bl w:val="nil"/>
                  </w:tcBorders>
                  <w:vAlign w:val="center"/>
                </w:tcPr>
                <w:p w14:paraId="42679C3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925" w:type="dxa"/>
                  <w:gridSpan w:val="2"/>
                  <w:tcBorders>
                    <w:tl2br w:val="nil"/>
                    <w:tr2bl w:val="nil"/>
                  </w:tcBorders>
                  <w:vAlign w:val="center"/>
                </w:tcPr>
                <w:p w14:paraId="1BE09AD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周界外浓度最高点</w:t>
                  </w:r>
                </w:p>
              </w:tc>
              <w:tc>
                <w:tcPr>
                  <w:tcW w:w="1188" w:type="dxa"/>
                  <w:tcBorders>
                    <w:tl2br w:val="nil"/>
                    <w:tr2bl w:val="nil"/>
                  </w:tcBorders>
                  <w:vAlign w:val="center"/>
                </w:tcPr>
                <w:p w14:paraId="12A0C7B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r>
                    <w:rPr>
                      <w:rFonts w:hint="eastAsia" w:cs="Times New Roman"/>
                      <w:color w:val="auto"/>
                      <w:szCs w:val="21"/>
                      <w:lang w:val="en-US" w:eastAsia="zh-CN"/>
                    </w:rPr>
                    <w:t>.0</w:t>
                  </w:r>
                  <w:r>
                    <w:rPr>
                      <w:rFonts w:hint="default" w:ascii="Times New Roman" w:hAnsi="Times New Roman" w:cs="Times New Roman"/>
                      <w:color w:val="auto"/>
                      <w:szCs w:val="21"/>
                    </w:rPr>
                    <w:t>mg/m</w:t>
                  </w:r>
                  <w:r>
                    <w:rPr>
                      <w:rFonts w:hint="default" w:ascii="Times New Roman" w:hAnsi="Times New Roman" w:cs="Times New Roman"/>
                      <w:color w:val="auto"/>
                      <w:szCs w:val="21"/>
                      <w:vertAlign w:val="superscript"/>
                    </w:rPr>
                    <w:t>3</w:t>
                  </w:r>
                </w:p>
              </w:tc>
              <w:tc>
                <w:tcPr>
                  <w:tcW w:w="2870" w:type="dxa"/>
                  <w:tcBorders>
                    <w:tl2br w:val="nil"/>
                    <w:tr2bl w:val="nil"/>
                  </w:tcBorders>
                  <w:vAlign w:val="center"/>
                </w:tcPr>
                <w:p w14:paraId="3D1A149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《大气污染物综合排放标准》（GB16297-1996）</w:t>
                  </w:r>
                </w:p>
              </w:tc>
            </w:tr>
            <w:tr w14:paraId="475911A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36" w:hRule="atLeast"/>
              </w:trPr>
              <w:tc>
                <w:tcPr>
                  <w:tcW w:w="643" w:type="dxa"/>
                  <w:vMerge w:val="continue"/>
                  <w:tcBorders>
                    <w:tl2br w:val="nil"/>
                    <w:tr2bl w:val="nil"/>
                  </w:tcBorders>
                  <w:vAlign w:val="center"/>
                </w:tcPr>
                <w:p w14:paraId="538CED92">
                  <w:pPr>
                    <w:adjustRightInd w:val="0"/>
                    <w:snapToGrid w:val="0"/>
                    <w:jc w:val="center"/>
                    <w:rPr>
                      <w:color w:val="auto"/>
                    </w:rPr>
                  </w:pPr>
                </w:p>
              </w:tc>
              <w:tc>
                <w:tcPr>
                  <w:tcW w:w="1313" w:type="dxa"/>
                  <w:vMerge w:val="continue"/>
                  <w:tcBorders>
                    <w:tl2br w:val="nil"/>
                    <w:tr2bl w:val="nil"/>
                  </w:tcBorders>
                  <w:vAlign w:val="center"/>
                </w:tcPr>
                <w:p w14:paraId="15CDEF9C">
                  <w:pPr>
                    <w:adjustRightInd w:val="0"/>
                    <w:snapToGrid w:val="0"/>
                    <w:jc w:val="center"/>
                    <w:rPr>
                      <w:color w:val="auto"/>
                    </w:rPr>
                  </w:pPr>
                </w:p>
              </w:tc>
              <w:tc>
                <w:tcPr>
                  <w:tcW w:w="388" w:type="dxa"/>
                  <w:vMerge w:val="restart"/>
                  <w:tcBorders>
                    <w:tl2br w:val="nil"/>
                    <w:tr2bl w:val="nil"/>
                  </w:tcBorders>
                  <w:vAlign w:val="center"/>
                </w:tcPr>
                <w:p w14:paraId="141587E9">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厂区内</w:t>
                  </w:r>
                </w:p>
              </w:tc>
              <w:tc>
                <w:tcPr>
                  <w:tcW w:w="2537" w:type="dxa"/>
                  <w:tcBorders>
                    <w:tl2br w:val="nil"/>
                    <w:tr2bl w:val="nil"/>
                  </w:tcBorders>
                  <w:vAlign w:val="center"/>
                </w:tcPr>
                <w:p w14:paraId="2CD6CEB6">
                  <w:pPr>
                    <w:adjustRightInd w:val="0"/>
                    <w:snapToGrid w:val="0"/>
                    <w:jc w:val="center"/>
                    <w:rPr>
                      <w:rFonts w:hint="eastAsia" w:cs="Times New Roman"/>
                      <w:color w:val="auto"/>
                      <w:szCs w:val="21"/>
                      <w:lang w:val="en-US" w:eastAsia="zh-CN"/>
                    </w:rPr>
                  </w:pPr>
                  <w:r>
                    <w:rPr>
                      <w:rFonts w:hint="eastAsia" w:cs="Times New Roman"/>
                      <w:color w:val="auto"/>
                      <w:szCs w:val="21"/>
                      <w:lang w:val="en-US" w:eastAsia="zh-CN"/>
                    </w:rPr>
                    <w:t>监控点处1h平均浓度值</w:t>
                  </w:r>
                </w:p>
              </w:tc>
              <w:tc>
                <w:tcPr>
                  <w:tcW w:w="1188" w:type="dxa"/>
                  <w:tcBorders>
                    <w:tl2br w:val="nil"/>
                    <w:tr2bl w:val="nil"/>
                  </w:tcBorders>
                  <w:vAlign w:val="center"/>
                </w:tcPr>
                <w:p w14:paraId="6BF65405">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6mg/m</w:t>
                  </w:r>
                  <w:r>
                    <w:rPr>
                      <w:rFonts w:hint="eastAsia" w:cs="Times New Roman"/>
                      <w:color w:val="auto"/>
                      <w:szCs w:val="21"/>
                      <w:vertAlign w:val="superscript"/>
                      <w:lang w:val="en-US" w:eastAsia="zh-CN"/>
                    </w:rPr>
                    <w:t>3</w:t>
                  </w:r>
                </w:p>
              </w:tc>
              <w:tc>
                <w:tcPr>
                  <w:tcW w:w="2870" w:type="dxa"/>
                  <w:vMerge w:val="restart"/>
                  <w:tcBorders>
                    <w:tl2br w:val="nil"/>
                    <w:tr2bl w:val="nil"/>
                  </w:tcBorders>
                  <w:vAlign w:val="center"/>
                </w:tcPr>
                <w:p w14:paraId="4938A9A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《挥发性有机物无组织排放控制标准》（GB 37822-2019）</w:t>
                  </w:r>
                </w:p>
              </w:tc>
            </w:tr>
            <w:tr w14:paraId="41BADC3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36" w:hRule="atLeast"/>
              </w:trPr>
              <w:tc>
                <w:tcPr>
                  <w:tcW w:w="643" w:type="dxa"/>
                  <w:vMerge w:val="continue"/>
                  <w:tcBorders>
                    <w:tl2br w:val="nil"/>
                    <w:tr2bl w:val="nil"/>
                  </w:tcBorders>
                  <w:vAlign w:val="center"/>
                </w:tcPr>
                <w:p w14:paraId="291813F8">
                  <w:pPr>
                    <w:adjustRightInd w:val="0"/>
                    <w:snapToGrid w:val="0"/>
                    <w:jc w:val="center"/>
                    <w:rPr>
                      <w:color w:val="auto"/>
                    </w:rPr>
                  </w:pPr>
                </w:p>
              </w:tc>
              <w:tc>
                <w:tcPr>
                  <w:tcW w:w="1313" w:type="dxa"/>
                  <w:vMerge w:val="continue"/>
                  <w:tcBorders>
                    <w:tl2br w:val="nil"/>
                    <w:tr2bl w:val="nil"/>
                  </w:tcBorders>
                  <w:vAlign w:val="center"/>
                </w:tcPr>
                <w:p w14:paraId="28EA8585">
                  <w:pPr>
                    <w:adjustRightInd w:val="0"/>
                    <w:snapToGrid w:val="0"/>
                    <w:jc w:val="center"/>
                    <w:rPr>
                      <w:color w:val="auto"/>
                    </w:rPr>
                  </w:pPr>
                </w:p>
              </w:tc>
              <w:tc>
                <w:tcPr>
                  <w:tcW w:w="388" w:type="dxa"/>
                  <w:vMerge w:val="continue"/>
                  <w:tcBorders>
                    <w:tl2br w:val="nil"/>
                    <w:tr2bl w:val="nil"/>
                  </w:tcBorders>
                  <w:vAlign w:val="center"/>
                </w:tcPr>
                <w:p w14:paraId="20411D70">
                  <w:pPr>
                    <w:adjustRightInd w:val="0"/>
                    <w:snapToGrid w:val="0"/>
                    <w:jc w:val="center"/>
                    <w:rPr>
                      <w:rFonts w:hint="eastAsia" w:cs="Times New Roman"/>
                      <w:color w:val="auto"/>
                      <w:szCs w:val="21"/>
                      <w:lang w:val="en-US" w:eastAsia="zh-CN"/>
                    </w:rPr>
                  </w:pPr>
                </w:p>
              </w:tc>
              <w:tc>
                <w:tcPr>
                  <w:tcW w:w="2537" w:type="dxa"/>
                  <w:tcBorders>
                    <w:tl2br w:val="nil"/>
                    <w:tr2bl w:val="nil"/>
                  </w:tcBorders>
                  <w:vAlign w:val="center"/>
                </w:tcPr>
                <w:p w14:paraId="4030E274">
                  <w:pPr>
                    <w:adjustRightInd w:val="0"/>
                    <w:snapToGrid w:val="0"/>
                    <w:jc w:val="center"/>
                    <w:rPr>
                      <w:rFonts w:hint="eastAsia" w:cs="Times New Roman"/>
                      <w:color w:val="auto"/>
                      <w:szCs w:val="21"/>
                      <w:lang w:val="en-US" w:eastAsia="zh-CN"/>
                    </w:rPr>
                  </w:pPr>
                  <w:r>
                    <w:rPr>
                      <w:rFonts w:hint="eastAsia" w:cs="Times New Roman"/>
                      <w:color w:val="auto"/>
                      <w:szCs w:val="21"/>
                      <w:lang w:val="en-US" w:eastAsia="zh-CN"/>
                    </w:rPr>
                    <w:t>监控点处任意一次浓度值</w:t>
                  </w:r>
                </w:p>
              </w:tc>
              <w:tc>
                <w:tcPr>
                  <w:tcW w:w="1188" w:type="dxa"/>
                  <w:tcBorders>
                    <w:tl2br w:val="nil"/>
                    <w:tr2bl w:val="nil"/>
                  </w:tcBorders>
                  <w:vAlign w:val="center"/>
                </w:tcPr>
                <w:p w14:paraId="2B0F2D0F">
                  <w:pPr>
                    <w:adjustRightInd w:val="0"/>
                    <w:snapToGrid w:val="0"/>
                    <w:jc w:val="center"/>
                    <w:rPr>
                      <w:rFonts w:hint="eastAsia" w:cs="Times New Roman"/>
                      <w:color w:val="auto"/>
                      <w:szCs w:val="21"/>
                      <w:lang w:val="en-US" w:eastAsia="zh-CN"/>
                    </w:rPr>
                  </w:pPr>
                  <w:r>
                    <w:rPr>
                      <w:rFonts w:hint="eastAsia" w:cs="Times New Roman"/>
                      <w:color w:val="auto"/>
                      <w:szCs w:val="21"/>
                      <w:lang w:val="en-US" w:eastAsia="zh-CN"/>
                    </w:rPr>
                    <w:t>20mg/m</w:t>
                  </w:r>
                  <w:r>
                    <w:rPr>
                      <w:rFonts w:hint="eastAsia" w:cs="Times New Roman"/>
                      <w:color w:val="auto"/>
                      <w:szCs w:val="21"/>
                      <w:vertAlign w:val="superscript"/>
                      <w:lang w:val="en-US" w:eastAsia="zh-CN"/>
                    </w:rPr>
                    <w:t>3</w:t>
                  </w:r>
                </w:p>
              </w:tc>
              <w:tc>
                <w:tcPr>
                  <w:tcW w:w="2870" w:type="dxa"/>
                  <w:vMerge w:val="continue"/>
                  <w:tcBorders>
                    <w:tl2br w:val="nil"/>
                    <w:tr2bl w:val="nil"/>
                  </w:tcBorders>
                  <w:vAlign w:val="center"/>
                </w:tcPr>
                <w:p w14:paraId="2B17B2C1">
                  <w:pPr>
                    <w:adjustRightInd w:val="0"/>
                    <w:snapToGrid w:val="0"/>
                    <w:jc w:val="center"/>
                    <w:rPr>
                      <w:rFonts w:hint="eastAsia" w:cs="Times New Roman"/>
                      <w:color w:val="auto"/>
                      <w:szCs w:val="21"/>
                      <w:lang w:val="en-US" w:eastAsia="zh-CN"/>
                    </w:rPr>
                  </w:pPr>
                </w:p>
              </w:tc>
            </w:tr>
          </w:tbl>
          <w:p w14:paraId="41331F9A">
            <w:pPr>
              <w:adjustRightInd w:val="0"/>
              <w:snapToGrid w:val="0"/>
              <w:spacing w:before="120" w:beforeLines="50"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（二）水污染物排放标准</w:t>
            </w:r>
          </w:p>
          <w:p w14:paraId="615021CC">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本项目实验室废液收集后作为危险废物，定期交由有资质单位处置。</w:t>
            </w:r>
            <w:r>
              <w:rPr>
                <w:rFonts w:hint="eastAsia" w:cs="Times New Roman"/>
                <w:color w:val="auto"/>
                <w:sz w:val="24"/>
                <w:lang w:val="en-US" w:eastAsia="zh-CN"/>
              </w:rPr>
              <w:t>实验室的</w:t>
            </w:r>
            <w:r>
              <w:rPr>
                <w:rFonts w:hint="default" w:ascii="Times New Roman" w:hAnsi="Times New Roman" w:cs="Times New Roman"/>
                <w:color w:val="auto"/>
                <w:sz w:val="24"/>
              </w:rPr>
              <w:t>清洗废水和实验器材清洗废水收集至</w:t>
            </w:r>
            <w:r>
              <w:rPr>
                <w:rFonts w:hint="eastAsia" w:cs="Times New Roman"/>
                <w:color w:val="auto"/>
                <w:sz w:val="24"/>
                <w:lang w:val="en-US" w:eastAsia="zh-CN"/>
              </w:rPr>
              <w:t>酸碱中和处理</w:t>
            </w:r>
            <w:r>
              <w:rPr>
                <w:rFonts w:hint="default" w:ascii="Times New Roman" w:hAnsi="Times New Roman" w:cs="Times New Roman"/>
                <w:color w:val="auto"/>
                <w:sz w:val="24"/>
                <w:lang w:val="en-GB"/>
              </w:rPr>
              <w:t>后</w:t>
            </w:r>
            <w:r>
              <w:rPr>
                <w:rFonts w:hint="default" w:ascii="Times New Roman" w:hAnsi="Times New Roman" w:cs="Times New Roman"/>
                <w:color w:val="auto"/>
                <w:sz w:val="24"/>
              </w:rPr>
              <w:t>与纯水制备浓水、生活污水一同进入</w:t>
            </w:r>
            <w:r>
              <w:rPr>
                <w:rFonts w:hint="eastAsia" w:cs="Times New Roman"/>
                <w:color w:val="auto"/>
                <w:sz w:val="24"/>
                <w:lang w:val="en-US" w:eastAsia="zh-CN"/>
              </w:rPr>
              <w:t>现有</w:t>
            </w:r>
            <w:r>
              <w:rPr>
                <w:rFonts w:hint="eastAsia" w:cs="Times New Roman"/>
                <w:color w:val="auto"/>
                <w:sz w:val="24"/>
                <w:highlight w:val="none"/>
                <w:lang w:val="en-US" w:eastAsia="zh-CN"/>
              </w:rPr>
              <w:t>公共化粪池</w:t>
            </w:r>
            <w:r>
              <w:rPr>
                <w:rFonts w:hint="eastAsia" w:cs="Times New Roman"/>
                <w:color w:val="auto"/>
                <w:sz w:val="24"/>
                <w:lang w:eastAsia="zh-CN"/>
              </w:rPr>
              <w:t>，</w:t>
            </w:r>
            <w:r>
              <w:rPr>
                <w:rFonts w:hint="eastAsia" w:cs="Times New Roman"/>
                <w:color w:val="auto"/>
                <w:sz w:val="24"/>
                <w:lang w:val="en-US" w:eastAsia="zh-CN"/>
              </w:rPr>
              <w:t>最后经市政污水管网排入西安市第一污水处理厂（邓家村污水处理厂）深度处理</w:t>
            </w:r>
            <w:r>
              <w:rPr>
                <w:rFonts w:hint="default" w:ascii="Times New Roman" w:hAnsi="Times New Roman" w:cs="Times New Roman"/>
                <w:color w:val="auto"/>
                <w:sz w:val="24"/>
              </w:rPr>
              <w:t>。废水排放执行《污水综合排放标准》（GB8978- 1996）中三级排放标准和《污水排入城镇下水道水质标准》（GB/T 31962-2015）</w:t>
            </w:r>
            <w:r>
              <w:rPr>
                <w:rFonts w:hint="eastAsia" w:cs="Times New Roman"/>
                <w:color w:val="auto"/>
                <w:sz w:val="24"/>
                <w:lang w:val="en-US" w:eastAsia="zh-CN"/>
              </w:rPr>
              <w:t>A级</w:t>
            </w:r>
            <w:r>
              <w:rPr>
                <w:rFonts w:hint="default" w:ascii="Times New Roman" w:hAnsi="Times New Roman" w:cs="Times New Roman"/>
                <w:color w:val="auto"/>
                <w:sz w:val="24"/>
              </w:rPr>
              <w:t>标准。</w:t>
            </w:r>
          </w:p>
          <w:p w14:paraId="5A2D7A8E">
            <w:pPr>
              <w:adjustRightInd w:val="0"/>
              <w:snapToGrid w:val="0"/>
              <w:ind w:firstLine="422" w:firstLineChars="20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表3-</w:t>
            </w:r>
            <w:r>
              <w:rPr>
                <w:rFonts w:hint="eastAsia" w:cs="Times New Roman"/>
                <w:b/>
                <w:bCs/>
                <w:color w:val="auto"/>
                <w:szCs w:val="21"/>
                <w:lang w:val="en-US" w:eastAsia="zh-CN"/>
              </w:rPr>
              <w:t>6</w:t>
            </w:r>
            <w:r>
              <w:rPr>
                <w:rFonts w:hint="default" w:ascii="Times New Roman" w:hAnsi="Times New Roman" w:cs="Times New Roman"/>
                <w:b/>
                <w:bCs/>
                <w:color w:val="auto"/>
                <w:szCs w:val="21"/>
              </w:rPr>
              <w:t xml:space="preserve"> 废水污染物排放标准</w:t>
            </w:r>
          </w:p>
          <w:tbl>
            <w:tblPr>
              <w:tblStyle w:val="29"/>
              <w:tblW w:w="499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1618"/>
              <w:gridCol w:w="1831"/>
              <w:gridCol w:w="3956"/>
            </w:tblGrid>
            <w:tr w14:paraId="3084DC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1DC3858F">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监测项目</w:t>
                  </w:r>
                </w:p>
              </w:tc>
              <w:tc>
                <w:tcPr>
                  <w:tcW w:w="905" w:type="pct"/>
                  <w:tcBorders>
                    <w:tl2br w:val="nil"/>
                    <w:tr2bl w:val="nil"/>
                  </w:tcBorders>
                  <w:vAlign w:val="center"/>
                </w:tcPr>
                <w:p w14:paraId="70E78EF8">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标准限值</w:t>
                  </w:r>
                </w:p>
              </w:tc>
              <w:tc>
                <w:tcPr>
                  <w:tcW w:w="1024" w:type="pct"/>
                  <w:tcBorders>
                    <w:tl2br w:val="nil"/>
                    <w:tr2bl w:val="nil"/>
                  </w:tcBorders>
                  <w:vAlign w:val="center"/>
                </w:tcPr>
                <w:p w14:paraId="7E64BFFE">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单位</w:t>
                  </w:r>
                </w:p>
              </w:tc>
              <w:tc>
                <w:tcPr>
                  <w:tcW w:w="2213" w:type="pct"/>
                  <w:tcBorders>
                    <w:tl2br w:val="nil"/>
                    <w:tr2bl w:val="nil"/>
                  </w:tcBorders>
                  <w:vAlign w:val="center"/>
                </w:tcPr>
                <w:p w14:paraId="7A2675DF">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标准名称</w:t>
                  </w:r>
                </w:p>
              </w:tc>
            </w:tr>
            <w:tr w14:paraId="1BF56DA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741C661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pH</w:t>
                  </w:r>
                </w:p>
              </w:tc>
              <w:tc>
                <w:tcPr>
                  <w:tcW w:w="905" w:type="pct"/>
                  <w:tcBorders>
                    <w:tl2br w:val="nil"/>
                    <w:tr2bl w:val="nil"/>
                  </w:tcBorders>
                  <w:vAlign w:val="center"/>
                </w:tcPr>
                <w:p w14:paraId="00861D3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6</w:t>
                  </w:r>
                  <w:r>
                    <w:rPr>
                      <w:rFonts w:hint="eastAsia" w:cs="Times New Roman"/>
                      <w:color w:val="auto"/>
                      <w:kern w:val="0"/>
                      <w:szCs w:val="21"/>
                      <w:lang w:val="en-US" w:eastAsia="zh-CN"/>
                    </w:rPr>
                    <w:t>~</w:t>
                  </w:r>
                  <w:r>
                    <w:rPr>
                      <w:rFonts w:hint="default" w:ascii="Times New Roman" w:hAnsi="Times New Roman" w:cs="Times New Roman"/>
                      <w:color w:val="auto"/>
                      <w:kern w:val="0"/>
                      <w:szCs w:val="21"/>
                    </w:rPr>
                    <w:t>9</w:t>
                  </w:r>
                </w:p>
              </w:tc>
              <w:tc>
                <w:tcPr>
                  <w:tcW w:w="1024" w:type="pct"/>
                  <w:tcBorders>
                    <w:tl2br w:val="nil"/>
                    <w:tr2bl w:val="nil"/>
                  </w:tcBorders>
                  <w:vAlign w:val="center"/>
                </w:tcPr>
                <w:p w14:paraId="341C515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无量纲</w:t>
                  </w:r>
                </w:p>
              </w:tc>
              <w:tc>
                <w:tcPr>
                  <w:tcW w:w="2213" w:type="pct"/>
                  <w:vMerge w:val="restart"/>
                  <w:tcBorders>
                    <w:tl2br w:val="nil"/>
                    <w:tr2bl w:val="nil"/>
                  </w:tcBorders>
                  <w:vAlign w:val="center"/>
                </w:tcPr>
                <w:p w14:paraId="3D69B94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val="en-GB"/>
                    </w:rPr>
                    <w:t>《污水综合排放标准》（GB8978- 1996）三级标准</w:t>
                  </w:r>
                </w:p>
              </w:tc>
            </w:tr>
            <w:tr w14:paraId="6ABA254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317CC99B">
                  <w:pPr>
                    <w:pStyle w:val="25"/>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905" w:type="pct"/>
                  <w:tcBorders>
                    <w:tl2br w:val="nil"/>
                    <w:tr2bl w:val="nil"/>
                  </w:tcBorders>
                  <w:vAlign w:val="center"/>
                </w:tcPr>
                <w:p w14:paraId="1B4F17A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500</w:t>
                  </w:r>
                </w:p>
              </w:tc>
              <w:tc>
                <w:tcPr>
                  <w:tcW w:w="1024" w:type="pct"/>
                  <w:tcBorders>
                    <w:tl2br w:val="nil"/>
                    <w:tr2bl w:val="nil"/>
                  </w:tcBorders>
                  <w:vAlign w:val="center"/>
                </w:tcPr>
                <w:p w14:paraId="444B1B10">
                  <w:pPr>
                    <w:adjustRightInd w:val="0"/>
                    <w:snapToGrid w:val="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mg/L</w:t>
                  </w:r>
                </w:p>
              </w:tc>
              <w:tc>
                <w:tcPr>
                  <w:tcW w:w="2213" w:type="pct"/>
                  <w:vMerge w:val="continue"/>
                  <w:tcBorders>
                    <w:tl2br w:val="nil"/>
                    <w:tr2bl w:val="nil"/>
                  </w:tcBorders>
                  <w:vAlign w:val="center"/>
                </w:tcPr>
                <w:p w14:paraId="105A13E6">
                  <w:pPr>
                    <w:adjustRightInd w:val="0"/>
                    <w:snapToGrid w:val="0"/>
                    <w:jc w:val="center"/>
                    <w:rPr>
                      <w:rFonts w:hint="default" w:ascii="Times New Roman" w:hAnsi="Times New Roman" w:cs="Times New Roman"/>
                      <w:color w:val="auto"/>
                      <w:szCs w:val="21"/>
                    </w:rPr>
                  </w:pPr>
                </w:p>
              </w:tc>
            </w:tr>
            <w:tr w14:paraId="4C6829A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02354D5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BOD</w:t>
                  </w:r>
                  <w:r>
                    <w:rPr>
                      <w:rFonts w:hint="default" w:ascii="Times New Roman" w:hAnsi="Times New Roman" w:cs="Times New Roman"/>
                      <w:color w:val="auto"/>
                      <w:kern w:val="0"/>
                      <w:szCs w:val="21"/>
                      <w:vertAlign w:val="subscript"/>
                    </w:rPr>
                    <w:t>5</w:t>
                  </w:r>
                </w:p>
              </w:tc>
              <w:tc>
                <w:tcPr>
                  <w:tcW w:w="905" w:type="pct"/>
                  <w:tcBorders>
                    <w:tl2br w:val="nil"/>
                    <w:tr2bl w:val="nil"/>
                  </w:tcBorders>
                  <w:vAlign w:val="center"/>
                </w:tcPr>
                <w:p w14:paraId="51E4EB0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300</w:t>
                  </w:r>
                </w:p>
              </w:tc>
              <w:tc>
                <w:tcPr>
                  <w:tcW w:w="1024" w:type="pct"/>
                  <w:tcBorders>
                    <w:tl2br w:val="nil"/>
                    <w:tr2bl w:val="nil"/>
                  </w:tcBorders>
                  <w:vAlign w:val="center"/>
                </w:tcPr>
                <w:p w14:paraId="561A59D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mg/L</w:t>
                  </w:r>
                </w:p>
              </w:tc>
              <w:tc>
                <w:tcPr>
                  <w:tcW w:w="2213" w:type="pct"/>
                  <w:vMerge w:val="continue"/>
                  <w:tcBorders>
                    <w:tl2br w:val="nil"/>
                    <w:tr2bl w:val="nil"/>
                  </w:tcBorders>
                  <w:vAlign w:val="center"/>
                </w:tcPr>
                <w:p w14:paraId="4BF68C10">
                  <w:pPr>
                    <w:adjustRightInd w:val="0"/>
                    <w:snapToGrid w:val="0"/>
                    <w:jc w:val="center"/>
                    <w:rPr>
                      <w:rFonts w:hint="default" w:ascii="Times New Roman" w:hAnsi="Times New Roman" w:cs="Times New Roman"/>
                      <w:color w:val="auto"/>
                      <w:szCs w:val="21"/>
                    </w:rPr>
                  </w:pPr>
                </w:p>
              </w:tc>
            </w:tr>
            <w:tr w14:paraId="2341121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53132F2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SS</w:t>
                  </w:r>
                </w:p>
              </w:tc>
              <w:tc>
                <w:tcPr>
                  <w:tcW w:w="905" w:type="pct"/>
                  <w:tcBorders>
                    <w:tl2br w:val="nil"/>
                    <w:tr2bl w:val="nil"/>
                  </w:tcBorders>
                  <w:vAlign w:val="center"/>
                </w:tcPr>
                <w:p w14:paraId="2204E78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400</w:t>
                  </w:r>
                </w:p>
              </w:tc>
              <w:tc>
                <w:tcPr>
                  <w:tcW w:w="1024" w:type="pct"/>
                  <w:tcBorders>
                    <w:tl2br w:val="nil"/>
                    <w:tr2bl w:val="nil"/>
                  </w:tcBorders>
                  <w:vAlign w:val="center"/>
                </w:tcPr>
                <w:p w14:paraId="3133D3C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mg/L</w:t>
                  </w:r>
                </w:p>
              </w:tc>
              <w:tc>
                <w:tcPr>
                  <w:tcW w:w="2213" w:type="pct"/>
                  <w:vMerge w:val="continue"/>
                  <w:tcBorders>
                    <w:tl2br w:val="nil"/>
                    <w:tr2bl w:val="nil"/>
                  </w:tcBorders>
                  <w:vAlign w:val="center"/>
                </w:tcPr>
                <w:p w14:paraId="2C50650B">
                  <w:pPr>
                    <w:adjustRightInd w:val="0"/>
                    <w:snapToGrid w:val="0"/>
                    <w:jc w:val="center"/>
                    <w:rPr>
                      <w:rFonts w:hint="default" w:ascii="Times New Roman" w:hAnsi="Times New Roman" w:cs="Times New Roman"/>
                      <w:color w:val="auto"/>
                      <w:szCs w:val="21"/>
                    </w:rPr>
                  </w:pPr>
                </w:p>
              </w:tc>
            </w:tr>
            <w:tr w14:paraId="74402B8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1260C87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氨氮</w:t>
                  </w:r>
                </w:p>
              </w:tc>
              <w:tc>
                <w:tcPr>
                  <w:tcW w:w="905" w:type="pct"/>
                  <w:tcBorders>
                    <w:tl2br w:val="nil"/>
                    <w:tr2bl w:val="nil"/>
                  </w:tcBorders>
                  <w:vAlign w:val="center"/>
                </w:tcPr>
                <w:p w14:paraId="25F64BB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45</w:t>
                  </w:r>
                </w:p>
              </w:tc>
              <w:tc>
                <w:tcPr>
                  <w:tcW w:w="1024" w:type="pct"/>
                  <w:tcBorders>
                    <w:tl2br w:val="nil"/>
                    <w:tr2bl w:val="nil"/>
                  </w:tcBorders>
                  <w:vAlign w:val="center"/>
                </w:tcPr>
                <w:p w14:paraId="74C3ECA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mg/L</w:t>
                  </w:r>
                </w:p>
              </w:tc>
              <w:tc>
                <w:tcPr>
                  <w:tcW w:w="2213" w:type="pct"/>
                  <w:vMerge w:val="restart"/>
                  <w:tcBorders>
                    <w:tl2br w:val="nil"/>
                    <w:tr2bl w:val="nil"/>
                  </w:tcBorders>
                  <w:vAlign w:val="center"/>
                </w:tcPr>
                <w:p w14:paraId="1B5A5A2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val="en-GB"/>
                    </w:rPr>
                    <w:t>《污水排入城镇下水道水质标准》（GB/T31962-2015）</w:t>
                  </w:r>
                  <w:r>
                    <w:rPr>
                      <w:rFonts w:hint="eastAsia" w:cs="Times New Roman"/>
                      <w:color w:val="auto"/>
                      <w:szCs w:val="21"/>
                      <w:lang w:val="en-US" w:eastAsia="zh-CN"/>
                    </w:rPr>
                    <w:t>A级</w:t>
                  </w:r>
                  <w:r>
                    <w:rPr>
                      <w:rFonts w:hint="default" w:ascii="Times New Roman" w:hAnsi="Times New Roman" w:cs="Times New Roman"/>
                      <w:color w:val="auto"/>
                      <w:szCs w:val="21"/>
                      <w:lang w:val="en-GB"/>
                    </w:rPr>
                    <w:t>标准</w:t>
                  </w:r>
                  <w:r>
                    <w:rPr>
                      <w:rFonts w:hint="default" w:ascii="Times New Roman" w:hAnsi="Times New Roman" w:cs="Times New Roman"/>
                      <w:color w:val="auto"/>
                      <w:szCs w:val="21"/>
                    </w:rPr>
                    <w:t>要求</w:t>
                  </w:r>
                </w:p>
              </w:tc>
            </w:tr>
            <w:tr w14:paraId="2CF52B1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5CD3CDB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TP</w:t>
                  </w:r>
                </w:p>
              </w:tc>
              <w:tc>
                <w:tcPr>
                  <w:tcW w:w="905" w:type="pct"/>
                  <w:tcBorders>
                    <w:tl2br w:val="nil"/>
                    <w:tr2bl w:val="nil"/>
                  </w:tcBorders>
                  <w:vAlign w:val="center"/>
                </w:tcPr>
                <w:p w14:paraId="4486B06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8</w:t>
                  </w:r>
                </w:p>
              </w:tc>
              <w:tc>
                <w:tcPr>
                  <w:tcW w:w="1024" w:type="pct"/>
                  <w:tcBorders>
                    <w:tl2br w:val="nil"/>
                    <w:tr2bl w:val="nil"/>
                  </w:tcBorders>
                  <w:vAlign w:val="center"/>
                </w:tcPr>
                <w:p w14:paraId="7E29521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mg/L</w:t>
                  </w:r>
                </w:p>
              </w:tc>
              <w:tc>
                <w:tcPr>
                  <w:tcW w:w="2213" w:type="pct"/>
                  <w:vMerge w:val="continue"/>
                  <w:tcBorders>
                    <w:tl2br w:val="nil"/>
                    <w:tr2bl w:val="nil"/>
                  </w:tcBorders>
                  <w:vAlign w:val="center"/>
                </w:tcPr>
                <w:p w14:paraId="123F999F">
                  <w:pPr>
                    <w:adjustRightInd w:val="0"/>
                    <w:snapToGrid w:val="0"/>
                    <w:jc w:val="center"/>
                    <w:rPr>
                      <w:rFonts w:hint="default" w:ascii="Times New Roman" w:hAnsi="Times New Roman" w:cs="Times New Roman"/>
                      <w:color w:val="auto"/>
                      <w:szCs w:val="21"/>
                    </w:rPr>
                  </w:pPr>
                </w:p>
              </w:tc>
            </w:tr>
            <w:tr w14:paraId="2A91A4F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tcBorders>
                    <w:tl2br w:val="nil"/>
                    <w:tr2bl w:val="nil"/>
                  </w:tcBorders>
                  <w:vAlign w:val="center"/>
                </w:tcPr>
                <w:p w14:paraId="5482483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TN</w:t>
                  </w:r>
                </w:p>
              </w:tc>
              <w:tc>
                <w:tcPr>
                  <w:tcW w:w="905" w:type="pct"/>
                  <w:tcBorders>
                    <w:tl2br w:val="nil"/>
                    <w:tr2bl w:val="nil"/>
                  </w:tcBorders>
                  <w:vAlign w:val="center"/>
                </w:tcPr>
                <w:p w14:paraId="2519A81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70</w:t>
                  </w:r>
                </w:p>
              </w:tc>
              <w:tc>
                <w:tcPr>
                  <w:tcW w:w="1024" w:type="pct"/>
                  <w:tcBorders>
                    <w:tl2br w:val="nil"/>
                    <w:tr2bl w:val="nil"/>
                  </w:tcBorders>
                  <w:vAlign w:val="center"/>
                </w:tcPr>
                <w:p w14:paraId="645378F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mg/L</w:t>
                  </w:r>
                </w:p>
              </w:tc>
              <w:tc>
                <w:tcPr>
                  <w:tcW w:w="2213" w:type="pct"/>
                  <w:vMerge w:val="continue"/>
                  <w:tcBorders>
                    <w:tl2br w:val="nil"/>
                    <w:tr2bl w:val="nil"/>
                  </w:tcBorders>
                  <w:vAlign w:val="center"/>
                </w:tcPr>
                <w:p w14:paraId="71537A8F">
                  <w:pPr>
                    <w:adjustRightInd w:val="0"/>
                    <w:snapToGrid w:val="0"/>
                    <w:jc w:val="center"/>
                    <w:rPr>
                      <w:rFonts w:hint="default" w:ascii="Times New Roman" w:hAnsi="Times New Roman" w:cs="Times New Roman"/>
                      <w:color w:val="auto"/>
                      <w:szCs w:val="21"/>
                    </w:rPr>
                  </w:pPr>
                </w:p>
              </w:tc>
            </w:tr>
          </w:tbl>
          <w:p w14:paraId="3071F8C9">
            <w:pPr>
              <w:adjustRightInd w:val="0"/>
              <w:snapToGrid w:val="0"/>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（三）噪声排放</w:t>
            </w:r>
          </w:p>
          <w:p w14:paraId="1F621030">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施工期厂界噪声应执行《建筑施工场界环境噪声排放标准》（GB12523-2011）表1建筑施工场界环境噪声排放限值要求。</w:t>
            </w:r>
          </w:p>
          <w:p w14:paraId="1013BAC3">
            <w:pPr>
              <w:adjustRightInd w:val="0"/>
              <w:snapToGrid w:val="0"/>
              <w:spacing w:line="360" w:lineRule="auto"/>
              <w:ind w:firstLine="480" w:firstLineChars="200"/>
              <w:rPr>
                <w:rFonts w:hint="default" w:ascii="Times New Roman" w:hAnsi="Times New Roman" w:cs="Times New Roman"/>
                <w:color w:val="auto"/>
                <w:sz w:val="24"/>
              </w:rPr>
            </w:pPr>
            <w:r>
              <w:rPr>
                <w:rFonts w:hint="eastAsia" w:cs="Times New Roman"/>
                <w:color w:val="auto"/>
                <w:sz w:val="24"/>
                <w:lang w:val="en-US" w:eastAsia="zh-CN"/>
              </w:rPr>
              <w:t>本项目</w:t>
            </w:r>
            <w:r>
              <w:rPr>
                <w:rFonts w:hint="default" w:ascii="Times New Roman" w:hAnsi="Times New Roman" w:cs="Times New Roman"/>
                <w:color w:val="auto"/>
                <w:sz w:val="24"/>
              </w:rPr>
              <w:t>运营期</w:t>
            </w:r>
            <w:r>
              <w:rPr>
                <w:rFonts w:hint="eastAsia" w:cs="Times New Roman"/>
                <w:color w:val="auto"/>
                <w:sz w:val="24"/>
                <w:lang w:val="en-US" w:eastAsia="zh-CN"/>
              </w:rPr>
              <w:t>夜间不运营，</w:t>
            </w:r>
            <w:r>
              <w:rPr>
                <w:rFonts w:hint="default" w:ascii="Times New Roman" w:hAnsi="Times New Roman" w:cs="Times New Roman"/>
                <w:color w:val="auto"/>
                <w:sz w:val="24"/>
                <w:lang w:val="en-US" w:eastAsia="zh-CN"/>
              </w:rPr>
              <w:t>根据《西安市声环境功能区划方案》（市政办函〔2019〕107号），本项目所在区域位于</w:t>
            </w:r>
            <w:r>
              <w:rPr>
                <w:rFonts w:hint="eastAsia" w:cs="Times New Roman"/>
                <w:color w:val="auto"/>
                <w:sz w:val="24"/>
                <w:lang w:val="en-US" w:eastAsia="zh-CN"/>
              </w:rPr>
              <w:t>1</w:t>
            </w:r>
            <w:r>
              <w:rPr>
                <w:rFonts w:hint="default" w:ascii="Times New Roman" w:hAnsi="Times New Roman" w:cs="Times New Roman"/>
                <w:color w:val="auto"/>
                <w:sz w:val="24"/>
                <w:lang w:val="en-US" w:eastAsia="zh-CN"/>
              </w:rPr>
              <w:t>类标准区中</w:t>
            </w:r>
            <w:r>
              <w:rPr>
                <w:rFonts w:hint="eastAsia" w:cs="Times New Roman"/>
                <w:color w:val="auto"/>
                <w:sz w:val="24"/>
                <w:lang w:val="en-US" w:eastAsia="zh-CN"/>
              </w:rPr>
              <w:t>北关小区区域2</w:t>
            </w:r>
            <w:r>
              <w:rPr>
                <w:rFonts w:hint="default" w:ascii="Times New Roman" w:hAnsi="Times New Roman" w:cs="Times New Roman"/>
                <w:color w:val="auto"/>
                <w:sz w:val="24"/>
                <w:lang w:val="en-US" w:eastAsia="zh-CN"/>
              </w:rPr>
              <w:t>：</w:t>
            </w:r>
            <w:r>
              <w:rPr>
                <w:rFonts w:hint="eastAsia" w:cs="Times New Roman"/>
                <w:color w:val="auto"/>
                <w:sz w:val="24"/>
                <w:lang w:val="en-US" w:eastAsia="zh-CN"/>
              </w:rPr>
              <w:t>杏园北路、铁路专用线以东，莲湖区北界以南，星火路以西，大兴东路以北</w:t>
            </w:r>
            <w:r>
              <w:rPr>
                <w:rFonts w:hint="default" w:ascii="Times New Roman" w:hAnsi="Times New Roman" w:cs="Times New Roman"/>
                <w:color w:val="auto"/>
                <w:sz w:val="24"/>
                <w:lang w:val="en-US" w:eastAsia="zh-CN"/>
              </w:rPr>
              <w:t>，4a类标准适用区域：</w:t>
            </w:r>
            <w:r>
              <w:rPr>
                <w:rFonts w:hint="eastAsia" w:cs="Times New Roman"/>
                <w:color w:val="auto"/>
                <w:sz w:val="24"/>
                <w:lang w:val="en-US" w:eastAsia="zh-CN"/>
              </w:rPr>
              <w:t>二环路</w:t>
            </w:r>
            <w:r>
              <w:rPr>
                <w:rFonts w:hint="default" w:ascii="Times New Roman" w:hAnsi="Times New Roman" w:cs="Times New Roman"/>
                <w:color w:val="auto"/>
                <w:sz w:val="24"/>
                <w:lang w:val="en-US" w:eastAsia="zh-CN"/>
              </w:rPr>
              <w:t>（</w:t>
            </w:r>
            <w:r>
              <w:rPr>
                <w:rFonts w:hint="eastAsia" w:cs="Times New Roman"/>
                <w:color w:val="auto"/>
                <w:sz w:val="24"/>
                <w:lang w:val="en-US" w:eastAsia="zh-CN"/>
              </w:rPr>
              <w:t>主干路</w:t>
            </w:r>
            <w:r>
              <w:rPr>
                <w:rFonts w:hint="default" w:ascii="Times New Roman" w:hAnsi="Times New Roman" w:cs="Times New Roman"/>
                <w:color w:val="auto"/>
                <w:sz w:val="24"/>
                <w:lang w:val="en-US" w:eastAsia="zh-CN"/>
              </w:rPr>
              <w:t>）</w:t>
            </w:r>
            <w:r>
              <w:rPr>
                <w:rFonts w:hint="eastAsia" w:cs="Times New Roman"/>
                <w:color w:val="auto"/>
                <w:sz w:val="24"/>
                <w:lang w:val="en-US" w:eastAsia="zh-CN"/>
              </w:rPr>
              <w:t>范围内</w:t>
            </w:r>
            <w:r>
              <w:rPr>
                <w:rFonts w:hint="default" w:ascii="Times New Roman" w:hAnsi="Times New Roman" w:cs="Times New Roman"/>
                <w:color w:val="auto"/>
                <w:sz w:val="24"/>
                <w:lang w:val="en-US" w:eastAsia="zh-CN"/>
              </w:rPr>
              <w:t>，项目声环境功能区划图见附图7。</w:t>
            </w:r>
            <w:r>
              <w:rPr>
                <w:rFonts w:hint="eastAsia" w:cs="Times New Roman"/>
                <w:color w:val="auto"/>
                <w:sz w:val="24"/>
                <w:lang w:val="en-US" w:eastAsia="zh-CN"/>
              </w:rPr>
              <w:t>因此本项目</w:t>
            </w:r>
            <w:r>
              <w:rPr>
                <w:rFonts w:hint="default" w:ascii="Times New Roman" w:hAnsi="Times New Roman" w:cs="Times New Roman"/>
                <w:color w:val="auto"/>
                <w:sz w:val="24"/>
              </w:rPr>
              <w:t>厂界噪声排放执行《工业企业厂界环境噪声排放标准》（GB12348-2008）中的相关标准。具体标准值见下表3-</w:t>
            </w:r>
            <w:r>
              <w:rPr>
                <w:rFonts w:hint="eastAsia" w:cs="Times New Roman"/>
                <w:color w:val="auto"/>
                <w:sz w:val="24"/>
                <w:lang w:val="en-US" w:eastAsia="zh-CN"/>
              </w:rPr>
              <w:t>7</w:t>
            </w:r>
            <w:r>
              <w:rPr>
                <w:rFonts w:hint="default" w:ascii="Times New Roman" w:hAnsi="Times New Roman" w:cs="Times New Roman"/>
                <w:color w:val="auto"/>
                <w:sz w:val="24"/>
              </w:rPr>
              <w:t>。</w:t>
            </w:r>
          </w:p>
          <w:p w14:paraId="5FF07C97">
            <w:pPr>
              <w:adjustRightInd w:val="0"/>
              <w:snapToGrid w:val="0"/>
              <w:jc w:val="right"/>
              <w:rPr>
                <w:rFonts w:hint="default" w:ascii="Times New Roman" w:hAnsi="Times New Roman" w:cs="Times New Roman"/>
                <w:b/>
                <w:bCs/>
                <w:color w:val="auto"/>
                <w:szCs w:val="21"/>
              </w:rPr>
            </w:pPr>
            <w:r>
              <w:rPr>
                <w:rFonts w:hint="default" w:ascii="Times New Roman" w:hAnsi="Times New Roman" w:cs="Times New Roman"/>
                <w:b/>
                <w:bCs/>
                <w:color w:val="auto"/>
                <w:szCs w:val="21"/>
              </w:rPr>
              <w:t>表3-</w:t>
            </w:r>
            <w:r>
              <w:rPr>
                <w:rFonts w:hint="eastAsia" w:cs="Times New Roman"/>
                <w:b/>
                <w:bCs/>
                <w:color w:val="auto"/>
                <w:szCs w:val="21"/>
                <w:lang w:val="en-US" w:eastAsia="zh-CN"/>
              </w:rPr>
              <w:t>7</w:t>
            </w:r>
            <w:r>
              <w:rPr>
                <w:rFonts w:hint="default" w:ascii="Times New Roman" w:hAnsi="Times New Roman" w:cs="Times New Roman"/>
                <w:b/>
                <w:bCs/>
                <w:color w:val="auto"/>
                <w:szCs w:val="21"/>
              </w:rPr>
              <w:t xml:space="preserve"> 噪声污染物排放标准                单位：dB（A）</w:t>
            </w:r>
          </w:p>
          <w:tbl>
            <w:tblPr>
              <w:tblStyle w:val="30"/>
              <w:tblW w:w="5000"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2259"/>
              <w:gridCol w:w="594"/>
              <w:gridCol w:w="1434"/>
              <w:gridCol w:w="3688"/>
            </w:tblGrid>
            <w:tr w14:paraId="0E28EA9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9" w:type="pct"/>
                  <w:vMerge w:val="restart"/>
                  <w:tcBorders>
                    <w:tl2br w:val="nil"/>
                    <w:tr2bl w:val="nil"/>
                  </w:tcBorders>
                  <w:vAlign w:val="center"/>
                </w:tcPr>
                <w:p w14:paraId="27E89E13">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工作期</w:t>
                  </w:r>
                </w:p>
              </w:tc>
              <w:tc>
                <w:tcPr>
                  <w:tcW w:w="1263" w:type="pct"/>
                  <w:vMerge w:val="restart"/>
                  <w:tcBorders>
                    <w:tl2br w:val="nil"/>
                    <w:tr2bl w:val="nil"/>
                  </w:tcBorders>
                  <w:vAlign w:val="center"/>
                </w:tcPr>
                <w:p w14:paraId="220503FD">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监测点</w:t>
                  </w:r>
                </w:p>
              </w:tc>
              <w:tc>
                <w:tcPr>
                  <w:tcW w:w="332" w:type="pct"/>
                  <w:vMerge w:val="restart"/>
                  <w:tcBorders>
                    <w:tl2br w:val="nil"/>
                    <w:tr2bl w:val="nil"/>
                  </w:tcBorders>
                  <w:vAlign w:val="center"/>
                </w:tcPr>
                <w:p w14:paraId="3576C685">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级别</w:t>
                  </w:r>
                </w:p>
              </w:tc>
              <w:tc>
                <w:tcPr>
                  <w:tcW w:w="802" w:type="pct"/>
                  <w:tcBorders>
                    <w:tl2br w:val="nil"/>
                    <w:tr2bl w:val="nil"/>
                  </w:tcBorders>
                  <w:vAlign w:val="center"/>
                </w:tcPr>
                <w:p w14:paraId="28AAAC57">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标准限值</w:t>
                  </w:r>
                </w:p>
              </w:tc>
              <w:tc>
                <w:tcPr>
                  <w:tcW w:w="2062" w:type="pct"/>
                  <w:vMerge w:val="restart"/>
                  <w:tcBorders>
                    <w:tl2br w:val="nil"/>
                    <w:tr2bl w:val="nil"/>
                  </w:tcBorders>
                  <w:vAlign w:val="center"/>
                </w:tcPr>
                <w:p w14:paraId="36A25F25">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标准来源</w:t>
                  </w:r>
                </w:p>
              </w:tc>
            </w:tr>
            <w:tr w14:paraId="65DF63E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9" w:type="pct"/>
                  <w:vMerge w:val="continue"/>
                  <w:tcBorders>
                    <w:tl2br w:val="nil"/>
                    <w:tr2bl w:val="nil"/>
                  </w:tcBorders>
                  <w:vAlign w:val="center"/>
                </w:tcPr>
                <w:p w14:paraId="52BCFFD1">
                  <w:pPr>
                    <w:adjustRightInd w:val="0"/>
                    <w:snapToGrid w:val="0"/>
                    <w:jc w:val="center"/>
                    <w:rPr>
                      <w:rFonts w:hint="default" w:ascii="Times New Roman" w:hAnsi="Times New Roman" w:cs="Times New Roman"/>
                      <w:color w:val="auto"/>
                      <w:szCs w:val="21"/>
                    </w:rPr>
                  </w:pPr>
                </w:p>
              </w:tc>
              <w:tc>
                <w:tcPr>
                  <w:tcW w:w="1263" w:type="pct"/>
                  <w:vMerge w:val="continue"/>
                  <w:tcBorders>
                    <w:tl2br w:val="nil"/>
                    <w:tr2bl w:val="nil"/>
                  </w:tcBorders>
                  <w:vAlign w:val="center"/>
                </w:tcPr>
                <w:p w14:paraId="37AEE804">
                  <w:pPr>
                    <w:adjustRightInd w:val="0"/>
                    <w:snapToGrid w:val="0"/>
                    <w:jc w:val="center"/>
                    <w:rPr>
                      <w:rFonts w:hint="default" w:ascii="Times New Roman" w:hAnsi="Times New Roman" w:cs="Times New Roman"/>
                      <w:color w:val="auto"/>
                      <w:szCs w:val="21"/>
                    </w:rPr>
                  </w:pPr>
                </w:p>
              </w:tc>
              <w:tc>
                <w:tcPr>
                  <w:tcW w:w="332" w:type="pct"/>
                  <w:vMerge w:val="continue"/>
                  <w:tcBorders>
                    <w:tl2br w:val="nil"/>
                    <w:tr2bl w:val="nil"/>
                  </w:tcBorders>
                  <w:vAlign w:val="center"/>
                </w:tcPr>
                <w:p w14:paraId="4C07BB4B">
                  <w:pPr>
                    <w:adjustRightInd w:val="0"/>
                    <w:snapToGrid w:val="0"/>
                    <w:jc w:val="center"/>
                    <w:rPr>
                      <w:rFonts w:hint="default" w:ascii="Times New Roman" w:hAnsi="Times New Roman" w:cs="Times New Roman"/>
                      <w:color w:val="auto"/>
                      <w:szCs w:val="21"/>
                    </w:rPr>
                  </w:pPr>
                </w:p>
              </w:tc>
              <w:tc>
                <w:tcPr>
                  <w:tcW w:w="802" w:type="pct"/>
                  <w:tcBorders>
                    <w:tl2br w:val="nil"/>
                    <w:tr2bl w:val="nil"/>
                  </w:tcBorders>
                  <w:vAlign w:val="center"/>
                </w:tcPr>
                <w:p w14:paraId="5FA8FDEB">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昼间</w:t>
                  </w:r>
                </w:p>
              </w:tc>
              <w:tc>
                <w:tcPr>
                  <w:tcW w:w="2062" w:type="pct"/>
                  <w:vMerge w:val="continue"/>
                  <w:tcBorders>
                    <w:tl2br w:val="nil"/>
                    <w:tr2bl w:val="nil"/>
                  </w:tcBorders>
                  <w:vAlign w:val="center"/>
                </w:tcPr>
                <w:p w14:paraId="3F777C11">
                  <w:pPr>
                    <w:adjustRightInd w:val="0"/>
                    <w:snapToGrid w:val="0"/>
                    <w:jc w:val="center"/>
                    <w:rPr>
                      <w:rFonts w:hint="default" w:ascii="Times New Roman" w:hAnsi="Times New Roman" w:cs="Times New Roman"/>
                      <w:color w:val="auto"/>
                      <w:szCs w:val="21"/>
                    </w:rPr>
                  </w:pPr>
                </w:p>
              </w:tc>
            </w:tr>
            <w:tr w14:paraId="2FF685E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9" w:type="pct"/>
                  <w:tcBorders>
                    <w:tl2br w:val="nil"/>
                    <w:tr2bl w:val="nil"/>
                  </w:tcBorders>
                  <w:vAlign w:val="center"/>
                </w:tcPr>
                <w:p w14:paraId="46096D7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施工期</w:t>
                  </w:r>
                </w:p>
              </w:tc>
              <w:tc>
                <w:tcPr>
                  <w:tcW w:w="1263" w:type="pct"/>
                  <w:tcBorders>
                    <w:tl2br w:val="nil"/>
                    <w:tr2bl w:val="nil"/>
                  </w:tcBorders>
                  <w:vAlign w:val="center"/>
                </w:tcPr>
                <w:p w14:paraId="72B84291">
                  <w:pPr>
                    <w:adjustRightInd w:val="0"/>
                    <w:snapToGrid w:val="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场界</w:t>
                  </w:r>
                </w:p>
              </w:tc>
              <w:tc>
                <w:tcPr>
                  <w:tcW w:w="332" w:type="pct"/>
                  <w:tcBorders>
                    <w:tl2br w:val="nil"/>
                    <w:tr2bl w:val="nil"/>
                  </w:tcBorders>
                  <w:vAlign w:val="center"/>
                </w:tcPr>
                <w:p w14:paraId="21DEAF8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802" w:type="pct"/>
                  <w:tcBorders>
                    <w:tl2br w:val="nil"/>
                    <w:tr2bl w:val="nil"/>
                  </w:tcBorders>
                  <w:vAlign w:val="center"/>
                </w:tcPr>
                <w:p w14:paraId="7701D69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70</w:t>
                  </w:r>
                </w:p>
              </w:tc>
              <w:tc>
                <w:tcPr>
                  <w:tcW w:w="2062" w:type="pct"/>
                  <w:tcBorders>
                    <w:tl2br w:val="nil"/>
                    <w:tr2bl w:val="nil"/>
                  </w:tcBorders>
                  <w:vAlign w:val="center"/>
                </w:tcPr>
                <w:p w14:paraId="341F4DC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《建筑施工场界环境噪声排放标准》（GB 12523-2011）</w:t>
                  </w:r>
                </w:p>
              </w:tc>
            </w:tr>
            <w:tr w14:paraId="5A8218F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9" w:type="pct"/>
                  <w:vMerge w:val="restart"/>
                  <w:tcBorders>
                    <w:tl2br w:val="nil"/>
                    <w:tr2bl w:val="nil"/>
                  </w:tcBorders>
                  <w:vAlign w:val="center"/>
                </w:tcPr>
                <w:p w14:paraId="1F7CEAB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运营期</w:t>
                  </w:r>
                </w:p>
              </w:tc>
              <w:tc>
                <w:tcPr>
                  <w:tcW w:w="1263" w:type="pct"/>
                  <w:tcBorders>
                    <w:tl2br w:val="nil"/>
                    <w:tr2bl w:val="nil"/>
                  </w:tcBorders>
                  <w:vAlign w:val="center"/>
                </w:tcPr>
                <w:p w14:paraId="1645D7A9">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厂界</w:t>
                  </w:r>
                  <w:r>
                    <w:rPr>
                      <w:rFonts w:hint="eastAsia" w:cs="Times New Roman"/>
                      <w:color w:val="auto"/>
                      <w:szCs w:val="21"/>
                      <w:lang w:val="en-US" w:eastAsia="zh-CN"/>
                    </w:rPr>
                    <w:t>东、厂界南、厂界北</w:t>
                  </w:r>
                </w:p>
              </w:tc>
              <w:tc>
                <w:tcPr>
                  <w:tcW w:w="332" w:type="pct"/>
                  <w:tcBorders>
                    <w:tl2br w:val="nil"/>
                    <w:tr2bl w:val="nil"/>
                  </w:tcBorders>
                  <w:vAlign w:val="center"/>
                </w:tcPr>
                <w:p w14:paraId="106F2C10">
                  <w:pPr>
                    <w:adjustRightInd w:val="0"/>
                    <w:snapToGrid w:val="0"/>
                    <w:jc w:val="center"/>
                    <w:rPr>
                      <w:rFonts w:hint="default" w:ascii="Times New Roman" w:hAnsi="Times New Roman" w:cs="Times New Roman"/>
                      <w:color w:val="auto"/>
                      <w:szCs w:val="21"/>
                    </w:rPr>
                  </w:pPr>
                  <w:r>
                    <w:rPr>
                      <w:rFonts w:hint="eastAsia" w:cs="Times New Roman"/>
                      <w:color w:val="auto"/>
                      <w:szCs w:val="21"/>
                      <w:lang w:val="en-US" w:eastAsia="zh-CN"/>
                    </w:rPr>
                    <w:t>1</w:t>
                  </w:r>
                  <w:r>
                    <w:rPr>
                      <w:rFonts w:hint="default" w:ascii="Times New Roman" w:hAnsi="Times New Roman" w:cs="Times New Roman"/>
                      <w:color w:val="auto"/>
                      <w:szCs w:val="21"/>
                    </w:rPr>
                    <w:t>类</w:t>
                  </w:r>
                </w:p>
              </w:tc>
              <w:tc>
                <w:tcPr>
                  <w:tcW w:w="802" w:type="pct"/>
                  <w:tcBorders>
                    <w:tl2br w:val="nil"/>
                    <w:tr2bl w:val="nil"/>
                  </w:tcBorders>
                  <w:vAlign w:val="center"/>
                </w:tcPr>
                <w:p w14:paraId="13FA2819">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55</w:t>
                  </w:r>
                </w:p>
              </w:tc>
              <w:tc>
                <w:tcPr>
                  <w:tcW w:w="2062" w:type="pct"/>
                  <w:vMerge w:val="restart"/>
                  <w:tcBorders>
                    <w:tl2br w:val="nil"/>
                    <w:tr2bl w:val="nil"/>
                  </w:tcBorders>
                  <w:vAlign w:val="center"/>
                </w:tcPr>
                <w:p w14:paraId="1A26B88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w:t>
                  </w:r>
                </w:p>
              </w:tc>
            </w:tr>
            <w:tr w14:paraId="615588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9" w:type="pct"/>
                  <w:vMerge w:val="continue"/>
                  <w:tcBorders>
                    <w:tl2br w:val="nil"/>
                    <w:tr2bl w:val="nil"/>
                  </w:tcBorders>
                  <w:vAlign w:val="center"/>
                </w:tcPr>
                <w:p w14:paraId="5AD48D8B">
                  <w:pPr>
                    <w:adjustRightInd w:val="0"/>
                    <w:snapToGrid w:val="0"/>
                    <w:jc w:val="center"/>
                    <w:rPr>
                      <w:rFonts w:hint="default" w:ascii="Times New Roman" w:hAnsi="Times New Roman" w:cs="Times New Roman"/>
                      <w:color w:val="auto"/>
                      <w:szCs w:val="21"/>
                    </w:rPr>
                  </w:pPr>
                </w:p>
              </w:tc>
              <w:tc>
                <w:tcPr>
                  <w:tcW w:w="1263" w:type="pct"/>
                  <w:tcBorders>
                    <w:tl2br w:val="nil"/>
                    <w:tr2bl w:val="nil"/>
                  </w:tcBorders>
                  <w:vAlign w:val="center"/>
                </w:tcPr>
                <w:p w14:paraId="602148CB">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厂界西</w:t>
                  </w:r>
                </w:p>
              </w:tc>
              <w:tc>
                <w:tcPr>
                  <w:tcW w:w="332" w:type="pct"/>
                  <w:tcBorders>
                    <w:tl2br w:val="nil"/>
                    <w:tr2bl w:val="nil"/>
                  </w:tcBorders>
                  <w:vAlign w:val="center"/>
                </w:tcPr>
                <w:p w14:paraId="40785A26">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4类</w:t>
                  </w:r>
                </w:p>
              </w:tc>
              <w:tc>
                <w:tcPr>
                  <w:tcW w:w="802" w:type="pct"/>
                  <w:tcBorders>
                    <w:tl2br w:val="nil"/>
                    <w:tr2bl w:val="nil"/>
                  </w:tcBorders>
                  <w:vAlign w:val="center"/>
                </w:tcPr>
                <w:p w14:paraId="248E1C82">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70</w:t>
                  </w:r>
                </w:p>
              </w:tc>
              <w:tc>
                <w:tcPr>
                  <w:tcW w:w="2062" w:type="pct"/>
                  <w:vMerge w:val="continue"/>
                  <w:tcBorders>
                    <w:tl2br w:val="nil"/>
                    <w:tr2bl w:val="nil"/>
                  </w:tcBorders>
                  <w:vAlign w:val="center"/>
                </w:tcPr>
                <w:p w14:paraId="6414CB40">
                  <w:pPr>
                    <w:adjustRightInd w:val="0"/>
                    <w:snapToGrid w:val="0"/>
                    <w:jc w:val="center"/>
                    <w:rPr>
                      <w:rFonts w:hint="default" w:ascii="Times New Roman" w:hAnsi="Times New Roman" w:cs="Times New Roman"/>
                      <w:color w:val="auto"/>
                      <w:szCs w:val="21"/>
                    </w:rPr>
                  </w:pPr>
                </w:p>
              </w:tc>
            </w:tr>
            <w:tr w14:paraId="19157CA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9" w:type="pct"/>
                  <w:vMerge w:val="continue"/>
                  <w:tcBorders>
                    <w:tl2br w:val="nil"/>
                    <w:tr2bl w:val="nil"/>
                  </w:tcBorders>
                  <w:vAlign w:val="center"/>
                </w:tcPr>
                <w:p w14:paraId="7AA21F70">
                  <w:pPr>
                    <w:adjustRightInd w:val="0"/>
                    <w:snapToGrid w:val="0"/>
                    <w:jc w:val="center"/>
                    <w:rPr>
                      <w:rFonts w:hint="default" w:ascii="Times New Roman" w:hAnsi="Times New Roman" w:cs="Times New Roman"/>
                      <w:color w:val="auto"/>
                      <w:szCs w:val="21"/>
                    </w:rPr>
                  </w:pPr>
                </w:p>
              </w:tc>
              <w:tc>
                <w:tcPr>
                  <w:tcW w:w="1263" w:type="pct"/>
                  <w:tcBorders>
                    <w:tl2br w:val="nil"/>
                    <w:tr2bl w:val="nil"/>
                  </w:tcBorders>
                  <w:vAlign w:val="center"/>
                </w:tcPr>
                <w:p w14:paraId="03D6EEA0">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声环境保护目标</w:t>
                  </w:r>
                </w:p>
              </w:tc>
              <w:tc>
                <w:tcPr>
                  <w:tcW w:w="332" w:type="pct"/>
                  <w:tcBorders>
                    <w:tl2br w:val="nil"/>
                    <w:tr2bl w:val="nil"/>
                  </w:tcBorders>
                  <w:vAlign w:val="center"/>
                </w:tcPr>
                <w:p w14:paraId="71731AFA">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1类</w:t>
                  </w:r>
                </w:p>
              </w:tc>
              <w:tc>
                <w:tcPr>
                  <w:tcW w:w="802" w:type="pct"/>
                  <w:tcBorders>
                    <w:tl2br w:val="nil"/>
                    <w:tr2bl w:val="nil"/>
                  </w:tcBorders>
                  <w:vAlign w:val="center"/>
                </w:tcPr>
                <w:p w14:paraId="48A43C60">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55</w:t>
                  </w:r>
                </w:p>
              </w:tc>
              <w:tc>
                <w:tcPr>
                  <w:tcW w:w="2062" w:type="pct"/>
                  <w:tcBorders>
                    <w:tl2br w:val="nil"/>
                    <w:tr2bl w:val="nil"/>
                  </w:tcBorders>
                  <w:vAlign w:val="center"/>
                </w:tcPr>
                <w:p w14:paraId="150686C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《声环境质量标准》（GB</w:t>
                  </w:r>
                  <w:r>
                    <w:rPr>
                      <w:rFonts w:hint="default"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3096-2008）</w:t>
                  </w:r>
                </w:p>
              </w:tc>
            </w:tr>
          </w:tbl>
          <w:p w14:paraId="42139C07">
            <w:pPr>
              <w:adjustRightInd w:val="0"/>
              <w:snapToGrid w:val="0"/>
              <w:spacing w:before="120" w:beforeLines="50"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（四）固体废物处理与处置</w:t>
            </w:r>
          </w:p>
          <w:p w14:paraId="0555A33F">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一般固体废物执行《一般工业固体废物贮存和填埋处置污染控制标准》（GB18599-2020）中相关规定危险；危险废物执行《危险废物贮存污染控制标准》（GB18597-2023）中有关规定。</w:t>
            </w:r>
          </w:p>
        </w:tc>
      </w:tr>
      <w:tr w14:paraId="0DE869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02" w:hRule="atLeast"/>
          <w:jc w:val="center"/>
        </w:trPr>
        <w:tc>
          <w:tcPr>
            <w:tcW w:w="357" w:type="pct"/>
            <w:vAlign w:val="center"/>
          </w:tcPr>
          <w:p w14:paraId="4017E738">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总量</w:t>
            </w:r>
          </w:p>
          <w:p w14:paraId="700E2522">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控制</w:t>
            </w:r>
          </w:p>
          <w:p w14:paraId="69B388BA">
            <w:pPr>
              <w:adjustRightInd w:val="0"/>
              <w:snapToGrid w:val="0"/>
              <w:jc w:val="center"/>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指标</w:t>
            </w:r>
          </w:p>
        </w:tc>
        <w:tc>
          <w:tcPr>
            <w:tcW w:w="4642" w:type="pct"/>
            <w:vAlign w:val="center"/>
          </w:tcPr>
          <w:p w14:paraId="6EA641C3">
            <w:pPr>
              <w:widowControl/>
              <w:spacing w:line="360" w:lineRule="auto"/>
              <w:ind w:firstLine="480" w:firstLineChars="200"/>
              <w:jc w:val="both"/>
              <w:rPr>
                <w:rFonts w:hint="default" w:ascii="Times New Roman" w:hAnsi="Times New Roman" w:cs="Times New Roman"/>
                <w:color w:val="auto"/>
                <w:sz w:val="24"/>
              </w:rPr>
            </w:pPr>
            <w:r>
              <w:rPr>
                <w:rFonts w:hint="default" w:ascii="Times New Roman" w:hAnsi="Times New Roman" w:cs="Times New Roman"/>
                <w:color w:val="auto"/>
                <w:sz w:val="24"/>
              </w:rPr>
              <w:t>根据《“十四五”污染减排综合工作方案编制技术指南》</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“十四五”期间对COD、氨氮、氮氧化物和VOC</w:t>
            </w:r>
            <w:r>
              <w:rPr>
                <w:rFonts w:hint="default" w:ascii="Times New Roman" w:hAnsi="Times New Roman" w:cs="Times New Roman"/>
                <w:color w:val="auto"/>
                <w:sz w:val="24"/>
                <w:vertAlign w:val="subscript"/>
                <w:lang w:val="en-US" w:eastAsia="zh-CN"/>
              </w:rPr>
              <w:t>S</w:t>
            </w:r>
            <w:r>
              <w:rPr>
                <w:rFonts w:hint="default" w:ascii="Times New Roman" w:hAnsi="Times New Roman" w:cs="Times New Roman"/>
                <w:color w:val="auto"/>
                <w:sz w:val="24"/>
              </w:rPr>
              <w:t>等主要污染物实行排放总量控制计划管理。</w:t>
            </w:r>
          </w:p>
          <w:p w14:paraId="6697CB1C">
            <w:pPr>
              <w:adjustRightInd w:val="0"/>
              <w:snapToGrid w:val="0"/>
              <w:spacing w:line="360" w:lineRule="auto"/>
              <w:ind w:firstLine="480" w:firstLineChars="200"/>
              <w:rPr>
                <w:rFonts w:hint="default" w:ascii="Times New Roman" w:hAnsi="Times New Roman" w:cs="Times New Roman"/>
                <w:color w:val="auto"/>
                <w:kern w:val="0"/>
                <w:sz w:val="24"/>
                <w:lang w:val="en-US" w:eastAsia="zh-CN" w:bidi="ar"/>
              </w:rPr>
            </w:pPr>
            <w:r>
              <w:rPr>
                <w:rFonts w:hint="default" w:ascii="Times New Roman" w:hAnsi="Times New Roman" w:cs="Times New Roman"/>
                <w:color w:val="auto"/>
                <w:kern w:val="0"/>
                <w:sz w:val="24"/>
                <w:lang w:bidi="ar"/>
              </w:rPr>
              <w:t>结合本项目污染物排放特征，</w:t>
            </w:r>
            <w:r>
              <w:rPr>
                <w:rFonts w:hint="eastAsia" w:cs="Times New Roman"/>
                <w:color w:val="auto"/>
                <w:kern w:val="0"/>
                <w:sz w:val="24"/>
                <w:lang w:val="en-US" w:eastAsia="zh-CN" w:bidi="ar"/>
              </w:rPr>
              <w:t>因此</w:t>
            </w:r>
            <w:r>
              <w:rPr>
                <w:rFonts w:hint="default" w:ascii="Times New Roman" w:hAnsi="Times New Roman" w:cs="Times New Roman"/>
                <w:color w:val="auto"/>
                <w:kern w:val="0"/>
                <w:sz w:val="24"/>
                <w:lang w:eastAsia="zh-CN" w:bidi="ar"/>
              </w:rPr>
              <w:t>申请总量控制指标建议为</w:t>
            </w:r>
            <w:r>
              <w:rPr>
                <w:rFonts w:hint="eastAsia" w:cs="Times New Roman"/>
                <w:color w:val="auto"/>
                <w:kern w:val="0"/>
                <w:sz w:val="24"/>
                <w:lang w:val="en-US" w:eastAsia="zh-CN" w:bidi="ar"/>
              </w:rPr>
              <w:t>废气VOC</w:t>
            </w:r>
            <w:r>
              <w:rPr>
                <w:rFonts w:hint="eastAsia" w:cs="Times New Roman"/>
                <w:color w:val="auto"/>
                <w:kern w:val="0"/>
                <w:sz w:val="24"/>
                <w:vertAlign w:val="subscript"/>
                <w:lang w:val="en-US" w:eastAsia="zh-CN" w:bidi="ar"/>
              </w:rPr>
              <w:t>S</w:t>
            </w:r>
            <w:r>
              <w:rPr>
                <w:rFonts w:hint="eastAsia" w:cs="Times New Roman"/>
                <w:color w:val="auto"/>
                <w:kern w:val="0"/>
                <w:sz w:val="24"/>
                <w:lang w:val="en-US" w:eastAsia="zh-CN" w:bidi="ar"/>
              </w:rPr>
              <w:t>：0.1068kg/a；废水</w:t>
            </w:r>
            <w:r>
              <w:rPr>
                <w:rFonts w:hint="default" w:ascii="Times New Roman" w:hAnsi="Times New Roman" w:cs="Times New Roman"/>
                <w:color w:val="auto"/>
                <w:kern w:val="0"/>
                <w:sz w:val="24"/>
                <w:highlight w:val="none"/>
                <w:lang w:val="en-US" w:eastAsia="zh-CN" w:bidi="ar"/>
              </w:rPr>
              <w:t>COD</w:t>
            </w:r>
            <w:r>
              <w:rPr>
                <w:rFonts w:hint="eastAsia" w:cs="Times New Roman"/>
                <w:color w:val="auto"/>
                <w:kern w:val="0"/>
                <w:sz w:val="24"/>
                <w:highlight w:val="none"/>
                <w:lang w:val="en-US" w:eastAsia="zh-CN" w:bidi="ar"/>
              </w:rPr>
              <w:t>：0.0546</w:t>
            </w:r>
            <w:r>
              <w:rPr>
                <w:rFonts w:hint="default" w:ascii="Times New Roman" w:hAnsi="Times New Roman" w:cs="Times New Roman"/>
                <w:color w:val="auto"/>
                <w:kern w:val="0"/>
                <w:sz w:val="24"/>
                <w:highlight w:val="none"/>
                <w:lang w:val="en-US" w:eastAsia="zh-CN" w:bidi="ar"/>
              </w:rPr>
              <w:t>t/a</w:t>
            </w:r>
            <w:r>
              <w:rPr>
                <w:rFonts w:hint="eastAsia" w:cs="Times New Roman"/>
                <w:color w:val="auto"/>
                <w:kern w:val="0"/>
                <w:sz w:val="24"/>
                <w:highlight w:val="none"/>
                <w:lang w:val="en-US" w:eastAsia="zh-CN" w:bidi="ar"/>
              </w:rPr>
              <w:t>、</w:t>
            </w:r>
            <w:r>
              <w:rPr>
                <w:rFonts w:hint="default" w:ascii="Times New Roman" w:hAnsi="Times New Roman" w:cs="Times New Roman"/>
                <w:color w:val="auto"/>
                <w:kern w:val="0"/>
                <w:sz w:val="24"/>
                <w:highlight w:val="none"/>
                <w:lang w:val="en-US" w:eastAsia="zh-CN" w:bidi="ar"/>
              </w:rPr>
              <w:t>氨氮：</w:t>
            </w:r>
            <w:r>
              <w:rPr>
                <w:rFonts w:hint="eastAsia" w:cs="Times New Roman"/>
                <w:color w:val="auto"/>
                <w:kern w:val="0"/>
                <w:sz w:val="24"/>
                <w:highlight w:val="none"/>
                <w:lang w:val="en-US" w:eastAsia="zh-CN" w:bidi="ar"/>
              </w:rPr>
              <w:t>0.0045</w:t>
            </w:r>
            <w:r>
              <w:rPr>
                <w:rFonts w:hint="default" w:ascii="Times New Roman" w:hAnsi="Times New Roman" w:cs="Times New Roman"/>
                <w:color w:val="auto"/>
                <w:kern w:val="0"/>
                <w:sz w:val="24"/>
                <w:highlight w:val="none"/>
                <w:lang w:val="en-US" w:eastAsia="zh-CN" w:bidi="ar"/>
              </w:rPr>
              <w:t>t/a。</w:t>
            </w:r>
          </w:p>
          <w:p w14:paraId="0A44D693">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lang w:eastAsia="zh-CN" w:bidi="ar"/>
              </w:rPr>
              <w:t>最终总量控制指标的确定由当地生态环境管理部门确定。</w:t>
            </w:r>
          </w:p>
        </w:tc>
      </w:tr>
    </w:tbl>
    <w:p w14:paraId="28167C92">
      <w:pPr>
        <w:pStyle w:val="25"/>
        <w:spacing w:before="0" w:before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bookmarkStart w:id="7" w:name="_Toc13063"/>
      <w:r>
        <w:rPr>
          <w:rFonts w:hint="default" w:ascii="Times New Roman" w:hAnsi="Times New Roman" w:eastAsia="黑体" w:cs="Times New Roman"/>
          <w:snapToGrid w:val="0"/>
          <w:color w:val="auto"/>
          <w:sz w:val="30"/>
          <w:szCs w:val="30"/>
        </w:rPr>
        <w:t>四、主要环境影响和保护措施</w:t>
      </w:r>
      <w:bookmarkEnd w:id="7"/>
    </w:p>
    <w:tbl>
      <w:tblPr>
        <w:tblStyle w:val="29"/>
        <w:tblW w:w="530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91"/>
        <w:gridCol w:w="9889"/>
      </w:tblGrid>
      <w:tr w14:paraId="1883C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282" w:type="pct"/>
            <w:tcMar>
              <w:left w:w="28" w:type="dxa"/>
              <w:right w:w="28" w:type="dxa"/>
            </w:tcMar>
            <w:vAlign w:val="center"/>
          </w:tcPr>
          <w:p w14:paraId="01B5B580">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施</w:t>
            </w:r>
          </w:p>
          <w:p w14:paraId="3300956A">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工</w:t>
            </w:r>
          </w:p>
          <w:p w14:paraId="3870D9E7">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期</w:t>
            </w:r>
          </w:p>
          <w:p w14:paraId="5C644DF4">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环</w:t>
            </w:r>
          </w:p>
          <w:p w14:paraId="0F0F7E15">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境</w:t>
            </w:r>
          </w:p>
          <w:p w14:paraId="6064A971">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保</w:t>
            </w:r>
          </w:p>
          <w:p w14:paraId="10C54EA3">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护</w:t>
            </w:r>
          </w:p>
          <w:p w14:paraId="7C667CFB">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措</w:t>
            </w:r>
          </w:p>
          <w:p w14:paraId="02D5AB1D">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施</w:t>
            </w:r>
          </w:p>
        </w:tc>
        <w:tc>
          <w:tcPr>
            <w:tcW w:w="4717" w:type="pct"/>
            <w:vAlign w:val="center"/>
          </w:tcPr>
          <w:p w14:paraId="26E763C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color w:val="auto"/>
                <w:sz w:val="24"/>
                <w:lang w:val="en-US" w:eastAsia="zh-CN"/>
              </w:rPr>
            </w:pPr>
            <w:r>
              <w:rPr>
                <w:rFonts w:hint="eastAsia" w:cs="Times New Roman"/>
                <w:b w:val="0"/>
                <w:bCs/>
                <w:color w:val="auto"/>
                <w:sz w:val="24"/>
                <w:lang w:val="en-US" w:eastAsia="zh-CN"/>
              </w:rPr>
              <w:t>本项目施工期不进行土建施工，仅在现有场地内进行简单装修和设备安装等，施工过程中主要产生少量的废气、废水、噪声、固废。</w:t>
            </w:r>
          </w:p>
          <w:p w14:paraId="05DAE5D6">
            <w:pPr>
              <w:adjustRightInd w:val="0"/>
              <w:snapToGrid w:val="0"/>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（一）</w:t>
            </w:r>
            <w:r>
              <w:rPr>
                <w:rFonts w:hint="eastAsia" w:cs="Times New Roman"/>
                <w:b/>
                <w:color w:val="auto"/>
                <w:sz w:val="24"/>
                <w:lang w:val="en-US" w:eastAsia="zh-CN"/>
              </w:rPr>
              <w:t>施工期</w:t>
            </w:r>
            <w:r>
              <w:rPr>
                <w:rFonts w:hint="default" w:ascii="Times New Roman" w:hAnsi="Times New Roman" w:cs="Times New Roman"/>
                <w:b/>
                <w:color w:val="auto"/>
                <w:sz w:val="24"/>
              </w:rPr>
              <w:t>废气</w:t>
            </w:r>
            <w:r>
              <w:rPr>
                <w:rFonts w:hint="default" w:ascii="Times New Roman" w:hAnsi="Times New Roman" w:cs="Times New Roman"/>
                <w:b/>
                <w:bCs/>
                <w:color w:val="auto"/>
                <w:sz w:val="24"/>
              </w:rPr>
              <w:t>影响保护措施</w:t>
            </w:r>
          </w:p>
          <w:p w14:paraId="75B30C92">
            <w:pPr>
              <w:adjustRightInd w:val="0"/>
              <w:snapToGrid w:val="0"/>
              <w:spacing w:line="360" w:lineRule="auto"/>
              <w:ind w:firstLine="480" w:firstLineChars="200"/>
              <w:rPr>
                <w:rFonts w:hint="default" w:ascii="Times New Roman" w:hAnsi="Times New Roman" w:eastAsia="宋体" w:cs="Times New Roman"/>
                <w:b/>
                <w:bCs/>
                <w:color w:val="auto"/>
                <w:sz w:val="24"/>
                <w:lang w:val="en-US" w:eastAsia="zh-CN"/>
              </w:rPr>
            </w:pPr>
            <w:r>
              <w:rPr>
                <w:rFonts w:hint="eastAsia" w:cs="Times New Roman"/>
                <w:color w:val="auto"/>
                <w:sz w:val="24"/>
                <w:lang w:val="en-US" w:eastAsia="zh-CN"/>
              </w:rPr>
              <w:t>施工过程中会产生装修废气和少量扬尘。在室内装修阶段有少量的有机废气的排放，该废气属于无组织排放，由于装修时间短暂，对外环境影响不大，环评要求装修中应采用符合国家标准的室内装饰和装修材料，建议采用符合环保要求的环保漆，以减少环境污染。设备安装阶段会产生少量粉尘，应加强室内通风，减轻对室内空气环境的影响，可满足《施工场界扬尘排放限值》（DB61/1078-2017）中相关标准。</w:t>
            </w:r>
          </w:p>
          <w:p w14:paraId="76DDEF07">
            <w:pPr>
              <w:adjustRightInd w:val="0"/>
              <w:snapToGrid w:val="0"/>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（二）废水</w:t>
            </w:r>
            <w:r>
              <w:rPr>
                <w:rFonts w:hint="default" w:ascii="Times New Roman" w:hAnsi="Times New Roman" w:cs="Times New Roman"/>
                <w:b/>
                <w:bCs/>
                <w:color w:val="auto"/>
                <w:sz w:val="24"/>
              </w:rPr>
              <w:t>影响保护措施</w:t>
            </w:r>
          </w:p>
          <w:p w14:paraId="3B27D5DB">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施工期废水主要包括装修、安装人员产生的生活污水。施工人员生活污水排入园区化粪池后排入市政污水管网</w:t>
            </w:r>
            <w:r>
              <w:rPr>
                <w:rFonts w:hint="default" w:ascii="Times New Roman" w:hAnsi="Times New Roman" w:cs="Times New Roman"/>
                <w:color w:val="auto"/>
                <w:sz w:val="24"/>
              </w:rPr>
              <w:t>。</w:t>
            </w:r>
          </w:p>
          <w:p w14:paraId="02440535">
            <w:pPr>
              <w:adjustRightInd w:val="0"/>
              <w:snapToGrid w:val="0"/>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（三）噪声</w:t>
            </w:r>
            <w:r>
              <w:rPr>
                <w:rFonts w:hint="default" w:ascii="Times New Roman" w:hAnsi="Times New Roman" w:cs="Times New Roman"/>
                <w:b/>
                <w:bCs/>
                <w:color w:val="auto"/>
                <w:sz w:val="24"/>
              </w:rPr>
              <w:t>影响保护措施</w:t>
            </w:r>
          </w:p>
          <w:p w14:paraId="7F4C297A">
            <w:pPr>
              <w:adjustRightInd w:val="0"/>
              <w:snapToGrid w:val="0"/>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施工期间，</w:t>
            </w:r>
            <w:r>
              <w:rPr>
                <w:rFonts w:hint="eastAsia" w:cs="Times New Roman"/>
                <w:color w:val="auto"/>
                <w:sz w:val="24"/>
                <w:lang w:val="en-US" w:eastAsia="zh-CN"/>
              </w:rPr>
              <w:t>室内</w:t>
            </w:r>
            <w:r>
              <w:rPr>
                <w:rFonts w:hint="default" w:ascii="Times New Roman" w:hAnsi="Times New Roman" w:cs="Times New Roman"/>
                <w:color w:val="auto"/>
                <w:sz w:val="24"/>
                <w:lang w:val="en-US" w:eastAsia="zh-CN"/>
              </w:rPr>
              <w:t>装修、设备安装会产生噪声。环评要求施工阶段应以白天施工为主，避免午间施工，施工过程中保持轻拿轻放，避免突发噪声。项目在采取以上措施后，施工噪声满足《建筑施工场界噪声排放标准》（GB12523-2011）标准限值，对周围环境影响较小。</w:t>
            </w:r>
          </w:p>
          <w:p w14:paraId="4D185BA9">
            <w:pPr>
              <w:adjustRightInd w:val="0"/>
              <w:snapToGrid w:val="0"/>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（四）固废</w:t>
            </w:r>
            <w:r>
              <w:rPr>
                <w:rFonts w:hint="default" w:ascii="Times New Roman" w:hAnsi="Times New Roman" w:cs="Times New Roman"/>
                <w:b/>
                <w:bCs/>
                <w:color w:val="auto"/>
                <w:sz w:val="24"/>
              </w:rPr>
              <w:t>影响保护措施</w:t>
            </w:r>
          </w:p>
          <w:p w14:paraId="53059722">
            <w:pPr>
              <w:adjustRightInd w:val="0"/>
              <w:snapToGrid w:val="0"/>
              <w:spacing w:line="360" w:lineRule="auto"/>
              <w:ind w:firstLine="480" w:firstLineChars="200"/>
              <w:rPr>
                <w:rFonts w:hint="default" w:ascii="Times New Roman" w:hAnsi="Times New Roman" w:cs="Times New Roman"/>
                <w:bCs/>
                <w:color w:val="auto"/>
                <w:spacing w:val="-10"/>
                <w:sz w:val="24"/>
              </w:rPr>
            </w:pPr>
            <w:r>
              <w:rPr>
                <w:rFonts w:hint="default" w:ascii="Times New Roman" w:hAnsi="Times New Roman" w:cs="Times New Roman"/>
                <w:color w:val="auto"/>
                <w:sz w:val="24"/>
              </w:rPr>
              <w:t>施工过程产生的废纸箱、废木板等废弃</w:t>
            </w:r>
            <w:r>
              <w:rPr>
                <w:rFonts w:hint="default" w:ascii="Times New Roman" w:hAnsi="Times New Roman" w:cs="Times New Roman"/>
                <w:color w:val="auto"/>
                <w:sz w:val="24"/>
                <w:lang w:eastAsia="zh-CN"/>
              </w:rPr>
              <w:t>板材</w:t>
            </w:r>
            <w:r>
              <w:rPr>
                <w:rFonts w:hint="default" w:ascii="Times New Roman" w:hAnsi="Times New Roman" w:cs="Times New Roman"/>
                <w:color w:val="auto"/>
                <w:sz w:val="24"/>
              </w:rPr>
              <w:t>应分类收集，定期外售或清运；施工人员产生的生活垃圾分类收集后由环卫部门定期清运。</w:t>
            </w:r>
          </w:p>
        </w:tc>
      </w:tr>
      <w:tr w14:paraId="7611E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330" w:hRule="atLeast"/>
          <w:jc w:val="center"/>
        </w:trPr>
        <w:tc>
          <w:tcPr>
            <w:tcW w:w="282" w:type="pct"/>
            <w:tcMar>
              <w:left w:w="28" w:type="dxa"/>
              <w:right w:w="28" w:type="dxa"/>
            </w:tcMar>
            <w:vAlign w:val="center"/>
          </w:tcPr>
          <w:p w14:paraId="11E273CE">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运</w:t>
            </w:r>
          </w:p>
          <w:p w14:paraId="37816800">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营</w:t>
            </w:r>
          </w:p>
          <w:p w14:paraId="7A7F8A62">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期</w:t>
            </w:r>
          </w:p>
          <w:p w14:paraId="09ECCF43">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环</w:t>
            </w:r>
          </w:p>
          <w:p w14:paraId="5CD7E1FA">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境</w:t>
            </w:r>
          </w:p>
          <w:p w14:paraId="61052D34">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影</w:t>
            </w:r>
          </w:p>
          <w:p w14:paraId="1EA4079F">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响</w:t>
            </w:r>
          </w:p>
          <w:p w14:paraId="15C52F8A">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和</w:t>
            </w:r>
          </w:p>
          <w:p w14:paraId="48BD6D44">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保</w:t>
            </w:r>
          </w:p>
          <w:p w14:paraId="2615A305">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护</w:t>
            </w:r>
          </w:p>
          <w:p w14:paraId="271BBE13">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措</w:t>
            </w:r>
          </w:p>
          <w:p w14:paraId="6E57AEC6">
            <w:pPr>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施</w:t>
            </w:r>
          </w:p>
        </w:tc>
        <w:tc>
          <w:tcPr>
            <w:tcW w:w="4717" w:type="pct"/>
            <w:vAlign w:val="center"/>
          </w:tcPr>
          <w:p w14:paraId="34D8D3E6">
            <w:pPr>
              <w:adjustRightInd w:val="0"/>
              <w:snapToGrid w:val="0"/>
              <w:spacing w:line="360" w:lineRule="auto"/>
              <w:jc w:val="left"/>
              <w:rPr>
                <w:rFonts w:hint="eastAsia" w:ascii="Times New Roman" w:hAnsi="Times New Roman" w:eastAsia="宋体" w:cs="Times New Roman"/>
                <w:b/>
                <w:color w:val="auto"/>
                <w:sz w:val="24"/>
                <w:lang w:eastAsia="zh-CN"/>
              </w:rPr>
            </w:pPr>
            <w:r>
              <w:rPr>
                <w:rFonts w:hint="default" w:ascii="Times New Roman" w:hAnsi="Times New Roman" w:cs="Times New Roman"/>
                <w:b/>
                <w:color w:val="auto"/>
                <w:sz w:val="24"/>
              </w:rPr>
              <w:t>（一）</w:t>
            </w:r>
            <w:r>
              <w:rPr>
                <w:rFonts w:hint="eastAsia" w:cs="Times New Roman"/>
                <w:b/>
                <w:color w:val="auto"/>
                <w:sz w:val="24"/>
                <w:lang w:val="en-US" w:eastAsia="zh-CN"/>
              </w:rPr>
              <w:t>废气</w:t>
            </w:r>
          </w:p>
          <w:p w14:paraId="0AC3905F">
            <w:pPr>
              <w:adjustRightInd w:val="0"/>
              <w:spacing w:line="348" w:lineRule="auto"/>
              <w:ind w:firstLine="480" w:firstLineChars="200"/>
              <w:rPr>
                <w:rFonts w:hint="default" w:cs="Times New Roman"/>
                <w:color w:val="auto"/>
                <w:sz w:val="24"/>
                <w:lang w:val="en-US" w:eastAsia="zh-CN"/>
              </w:rPr>
            </w:pPr>
            <w:r>
              <w:rPr>
                <w:rFonts w:hint="default" w:ascii="Times New Roman" w:hAnsi="Times New Roman" w:cs="Times New Roman"/>
                <w:color w:val="auto"/>
                <w:sz w:val="24"/>
              </w:rPr>
              <w:t>本项目大气污染物主要来自实验过程中酸性试剂、有机试剂以及氨水的使用，其污染物主要为硫酸雾、HC</w:t>
            </w:r>
            <w:r>
              <w:rPr>
                <w:rFonts w:hint="eastAsia" w:cs="Times New Roman"/>
                <w:color w:val="auto"/>
                <w:sz w:val="24"/>
                <w:lang w:val="en-US" w:eastAsia="zh-CN"/>
              </w:rPr>
              <w:t>l</w:t>
            </w:r>
            <w:r>
              <w:rPr>
                <w:rFonts w:hint="eastAsia" w:cs="Times New Roman"/>
                <w:color w:val="auto"/>
                <w:sz w:val="24"/>
                <w:lang w:eastAsia="zh-CN"/>
              </w:rPr>
              <w:t>、</w:t>
            </w:r>
            <w:r>
              <w:rPr>
                <w:rFonts w:hint="eastAsia" w:cs="Times New Roman"/>
                <w:color w:val="auto"/>
                <w:sz w:val="24"/>
                <w:lang w:val="en-US" w:eastAsia="zh-CN"/>
              </w:rPr>
              <w:t>氮氧化物</w:t>
            </w:r>
            <w:r>
              <w:rPr>
                <w:rFonts w:hint="eastAsia" w:cs="Times New Roman"/>
                <w:color w:val="auto"/>
                <w:sz w:val="24"/>
                <w:lang w:eastAsia="zh-CN"/>
              </w:rPr>
              <w:t>、</w:t>
            </w:r>
            <w:r>
              <w:rPr>
                <w:rFonts w:hint="eastAsia" w:cs="Times New Roman"/>
                <w:color w:val="auto"/>
                <w:sz w:val="24"/>
                <w:lang w:val="en-US" w:eastAsia="zh-CN"/>
              </w:rPr>
              <w:t>氨、非甲烷总烃等。实验室废水预处理采用的是酸碱中和，无废气产生。</w:t>
            </w:r>
          </w:p>
          <w:p w14:paraId="6B949C05">
            <w:pPr>
              <w:adjustRightInd w:val="0"/>
              <w:spacing w:line="348" w:lineRule="auto"/>
              <w:ind w:firstLine="482" w:firstLineChars="200"/>
              <w:rPr>
                <w:rFonts w:hint="eastAsia" w:cs="Times New Roman"/>
                <w:b/>
                <w:bCs/>
                <w:color w:val="auto"/>
                <w:sz w:val="24"/>
                <w:highlight w:val="none"/>
                <w:lang w:val="en-US" w:eastAsia="zh-CN"/>
              </w:rPr>
            </w:pPr>
            <w:r>
              <w:rPr>
                <w:rFonts w:hint="eastAsia" w:cs="Times New Roman"/>
                <w:b/>
                <w:bCs/>
                <w:color w:val="auto"/>
                <w:sz w:val="24"/>
                <w:highlight w:val="none"/>
                <w:lang w:val="en-US" w:eastAsia="zh-CN"/>
              </w:rPr>
              <w:t>1、废气污染物源强核算</w:t>
            </w:r>
          </w:p>
          <w:p w14:paraId="320A69F8">
            <w:pPr>
              <w:adjustRightInd w:val="0"/>
              <w:spacing w:line="348" w:lineRule="auto"/>
              <w:ind w:firstLine="480" w:firstLineChars="200"/>
              <w:rPr>
                <w:rFonts w:hint="eastAsia" w:cs="Times New Roman"/>
                <w:color w:val="auto"/>
                <w:sz w:val="24"/>
                <w:lang w:val="en-US" w:eastAsia="zh-CN"/>
              </w:rPr>
            </w:pPr>
            <w:r>
              <w:rPr>
                <w:rFonts w:hint="eastAsia" w:cs="Times New Roman"/>
                <w:color w:val="auto"/>
                <w:sz w:val="24"/>
                <w:lang w:val="en-US" w:eastAsia="zh-CN"/>
              </w:rPr>
              <w:t>（1）酸性废气</w:t>
            </w:r>
          </w:p>
          <w:p w14:paraId="18B3735E">
            <w:pPr>
              <w:numPr>
                <w:ilvl w:val="0"/>
                <w:numId w:val="0"/>
              </w:numPr>
              <w:adjustRightInd w:val="0"/>
              <w:spacing w:line="348" w:lineRule="auto"/>
              <w:ind w:firstLine="480" w:firstLineChars="200"/>
              <w:rPr>
                <w:rFonts w:hint="eastAsia" w:cs="Times New Roman"/>
                <w:color w:val="auto"/>
                <w:sz w:val="24"/>
                <w:lang w:val="en-US" w:eastAsia="zh-CN"/>
              </w:rPr>
            </w:pPr>
            <w:r>
              <w:rPr>
                <w:rFonts w:hint="eastAsia" w:ascii="Times New Roman" w:hAnsi="Times New Roman" w:eastAsia="宋体" w:cs="Times New Roman"/>
                <w:color w:val="auto"/>
                <w:kern w:val="2"/>
                <w:sz w:val="24"/>
                <w:szCs w:val="24"/>
                <w:lang w:val="en-US" w:eastAsia="zh-CN" w:bidi="ar-SA"/>
              </w:rPr>
              <w:t>1）</w:t>
            </w:r>
            <w:r>
              <w:rPr>
                <w:rFonts w:hint="eastAsia" w:cs="Times New Roman"/>
                <w:color w:val="auto"/>
                <w:sz w:val="24"/>
                <w:lang w:val="en-US" w:eastAsia="zh-CN"/>
              </w:rPr>
              <w:t>硫酸雾</w:t>
            </w:r>
          </w:p>
          <w:p w14:paraId="41CF38C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实验所使用的硫酸为分析纯硫酸，通常情况下保存在密封容器中，除取样产生的少量挥发外，主要产生环节为实验过程挥发。项目硫酸溶剂平均配置浓度为30%，硫酸消解温度通常在200~300℃，本项目使用温度最高在140℃。由于本项目无源强核算技术指南和排污许可证申请与核发技术规范要求，故本项目参考《环境统计手册》中公式计算硫酸雾产生情况：</w:t>
            </w:r>
          </w:p>
          <w:p w14:paraId="0562BA93">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s="Times New Roman"/>
                <w:color w:val="auto"/>
                <w:sz w:val="24"/>
                <w:lang w:val="en-US" w:eastAsia="zh-CN"/>
              </w:rPr>
            </w:pPr>
            <w:r>
              <w:rPr>
                <w:rFonts w:hint="eastAsia" w:cs="Times New Roman"/>
                <w:color w:val="auto"/>
                <w:sz w:val="24"/>
                <w:lang w:val="en-US" w:eastAsia="zh-CN"/>
              </w:rPr>
              <w:t>Gz=M(0.000352+0.000786V）P·F</w:t>
            </w:r>
          </w:p>
          <w:p w14:paraId="5AAB1B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式中：Gz—液体的蒸发量，kg/h；</w:t>
            </w:r>
          </w:p>
          <w:p w14:paraId="7464E242">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M—液体的分子量，98；</w:t>
            </w:r>
          </w:p>
          <w:p w14:paraId="4A9ACDA7">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V—蒸发液体表面上的空气流速，m/s，通风柜内的空气流速一般可取0.2~0.5，拟建项目取最大值0.5；</w:t>
            </w:r>
          </w:p>
          <w:p w14:paraId="3B8276B5">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P—相应于液体温度下的空气中的蒸汽分压力，mmHg。查表当液体重量浓度30%时，140℃下的蒸汽分压力为108.3mmHg；</w:t>
            </w:r>
          </w:p>
          <w:p w14:paraId="12E3BFEE">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F—液体蒸发面的表面积，根据实验条件及容器规格按照半径5cm计算，F取值0.008m</w:t>
            </w:r>
            <w:r>
              <w:rPr>
                <w:rFonts w:hint="eastAsia" w:cs="Times New Roman"/>
                <w:color w:val="auto"/>
                <w:sz w:val="24"/>
                <w:vertAlign w:val="superscript"/>
                <w:lang w:val="en-US" w:eastAsia="zh-CN"/>
              </w:rPr>
              <w:t>2</w:t>
            </w:r>
            <w:r>
              <w:rPr>
                <w:rFonts w:hint="eastAsia" w:cs="Times New Roman"/>
                <w:color w:val="auto"/>
                <w:sz w:val="24"/>
                <w:lang w:val="en-US" w:eastAsia="zh-CN"/>
              </w:rPr>
              <w:t>；</w:t>
            </w:r>
          </w:p>
          <w:p w14:paraId="38C537B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根据计算可知，硫酸每小时产生的蒸发量为0.063kg/h。项目年工作250天，涉硫酸实验时间按每日最多</w:t>
            </w:r>
            <w:r>
              <w:rPr>
                <w:rFonts w:hint="eastAsia" w:cs="Times New Roman"/>
                <w:color w:val="auto"/>
                <w:sz w:val="24"/>
                <w:highlight w:val="none"/>
                <w:lang w:val="en-US" w:eastAsia="zh-CN"/>
              </w:rPr>
              <w:t>0.1h计</w:t>
            </w:r>
            <w:r>
              <w:rPr>
                <w:rFonts w:hint="eastAsia" w:cs="Times New Roman"/>
                <w:color w:val="auto"/>
                <w:sz w:val="24"/>
                <w:lang w:val="en-US" w:eastAsia="zh-CN"/>
              </w:rPr>
              <w:t>，涉硫酸年实验时长为25h，则硫酸雾产生量为1.575kg/a。</w:t>
            </w:r>
          </w:p>
          <w:p w14:paraId="51CB847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lang w:val="en-US" w:eastAsia="zh-CN"/>
              </w:rPr>
            </w:pPr>
            <w:r>
              <w:rPr>
                <w:rFonts w:hint="eastAsia" w:cs="Times New Roman"/>
                <w:color w:val="auto"/>
                <w:sz w:val="24"/>
                <w:lang w:val="en-US" w:eastAsia="zh-CN"/>
              </w:rPr>
              <w:t>2）氯化氢</w:t>
            </w:r>
          </w:p>
          <w:p w14:paraId="19C3EE1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实验室所使用的盐酸为分析纯盐酸，通常保存在密封容器中，仅在使用时配制成较低浓度的盐酸，项目盐酸一般使用最大浓度为</w:t>
            </w:r>
            <w:r>
              <w:rPr>
                <w:rFonts w:hint="eastAsia" w:cs="Times New Roman"/>
                <w:color w:val="auto"/>
                <w:sz w:val="24"/>
                <w:highlight w:val="none"/>
                <w:lang w:val="en-US" w:eastAsia="zh-CN"/>
              </w:rPr>
              <w:t>30%</w:t>
            </w:r>
            <w:r>
              <w:rPr>
                <w:rFonts w:hint="eastAsia" w:cs="Times New Roman"/>
                <w:color w:val="auto"/>
                <w:sz w:val="24"/>
                <w:lang w:val="en-US" w:eastAsia="zh-CN"/>
              </w:rPr>
              <w:t>，使用温度最高在40℃。由于本项目无源强核算技术指南和排污许可证申请与核发技术规范要求，参考《环境统计手册》中公式计算氯化氢产生情况：</w:t>
            </w:r>
          </w:p>
          <w:p w14:paraId="26F4B6E2">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s="Times New Roman"/>
                <w:color w:val="auto"/>
                <w:sz w:val="24"/>
                <w:lang w:val="en-US" w:eastAsia="zh-CN"/>
              </w:rPr>
            </w:pPr>
            <w:r>
              <w:rPr>
                <w:rFonts w:hint="eastAsia" w:cs="Times New Roman"/>
                <w:color w:val="auto"/>
                <w:sz w:val="24"/>
                <w:lang w:val="en-US" w:eastAsia="zh-CN"/>
              </w:rPr>
              <w:t>Gz=M(0.000352+0.000786V）P·F</w:t>
            </w:r>
          </w:p>
          <w:p w14:paraId="691F5A9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式中：Gz—液体的蒸发量，kg/h；</w:t>
            </w:r>
          </w:p>
          <w:p w14:paraId="7B5B115D">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M—液体的分子量，36.5；</w:t>
            </w:r>
          </w:p>
          <w:p w14:paraId="4D012820">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V—蒸发液体表面上的空气流速，m/s，通风柜内的空气流速一般可取0.2~0.5，拟建项目取最大值0.5；</w:t>
            </w:r>
          </w:p>
          <w:p w14:paraId="6E2C400B">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P—相应于液体温度下的空气中的蒸汽分压力，mmHg。查表当液体重量浓度30%时，40℃下的蒸汽分压力为39.4mmHg；</w:t>
            </w:r>
          </w:p>
          <w:p w14:paraId="00243ABA">
            <w:pPr>
              <w:keepNext w:val="0"/>
              <w:keepLines w:val="0"/>
              <w:pageBreakBefore w:val="0"/>
              <w:widowControl w:val="0"/>
              <w:kinsoku/>
              <w:wordWrap/>
              <w:overflowPunct/>
              <w:topLinePunct w:val="0"/>
              <w:autoSpaceDE/>
              <w:autoSpaceDN/>
              <w:bidi w:val="0"/>
              <w:adjustRightInd w:val="0"/>
              <w:snapToGrid w:val="0"/>
              <w:spacing w:line="360" w:lineRule="auto"/>
              <w:ind w:firstLine="960" w:firstLineChars="400"/>
              <w:textAlignment w:val="auto"/>
              <w:rPr>
                <w:rFonts w:hint="eastAsia" w:cs="Times New Roman"/>
                <w:color w:val="auto"/>
                <w:sz w:val="24"/>
                <w:lang w:val="en-US" w:eastAsia="zh-CN"/>
              </w:rPr>
            </w:pPr>
            <w:r>
              <w:rPr>
                <w:rFonts w:hint="eastAsia" w:cs="Times New Roman"/>
                <w:color w:val="auto"/>
                <w:sz w:val="24"/>
                <w:lang w:val="en-US" w:eastAsia="zh-CN"/>
              </w:rPr>
              <w:t>F—液体蒸发面的表面积，根据实验条件及容器规格按照半径5cm计算，F取值0.008m</w:t>
            </w:r>
            <w:r>
              <w:rPr>
                <w:rFonts w:hint="eastAsia" w:cs="Times New Roman"/>
                <w:color w:val="auto"/>
                <w:sz w:val="24"/>
                <w:vertAlign w:val="superscript"/>
                <w:lang w:val="en-US" w:eastAsia="zh-CN"/>
              </w:rPr>
              <w:t>2</w:t>
            </w:r>
            <w:r>
              <w:rPr>
                <w:rFonts w:hint="eastAsia" w:cs="Times New Roman"/>
                <w:color w:val="auto"/>
                <w:sz w:val="24"/>
                <w:lang w:val="en-US" w:eastAsia="zh-CN"/>
              </w:rPr>
              <w:t>；</w:t>
            </w:r>
          </w:p>
          <w:p w14:paraId="21848AA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根据计算可知，氯化氢每小时产生的蒸发量为0.009kg/h。项目年工作250天，涉盐酸实验时间按每日最多0.3h计，涉盐酸年实验时长为75h，则氯化氢产生量为0.675kg/a。</w:t>
            </w:r>
          </w:p>
          <w:p w14:paraId="06BCA58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lang w:val="en-US" w:eastAsia="zh-CN"/>
              </w:rPr>
            </w:pPr>
            <w:r>
              <w:rPr>
                <w:rFonts w:hint="eastAsia" w:cs="Times New Roman"/>
                <w:color w:val="auto"/>
                <w:sz w:val="24"/>
                <w:lang w:val="en-US" w:eastAsia="zh-CN"/>
              </w:rPr>
              <w:t>3）氮氧化物</w:t>
            </w:r>
          </w:p>
          <w:p w14:paraId="25ADE1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实验室使用的硝酸为分析纯硝酸，通常保存在密封容器中，仅在使用时配制成较低浓度的硝酸，项目硝酸一般使用最大浓度为30%，硝酸消解温度通常为80~120℃，本项目使用温度最高在90℃。由于本项目无源强核算技术指南和排污许可证申请与核发技术规范要求，参考《环境统计手册》中公式计算氮氧化物产生情况：</w:t>
            </w:r>
          </w:p>
          <w:p w14:paraId="08F4B4C2">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s="Times New Roman"/>
                <w:color w:val="auto"/>
                <w:sz w:val="24"/>
                <w:lang w:val="en-US" w:eastAsia="zh-CN"/>
              </w:rPr>
            </w:pPr>
            <w:r>
              <w:rPr>
                <w:rFonts w:hint="eastAsia" w:cs="Times New Roman"/>
                <w:color w:val="auto"/>
                <w:sz w:val="24"/>
                <w:lang w:val="en-US" w:eastAsia="zh-CN"/>
              </w:rPr>
              <w:t>Gz=M(0.000352+0.000786V）P·F</w:t>
            </w:r>
          </w:p>
          <w:p w14:paraId="093BDFA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式中：Gz—液体的蒸发量，kg/h；</w:t>
            </w:r>
          </w:p>
          <w:p w14:paraId="4C989F44">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M—液体的分子量，63；</w:t>
            </w:r>
          </w:p>
          <w:p w14:paraId="6CA56439">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V—蒸发液体表面上的空气流速，m/s，通风柜内的空气流速一般可取0.2~0.5，拟建项目取最大值0.5；</w:t>
            </w:r>
          </w:p>
          <w:p w14:paraId="3F51375F">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P—相应于液体温度下的空气中的蒸汽分压力，mmHg。查表当液体重量浓度30%时，90℃下的蒸汽分压力为36mmHg；</w:t>
            </w:r>
          </w:p>
          <w:p w14:paraId="5D6118D3">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cs="Times New Roman"/>
                <w:color w:val="auto"/>
                <w:sz w:val="24"/>
                <w:lang w:val="en-US" w:eastAsia="zh-CN"/>
              </w:rPr>
            </w:pPr>
            <w:r>
              <w:rPr>
                <w:rFonts w:hint="eastAsia" w:cs="Times New Roman"/>
                <w:color w:val="auto"/>
                <w:sz w:val="24"/>
                <w:lang w:val="en-US" w:eastAsia="zh-CN"/>
              </w:rPr>
              <w:t>F—液体蒸发面的表面积，根据实验条件及容器规格按照半径5cm计算，F取值0.008m</w:t>
            </w:r>
            <w:r>
              <w:rPr>
                <w:rFonts w:hint="eastAsia" w:cs="Times New Roman"/>
                <w:color w:val="auto"/>
                <w:sz w:val="24"/>
                <w:vertAlign w:val="superscript"/>
                <w:lang w:val="en-US" w:eastAsia="zh-CN"/>
              </w:rPr>
              <w:t>2</w:t>
            </w:r>
            <w:r>
              <w:rPr>
                <w:rFonts w:hint="eastAsia" w:cs="Times New Roman"/>
                <w:color w:val="auto"/>
                <w:sz w:val="24"/>
                <w:lang w:val="en-US" w:eastAsia="zh-CN"/>
              </w:rPr>
              <w:t>；</w:t>
            </w:r>
          </w:p>
          <w:p w14:paraId="3BD5C7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根据计算可知，氮氧化物每小时产生的蒸发量为0.014kg/h。项目年工作250天，涉硝酸实验时间按每日最多0.2h计，涉硝酸年实验时长为50h，则氮氧化物产生量为0.7kg/a。</w:t>
            </w:r>
          </w:p>
          <w:p w14:paraId="322678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本项目酸性废气经SDG碳吸附处理后经排风口无组织排放，通风柜收集效率按60%计，干式化学吸附对酸性废气的去除效率取90%，则项目硫酸雾排放量为0.725kg/a、排放速率为0.0290kg/h；氯化氢排放量为0.311kg/a、排放速率为0.0041kg/h；氮氧化物排放量为0.322kg/a、排放速率为0.0064kg/h。</w:t>
            </w:r>
          </w:p>
          <w:p w14:paraId="760E819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ascii="Times New Roman" w:hAnsi="Times New Roman" w:eastAsia="宋体" w:cs="Times New Roman"/>
                <w:color w:val="auto"/>
                <w:kern w:val="2"/>
                <w:sz w:val="24"/>
                <w:szCs w:val="24"/>
                <w:lang w:val="en-US" w:eastAsia="zh-CN" w:bidi="ar-SA"/>
              </w:rPr>
              <w:t>（2）</w:t>
            </w:r>
            <w:r>
              <w:rPr>
                <w:rFonts w:hint="eastAsia" w:cs="Times New Roman"/>
                <w:color w:val="auto"/>
                <w:sz w:val="24"/>
                <w:lang w:val="en-US" w:eastAsia="zh-CN"/>
              </w:rPr>
              <w:t>碱性废气</w:t>
            </w:r>
          </w:p>
          <w:p w14:paraId="100945F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lang w:val="en-US" w:eastAsia="zh-CN"/>
              </w:rPr>
            </w:pPr>
            <w:r>
              <w:rPr>
                <w:rFonts w:hint="eastAsia" w:cs="Times New Roman"/>
                <w:color w:val="auto"/>
                <w:sz w:val="24"/>
                <w:lang w:val="en-US" w:eastAsia="zh-CN"/>
              </w:rPr>
              <w:t>本项目使用氨标准贮备液，使用过程中会挥发少量氨气。氨标准贮备液使用量为1.5L/a，根据企业提供资料，该溶液ρ(NH</w:t>
            </w:r>
            <w:r>
              <w:rPr>
                <w:rFonts w:hint="eastAsia" w:cs="Times New Roman"/>
                <w:color w:val="auto"/>
                <w:sz w:val="24"/>
                <w:vertAlign w:val="subscript"/>
                <w:lang w:val="en-US" w:eastAsia="zh-CN"/>
              </w:rPr>
              <w:t>3</w:t>
            </w:r>
            <w:r>
              <w:rPr>
                <w:rFonts w:hint="eastAsia" w:cs="Times New Roman"/>
                <w:color w:val="auto"/>
                <w:sz w:val="24"/>
                <w:lang w:val="en-US" w:eastAsia="zh-CN"/>
              </w:rPr>
              <w:t>)=1.00g/L，则该溶液氨气含量为1.5g/a。氨水挥发量按30%计，则氨气产生量为0.45g/a，产生量极小，经通风橱收集后排风口无组织排放。涉氨年实验时长为25h，则氨气排放量为0.00045kg/a，排放速率为0.00002kg/h。</w:t>
            </w:r>
          </w:p>
          <w:p w14:paraId="7281932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kern w:val="2"/>
                <w:sz w:val="24"/>
                <w:szCs w:val="24"/>
                <w:lang w:val="en-US" w:eastAsia="zh-CN" w:bidi="ar-SA"/>
              </w:rPr>
              <w:t>（3）</w:t>
            </w:r>
            <w:r>
              <w:rPr>
                <w:rFonts w:hint="eastAsia" w:cs="Times New Roman"/>
                <w:color w:val="auto"/>
                <w:sz w:val="24"/>
                <w:lang w:val="en-US" w:eastAsia="zh-CN"/>
              </w:rPr>
              <w:t>有机废气</w:t>
            </w:r>
          </w:p>
          <w:p w14:paraId="2A1C154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本项目有机废气主要来源于实验室有机溶剂的挥发，有机溶剂主要</w:t>
            </w:r>
            <w:r>
              <w:rPr>
                <w:rFonts w:hint="eastAsia" w:cs="Times New Roman"/>
                <w:color w:val="auto"/>
                <w:sz w:val="24"/>
                <w:lang w:val="en-US" w:eastAsia="zh-CN"/>
              </w:rPr>
              <w:t>为</w:t>
            </w:r>
            <w:r>
              <w:rPr>
                <w:rFonts w:hint="default" w:ascii="Times New Roman" w:hAnsi="Times New Roman" w:eastAsia="宋体" w:cs="Times New Roman"/>
                <w:color w:val="auto"/>
                <w:sz w:val="24"/>
                <w:lang w:val="en-US" w:eastAsia="zh-CN"/>
              </w:rPr>
              <w:t>无水乙醇</w:t>
            </w:r>
            <w:r>
              <w:rPr>
                <w:rFonts w:hint="eastAsia" w:cs="Times New Roman"/>
                <w:color w:val="auto"/>
                <w:sz w:val="24"/>
                <w:lang w:val="en-US" w:eastAsia="zh-CN"/>
              </w:rPr>
              <w:t>、N,N-二乙基对苯二胺、丙三醇。其中无水乙醇年使用量为2.5L，乙醇相对密度为0.79（水=1），则乙醇使用量为1.975kg/a；N,N-二乙基对苯二胺年使用量0.5L，浓度1g/L，则N,N-二乙基对苯二胺使用量为0.0005kg/a；丙三醇年使用量0.5L，相对密度(水=1): 1.261，则丙三醇使用量为0.6305kg/a。</w:t>
            </w:r>
            <w:r>
              <w:rPr>
                <w:rFonts w:hint="default" w:ascii="Times New Roman" w:hAnsi="Times New Roman" w:eastAsia="宋体" w:cs="Times New Roman"/>
                <w:color w:val="auto"/>
                <w:sz w:val="24"/>
                <w:lang w:val="en-US" w:eastAsia="zh-CN"/>
              </w:rPr>
              <w:t>有机溶剂在样品进行前处理及仪器分析过程中少量挥发，项目产生的有机废气总量以非甲烷总烃计。</w:t>
            </w:r>
          </w:p>
          <w:p w14:paraId="780A2FB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参考《有机溶剂挥发量之估算办法》（赵焕平）和《高校实验室空气中总挥发性有机物检测结果分析》（叶羡云等）可知，项目使用有机溶剂过程中有机溶剂挥发量为使用量的1%</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5%，本项目实验过程中按最不利情况5%计，本项目年使用挥发性有机溶剂总量为</w:t>
            </w:r>
            <w:r>
              <w:rPr>
                <w:rFonts w:hint="eastAsia" w:cs="Times New Roman"/>
                <w:color w:val="auto"/>
                <w:sz w:val="24"/>
                <w:lang w:val="en-US" w:eastAsia="zh-CN"/>
              </w:rPr>
              <w:t>2.606</w:t>
            </w:r>
            <w:r>
              <w:rPr>
                <w:rFonts w:hint="default" w:ascii="Times New Roman" w:hAnsi="Times New Roman" w:eastAsia="宋体" w:cs="Times New Roman"/>
                <w:color w:val="auto"/>
                <w:sz w:val="24"/>
                <w:lang w:val="en-US" w:eastAsia="zh-CN"/>
              </w:rPr>
              <w:t>kg/a，为不连续排放。项目年工作250天，排放时间按照每天</w:t>
            </w:r>
            <w:r>
              <w:rPr>
                <w:rFonts w:hint="eastAsia" w:cs="Times New Roman"/>
                <w:color w:val="auto"/>
                <w:sz w:val="24"/>
                <w:lang w:val="en-US" w:eastAsia="zh-CN"/>
              </w:rPr>
              <w:t>0.5</w:t>
            </w:r>
            <w:r>
              <w:rPr>
                <w:rFonts w:hint="default" w:ascii="Times New Roman" w:hAnsi="Times New Roman" w:eastAsia="宋体" w:cs="Times New Roman"/>
                <w:color w:val="auto"/>
                <w:sz w:val="24"/>
                <w:lang w:val="en-US" w:eastAsia="zh-CN"/>
              </w:rPr>
              <w:t>h计，则实验过程中</w:t>
            </w:r>
            <w:r>
              <w:rPr>
                <w:rFonts w:hint="eastAsia" w:cs="Times New Roman"/>
                <w:color w:val="auto"/>
                <w:sz w:val="24"/>
                <w:lang w:val="en-US" w:eastAsia="zh-CN"/>
              </w:rPr>
              <w:t>非甲烷总烃</w:t>
            </w:r>
            <w:r>
              <w:rPr>
                <w:rFonts w:hint="default" w:ascii="Times New Roman" w:hAnsi="Times New Roman" w:eastAsia="宋体" w:cs="Times New Roman"/>
                <w:color w:val="auto"/>
                <w:sz w:val="24"/>
                <w:lang w:val="en-US" w:eastAsia="zh-CN"/>
              </w:rPr>
              <w:t>产生</w:t>
            </w:r>
            <w:r>
              <w:rPr>
                <w:rFonts w:hint="eastAsia" w:cs="Times New Roman"/>
                <w:color w:val="auto"/>
                <w:sz w:val="24"/>
                <w:lang w:val="en-US" w:eastAsia="zh-CN"/>
              </w:rPr>
              <w:t>量</w:t>
            </w:r>
            <w:r>
              <w:rPr>
                <w:rFonts w:hint="default" w:ascii="Times New Roman" w:hAnsi="Times New Roman" w:eastAsia="宋体" w:cs="Times New Roman"/>
                <w:color w:val="auto"/>
                <w:sz w:val="24"/>
                <w:lang w:val="en-US" w:eastAsia="zh-CN"/>
              </w:rPr>
              <w:t>为</w:t>
            </w:r>
            <w:r>
              <w:rPr>
                <w:rFonts w:hint="eastAsia" w:cs="Times New Roman"/>
                <w:color w:val="auto"/>
                <w:sz w:val="24"/>
                <w:lang w:val="en-US" w:eastAsia="zh-CN"/>
              </w:rPr>
              <w:t>0.1303</w:t>
            </w:r>
            <w:r>
              <w:rPr>
                <w:rFonts w:hint="default" w:ascii="Times New Roman" w:hAnsi="Times New Roman" w:eastAsia="宋体" w:cs="Times New Roman"/>
                <w:color w:val="auto"/>
                <w:sz w:val="24"/>
                <w:lang w:val="en-US" w:eastAsia="zh-CN"/>
              </w:rPr>
              <w:t>kg/a。</w:t>
            </w:r>
          </w:p>
          <w:p w14:paraId="3BD6A9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本项目有机废气经活性炭吸附箱吸附后经</w:t>
            </w:r>
            <w:r>
              <w:rPr>
                <w:rFonts w:hint="eastAsia" w:cs="Times New Roman"/>
                <w:color w:val="auto"/>
                <w:sz w:val="24"/>
                <w:lang w:val="en-US" w:eastAsia="zh-CN"/>
              </w:rPr>
              <w:t>排风口无组织</w:t>
            </w:r>
            <w:r>
              <w:rPr>
                <w:rFonts w:hint="default" w:ascii="Times New Roman" w:hAnsi="Times New Roman" w:eastAsia="宋体" w:cs="Times New Roman"/>
                <w:color w:val="auto"/>
                <w:sz w:val="24"/>
                <w:lang w:val="en-US" w:eastAsia="zh-CN"/>
              </w:rPr>
              <w:t>排放。根据陕西省生态环境厅关于印发《陕西省排污许可制支撑空气质量持续改善实施方案》的通知（有效）（陕环发〔2023〕59号）中文件“《陕西省大气主要污染物许可排放量及实际排放量核定方法》”中“表1 VOCs废气收集集气效率参考值”可知，废气收集类型不同，有不同的集气效率。本项目运营过程中有机废气为包围型集气设备，在不影响</w:t>
            </w:r>
            <w:r>
              <w:rPr>
                <w:rFonts w:hint="eastAsia" w:cs="Times New Roman"/>
                <w:color w:val="auto"/>
                <w:sz w:val="24"/>
                <w:lang w:val="en-US" w:eastAsia="zh-CN"/>
              </w:rPr>
              <w:t>实验</w:t>
            </w:r>
            <w:r>
              <w:rPr>
                <w:rFonts w:hint="default" w:ascii="Times New Roman" w:hAnsi="Times New Roman" w:eastAsia="宋体" w:cs="Times New Roman"/>
                <w:color w:val="auto"/>
                <w:sz w:val="24"/>
                <w:lang w:val="en-US" w:eastAsia="zh-CN"/>
              </w:rPr>
              <w:t>的情况下，四周可加装软帘，提高收集效率，敞开面控制风速不小于0.5m/s，根据“表1 废气收集集气效率参考值”，本项目综合考虑收集效率按</w:t>
            </w:r>
            <w:r>
              <w:rPr>
                <w:rFonts w:hint="eastAsia" w:cs="Times New Roman"/>
                <w:color w:val="auto"/>
                <w:sz w:val="24"/>
                <w:lang w:val="en-US" w:eastAsia="zh-CN"/>
              </w:rPr>
              <w:t>60</w:t>
            </w:r>
            <w:r>
              <w:rPr>
                <w:rFonts w:hint="default" w:ascii="Times New Roman" w:hAnsi="Times New Roman" w:eastAsia="宋体" w:cs="Times New Roman"/>
                <w:color w:val="auto"/>
                <w:sz w:val="24"/>
                <w:lang w:val="en-US" w:eastAsia="zh-CN"/>
              </w:rPr>
              <w:t>%计</w:t>
            </w:r>
            <w:r>
              <w:rPr>
                <w:rFonts w:hint="eastAsia" w:cs="Times New Roman"/>
                <w:color w:val="auto"/>
                <w:sz w:val="24"/>
                <w:lang w:val="en-US" w:eastAsia="zh-CN"/>
              </w:rPr>
              <w:t>。根据《主要污染物总量减排核算技术指南(2022年修订)》“表2-3 VOC</w:t>
            </w:r>
            <w:r>
              <w:rPr>
                <w:rFonts w:hint="eastAsia" w:cs="Times New Roman"/>
                <w:color w:val="auto"/>
                <w:sz w:val="24"/>
                <w:vertAlign w:val="subscript"/>
                <w:lang w:val="en-US" w:eastAsia="zh-CN"/>
              </w:rPr>
              <w:t>S</w:t>
            </w:r>
            <w:r>
              <w:rPr>
                <w:rFonts w:hint="eastAsia" w:cs="Times New Roman"/>
                <w:color w:val="auto"/>
                <w:sz w:val="24"/>
                <w:lang w:val="en-US" w:eastAsia="zh-CN"/>
              </w:rPr>
              <w:t>废气收集率和治理设施去除率通用系数”一次性活性炭吸附VOC</w:t>
            </w:r>
            <w:r>
              <w:rPr>
                <w:rFonts w:hint="eastAsia" w:cs="Times New Roman"/>
                <w:color w:val="auto"/>
                <w:sz w:val="24"/>
                <w:vertAlign w:val="subscript"/>
                <w:lang w:val="en-US" w:eastAsia="zh-CN"/>
              </w:rPr>
              <w:t>S</w:t>
            </w:r>
            <w:r>
              <w:rPr>
                <w:rFonts w:hint="eastAsia" w:cs="Times New Roman"/>
                <w:color w:val="auto"/>
                <w:sz w:val="24"/>
                <w:lang w:val="en-US" w:eastAsia="zh-CN"/>
              </w:rPr>
              <w:t>去除率取30%。</w:t>
            </w:r>
            <w:r>
              <w:rPr>
                <w:rFonts w:hint="default" w:ascii="Times New Roman" w:hAnsi="Times New Roman" w:eastAsia="宋体" w:cs="Times New Roman"/>
                <w:color w:val="auto"/>
                <w:sz w:val="24"/>
                <w:lang w:val="en-US" w:eastAsia="zh-CN"/>
              </w:rPr>
              <w:t>则非甲烷总烃</w:t>
            </w:r>
            <w:r>
              <w:rPr>
                <w:rFonts w:hint="eastAsia" w:cs="Times New Roman"/>
                <w:color w:val="auto"/>
                <w:sz w:val="24"/>
                <w:lang w:val="en-US" w:eastAsia="zh-CN"/>
              </w:rPr>
              <w:t>排放量</w:t>
            </w:r>
            <w:r>
              <w:rPr>
                <w:rFonts w:hint="default" w:ascii="Times New Roman" w:hAnsi="Times New Roman" w:eastAsia="宋体" w:cs="Times New Roman"/>
                <w:color w:val="auto"/>
                <w:sz w:val="24"/>
                <w:lang w:val="en-US" w:eastAsia="zh-CN"/>
              </w:rPr>
              <w:t>为</w:t>
            </w:r>
            <w:r>
              <w:rPr>
                <w:rFonts w:hint="eastAsia" w:cs="Times New Roman"/>
                <w:color w:val="auto"/>
                <w:sz w:val="24"/>
                <w:lang w:val="en-US" w:eastAsia="zh-CN"/>
              </w:rPr>
              <w:t>0.1068</w:t>
            </w:r>
            <w:r>
              <w:rPr>
                <w:rFonts w:hint="default" w:ascii="Times New Roman" w:hAnsi="Times New Roman" w:eastAsia="宋体" w:cs="Times New Roman"/>
                <w:color w:val="auto"/>
                <w:sz w:val="24"/>
                <w:lang w:val="en-US" w:eastAsia="zh-CN"/>
              </w:rPr>
              <w:t>kg/a</w:t>
            </w:r>
            <w:r>
              <w:rPr>
                <w:rFonts w:hint="eastAsia" w:cs="Times New Roman"/>
                <w:color w:val="auto"/>
                <w:sz w:val="24"/>
                <w:lang w:val="en-US" w:eastAsia="zh-CN"/>
              </w:rPr>
              <w:t>、排放速率为0.0009kg/h</w:t>
            </w:r>
            <w:r>
              <w:rPr>
                <w:rFonts w:hint="default" w:ascii="Times New Roman" w:hAnsi="Times New Roman" w:eastAsia="宋体" w:cs="Times New Roman"/>
                <w:color w:val="auto"/>
                <w:sz w:val="24"/>
                <w:lang w:val="en-US" w:eastAsia="zh-CN"/>
              </w:rPr>
              <w:t>。</w:t>
            </w:r>
          </w:p>
          <w:p w14:paraId="37C7C5C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（4）含菌废气</w:t>
            </w:r>
          </w:p>
          <w:p w14:paraId="0DE3CAD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为防止操作过程中微生物室带菌空气逸散，微生物室设置生物安全柜，实验操作均在生物安全柜中进行，生物安全柜的工作原理主要是将柜内空气向外抽吸，使柜内保持负压状态，收集率为100%，通过垂直气流来保护工作人员；外界空气经高效空气过滤器过滤后进入安全柜内，以避免处理样品被污染；柜内的空气经过过滤后再排放到大气中，以保护环境。根据企业提供资料，结合本项目特点，本项目微生物实验较少，本次环评只做定性分析。</w:t>
            </w:r>
          </w:p>
          <w:p w14:paraId="69E69C0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本项目废气污染源源强核算结果见表4-1。</w:t>
            </w:r>
          </w:p>
          <w:p w14:paraId="3AF8937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表4-1 废气污染物产排情况一览表</w:t>
            </w:r>
          </w:p>
          <w:tbl>
            <w:tblPr>
              <w:tblStyle w:val="3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901"/>
              <w:gridCol w:w="1023"/>
              <w:gridCol w:w="1086"/>
              <w:gridCol w:w="862"/>
              <w:gridCol w:w="873"/>
              <w:gridCol w:w="901"/>
              <w:gridCol w:w="848"/>
              <w:gridCol w:w="1023"/>
              <w:gridCol w:w="1088"/>
            </w:tblGrid>
            <w:tr w14:paraId="32EB0C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tcBorders>
                    <w:tl2br w:val="nil"/>
                    <w:tr2bl w:val="nil"/>
                  </w:tcBorders>
                  <w:noWrap w:val="0"/>
                  <w:vAlign w:val="center"/>
                </w:tcPr>
                <w:p w14:paraId="068CC10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污染类别</w:t>
                  </w:r>
                </w:p>
              </w:tc>
              <w:tc>
                <w:tcPr>
                  <w:tcW w:w="465" w:type="pct"/>
                  <w:tcBorders>
                    <w:tl2br w:val="nil"/>
                    <w:tr2bl w:val="nil"/>
                  </w:tcBorders>
                  <w:noWrap w:val="0"/>
                  <w:vAlign w:val="center"/>
                </w:tcPr>
                <w:p w14:paraId="5D0E040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污染因子</w:t>
                  </w:r>
                </w:p>
              </w:tc>
              <w:tc>
                <w:tcPr>
                  <w:tcW w:w="528" w:type="pct"/>
                  <w:tcBorders>
                    <w:tl2br w:val="nil"/>
                    <w:tr2bl w:val="nil"/>
                  </w:tcBorders>
                  <w:noWrap w:val="0"/>
                  <w:vAlign w:val="center"/>
                </w:tcPr>
                <w:p w14:paraId="5A0AD35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产生量</w:t>
                  </w:r>
                </w:p>
                <w:p w14:paraId="617BA7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（kg/a）</w:t>
                  </w:r>
                </w:p>
              </w:tc>
              <w:tc>
                <w:tcPr>
                  <w:tcW w:w="561" w:type="pct"/>
                  <w:tcBorders>
                    <w:tl2br w:val="nil"/>
                    <w:tr2bl w:val="nil"/>
                  </w:tcBorders>
                  <w:noWrap w:val="0"/>
                  <w:vAlign w:val="center"/>
                </w:tcPr>
                <w:p w14:paraId="7A8CA64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产生速率（kg/h）</w:t>
                  </w:r>
                </w:p>
              </w:tc>
              <w:tc>
                <w:tcPr>
                  <w:tcW w:w="445" w:type="pct"/>
                  <w:tcBorders>
                    <w:tl2br w:val="nil"/>
                    <w:tr2bl w:val="nil"/>
                  </w:tcBorders>
                  <w:noWrap w:val="0"/>
                  <w:vAlign w:val="center"/>
                </w:tcPr>
                <w:p w14:paraId="42FF37B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治理措施</w:t>
                  </w:r>
                </w:p>
              </w:tc>
              <w:tc>
                <w:tcPr>
                  <w:tcW w:w="451" w:type="pct"/>
                  <w:tcBorders>
                    <w:tl2br w:val="nil"/>
                    <w:tr2bl w:val="nil"/>
                  </w:tcBorders>
                  <w:noWrap w:val="0"/>
                  <w:vAlign w:val="center"/>
                </w:tcPr>
                <w:p w14:paraId="770F60F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排放形式</w:t>
                  </w:r>
                </w:p>
              </w:tc>
              <w:tc>
                <w:tcPr>
                  <w:tcW w:w="465" w:type="pct"/>
                  <w:tcBorders>
                    <w:tl2br w:val="nil"/>
                    <w:tr2bl w:val="nil"/>
                  </w:tcBorders>
                  <w:noWrap w:val="0"/>
                  <w:vAlign w:val="center"/>
                </w:tcPr>
                <w:p w14:paraId="263A773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收集效率（%）</w:t>
                  </w:r>
                </w:p>
              </w:tc>
              <w:tc>
                <w:tcPr>
                  <w:tcW w:w="438" w:type="pct"/>
                  <w:tcBorders>
                    <w:tl2br w:val="nil"/>
                    <w:tr2bl w:val="nil"/>
                  </w:tcBorders>
                  <w:noWrap w:val="0"/>
                  <w:vAlign w:val="center"/>
                </w:tcPr>
                <w:p w14:paraId="206AF87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处理效率（%）</w:t>
                  </w:r>
                </w:p>
              </w:tc>
              <w:tc>
                <w:tcPr>
                  <w:tcW w:w="528" w:type="pct"/>
                  <w:tcBorders>
                    <w:tl2br w:val="nil"/>
                    <w:tr2bl w:val="nil"/>
                  </w:tcBorders>
                  <w:noWrap w:val="0"/>
                  <w:vAlign w:val="center"/>
                </w:tcPr>
                <w:p w14:paraId="6C072B1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排放量</w:t>
                  </w:r>
                </w:p>
                <w:p w14:paraId="7FE6610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（kg/a）</w:t>
                  </w:r>
                </w:p>
              </w:tc>
              <w:tc>
                <w:tcPr>
                  <w:tcW w:w="562" w:type="pct"/>
                  <w:tcBorders>
                    <w:tl2br w:val="nil"/>
                    <w:tr2bl w:val="nil"/>
                  </w:tcBorders>
                  <w:noWrap w:val="0"/>
                  <w:vAlign w:val="center"/>
                </w:tcPr>
                <w:p w14:paraId="28D45B0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排放速率（kg/h）</w:t>
                  </w:r>
                </w:p>
              </w:tc>
            </w:tr>
            <w:tr w14:paraId="44336C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pct"/>
                  <w:vMerge w:val="restart"/>
                  <w:tcBorders>
                    <w:tl2br w:val="nil"/>
                    <w:tr2bl w:val="nil"/>
                  </w:tcBorders>
                  <w:noWrap w:val="0"/>
                  <w:vAlign w:val="center"/>
                </w:tcPr>
                <w:p w14:paraId="6A01B43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酸性废气</w:t>
                  </w:r>
                </w:p>
              </w:tc>
              <w:tc>
                <w:tcPr>
                  <w:tcW w:w="465" w:type="pct"/>
                  <w:tcBorders>
                    <w:tl2br w:val="nil"/>
                    <w:tr2bl w:val="nil"/>
                  </w:tcBorders>
                  <w:shd w:val="clear" w:color="auto" w:fill="auto"/>
                  <w:noWrap w:val="0"/>
                  <w:vAlign w:val="center"/>
                </w:tcPr>
                <w:p w14:paraId="43EA805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硫酸雾</w:t>
                  </w:r>
                </w:p>
              </w:tc>
              <w:tc>
                <w:tcPr>
                  <w:tcW w:w="528" w:type="pct"/>
                  <w:tcBorders>
                    <w:tl2br w:val="nil"/>
                    <w:tr2bl w:val="nil"/>
                  </w:tcBorders>
                  <w:shd w:val="clear" w:color="auto" w:fill="auto"/>
                  <w:noWrap w:val="0"/>
                  <w:vAlign w:val="center"/>
                </w:tcPr>
                <w:p w14:paraId="4326A07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1.575</w:t>
                  </w:r>
                </w:p>
              </w:tc>
              <w:tc>
                <w:tcPr>
                  <w:tcW w:w="561" w:type="pct"/>
                  <w:tcBorders>
                    <w:tl2br w:val="nil"/>
                    <w:tr2bl w:val="nil"/>
                  </w:tcBorders>
                  <w:shd w:val="clear" w:color="auto" w:fill="auto"/>
                  <w:noWrap w:val="0"/>
                  <w:vAlign w:val="center"/>
                </w:tcPr>
                <w:p w14:paraId="56CEC59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0.0630</w:t>
                  </w:r>
                </w:p>
              </w:tc>
              <w:tc>
                <w:tcPr>
                  <w:tcW w:w="445" w:type="pct"/>
                  <w:vMerge w:val="restart"/>
                  <w:tcBorders>
                    <w:tl2br w:val="nil"/>
                    <w:tr2bl w:val="nil"/>
                  </w:tcBorders>
                  <w:noWrap w:val="0"/>
                  <w:vAlign w:val="center"/>
                </w:tcPr>
                <w:p w14:paraId="1537A96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通风橱收集+</w:t>
                  </w:r>
                  <w:r>
                    <w:rPr>
                      <w:rFonts w:hint="eastAsia" w:cs="Times New Roman"/>
                      <w:color w:val="auto"/>
                      <w:sz w:val="21"/>
                      <w:szCs w:val="21"/>
                      <w:lang w:val="en-US" w:eastAsia="zh-CN"/>
                    </w:rPr>
                    <w:t>SDG碳</w:t>
                  </w:r>
                  <w:r>
                    <w:rPr>
                      <w:rFonts w:hint="eastAsia" w:ascii="Times New Roman" w:hAnsi="Times New Roman" w:cs="Times New Roman"/>
                      <w:color w:val="auto"/>
                      <w:sz w:val="21"/>
                      <w:szCs w:val="21"/>
                      <w:lang w:val="en-US" w:eastAsia="zh-CN"/>
                    </w:rPr>
                    <w:t>吸附</w:t>
                  </w:r>
                  <w:r>
                    <w:rPr>
                      <w:rFonts w:hint="default" w:ascii="Times New Roman" w:hAnsi="Times New Roman" w:eastAsia="宋体" w:cs="Times New Roman"/>
                      <w:color w:val="auto"/>
                      <w:sz w:val="21"/>
                      <w:szCs w:val="21"/>
                      <w:lang w:val="en-US" w:eastAsia="zh-CN"/>
                    </w:rPr>
                    <w:t>+活性炭吸附处理</w:t>
                  </w:r>
                </w:p>
              </w:tc>
              <w:tc>
                <w:tcPr>
                  <w:tcW w:w="451" w:type="pct"/>
                  <w:tcBorders>
                    <w:tl2br w:val="nil"/>
                    <w:tr2bl w:val="nil"/>
                  </w:tcBorders>
                  <w:shd w:val="clear" w:color="auto" w:fill="auto"/>
                  <w:noWrap w:val="0"/>
                  <w:vAlign w:val="center"/>
                </w:tcPr>
                <w:p w14:paraId="7574770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无组织</w:t>
                  </w:r>
                </w:p>
              </w:tc>
              <w:tc>
                <w:tcPr>
                  <w:tcW w:w="465" w:type="pct"/>
                  <w:tcBorders>
                    <w:tl2br w:val="nil"/>
                    <w:tr2bl w:val="nil"/>
                  </w:tcBorders>
                  <w:shd w:val="clear" w:color="auto" w:fill="auto"/>
                  <w:noWrap w:val="0"/>
                  <w:vAlign w:val="center"/>
                </w:tcPr>
                <w:p w14:paraId="08D3A60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60</w:t>
                  </w:r>
                </w:p>
              </w:tc>
              <w:tc>
                <w:tcPr>
                  <w:tcW w:w="438" w:type="pct"/>
                  <w:tcBorders>
                    <w:tl2br w:val="nil"/>
                    <w:tr2bl w:val="nil"/>
                  </w:tcBorders>
                  <w:shd w:val="clear" w:color="auto" w:fill="auto"/>
                  <w:noWrap w:val="0"/>
                  <w:vAlign w:val="center"/>
                </w:tcPr>
                <w:p w14:paraId="1F8A484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90</w:t>
                  </w:r>
                </w:p>
              </w:tc>
              <w:tc>
                <w:tcPr>
                  <w:tcW w:w="528" w:type="pct"/>
                  <w:tcBorders>
                    <w:tl2br w:val="nil"/>
                    <w:tr2bl w:val="nil"/>
                  </w:tcBorders>
                  <w:shd w:val="clear" w:color="auto" w:fill="auto"/>
                  <w:noWrap w:val="0"/>
                  <w:vAlign w:val="center"/>
                </w:tcPr>
                <w:p w14:paraId="72E426A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0.725</w:t>
                  </w:r>
                </w:p>
              </w:tc>
              <w:tc>
                <w:tcPr>
                  <w:tcW w:w="562" w:type="pct"/>
                  <w:tcBorders>
                    <w:tl2br w:val="nil"/>
                    <w:tr2bl w:val="nil"/>
                  </w:tcBorders>
                  <w:shd w:val="clear" w:color="auto" w:fill="auto"/>
                  <w:noWrap w:val="0"/>
                  <w:vAlign w:val="center"/>
                </w:tcPr>
                <w:p w14:paraId="22D0754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0.0290</w:t>
                  </w:r>
                </w:p>
              </w:tc>
            </w:tr>
            <w:tr w14:paraId="4885E1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pct"/>
                  <w:vMerge w:val="continue"/>
                  <w:tcBorders>
                    <w:tl2br w:val="nil"/>
                    <w:tr2bl w:val="nil"/>
                  </w:tcBorders>
                  <w:noWrap w:val="0"/>
                  <w:vAlign w:val="center"/>
                </w:tcPr>
                <w:p w14:paraId="3A9130F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65" w:type="pct"/>
                  <w:tcBorders>
                    <w:tl2br w:val="nil"/>
                    <w:tr2bl w:val="nil"/>
                  </w:tcBorders>
                  <w:noWrap w:val="0"/>
                  <w:vAlign w:val="center"/>
                </w:tcPr>
                <w:p w14:paraId="189DA1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氯化氢</w:t>
                  </w:r>
                </w:p>
              </w:tc>
              <w:tc>
                <w:tcPr>
                  <w:tcW w:w="528" w:type="pct"/>
                  <w:tcBorders>
                    <w:tl2br w:val="nil"/>
                    <w:tr2bl w:val="nil"/>
                  </w:tcBorders>
                  <w:noWrap w:val="0"/>
                  <w:vAlign w:val="center"/>
                </w:tcPr>
                <w:p w14:paraId="2BB5736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0.675</w:t>
                  </w:r>
                </w:p>
              </w:tc>
              <w:tc>
                <w:tcPr>
                  <w:tcW w:w="561" w:type="pct"/>
                  <w:tcBorders>
                    <w:tl2br w:val="nil"/>
                    <w:tr2bl w:val="nil"/>
                  </w:tcBorders>
                  <w:noWrap w:val="0"/>
                  <w:vAlign w:val="center"/>
                </w:tcPr>
                <w:p w14:paraId="3AB4C4A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0.0090</w:t>
                  </w:r>
                </w:p>
              </w:tc>
              <w:tc>
                <w:tcPr>
                  <w:tcW w:w="445" w:type="pct"/>
                  <w:vMerge w:val="continue"/>
                  <w:tcBorders>
                    <w:tl2br w:val="nil"/>
                    <w:tr2bl w:val="nil"/>
                  </w:tcBorders>
                  <w:noWrap w:val="0"/>
                  <w:vAlign w:val="center"/>
                </w:tcPr>
                <w:p w14:paraId="50317C8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51" w:type="pct"/>
                  <w:tcBorders>
                    <w:tl2br w:val="nil"/>
                    <w:tr2bl w:val="nil"/>
                  </w:tcBorders>
                  <w:noWrap w:val="0"/>
                  <w:vAlign w:val="center"/>
                </w:tcPr>
                <w:p w14:paraId="112E5E2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无组织</w:t>
                  </w:r>
                </w:p>
              </w:tc>
              <w:tc>
                <w:tcPr>
                  <w:tcW w:w="465" w:type="pct"/>
                  <w:tcBorders>
                    <w:tl2br w:val="nil"/>
                    <w:tr2bl w:val="nil"/>
                  </w:tcBorders>
                  <w:noWrap w:val="0"/>
                  <w:vAlign w:val="center"/>
                </w:tcPr>
                <w:p w14:paraId="76FD01E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438" w:type="pct"/>
                  <w:tcBorders>
                    <w:tl2br w:val="nil"/>
                    <w:tr2bl w:val="nil"/>
                  </w:tcBorders>
                  <w:noWrap w:val="0"/>
                  <w:vAlign w:val="center"/>
                </w:tcPr>
                <w:p w14:paraId="5B66A8B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w:t>
                  </w:r>
                </w:p>
              </w:tc>
              <w:tc>
                <w:tcPr>
                  <w:tcW w:w="528" w:type="pct"/>
                  <w:tcBorders>
                    <w:tl2br w:val="nil"/>
                    <w:tr2bl w:val="nil"/>
                  </w:tcBorders>
                  <w:shd w:val="clear" w:color="auto" w:fill="auto"/>
                  <w:noWrap w:val="0"/>
                  <w:vAlign w:val="center"/>
                </w:tcPr>
                <w:p w14:paraId="7B0F9F6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0.311</w:t>
                  </w:r>
                </w:p>
              </w:tc>
              <w:tc>
                <w:tcPr>
                  <w:tcW w:w="562" w:type="pct"/>
                  <w:tcBorders>
                    <w:tl2br w:val="nil"/>
                    <w:tr2bl w:val="nil"/>
                  </w:tcBorders>
                  <w:noWrap w:val="0"/>
                  <w:vAlign w:val="center"/>
                </w:tcPr>
                <w:p w14:paraId="4F75CC5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0.0041</w:t>
                  </w:r>
                </w:p>
              </w:tc>
            </w:tr>
            <w:tr w14:paraId="1AC8F6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pct"/>
                  <w:vMerge w:val="continue"/>
                  <w:tcBorders>
                    <w:tl2br w:val="nil"/>
                    <w:tr2bl w:val="nil"/>
                  </w:tcBorders>
                  <w:noWrap w:val="0"/>
                  <w:vAlign w:val="center"/>
                </w:tcPr>
                <w:p w14:paraId="5D8C5B2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65" w:type="pct"/>
                  <w:tcBorders>
                    <w:tl2br w:val="nil"/>
                    <w:tr2bl w:val="nil"/>
                  </w:tcBorders>
                  <w:noWrap w:val="0"/>
                  <w:vAlign w:val="center"/>
                </w:tcPr>
                <w:p w14:paraId="05ED4D6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氮氧化物</w:t>
                  </w:r>
                </w:p>
              </w:tc>
              <w:tc>
                <w:tcPr>
                  <w:tcW w:w="528" w:type="pct"/>
                  <w:tcBorders>
                    <w:tl2br w:val="nil"/>
                    <w:tr2bl w:val="nil"/>
                  </w:tcBorders>
                  <w:noWrap w:val="0"/>
                  <w:vAlign w:val="center"/>
                </w:tcPr>
                <w:p w14:paraId="7B5B5B7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0.7</w:t>
                  </w:r>
                </w:p>
              </w:tc>
              <w:tc>
                <w:tcPr>
                  <w:tcW w:w="561" w:type="pct"/>
                  <w:tcBorders>
                    <w:tl2br w:val="nil"/>
                    <w:tr2bl w:val="nil"/>
                  </w:tcBorders>
                  <w:noWrap w:val="0"/>
                  <w:vAlign w:val="center"/>
                </w:tcPr>
                <w:p w14:paraId="0B9DDEE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0.0140</w:t>
                  </w:r>
                </w:p>
              </w:tc>
              <w:tc>
                <w:tcPr>
                  <w:tcW w:w="445" w:type="pct"/>
                  <w:vMerge w:val="continue"/>
                  <w:tcBorders>
                    <w:tl2br w:val="nil"/>
                    <w:tr2bl w:val="nil"/>
                  </w:tcBorders>
                  <w:noWrap w:val="0"/>
                  <w:vAlign w:val="center"/>
                </w:tcPr>
                <w:p w14:paraId="1CA5E41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51" w:type="pct"/>
                  <w:tcBorders>
                    <w:tl2br w:val="nil"/>
                    <w:tr2bl w:val="nil"/>
                  </w:tcBorders>
                  <w:noWrap w:val="0"/>
                  <w:vAlign w:val="center"/>
                </w:tcPr>
                <w:p w14:paraId="784B547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无组织</w:t>
                  </w:r>
                </w:p>
              </w:tc>
              <w:tc>
                <w:tcPr>
                  <w:tcW w:w="465" w:type="pct"/>
                  <w:tcBorders>
                    <w:tl2br w:val="nil"/>
                    <w:tr2bl w:val="nil"/>
                  </w:tcBorders>
                  <w:noWrap w:val="0"/>
                  <w:vAlign w:val="center"/>
                </w:tcPr>
                <w:p w14:paraId="01BCD11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438" w:type="pct"/>
                  <w:tcBorders>
                    <w:tl2br w:val="nil"/>
                    <w:tr2bl w:val="nil"/>
                  </w:tcBorders>
                  <w:noWrap w:val="0"/>
                  <w:vAlign w:val="center"/>
                </w:tcPr>
                <w:p w14:paraId="7F144E1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w:t>
                  </w:r>
                </w:p>
              </w:tc>
              <w:tc>
                <w:tcPr>
                  <w:tcW w:w="528" w:type="pct"/>
                  <w:tcBorders>
                    <w:tl2br w:val="nil"/>
                    <w:tr2bl w:val="nil"/>
                  </w:tcBorders>
                  <w:shd w:val="clear" w:color="auto" w:fill="auto"/>
                  <w:noWrap w:val="0"/>
                  <w:vAlign w:val="center"/>
                </w:tcPr>
                <w:p w14:paraId="17202DA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0.322</w:t>
                  </w:r>
                </w:p>
              </w:tc>
              <w:tc>
                <w:tcPr>
                  <w:tcW w:w="562" w:type="pct"/>
                  <w:tcBorders>
                    <w:tl2br w:val="nil"/>
                    <w:tr2bl w:val="nil"/>
                  </w:tcBorders>
                  <w:noWrap w:val="0"/>
                  <w:vAlign w:val="center"/>
                </w:tcPr>
                <w:p w14:paraId="1A28588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0.0064</w:t>
                  </w:r>
                </w:p>
              </w:tc>
            </w:tr>
            <w:tr w14:paraId="3336C7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tcBorders>
                    <w:tl2br w:val="nil"/>
                    <w:tr2bl w:val="nil"/>
                  </w:tcBorders>
                  <w:noWrap w:val="0"/>
                  <w:vAlign w:val="center"/>
                </w:tcPr>
                <w:p w14:paraId="14308C9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碱性废气</w:t>
                  </w:r>
                </w:p>
              </w:tc>
              <w:tc>
                <w:tcPr>
                  <w:tcW w:w="465" w:type="pct"/>
                  <w:tcBorders>
                    <w:tl2br w:val="nil"/>
                    <w:tr2bl w:val="nil"/>
                  </w:tcBorders>
                  <w:noWrap w:val="0"/>
                  <w:vAlign w:val="center"/>
                </w:tcPr>
                <w:p w14:paraId="61A80C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w:t>
                  </w:r>
                </w:p>
              </w:tc>
              <w:tc>
                <w:tcPr>
                  <w:tcW w:w="528" w:type="pct"/>
                  <w:tcBorders>
                    <w:tl2br w:val="nil"/>
                    <w:tr2bl w:val="nil"/>
                  </w:tcBorders>
                  <w:noWrap w:val="0"/>
                  <w:vAlign w:val="center"/>
                </w:tcPr>
                <w:p w14:paraId="2BF12F4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0.00045</w:t>
                  </w:r>
                </w:p>
              </w:tc>
              <w:tc>
                <w:tcPr>
                  <w:tcW w:w="561" w:type="pct"/>
                  <w:tcBorders>
                    <w:tl2br w:val="nil"/>
                    <w:tr2bl w:val="nil"/>
                  </w:tcBorders>
                  <w:noWrap w:val="0"/>
                  <w:vAlign w:val="center"/>
                </w:tcPr>
                <w:p w14:paraId="3D86569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0.00002</w:t>
                  </w:r>
                </w:p>
              </w:tc>
              <w:tc>
                <w:tcPr>
                  <w:tcW w:w="445" w:type="pct"/>
                  <w:vMerge w:val="continue"/>
                  <w:tcBorders>
                    <w:tl2br w:val="nil"/>
                    <w:tr2bl w:val="nil"/>
                  </w:tcBorders>
                  <w:noWrap w:val="0"/>
                  <w:vAlign w:val="center"/>
                </w:tcPr>
                <w:p w14:paraId="463836A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51" w:type="pct"/>
                  <w:tcBorders>
                    <w:tl2br w:val="nil"/>
                    <w:tr2bl w:val="nil"/>
                  </w:tcBorders>
                  <w:noWrap w:val="0"/>
                  <w:vAlign w:val="center"/>
                </w:tcPr>
                <w:p w14:paraId="5653FEC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无组织</w:t>
                  </w:r>
                </w:p>
              </w:tc>
              <w:tc>
                <w:tcPr>
                  <w:tcW w:w="465" w:type="pct"/>
                  <w:tcBorders>
                    <w:tl2br w:val="nil"/>
                    <w:tr2bl w:val="nil"/>
                  </w:tcBorders>
                  <w:noWrap w:val="0"/>
                  <w:vAlign w:val="center"/>
                </w:tcPr>
                <w:p w14:paraId="2AB8A3F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438" w:type="pct"/>
                  <w:tcBorders>
                    <w:tl2br w:val="nil"/>
                    <w:tr2bl w:val="nil"/>
                  </w:tcBorders>
                  <w:noWrap w:val="0"/>
                  <w:vAlign w:val="center"/>
                </w:tcPr>
                <w:p w14:paraId="6DDDF91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c>
                <w:tcPr>
                  <w:tcW w:w="528" w:type="pct"/>
                  <w:tcBorders>
                    <w:tl2br w:val="nil"/>
                    <w:tr2bl w:val="nil"/>
                  </w:tcBorders>
                  <w:noWrap w:val="0"/>
                  <w:vAlign w:val="center"/>
                </w:tcPr>
                <w:p w14:paraId="1B6076C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0.00045</w:t>
                  </w:r>
                </w:p>
              </w:tc>
              <w:tc>
                <w:tcPr>
                  <w:tcW w:w="562" w:type="pct"/>
                  <w:tcBorders>
                    <w:tl2br w:val="nil"/>
                    <w:tr2bl w:val="nil"/>
                  </w:tcBorders>
                  <w:noWrap w:val="0"/>
                  <w:vAlign w:val="center"/>
                </w:tcPr>
                <w:p w14:paraId="4EB7268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0.00002</w:t>
                  </w:r>
                </w:p>
              </w:tc>
            </w:tr>
            <w:tr w14:paraId="464D5F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tcBorders>
                    <w:tl2br w:val="nil"/>
                    <w:tr2bl w:val="nil"/>
                  </w:tcBorders>
                  <w:shd w:val="clear" w:color="auto" w:fill="auto"/>
                  <w:noWrap w:val="0"/>
                  <w:vAlign w:val="center"/>
                </w:tcPr>
                <w:p w14:paraId="4C0B7AF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有机废气</w:t>
                  </w:r>
                </w:p>
              </w:tc>
              <w:tc>
                <w:tcPr>
                  <w:tcW w:w="465" w:type="pct"/>
                  <w:tcBorders>
                    <w:tl2br w:val="nil"/>
                    <w:tr2bl w:val="nil"/>
                  </w:tcBorders>
                  <w:shd w:val="clear" w:color="auto" w:fill="auto"/>
                  <w:noWrap w:val="0"/>
                  <w:vAlign w:val="center"/>
                </w:tcPr>
                <w:p w14:paraId="3CBBD09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非甲烷总烃</w:t>
                  </w:r>
                </w:p>
              </w:tc>
              <w:tc>
                <w:tcPr>
                  <w:tcW w:w="528" w:type="pct"/>
                  <w:tcBorders>
                    <w:tl2br w:val="nil"/>
                    <w:tr2bl w:val="nil"/>
                  </w:tcBorders>
                  <w:shd w:val="clear" w:color="auto" w:fill="auto"/>
                  <w:noWrap w:val="0"/>
                  <w:vAlign w:val="center"/>
                </w:tcPr>
                <w:p w14:paraId="1D4BE68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0.1303</w:t>
                  </w:r>
                </w:p>
              </w:tc>
              <w:tc>
                <w:tcPr>
                  <w:tcW w:w="561" w:type="pct"/>
                  <w:tcBorders>
                    <w:tl2br w:val="nil"/>
                    <w:tr2bl w:val="nil"/>
                  </w:tcBorders>
                  <w:shd w:val="clear" w:color="auto" w:fill="auto"/>
                  <w:noWrap w:val="0"/>
                  <w:vAlign w:val="center"/>
                </w:tcPr>
                <w:p w14:paraId="09C9D01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0.0010</w:t>
                  </w:r>
                </w:p>
              </w:tc>
              <w:tc>
                <w:tcPr>
                  <w:tcW w:w="445" w:type="pct"/>
                  <w:vMerge w:val="continue"/>
                  <w:tcBorders>
                    <w:tl2br w:val="nil"/>
                    <w:tr2bl w:val="nil"/>
                  </w:tcBorders>
                  <w:noWrap w:val="0"/>
                  <w:vAlign w:val="center"/>
                </w:tcPr>
                <w:p w14:paraId="7F3FE8D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51" w:type="pct"/>
                  <w:tcBorders>
                    <w:tl2br w:val="nil"/>
                    <w:tr2bl w:val="nil"/>
                  </w:tcBorders>
                  <w:shd w:val="clear" w:color="auto" w:fill="auto"/>
                  <w:noWrap w:val="0"/>
                  <w:vAlign w:val="center"/>
                </w:tcPr>
                <w:p w14:paraId="2C259B9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无组织</w:t>
                  </w:r>
                </w:p>
              </w:tc>
              <w:tc>
                <w:tcPr>
                  <w:tcW w:w="465" w:type="pct"/>
                  <w:tcBorders>
                    <w:tl2br w:val="nil"/>
                    <w:tr2bl w:val="nil"/>
                  </w:tcBorders>
                  <w:shd w:val="clear" w:color="auto" w:fill="auto"/>
                  <w:noWrap w:val="0"/>
                  <w:vAlign w:val="center"/>
                </w:tcPr>
                <w:p w14:paraId="711506C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60</w:t>
                  </w:r>
                </w:p>
              </w:tc>
              <w:tc>
                <w:tcPr>
                  <w:tcW w:w="438" w:type="pct"/>
                  <w:tcBorders>
                    <w:tl2br w:val="nil"/>
                    <w:tr2bl w:val="nil"/>
                  </w:tcBorders>
                  <w:shd w:val="clear" w:color="auto" w:fill="auto"/>
                  <w:noWrap w:val="0"/>
                  <w:vAlign w:val="center"/>
                </w:tcPr>
                <w:p w14:paraId="039B6DC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30</w:t>
                  </w:r>
                </w:p>
              </w:tc>
              <w:tc>
                <w:tcPr>
                  <w:tcW w:w="528" w:type="pct"/>
                  <w:tcBorders>
                    <w:tl2br w:val="nil"/>
                    <w:tr2bl w:val="nil"/>
                  </w:tcBorders>
                  <w:shd w:val="clear" w:color="auto" w:fill="auto"/>
                  <w:noWrap w:val="0"/>
                  <w:vAlign w:val="center"/>
                </w:tcPr>
                <w:p w14:paraId="50B590E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0.1068</w:t>
                  </w:r>
                </w:p>
              </w:tc>
              <w:tc>
                <w:tcPr>
                  <w:tcW w:w="562" w:type="pct"/>
                  <w:tcBorders>
                    <w:tl2br w:val="nil"/>
                    <w:tr2bl w:val="nil"/>
                  </w:tcBorders>
                  <w:shd w:val="clear" w:color="auto" w:fill="auto"/>
                  <w:noWrap w:val="0"/>
                  <w:vAlign w:val="center"/>
                </w:tcPr>
                <w:p w14:paraId="5CECEB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0.0009</w:t>
                  </w:r>
                </w:p>
              </w:tc>
            </w:tr>
            <w:tr w14:paraId="5CB1EC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tcBorders>
                    <w:tl2br w:val="nil"/>
                    <w:tr2bl w:val="nil"/>
                  </w:tcBorders>
                  <w:noWrap w:val="0"/>
                  <w:vAlign w:val="center"/>
                </w:tcPr>
                <w:p w14:paraId="643760C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含菌废气</w:t>
                  </w:r>
                </w:p>
              </w:tc>
              <w:tc>
                <w:tcPr>
                  <w:tcW w:w="465" w:type="pct"/>
                  <w:tcBorders>
                    <w:tl2br w:val="nil"/>
                    <w:tr2bl w:val="nil"/>
                  </w:tcBorders>
                  <w:noWrap w:val="0"/>
                  <w:vAlign w:val="center"/>
                </w:tcPr>
                <w:p w14:paraId="6890562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细菌</w:t>
                  </w:r>
                </w:p>
              </w:tc>
              <w:tc>
                <w:tcPr>
                  <w:tcW w:w="528" w:type="pct"/>
                  <w:tcBorders>
                    <w:tl2br w:val="nil"/>
                    <w:tr2bl w:val="nil"/>
                  </w:tcBorders>
                  <w:noWrap w:val="0"/>
                  <w:vAlign w:val="center"/>
                </w:tcPr>
                <w:p w14:paraId="75E2602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561" w:type="pct"/>
                  <w:tcBorders>
                    <w:tl2br w:val="nil"/>
                    <w:tr2bl w:val="nil"/>
                  </w:tcBorders>
                  <w:noWrap w:val="0"/>
                  <w:vAlign w:val="center"/>
                </w:tcPr>
                <w:p w14:paraId="6E01448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445" w:type="pct"/>
                  <w:tcBorders>
                    <w:tl2br w:val="nil"/>
                    <w:tr2bl w:val="nil"/>
                  </w:tcBorders>
                  <w:noWrap w:val="0"/>
                  <w:vAlign w:val="center"/>
                </w:tcPr>
                <w:p w14:paraId="7EBB239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生物安全柜</w:t>
                  </w:r>
                </w:p>
              </w:tc>
              <w:tc>
                <w:tcPr>
                  <w:tcW w:w="451" w:type="pct"/>
                  <w:tcBorders>
                    <w:tl2br w:val="nil"/>
                    <w:tr2bl w:val="nil"/>
                  </w:tcBorders>
                  <w:noWrap w:val="0"/>
                  <w:vAlign w:val="center"/>
                </w:tcPr>
                <w:p w14:paraId="6A73FCB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无组织</w:t>
                  </w:r>
                </w:p>
              </w:tc>
              <w:tc>
                <w:tcPr>
                  <w:tcW w:w="465" w:type="pct"/>
                  <w:tcBorders>
                    <w:tl2br w:val="nil"/>
                    <w:tr2bl w:val="nil"/>
                  </w:tcBorders>
                  <w:noWrap w:val="0"/>
                  <w:vAlign w:val="center"/>
                </w:tcPr>
                <w:p w14:paraId="5269158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100</w:t>
                  </w:r>
                </w:p>
              </w:tc>
              <w:tc>
                <w:tcPr>
                  <w:tcW w:w="438" w:type="pct"/>
                  <w:tcBorders>
                    <w:tl2br w:val="nil"/>
                    <w:tr2bl w:val="nil"/>
                  </w:tcBorders>
                  <w:noWrap w:val="0"/>
                  <w:vAlign w:val="center"/>
                </w:tcPr>
                <w:p w14:paraId="44BF565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99</w:t>
                  </w:r>
                </w:p>
              </w:tc>
              <w:tc>
                <w:tcPr>
                  <w:tcW w:w="528" w:type="pct"/>
                  <w:tcBorders>
                    <w:tl2br w:val="nil"/>
                    <w:tr2bl w:val="nil"/>
                  </w:tcBorders>
                  <w:noWrap w:val="0"/>
                  <w:vAlign w:val="center"/>
                </w:tcPr>
                <w:p w14:paraId="0147EE6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562" w:type="pct"/>
                  <w:tcBorders>
                    <w:tl2br w:val="nil"/>
                    <w:tr2bl w:val="nil"/>
                  </w:tcBorders>
                  <w:noWrap w:val="0"/>
                  <w:vAlign w:val="center"/>
                </w:tcPr>
                <w:p w14:paraId="78A7214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bl>
          <w:p w14:paraId="0E3773E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eastAsia" w:cs="Times New Roman"/>
                <w:b/>
                <w:bCs/>
                <w:color w:val="auto"/>
                <w:sz w:val="24"/>
                <w:lang w:val="en-US" w:eastAsia="zh-CN"/>
              </w:rPr>
            </w:pPr>
            <w:r>
              <w:rPr>
                <w:rFonts w:hint="eastAsia" w:cs="Times New Roman"/>
                <w:b/>
                <w:bCs/>
                <w:color w:val="auto"/>
                <w:sz w:val="24"/>
                <w:lang w:val="en-US" w:eastAsia="zh-CN"/>
              </w:rPr>
              <w:t>2、非正常情况分析</w:t>
            </w:r>
          </w:p>
          <w:p w14:paraId="4920233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非正常情况主要是停电或设备开停机、检修时，环保装置未提前开启，造成废气超标排放，以最不利情况下废气处理系统净化效率为零考虑，源强最大时段废气排放1h对周围环境的影响。</w:t>
            </w:r>
          </w:p>
          <w:p w14:paraId="1AB8349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b/>
                <w:bCs/>
                <w:color w:val="auto"/>
                <w:sz w:val="21"/>
                <w:szCs w:val="21"/>
                <w:lang w:val="en-US" w:eastAsia="zh-CN"/>
              </w:rPr>
            </w:pPr>
            <w:r>
              <w:rPr>
                <w:rFonts w:hint="eastAsia" w:cs="Times New Roman"/>
                <w:b/>
                <w:bCs/>
                <w:color w:val="auto"/>
                <w:sz w:val="21"/>
                <w:szCs w:val="21"/>
                <w:lang w:val="en-US" w:eastAsia="zh-CN"/>
              </w:rPr>
              <w:t>表4-2 非正常工况废气排放信息一览表</w:t>
            </w:r>
          </w:p>
          <w:tbl>
            <w:tblPr>
              <w:tblStyle w:val="29"/>
              <w:tblW w:w="5000" w:type="pct"/>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691"/>
              <w:gridCol w:w="2810"/>
              <w:gridCol w:w="5172"/>
            </w:tblGrid>
            <w:tr w14:paraId="3B8C41B2">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trHeight w:val="247" w:hRule="atLeast"/>
              </w:trPr>
              <w:tc>
                <w:tcPr>
                  <w:tcW w:w="874" w:type="pct"/>
                  <w:tcBorders>
                    <w:tl2br w:val="nil"/>
                    <w:tr2bl w:val="nil"/>
                  </w:tcBorders>
                  <w:noWrap w:val="0"/>
                  <w:vAlign w:val="center"/>
                </w:tcPr>
                <w:p w14:paraId="47679C4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污染物种类</w:t>
                  </w:r>
                </w:p>
              </w:tc>
              <w:tc>
                <w:tcPr>
                  <w:tcW w:w="1452" w:type="pct"/>
                  <w:tcBorders>
                    <w:tl2br w:val="nil"/>
                    <w:tr2bl w:val="nil"/>
                  </w:tcBorders>
                  <w:noWrap w:val="0"/>
                  <w:vAlign w:val="center"/>
                </w:tcPr>
                <w:p w14:paraId="3B4EAF9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有机废气</w:t>
                  </w:r>
                </w:p>
              </w:tc>
              <w:tc>
                <w:tcPr>
                  <w:tcW w:w="2672" w:type="pct"/>
                  <w:tcBorders>
                    <w:tl2br w:val="nil"/>
                    <w:tr2bl w:val="nil"/>
                  </w:tcBorders>
                  <w:noWrap w:val="0"/>
                  <w:vAlign w:val="center"/>
                </w:tcPr>
                <w:p w14:paraId="69C36A6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酸性废气</w:t>
                  </w:r>
                </w:p>
              </w:tc>
            </w:tr>
            <w:tr w14:paraId="24CE0E4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1" w:hRule="atLeast"/>
              </w:trPr>
              <w:tc>
                <w:tcPr>
                  <w:tcW w:w="874" w:type="pct"/>
                  <w:tcBorders>
                    <w:tl2br w:val="nil"/>
                    <w:tr2bl w:val="nil"/>
                  </w:tcBorders>
                  <w:noWrap w:val="0"/>
                  <w:vAlign w:val="center"/>
                </w:tcPr>
                <w:p w14:paraId="72AD1E1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污染物名称</w:t>
                  </w:r>
                </w:p>
              </w:tc>
              <w:tc>
                <w:tcPr>
                  <w:tcW w:w="1452" w:type="pct"/>
                  <w:tcBorders>
                    <w:tl2br w:val="nil"/>
                    <w:tr2bl w:val="nil"/>
                  </w:tcBorders>
                  <w:noWrap w:val="0"/>
                  <w:vAlign w:val="center"/>
                </w:tcPr>
                <w:p w14:paraId="40D758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2672" w:type="pct"/>
                  <w:tcBorders>
                    <w:tl2br w:val="nil"/>
                    <w:tr2bl w:val="nil"/>
                  </w:tcBorders>
                  <w:noWrap w:val="0"/>
                  <w:vAlign w:val="center"/>
                </w:tcPr>
                <w:p w14:paraId="61B36E4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氯化氢、硫酸雾</w:t>
                  </w:r>
                  <w:r>
                    <w:rPr>
                      <w:rFonts w:hint="eastAsia" w:ascii="Times New Roman" w:hAnsi="Times New Roman" w:cs="Times New Roman"/>
                      <w:color w:val="auto"/>
                      <w:sz w:val="21"/>
                      <w:szCs w:val="21"/>
                      <w:lang w:val="en-US" w:eastAsia="zh-CN"/>
                    </w:rPr>
                    <w:t>、氮氧化物</w:t>
                  </w:r>
                </w:p>
              </w:tc>
            </w:tr>
            <w:tr w14:paraId="7B9AB22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1" w:hRule="atLeast"/>
              </w:trPr>
              <w:tc>
                <w:tcPr>
                  <w:tcW w:w="874" w:type="pct"/>
                  <w:tcBorders>
                    <w:tl2br w:val="nil"/>
                    <w:tr2bl w:val="nil"/>
                  </w:tcBorders>
                  <w:noWrap w:val="0"/>
                  <w:vAlign w:val="center"/>
                </w:tcPr>
                <w:p w14:paraId="624A56B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非正常排放原因</w:t>
                  </w:r>
                </w:p>
              </w:tc>
              <w:tc>
                <w:tcPr>
                  <w:tcW w:w="1452" w:type="pct"/>
                  <w:tcBorders>
                    <w:tl2br w:val="nil"/>
                    <w:tr2bl w:val="nil"/>
                  </w:tcBorders>
                  <w:noWrap w:val="0"/>
                  <w:vAlign w:val="center"/>
                </w:tcPr>
                <w:p w14:paraId="1ADE715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活性炭吸附装置故障，处理效率为0</w:t>
                  </w:r>
                </w:p>
              </w:tc>
              <w:tc>
                <w:tcPr>
                  <w:tcW w:w="2672" w:type="pct"/>
                  <w:tcBorders>
                    <w:tl2br w:val="nil"/>
                    <w:tr2bl w:val="nil"/>
                  </w:tcBorders>
                  <w:noWrap w:val="0"/>
                  <w:vAlign w:val="center"/>
                </w:tcPr>
                <w:p w14:paraId="5F0208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干式化学吸附</w:t>
                  </w:r>
                  <w:r>
                    <w:rPr>
                      <w:rFonts w:hint="default" w:ascii="Times New Roman" w:hAnsi="Times New Roman" w:cs="Times New Roman"/>
                      <w:color w:val="auto"/>
                      <w:sz w:val="21"/>
                      <w:szCs w:val="21"/>
                      <w:lang w:val="en-US" w:eastAsia="zh-CN"/>
                    </w:rPr>
                    <w:t>故障，处理效率为0</w:t>
                  </w:r>
                </w:p>
              </w:tc>
            </w:tr>
            <w:tr w14:paraId="3A41262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1" w:hRule="atLeast"/>
              </w:trPr>
              <w:tc>
                <w:tcPr>
                  <w:tcW w:w="874" w:type="pct"/>
                  <w:tcBorders>
                    <w:tl2br w:val="nil"/>
                    <w:tr2bl w:val="nil"/>
                  </w:tcBorders>
                  <w:noWrap w:val="0"/>
                  <w:vAlign w:val="center"/>
                </w:tcPr>
                <w:p w14:paraId="0C8B75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年发生频次</w:t>
                  </w:r>
                </w:p>
              </w:tc>
              <w:tc>
                <w:tcPr>
                  <w:tcW w:w="1452" w:type="pct"/>
                  <w:tcBorders>
                    <w:tl2br w:val="nil"/>
                    <w:tr2bl w:val="nil"/>
                  </w:tcBorders>
                  <w:noWrap w:val="0"/>
                  <w:vAlign w:val="center"/>
                </w:tcPr>
                <w:p w14:paraId="2C3B2D0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1次</w:t>
                  </w:r>
                </w:p>
              </w:tc>
              <w:tc>
                <w:tcPr>
                  <w:tcW w:w="2672" w:type="pct"/>
                  <w:tcBorders>
                    <w:tl2br w:val="nil"/>
                    <w:tr2bl w:val="nil"/>
                  </w:tcBorders>
                  <w:noWrap w:val="0"/>
                  <w:vAlign w:val="center"/>
                </w:tcPr>
                <w:p w14:paraId="08EEC37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1次</w:t>
                  </w:r>
                </w:p>
              </w:tc>
            </w:tr>
            <w:tr w14:paraId="4AD1C47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1" w:hRule="atLeast"/>
              </w:trPr>
              <w:tc>
                <w:tcPr>
                  <w:tcW w:w="874" w:type="pct"/>
                  <w:tcBorders>
                    <w:tl2br w:val="nil"/>
                    <w:tr2bl w:val="nil"/>
                  </w:tcBorders>
                  <w:noWrap w:val="0"/>
                  <w:vAlign w:val="center"/>
                </w:tcPr>
                <w:p w14:paraId="25FD049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持续时间</w:t>
                  </w:r>
                </w:p>
              </w:tc>
              <w:tc>
                <w:tcPr>
                  <w:tcW w:w="1452" w:type="pct"/>
                  <w:tcBorders>
                    <w:tl2br w:val="nil"/>
                    <w:tr2bl w:val="nil"/>
                  </w:tcBorders>
                  <w:noWrap w:val="0"/>
                  <w:vAlign w:val="center"/>
                </w:tcPr>
                <w:p w14:paraId="1C13E0E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1h</w:t>
                  </w:r>
                </w:p>
              </w:tc>
              <w:tc>
                <w:tcPr>
                  <w:tcW w:w="2672" w:type="pct"/>
                  <w:tcBorders>
                    <w:tl2br w:val="nil"/>
                    <w:tr2bl w:val="nil"/>
                  </w:tcBorders>
                  <w:noWrap w:val="0"/>
                  <w:vAlign w:val="center"/>
                </w:tcPr>
                <w:p w14:paraId="17D31AB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1h</w:t>
                  </w:r>
                </w:p>
              </w:tc>
            </w:tr>
            <w:tr w14:paraId="276C523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1" w:hRule="atLeast"/>
              </w:trPr>
              <w:tc>
                <w:tcPr>
                  <w:tcW w:w="874" w:type="pct"/>
                  <w:tcBorders>
                    <w:tl2br w:val="nil"/>
                    <w:tr2bl w:val="nil"/>
                  </w:tcBorders>
                  <w:noWrap w:val="0"/>
                  <w:vAlign w:val="center"/>
                </w:tcPr>
                <w:p w14:paraId="720BAD8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污染物排放速率</w:t>
                  </w:r>
                </w:p>
              </w:tc>
              <w:tc>
                <w:tcPr>
                  <w:tcW w:w="1452" w:type="pct"/>
                  <w:tcBorders>
                    <w:tl2br w:val="nil"/>
                    <w:tr2bl w:val="nil"/>
                  </w:tcBorders>
                  <w:noWrap w:val="0"/>
                  <w:vAlign w:val="center"/>
                </w:tcPr>
                <w:p w14:paraId="0005682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r>
                    <w:rPr>
                      <w:rFonts w:hint="eastAsia" w:ascii="Times New Roman" w:hAnsi="Times New Roman" w:cs="Times New Roman"/>
                      <w:color w:val="auto"/>
                      <w:sz w:val="21"/>
                      <w:szCs w:val="21"/>
                      <w:lang w:val="en-US" w:eastAsia="zh-CN"/>
                    </w:rPr>
                    <w:t>0.00</w:t>
                  </w:r>
                  <w:r>
                    <w:rPr>
                      <w:rFonts w:hint="eastAsia" w:cs="Times New Roman"/>
                      <w:color w:val="auto"/>
                      <w:sz w:val="21"/>
                      <w:szCs w:val="21"/>
                      <w:lang w:val="en-US" w:eastAsia="zh-CN"/>
                    </w:rPr>
                    <w:t>10</w:t>
                  </w:r>
                  <w:r>
                    <w:rPr>
                      <w:rFonts w:hint="default" w:ascii="Times New Roman" w:hAnsi="Times New Roman" w:cs="Times New Roman"/>
                      <w:color w:val="auto"/>
                      <w:sz w:val="21"/>
                      <w:szCs w:val="21"/>
                      <w:lang w:val="en-US" w:eastAsia="zh-CN"/>
                    </w:rPr>
                    <w:t>kg/h、</w:t>
                  </w:r>
                </w:p>
              </w:tc>
              <w:tc>
                <w:tcPr>
                  <w:tcW w:w="2672" w:type="pct"/>
                  <w:tcBorders>
                    <w:tl2br w:val="nil"/>
                    <w:tr2bl w:val="nil"/>
                  </w:tcBorders>
                  <w:noWrap w:val="0"/>
                  <w:vAlign w:val="center"/>
                </w:tcPr>
                <w:p w14:paraId="11B5FC6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氯化氢</w:t>
                  </w:r>
                  <w:r>
                    <w:rPr>
                      <w:rFonts w:hint="eastAsia" w:ascii="Times New Roman" w:hAnsi="Times New Roman" w:cs="Times New Roman"/>
                      <w:color w:val="auto"/>
                      <w:sz w:val="21"/>
                      <w:szCs w:val="21"/>
                      <w:lang w:val="en-US" w:eastAsia="zh-CN"/>
                    </w:rPr>
                    <w:t>0.009</w:t>
                  </w:r>
                  <w:r>
                    <w:rPr>
                      <w:rFonts w:hint="default" w:ascii="Times New Roman" w:hAnsi="Times New Roman" w:cs="Times New Roman"/>
                      <w:color w:val="auto"/>
                      <w:sz w:val="21"/>
                      <w:szCs w:val="21"/>
                      <w:lang w:val="en-US" w:eastAsia="zh-CN"/>
                    </w:rPr>
                    <w:t>kg/h、硫酸雾</w:t>
                  </w:r>
                  <w:r>
                    <w:rPr>
                      <w:rFonts w:hint="eastAsia" w:ascii="Times New Roman" w:hAnsi="Times New Roman" w:cs="Times New Roman"/>
                      <w:color w:val="auto"/>
                      <w:sz w:val="21"/>
                      <w:szCs w:val="21"/>
                      <w:lang w:val="en-US" w:eastAsia="zh-CN"/>
                    </w:rPr>
                    <w:t>0.063</w:t>
                  </w:r>
                  <w:r>
                    <w:rPr>
                      <w:rFonts w:hint="default" w:ascii="Times New Roman" w:hAnsi="Times New Roman" w:cs="Times New Roman"/>
                      <w:color w:val="auto"/>
                      <w:sz w:val="21"/>
                      <w:szCs w:val="21"/>
                      <w:lang w:val="en-US" w:eastAsia="zh-CN"/>
                    </w:rPr>
                    <w:t>kg/h</w:t>
                  </w:r>
                  <w:r>
                    <w:rPr>
                      <w:rFonts w:hint="eastAsia" w:ascii="Times New Roman" w:hAnsi="Times New Roman" w:cs="Times New Roman"/>
                      <w:color w:val="auto"/>
                      <w:sz w:val="21"/>
                      <w:szCs w:val="21"/>
                      <w:lang w:val="en-US" w:eastAsia="zh-CN"/>
                    </w:rPr>
                    <w:t>、氮氧化物0.014kg/h</w:t>
                  </w:r>
                </w:p>
              </w:tc>
            </w:tr>
            <w:tr w14:paraId="78AD8152">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1" w:hRule="atLeast"/>
              </w:trPr>
              <w:tc>
                <w:tcPr>
                  <w:tcW w:w="874" w:type="pct"/>
                  <w:tcBorders>
                    <w:tl2br w:val="nil"/>
                    <w:tr2bl w:val="nil"/>
                  </w:tcBorders>
                  <w:noWrap w:val="0"/>
                  <w:vAlign w:val="center"/>
                </w:tcPr>
                <w:p w14:paraId="2455758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污染物排放量</w:t>
                  </w:r>
                </w:p>
              </w:tc>
              <w:tc>
                <w:tcPr>
                  <w:tcW w:w="1452" w:type="pct"/>
                  <w:tcBorders>
                    <w:tl2br w:val="nil"/>
                    <w:tr2bl w:val="nil"/>
                  </w:tcBorders>
                  <w:noWrap w:val="0"/>
                  <w:vAlign w:val="center"/>
                </w:tcPr>
                <w:p w14:paraId="17CA1D9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0010</w:t>
                  </w:r>
                  <w:r>
                    <w:rPr>
                      <w:rFonts w:hint="default" w:ascii="Times New Roman" w:hAnsi="Times New Roman" w:cs="Times New Roman"/>
                      <w:color w:val="auto"/>
                      <w:sz w:val="21"/>
                      <w:szCs w:val="21"/>
                      <w:lang w:val="en-US" w:eastAsia="zh-CN"/>
                    </w:rPr>
                    <w:t>kg</w:t>
                  </w:r>
                </w:p>
              </w:tc>
              <w:tc>
                <w:tcPr>
                  <w:tcW w:w="2672" w:type="pct"/>
                  <w:tcBorders>
                    <w:tl2br w:val="nil"/>
                    <w:tr2bl w:val="nil"/>
                  </w:tcBorders>
                  <w:noWrap w:val="0"/>
                  <w:vAlign w:val="center"/>
                </w:tcPr>
                <w:p w14:paraId="0C11417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氯化氢</w:t>
                  </w:r>
                  <w:r>
                    <w:rPr>
                      <w:rFonts w:hint="eastAsia" w:cs="Times New Roman"/>
                      <w:color w:val="auto"/>
                      <w:sz w:val="21"/>
                      <w:szCs w:val="21"/>
                      <w:lang w:val="en-US" w:eastAsia="zh-CN"/>
                    </w:rPr>
                    <w:t>0.009</w:t>
                  </w:r>
                  <w:r>
                    <w:rPr>
                      <w:rFonts w:hint="default" w:ascii="Times New Roman" w:hAnsi="Times New Roman" w:cs="Times New Roman"/>
                      <w:color w:val="auto"/>
                      <w:sz w:val="21"/>
                      <w:szCs w:val="21"/>
                      <w:lang w:val="en-US" w:eastAsia="zh-CN"/>
                    </w:rPr>
                    <w:t>kg、硫酸雾</w:t>
                  </w:r>
                  <w:r>
                    <w:rPr>
                      <w:rFonts w:hint="eastAsia" w:cs="Times New Roman"/>
                      <w:color w:val="auto"/>
                      <w:sz w:val="21"/>
                      <w:szCs w:val="21"/>
                      <w:lang w:val="en-US" w:eastAsia="zh-CN"/>
                    </w:rPr>
                    <w:t>0.063</w:t>
                  </w:r>
                  <w:r>
                    <w:rPr>
                      <w:rFonts w:hint="default" w:ascii="Times New Roman" w:hAnsi="Times New Roman" w:cs="Times New Roman"/>
                      <w:color w:val="auto"/>
                      <w:sz w:val="21"/>
                      <w:szCs w:val="21"/>
                      <w:lang w:val="en-US" w:eastAsia="zh-CN"/>
                    </w:rPr>
                    <w:t>kg</w:t>
                  </w:r>
                  <w:r>
                    <w:rPr>
                      <w:rFonts w:hint="eastAsia" w:ascii="Times New Roman" w:hAnsi="Times New Roman" w:cs="Times New Roman"/>
                      <w:color w:val="auto"/>
                      <w:sz w:val="21"/>
                      <w:szCs w:val="21"/>
                      <w:lang w:val="en-US" w:eastAsia="zh-CN"/>
                    </w:rPr>
                    <w:t>、氮氧化物</w:t>
                  </w:r>
                  <w:r>
                    <w:rPr>
                      <w:rFonts w:hint="eastAsia" w:cs="Times New Roman"/>
                      <w:color w:val="auto"/>
                      <w:sz w:val="21"/>
                      <w:szCs w:val="21"/>
                      <w:lang w:val="en-US" w:eastAsia="zh-CN"/>
                    </w:rPr>
                    <w:t>0.014</w:t>
                  </w:r>
                  <w:r>
                    <w:rPr>
                      <w:rFonts w:hint="eastAsia" w:ascii="Times New Roman" w:hAnsi="Times New Roman" w:cs="Times New Roman"/>
                      <w:color w:val="auto"/>
                      <w:sz w:val="21"/>
                      <w:szCs w:val="21"/>
                      <w:lang w:val="en-US" w:eastAsia="zh-CN"/>
                    </w:rPr>
                    <w:t>kg</w:t>
                  </w:r>
                </w:p>
              </w:tc>
            </w:tr>
            <w:tr w14:paraId="327853B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874" w:type="pct"/>
                  <w:tcBorders>
                    <w:tl2br w:val="nil"/>
                    <w:tr2bl w:val="nil"/>
                  </w:tcBorders>
                  <w:noWrap w:val="0"/>
                  <w:vAlign w:val="center"/>
                </w:tcPr>
                <w:p w14:paraId="0E6E0D1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措施</w:t>
                  </w:r>
                </w:p>
              </w:tc>
              <w:tc>
                <w:tcPr>
                  <w:tcW w:w="4125" w:type="pct"/>
                  <w:gridSpan w:val="2"/>
                  <w:tcBorders>
                    <w:tl2br w:val="nil"/>
                    <w:tr2bl w:val="nil"/>
                  </w:tcBorders>
                  <w:noWrap w:val="0"/>
                  <w:vAlign w:val="center"/>
                </w:tcPr>
                <w:p w14:paraId="61097FB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严格控制设备，装置开机时先运行废气处理系统，停机时后停废气处理装置，避免开停机时出现工艺废气事故排放；加强废气处理设施的运营维护，定期检查，当出现非正常排放时，建设单位应采取紧急处理措施，暂时停止实验，及时维修，直到生产设施或环保设施正常运转，坚决杜绝非正常排放。</w:t>
                  </w:r>
                </w:p>
              </w:tc>
            </w:tr>
          </w:tbl>
          <w:p w14:paraId="1701B17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因此，为避免非正常工况排放，环评要求建设单位应加强对各环保设施的维护保养、定期检修，实验前要对废气治理设施进行检查，并进行台账记录，避免废气污染物非正常排放对大气环境造成的影响。</w:t>
            </w:r>
          </w:p>
          <w:p w14:paraId="16D3A8F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eastAsia" w:cs="Times New Roman"/>
                <w:b/>
                <w:bCs/>
                <w:color w:val="auto"/>
                <w:sz w:val="24"/>
                <w:lang w:val="en-US" w:eastAsia="zh-CN"/>
              </w:rPr>
            </w:pPr>
            <w:r>
              <w:rPr>
                <w:rFonts w:hint="eastAsia" w:cs="Times New Roman"/>
                <w:b/>
                <w:bCs/>
                <w:color w:val="auto"/>
                <w:sz w:val="24"/>
                <w:lang w:val="en-US" w:eastAsia="zh-CN"/>
              </w:rPr>
              <w:t>3、废气治理措施可行性分析</w:t>
            </w:r>
          </w:p>
          <w:p w14:paraId="194F362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（1）废气收集效率的可行性分析</w:t>
            </w:r>
          </w:p>
          <w:p w14:paraId="7643442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实验室内产生的废气经通风柜收集，通风柜三面为柜体，一侧为可视窗，本项目废气收集效率可达60%。</w:t>
            </w:r>
          </w:p>
          <w:p w14:paraId="6183E1B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（2）废气治理设施的可行性分析</w:t>
            </w:r>
          </w:p>
          <w:p w14:paraId="320795E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highlight w:val="yellow"/>
                <w:lang w:val="en-US" w:eastAsia="zh-CN"/>
              </w:rPr>
            </w:pPr>
            <w:r>
              <w:rPr>
                <w:rFonts w:hint="eastAsia" w:cs="Times New Roman"/>
                <w:color w:val="auto"/>
                <w:sz w:val="24"/>
                <w:lang w:val="en-US" w:eastAsia="zh-CN"/>
              </w:rPr>
              <w:t>1）SDG碳吸附</w:t>
            </w:r>
          </w:p>
          <w:p w14:paraId="5ECFE90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SDG碳吸附的净化过程并非单一机制作用，而是物理吸附、化学吸附、粒子吸附、催化作用和化学反应等多种机制共同作用的结果。这种多功能的综合作用使得SDG碳吸附对大风量，低浓度的硫酸雾、氮氧化物等处理效率达90%以上。SDG碳吸附属于干式吸附法，避免了北方寒冷天气对传统的酸碱喷淋中和吸附法带来的防冻、保温等一系列问题。</w:t>
            </w:r>
          </w:p>
          <w:p w14:paraId="24AC3FB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80" w:firstLineChars="200"/>
              <w:textAlignment w:val="auto"/>
              <w:rPr>
                <w:rFonts w:hint="eastAsia" w:cs="Times New Roman"/>
                <w:color w:val="auto"/>
                <w:sz w:val="24"/>
                <w:lang w:val="en-US" w:eastAsia="zh-CN"/>
              </w:rPr>
            </w:pPr>
            <w:r>
              <w:rPr>
                <w:rFonts w:hint="eastAsia" w:ascii="Times New Roman" w:hAnsi="Times New Roman" w:eastAsia="宋体" w:cs="Times New Roman"/>
                <w:color w:val="auto"/>
                <w:kern w:val="2"/>
                <w:sz w:val="24"/>
                <w:szCs w:val="24"/>
                <w:lang w:val="en-US" w:eastAsia="zh-CN" w:bidi="ar-SA"/>
              </w:rPr>
              <w:t>2）</w:t>
            </w:r>
            <w:r>
              <w:rPr>
                <w:rFonts w:hint="eastAsia" w:cs="Times New Roman"/>
                <w:color w:val="auto"/>
                <w:sz w:val="24"/>
                <w:lang w:val="en-US" w:eastAsia="zh-CN"/>
              </w:rPr>
              <w:t>活性炭吸附</w:t>
            </w:r>
          </w:p>
          <w:p w14:paraId="4A221AC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cs="Times New Roman"/>
                <w:color w:val="auto"/>
                <w:sz w:val="24"/>
                <w:lang w:val="en-US" w:eastAsia="zh-CN"/>
              </w:rPr>
            </w:pPr>
            <w:r>
              <w:rPr>
                <w:rFonts w:hint="eastAsia" w:cs="Times New Roman"/>
                <w:color w:val="auto"/>
                <w:sz w:val="24"/>
                <w:lang w:val="en-US" w:eastAsia="zh-CN"/>
              </w:rPr>
              <w:t>活性炭吸附装置的吸附剂采用800碘值的颗粒活性炭，颗粒状活性炭具有比表面积大，微孔结构，高吸附容量，高表面活性剂的产品，大量应用在低浓度、大风量的各类有机废气净化系统中。被处理废气在通过颗粒状活性炭孔隙时能够充分与活性炭接触，风阻系数小，具有优良的吸附、脱附性能和气体动力学性能，可广泛用于净化处理含有甲苯，二甲苯、苯、苯类、酚类、酯类、醇类醛类等有机气体、恶臭味气体和含有微量金属的各类气体。采用颗粒状活性炭的环保设备废气处理净化效率高，吸附床体积小，设备能耗低，能够降低造价和运行成本，完全满足环保排放要求。根据陕西省生态环境厅关于印发《陕西省排污许可制支撑空气质量持续改善实施方案》的通知（有效）（陕环发〔2023〕59号）中文件“《陕西省大气主要污染物许可排放量及实际排放量核定方法》“表2 VOC</w:t>
            </w:r>
            <w:r>
              <w:rPr>
                <w:rFonts w:hint="eastAsia" w:cs="Times New Roman"/>
                <w:color w:val="auto"/>
                <w:sz w:val="24"/>
                <w:vertAlign w:val="subscript"/>
                <w:lang w:val="en-US" w:eastAsia="zh-CN"/>
              </w:rPr>
              <w:t>S</w:t>
            </w:r>
            <w:r>
              <w:rPr>
                <w:rFonts w:hint="eastAsia" w:cs="Times New Roman"/>
                <w:color w:val="auto"/>
                <w:sz w:val="24"/>
                <w:lang w:val="en-US" w:eastAsia="zh-CN"/>
              </w:rPr>
              <w:t>废气处理效率参考值”中“建议直接将‘活性炭年更换量</w:t>
            </w:r>
            <w:r>
              <w:rPr>
                <w:rFonts w:hint="default" w:ascii="Arial" w:hAnsi="Arial" w:cs="Arial"/>
                <w:color w:val="auto"/>
                <w:sz w:val="24"/>
                <w:lang w:val="en-US" w:eastAsia="zh-CN"/>
              </w:rPr>
              <w:t>×</w:t>
            </w:r>
            <w:r>
              <w:rPr>
                <w:rFonts w:hint="eastAsia" w:cs="Times New Roman"/>
                <w:color w:val="auto"/>
                <w:sz w:val="24"/>
                <w:lang w:val="en-US" w:eastAsia="zh-CN"/>
              </w:rPr>
              <w:t>活性炭吸附比例’（颗粒炭取值10%，纤维状活性炭取值15%，蜂窝状活性炭取值20%）作为废气处理设施VOC</w:t>
            </w:r>
            <w:r>
              <w:rPr>
                <w:rFonts w:hint="eastAsia" w:cs="Times New Roman"/>
                <w:color w:val="auto"/>
                <w:sz w:val="24"/>
                <w:vertAlign w:val="subscript"/>
                <w:lang w:val="en-US" w:eastAsia="zh-CN"/>
              </w:rPr>
              <w:t>S</w:t>
            </w:r>
            <w:r>
              <w:rPr>
                <w:rFonts w:hint="eastAsia" w:cs="Times New Roman"/>
                <w:color w:val="auto"/>
                <w:sz w:val="24"/>
                <w:lang w:val="en-US" w:eastAsia="zh-CN"/>
              </w:rPr>
              <w:t>削减量”。本项目采用活性炭吸附法，方案中本项目活性炭年更换量为55kg、活性炭吸附比例取20%，则废气处理设施VOC</w:t>
            </w:r>
            <w:r>
              <w:rPr>
                <w:rFonts w:hint="eastAsia" w:cs="Times New Roman"/>
                <w:color w:val="auto"/>
                <w:sz w:val="24"/>
                <w:vertAlign w:val="subscript"/>
                <w:lang w:val="en-US" w:eastAsia="zh-CN"/>
              </w:rPr>
              <w:t>S</w:t>
            </w:r>
            <w:r>
              <w:rPr>
                <w:rFonts w:hint="eastAsia" w:cs="Times New Roman"/>
                <w:color w:val="auto"/>
                <w:sz w:val="24"/>
                <w:lang w:val="en-US" w:eastAsia="zh-CN"/>
              </w:rPr>
              <w:t>削减量为11kg/a，根据前文计算，此废气治理设施VOC</w:t>
            </w:r>
            <w:r>
              <w:rPr>
                <w:rFonts w:hint="eastAsia" w:cs="Times New Roman"/>
                <w:color w:val="auto"/>
                <w:sz w:val="24"/>
                <w:vertAlign w:val="subscript"/>
                <w:lang w:val="en-US" w:eastAsia="zh-CN"/>
              </w:rPr>
              <w:t>S</w:t>
            </w:r>
            <w:r>
              <w:rPr>
                <w:rFonts w:hint="eastAsia" w:cs="Times New Roman"/>
                <w:color w:val="auto"/>
                <w:sz w:val="24"/>
                <w:lang w:val="en-US" w:eastAsia="zh-CN"/>
              </w:rPr>
              <w:t>削减量能够满足项目要求。</w:t>
            </w:r>
          </w:p>
          <w:p w14:paraId="3D5054A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3）生物安全柜</w:t>
            </w:r>
          </w:p>
          <w:p w14:paraId="194A581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设置生物安全柜，生物安全柜排风系统经过高效过滤器过滤，确保微生物有害物质控制在生物安全柜内；且实验室属于洁净实验室，整体环境处于负压状态。根据厂家提供，实验室空气进出净化系统是通过初效、中效、高效过滤器，高效过滤器采用超细玻璃纤维纸作滤料，胶板纸、铝箔板等材料折叠作分割板，新型聚氨酯密封胶密封，并以镀锌板、不锈钢板、铝合金型材为外框制成，能够有效对进出空气进行净化过滤，对废气的去除效率可达到99%。</w:t>
            </w:r>
          </w:p>
          <w:p w14:paraId="173FEE3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（3）无组织排放可行性分析</w:t>
            </w:r>
          </w:p>
          <w:p w14:paraId="7A7B53A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lang w:val="en-US" w:eastAsia="zh-CN"/>
              </w:rPr>
            </w:pPr>
            <w:r>
              <w:rPr>
                <w:rFonts w:hint="eastAsia" w:cs="Times New Roman"/>
                <w:color w:val="auto"/>
                <w:sz w:val="24"/>
                <w:lang w:val="en-US" w:eastAsia="zh-CN"/>
              </w:rPr>
              <w:t>根据《挥发性有机物无组织排放控制标准》（GB 37822-2019）中要求，VOCs物料使用过程应采用密闭设备或在密闭空间内操作，废气应排至VOCs废气收集处理系统，收集的废气中NMHC初始排放速率≥2kg/h时，应配置VOCs处理设施，处理效率不应低于80%。本项目位于重点地区，使用的有机试剂属于VOCs物料，应排至废气收集处理系统。根据废气源强核算分析，本项目有机废气产生量较小，有机废气产生速率小于2kg/h，故可不配置VOCs处理设施，但为进一步提高西安市挥发性有机物污染防治力度，促进西安市环境空气质量持续改善，故环评要求本项目经废气治理措施处理后无组织排放，满足《挥发性有机物无组织排放控制标准》（GB 37822-2019）要求。项目运行期使用酸碱试剂均在通风柜中进行，对产生的酸碱废气进行了有效的收集，收集到的酸碱废气经SDG碳吸附处理后排风口无组织排放，根据前文核算，酸碱废气排放量较小。且排风口采用远离居民区临街设置原则，排风口距离居民区最近距离为18m，有利于降低对周边敏感目标的影响，因此项目酸碱废气无组织排放可行。</w:t>
            </w:r>
          </w:p>
          <w:p w14:paraId="5910326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eastAsia" w:cs="Times New Roman"/>
                <w:b/>
                <w:bCs/>
                <w:color w:val="auto"/>
                <w:sz w:val="24"/>
                <w:lang w:val="en-US" w:eastAsia="zh-CN"/>
              </w:rPr>
            </w:pPr>
            <w:r>
              <w:rPr>
                <w:rFonts w:hint="eastAsia" w:cs="Times New Roman"/>
                <w:b/>
                <w:bCs/>
                <w:color w:val="auto"/>
                <w:sz w:val="24"/>
                <w:lang w:val="en-US" w:eastAsia="zh-CN"/>
              </w:rPr>
              <w:t>4、环境监测与管理</w:t>
            </w:r>
          </w:p>
          <w:p w14:paraId="23E80F0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根据《排污许可证申请与核发技术规范 总则》（HJ942-2018）、《排污单位自行监测技术指南总则》（HJ819-2017）中的相关监测要求，本项目运营期废气污染物排放自行监测要求见表4-3。</w:t>
            </w:r>
          </w:p>
          <w:p w14:paraId="2BFFCB8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表4-</w:t>
            </w:r>
            <w:r>
              <w:rPr>
                <w:rFonts w:hint="eastAsia" w:cs="Times New Roman"/>
                <w:b/>
                <w:bCs/>
                <w:color w:val="auto"/>
                <w:sz w:val="21"/>
                <w:szCs w:val="21"/>
                <w:lang w:val="en-US" w:eastAsia="zh-CN"/>
              </w:rPr>
              <w:t>3</w:t>
            </w:r>
            <w:r>
              <w:rPr>
                <w:rFonts w:hint="default" w:ascii="Times New Roman" w:hAnsi="Times New Roman" w:cs="Times New Roman"/>
                <w:b/>
                <w:bCs/>
                <w:color w:val="auto"/>
                <w:sz w:val="21"/>
                <w:szCs w:val="21"/>
                <w:lang w:val="en-US" w:eastAsia="zh-CN"/>
              </w:rPr>
              <w:t xml:space="preserve"> 废气自行监测计划一览表</w:t>
            </w:r>
          </w:p>
          <w:tbl>
            <w:tblPr>
              <w:tblStyle w:val="30"/>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337"/>
              <w:gridCol w:w="2735"/>
              <w:gridCol w:w="1113"/>
              <w:gridCol w:w="3813"/>
            </w:tblGrid>
            <w:tr w14:paraId="52500E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0" w:type="pct"/>
                  <w:gridSpan w:val="2"/>
                  <w:tcBorders>
                    <w:tl2br w:val="nil"/>
                    <w:tr2bl w:val="nil"/>
                  </w:tcBorders>
                  <w:noWrap w:val="0"/>
                  <w:vAlign w:val="center"/>
                </w:tcPr>
                <w:p w14:paraId="0D5FBA1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color w:val="auto"/>
                      <w:sz w:val="21"/>
                      <w:szCs w:val="21"/>
                      <w:lang w:val="en-US" w:eastAsia="zh-CN"/>
                    </w:rPr>
                  </w:pPr>
                  <w:r>
                    <w:rPr>
                      <w:rFonts w:hint="default" w:cs="Times New Roman"/>
                      <w:b/>
                      <w:bCs/>
                      <w:color w:val="auto"/>
                      <w:sz w:val="21"/>
                      <w:szCs w:val="21"/>
                      <w:lang w:val="en-US" w:eastAsia="zh-CN"/>
                    </w:rPr>
                    <w:t>监测点位</w:t>
                  </w:r>
                </w:p>
              </w:tc>
              <w:tc>
                <w:tcPr>
                  <w:tcW w:w="1413" w:type="pct"/>
                  <w:tcBorders>
                    <w:tl2br w:val="nil"/>
                    <w:tr2bl w:val="nil"/>
                  </w:tcBorders>
                  <w:noWrap w:val="0"/>
                  <w:vAlign w:val="center"/>
                </w:tcPr>
                <w:p w14:paraId="1DABC2D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color w:val="auto"/>
                      <w:sz w:val="21"/>
                      <w:szCs w:val="21"/>
                      <w:lang w:val="en-US" w:eastAsia="zh-CN"/>
                    </w:rPr>
                  </w:pPr>
                  <w:r>
                    <w:rPr>
                      <w:rFonts w:hint="default" w:cs="Times New Roman"/>
                      <w:b/>
                      <w:bCs/>
                      <w:color w:val="auto"/>
                      <w:sz w:val="21"/>
                      <w:szCs w:val="21"/>
                      <w:lang w:val="en-US" w:eastAsia="zh-CN"/>
                    </w:rPr>
                    <w:t>监测项目</w:t>
                  </w:r>
                </w:p>
              </w:tc>
              <w:tc>
                <w:tcPr>
                  <w:tcW w:w="575" w:type="pct"/>
                  <w:tcBorders>
                    <w:tl2br w:val="nil"/>
                    <w:tr2bl w:val="nil"/>
                  </w:tcBorders>
                  <w:noWrap w:val="0"/>
                  <w:vAlign w:val="center"/>
                </w:tcPr>
                <w:p w14:paraId="6434420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color w:val="auto"/>
                      <w:sz w:val="21"/>
                      <w:szCs w:val="21"/>
                      <w:lang w:val="en-US" w:eastAsia="zh-CN"/>
                    </w:rPr>
                  </w:pPr>
                  <w:r>
                    <w:rPr>
                      <w:rFonts w:hint="default" w:cs="Times New Roman"/>
                      <w:b/>
                      <w:bCs/>
                      <w:color w:val="auto"/>
                      <w:sz w:val="21"/>
                      <w:szCs w:val="21"/>
                      <w:lang w:val="en-US" w:eastAsia="zh-CN"/>
                    </w:rPr>
                    <w:t>监测频次</w:t>
                  </w:r>
                </w:p>
              </w:tc>
              <w:tc>
                <w:tcPr>
                  <w:tcW w:w="1970" w:type="pct"/>
                  <w:tcBorders>
                    <w:tl2br w:val="nil"/>
                    <w:tr2bl w:val="nil"/>
                  </w:tcBorders>
                  <w:noWrap w:val="0"/>
                  <w:vAlign w:val="center"/>
                </w:tcPr>
                <w:p w14:paraId="6A17AEE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color w:val="auto"/>
                      <w:sz w:val="21"/>
                      <w:szCs w:val="21"/>
                      <w:lang w:val="en-US" w:eastAsia="zh-CN"/>
                    </w:rPr>
                  </w:pPr>
                  <w:r>
                    <w:rPr>
                      <w:rFonts w:hint="default" w:cs="Times New Roman"/>
                      <w:b/>
                      <w:bCs/>
                      <w:color w:val="auto"/>
                      <w:sz w:val="21"/>
                      <w:szCs w:val="21"/>
                      <w:lang w:val="en-US" w:eastAsia="zh-CN"/>
                    </w:rPr>
                    <w:t>执行标准</w:t>
                  </w:r>
                </w:p>
              </w:tc>
            </w:tr>
            <w:tr w14:paraId="359E61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pct"/>
                  <w:vMerge w:val="restart"/>
                  <w:tcBorders>
                    <w:tl2br w:val="nil"/>
                    <w:tr2bl w:val="nil"/>
                  </w:tcBorders>
                  <w:noWrap w:val="0"/>
                  <w:vAlign w:val="center"/>
                </w:tcPr>
                <w:p w14:paraId="15D64DF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无组织</w:t>
                  </w:r>
                </w:p>
              </w:tc>
              <w:tc>
                <w:tcPr>
                  <w:tcW w:w="690" w:type="pct"/>
                  <w:vMerge w:val="restart"/>
                  <w:tcBorders>
                    <w:tl2br w:val="nil"/>
                    <w:tr2bl w:val="nil"/>
                  </w:tcBorders>
                  <w:noWrap w:val="0"/>
                  <w:vAlign w:val="center"/>
                </w:tcPr>
                <w:p w14:paraId="4FE208C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上风向1个点位，下风向3个点位</w:t>
                  </w:r>
                </w:p>
              </w:tc>
              <w:tc>
                <w:tcPr>
                  <w:tcW w:w="1413" w:type="pct"/>
                  <w:tcBorders>
                    <w:tl2br w:val="nil"/>
                    <w:tr2bl w:val="nil"/>
                  </w:tcBorders>
                  <w:noWrap w:val="0"/>
                  <w:vAlign w:val="center"/>
                </w:tcPr>
                <w:p w14:paraId="54329FC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氨</w:t>
                  </w:r>
                </w:p>
              </w:tc>
              <w:tc>
                <w:tcPr>
                  <w:tcW w:w="575" w:type="pct"/>
                  <w:vMerge w:val="restart"/>
                  <w:tcBorders>
                    <w:tl2br w:val="nil"/>
                    <w:tr2bl w:val="nil"/>
                  </w:tcBorders>
                  <w:noWrap w:val="0"/>
                  <w:vAlign w:val="center"/>
                </w:tcPr>
                <w:p w14:paraId="4419CD1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1次/年</w:t>
                  </w:r>
                </w:p>
              </w:tc>
              <w:tc>
                <w:tcPr>
                  <w:tcW w:w="1970" w:type="pct"/>
                  <w:tcBorders>
                    <w:tl2br w:val="nil"/>
                    <w:tr2bl w:val="nil"/>
                  </w:tcBorders>
                  <w:noWrap w:val="0"/>
                  <w:vAlign w:val="center"/>
                </w:tcPr>
                <w:p w14:paraId="06082B9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《恶臭污染物排放标准》（GB14554-93）</w:t>
                  </w:r>
                </w:p>
              </w:tc>
            </w:tr>
            <w:tr w14:paraId="0AF7F3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9" w:type="pct"/>
                  <w:vMerge w:val="continue"/>
                  <w:tcBorders>
                    <w:tl2br w:val="nil"/>
                    <w:tr2bl w:val="nil"/>
                  </w:tcBorders>
                  <w:noWrap w:val="0"/>
                  <w:vAlign w:val="center"/>
                </w:tcPr>
                <w:p w14:paraId="08D4D29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690" w:type="pct"/>
                  <w:vMerge w:val="continue"/>
                  <w:tcBorders>
                    <w:tl2br w:val="nil"/>
                    <w:tr2bl w:val="nil"/>
                  </w:tcBorders>
                  <w:noWrap w:val="0"/>
                  <w:vAlign w:val="center"/>
                </w:tcPr>
                <w:p w14:paraId="477E0BB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1413" w:type="pct"/>
                  <w:tcBorders>
                    <w:tl2br w:val="nil"/>
                    <w:tr2bl w:val="nil"/>
                  </w:tcBorders>
                  <w:noWrap w:val="0"/>
                  <w:vAlign w:val="center"/>
                </w:tcPr>
                <w:p w14:paraId="7F3DB3E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硫酸雾、</w:t>
                  </w:r>
                  <w:r>
                    <w:rPr>
                      <w:rFonts w:hint="eastAsia" w:cs="Times New Roman"/>
                      <w:color w:val="auto"/>
                      <w:sz w:val="21"/>
                      <w:szCs w:val="21"/>
                      <w:lang w:val="en-US" w:eastAsia="zh-CN"/>
                    </w:rPr>
                    <w:t>氯化氢、氮氧化物</w:t>
                  </w:r>
                </w:p>
              </w:tc>
              <w:tc>
                <w:tcPr>
                  <w:tcW w:w="575" w:type="pct"/>
                  <w:vMerge w:val="continue"/>
                  <w:tcBorders>
                    <w:tl2br w:val="nil"/>
                    <w:tr2bl w:val="nil"/>
                  </w:tcBorders>
                  <w:noWrap w:val="0"/>
                  <w:vAlign w:val="center"/>
                </w:tcPr>
                <w:p w14:paraId="44212C1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1970" w:type="pct"/>
                  <w:tcBorders>
                    <w:tl2br w:val="nil"/>
                    <w:tr2bl w:val="nil"/>
                  </w:tcBorders>
                  <w:noWrap w:val="0"/>
                  <w:vAlign w:val="center"/>
                </w:tcPr>
                <w:p w14:paraId="658C14F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《大气污染物综合排放标准》（GB16297-1996）</w:t>
                  </w:r>
                </w:p>
              </w:tc>
            </w:tr>
            <w:tr w14:paraId="5E4616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49" w:type="pct"/>
                  <w:vMerge w:val="continue"/>
                  <w:tcBorders>
                    <w:tl2br w:val="nil"/>
                    <w:tr2bl w:val="nil"/>
                  </w:tcBorders>
                  <w:noWrap w:val="0"/>
                  <w:vAlign w:val="center"/>
                </w:tcPr>
                <w:p w14:paraId="6C7974C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690" w:type="pct"/>
                  <w:vMerge w:val="continue"/>
                  <w:tcBorders>
                    <w:tl2br w:val="nil"/>
                    <w:tr2bl w:val="nil"/>
                  </w:tcBorders>
                  <w:noWrap w:val="0"/>
                  <w:vAlign w:val="center"/>
                </w:tcPr>
                <w:p w14:paraId="6568DB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1413" w:type="pct"/>
                  <w:tcBorders>
                    <w:tl2br w:val="nil"/>
                    <w:tr2bl w:val="nil"/>
                  </w:tcBorders>
                  <w:noWrap w:val="0"/>
                  <w:vAlign w:val="center"/>
                </w:tcPr>
                <w:p w14:paraId="09E3D2A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非甲烷总烃</w:t>
                  </w:r>
                </w:p>
              </w:tc>
              <w:tc>
                <w:tcPr>
                  <w:tcW w:w="575" w:type="pct"/>
                  <w:vMerge w:val="continue"/>
                  <w:tcBorders>
                    <w:tl2br w:val="nil"/>
                    <w:tr2bl w:val="nil"/>
                  </w:tcBorders>
                  <w:noWrap w:val="0"/>
                  <w:vAlign w:val="center"/>
                </w:tcPr>
                <w:p w14:paraId="64B645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1970" w:type="pct"/>
                  <w:tcBorders>
                    <w:tl2br w:val="nil"/>
                    <w:tr2bl w:val="nil"/>
                  </w:tcBorders>
                  <w:noWrap w:val="0"/>
                  <w:vAlign w:val="center"/>
                </w:tcPr>
                <w:p w14:paraId="53A593C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《大气污染物综合排放标准》（GB16297-1996）</w:t>
                  </w:r>
                </w:p>
              </w:tc>
            </w:tr>
            <w:tr w14:paraId="2CCDF5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9" w:type="pct"/>
                  <w:vMerge w:val="continue"/>
                  <w:tcBorders>
                    <w:tl2br w:val="nil"/>
                    <w:tr2bl w:val="nil"/>
                  </w:tcBorders>
                  <w:noWrap w:val="0"/>
                  <w:vAlign w:val="center"/>
                </w:tcPr>
                <w:p w14:paraId="0E4A2A8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690" w:type="pct"/>
                  <w:tcBorders>
                    <w:tl2br w:val="nil"/>
                    <w:tr2bl w:val="nil"/>
                  </w:tcBorders>
                  <w:noWrap w:val="0"/>
                  <w:vAlign w:val="center"/>
                </w:tcPr>
                <w:p w14:paraId="1249F41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厂区内</w:t>
                  </w:r>
                </w:p>
              </w:tc>
              <w:tc>
                <w:tcPr>
                  <w:tcW w:w="1413" w:type="pct"/>
                  <w:tcBorders>
                    <w:tl2br w:val="nil"/>
                    <w:tr2bl w:val="nil"/>
                  </w:tcBorders>
                  <w:noWrap w:val="0"/>
                  <w:vAlign w:val="center"/>
                </w:tcPr>
                <w:p w14:paraId="37FF5FB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非甲烷总烃</w:t>
                  </w:r>
                </w:p>
              </w:tc>
              <w:tc>
                <w:tcPr>
                  <w:tcW w:w="575" w:type="pct"/>
                  <w:vMerge w:val="continue"/>
                  <w:tcBorders>
                    <w:tl2br w:val="nil"/>
                    <w:tr2bl w:val="nil"/>
                  </w:tcBorders>
                  <w:noWrap w:val="0"/>
                  <w:vAlign w:val="center"/>
                </w:tcPr>
                <w:p w14:paraId="6464104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p>
              </w:tc>
              <w:tc>
                <w:tcPr>
                  <w:tcW w:w="1970" w:type="pct"/>
                  <w:tcBorders>
                    <w:tl2br w:val="nil"/>
                    <w:tr2bl w:val="nil"/>
                  </w:tcBorders>
                  <w:noWrap w:val="0"/>
                  <w:vAlign w:val="center"/>
                </w:tcPr>
                <w:p w14:paraId="026D276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《挥发性有机物无组织排放控制标准》（GB 37822-2019）</w:t>
                  </w:r>
                </w:p>
              </w:tc>
            </w:tr>
          </w:tbl>
          <w:p w14:paraId="258D12A0">
            <w:pPr>
              <w:pStyle w:val="10"/>
              <w:adjustRightInd w:val="0"/>
              <w:snapToGrid w:val="0"/>
              <w:spacing w:line="360" w:lineRule="auto"/>
              <w:ind w:left="0" w:firstLine="0"/>
              <w:rPr>
                <w:rStyle w:val="34"/>
                <w:rFonts w:hint="eastAsia" w:ascii="Times New Roman" w:hAnsi="Times New Roman" w:eastAsia="宋体" w:cs="Times New Roman"/>
                <w:b/>
                <w:color w:val="auto"/>
                <w:sz w:val="24"/>
                <w:szCs w:val="24"/>
                <w:u w:val="none"/>
                <w:lang w:eastAsia="zh-CN"/>
              </w:rPr>
            </w:pPr>
            <w:r>
              <w:rPr>
                <w:rStyle w:val="34"/>
                <w:rFonts w:hint="default" w:ascii="Times New Roman" w:hAnsi="Times New Roman" w:eastAsia="宋体" w:cs="Times New Roman"/>
                <w:b/>
                <w:color w:val="auto"/>
                <w:sz w:val="24"/>
                <w:szCs w:val="24"/>
                <w:u w:val="none"/>
              </w:rPr>
              <w:t>（二）</w:t>
            </w:r>
            <w:r>
              <w:rPr>
                <w:rStyle w:val="34"/>
                <w:rFonts w:hint="eastAsia" w:ascii="Times New Roman" w:eastAsia="宋体" w:cs="Times New Roman"/>
                <w:b/>
                <w:color w:val="auto"/>
                <w:sz w:val="24"/>
                <w:szCs w:val="24"/>
                <w:u w:val="none"/>
                <w:lang w:val="en-US" w:eastAsia="zh-CN"/>
              </w:rPr>
              <w:t>废水</w:t>
            </w:r>
          </w:p>
          <w:p w14:paraId="3010558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1、废水污染物源强核算</w:t>
            </w:r>
          </w:p>
          <w:p w14:paraId="7DACCD03">
            <w:pPr>
              <w:adjustRightInd w:val="0"/>
              <w:snapToGrid w:val="0"/>
              <w:spacing w:line="360" w:lineRule="auto"/>
              <w:ind w:firstLine="480" w:firstLineChars="200"/>
              <w:rPr>
                <w:rFonts w:hint="default" w:ascii="Times New Roman" w:hAnsi="Times New Roman" w:cs="Times New Roman"/>
                <w:color w:val="auto"/>
                <w:sz w:val="24"/>
                <w:lang w:val="en-US"/>
              </w:rPr>
            </w:pPr>
            <w:r>
              <w:rPr>
                <w:rFonts w:hint="default" w:ascii="Times New Roman" w:hAnsi="Times New Roman" w:cs="Times New Roman"/>
                <w:color w:val="auto"/>
                <w:sz w:val="24"/>
              </w:rPr>
              <w:t>根据前文给排水核算情况，本项目废水主要为生活污水、纯水制备废水、实验器材清洗废水</w:t>
            </w:r>
            <w:r>
              <w:rPr>
                <w:rFonts w:hint="eastAsia" w:cs="Times New Roman"/>
                <w:color w:val="auto"/>
                <w:sz w:val="24"/>
                <w:lang w:eastAsia="zh-CN"/>
              </w:rPr>
              <w:t>、</w:t>
            </w:r>
            <w:r>
              <w:rPr>
                <w:rFonts w:hint="eastAsia" w:cs="Times New Roman"/>
                <w:color w:val="auto"/>
                <w:sz w:val="24"/>
                <w:lang w:val="en-US" w:eastAsia="zh-CN"/>
              </w:rPr>
              <w:t>实验室清洗废水，其中生活污水产生量为82.19m</w:t>
            </w:r>
            <w:r>
              <w:rPr>
                <w:rFonts w:hint="eastAsia" w:cs="Times New Roman"/>
                <w:color w:val="auto"/>
                <w:sz w:val="24"/>
                <w:vertAlign w:val="superscript"/>
                <w:lang w:val="en-US" w:eastAsia="zh-CN"/>
              </w:rPr>
              <w:t>3</w:t>
            </w:r>
            <w:r>
              <w:rPr>
                <w:rFonts w:hint="eastAsia" w:cs="Times New Roman"/>
                <w:color w:val="auto"/>
                <w:sz w:val="24"/>
                <w:lang w:val="en-US" w:eastAsia="zh-CN"/>
              </w:rPr>
              <w:t>/a、纯水制备浓水产生量为17.14m</w:t>
            </w:r>
            <w:r>
              <w:rPr>
                <w:rFonts w:hint="eastAsia" w:cs="Times New Roman"/>
                <w:color w:val="auto"/>
                <w:sz w:val="24"/>
                <w:vertAlign w:val="superscript"/>
                <w:lang w:val="en-US" w:eastAsia="zh-CN"/>
              </w:rPr>
              <w:t>3</w:t>
            </w:r>
            <w:r>
              <w:rPr>
                <w:rFonts w:hint="eastAsia" w:cs="Times New Roman"/>
                <w:color w:val="auto"/>
                <w:sz w:val="24"/>
                <w:lang w:val="en-US" w:eastAsia="zh-CN"/>
              </w:rPr>
              <w:t>/a、实验器材清洗废水产生量为22.5m</w:t>
            </w:r>
            <w:r>
              <w:rPr>
                <w:rFonts w:hint="eastAsia" w:cs="Times New Roman"/>
                <w:color w:val="auto"/>
                <w:sz w:val="24"/>
                <w:vertAlign w:val="superscript"/>
                <w:lang w:val="en-US" w:eastAsia="zh-CN"/>
              </w:rPr>
              <w:t>3</w:t>
            </w:r>
            <w:r>
              <w:rPr>
                <w:rFonts w:hint="eastAsia" w:cs="Times New Roman"/>
                <w:color w:val="auto"/>
                <w:sz w:val="24"/>
                <w:lang w:val="en-US" w:eastAsia="zh-CN"/>
              </w:rPr>
              <w:t>/a、实验室清洗废水产生量约为22.5m</w:t>
            </w:r>
            <w:r>
              <w:rPr>
                <w:rFonts w:hint="eastAsia" w:cs="Times New Roman"/>
                <w:color w:val="auto"/>
                <w:sz w:val="24"/>
                <w:vertAlign w:val="superscript"/>
                <w:lang w:val="en-US" w:eastAsia="zh-CN"/>
              </w:rPr>
              <w:t>3</w:t>
            </w:r>
            <w:r>
              <w:rPr>
                <w:rFonts w:hint="eastAsia" w:cs="Times New Roman"/>
                <w:color w:val="auto"/>
                <w:sz w:val="24"/>
                <w:lang w:val="en-US" w:eastAsia="zh-CN"/>
              </w:rPr>
              <w:t>/a。实验器材清洗废水和实验室清洗废水单独收集进入酸碱中和池处理后与纯水制备浓水和生活污水一并排入化粪池，最后排入市政污水管网进入西安市第一污水处理厂（邓家村污水处理厂）深度处理。</w:t>
            </w:r>
          </w:p>
          <w:p w14:paraId="6F2B1D80">
            <w:pPr>
              <w:pStyle w:val="65"/>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根据类比其他同类型项目，本项目各阶段水质情况及废水中污染物产排情况见表4-</w:t>
            </w:r>
            <w:r>
              <w:rPr>
                <w:rFonts w:hint="eastAsia" w:ascii="Times New Roman" w:eastAsia="宋体" w:cs="Times New Roman"/>
                <w:color w:val="auto"/>
                <w:kern w:val="2"/>
                <w:lang w:val="en-US" w:eastAsia="zh-CN"/>
              </w:rPr>
              <w:t>5</w:t>
            </w:r>
            <w:r>
              <w:rPr>
                <w:rFonts w:hint="default" w:ascii="Times New Roman" w:hAnsi="Times New Roman" w:eastAsia="宋体" w:cs="Times New Roman"/>
                <w:color w:val="auto"/>
                <w:kern w:val="2"/>
              </w:rPr>
              <w:t>。</w:t>
            </w:r>
          </w:p>
          <w:p w14:paraId="7CEC6657">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表4-</w:t>
            </w:r>
            <w:r>
              <w:rPr>
                <w:rFonts w:hint="eastAsia" w:cs="Times New Roman"/>
                <w:b/>
                <w:bCs/>
                <w:color w:val="auto"/>
                <w:szCs w:val="21"/>
                <w:lang w:val="en-US" w:eastAsia="zh-CN"/>
              </w:rPr>
              <w:t>4</w:t>
            </w:r>
            <w:r>
              <w:rPr>
                <w:rFonts w:hint="default" w:ascii="Times New Roman" w:hAnsi="Times New Roman" w:cs="Times New Roman"/>
                <w:b/>
                <w:bCs/>
                <w:color w:val="auto"/>
                <w:szCs w:val="21"/>
              </w:rPr>
              <w:t xml:space="preserve"> 本项目水污染物排放情况一览表</w:t>
            </w:r>
          </w:p>
          <w:tbl>
            <w:tblPr>
              <w:tblStyle w:val="30"/>
              <w:tblW w:w="5000"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075"/>
              <w:gridCol w:w="1470"/>
              <w:gridCol w:w="1453"/>
              <w:gridCol w:w="1015"/>
              <w:gridCol w:w="678"/>
              <w:gridCol w:w="647"/>
              <w:gridCol w:w="939"/>
              <w:gridCol w:w="742"/>
              <w:gridCol w:w="552"/>
              <w:gridCol w:w="645"/>
            </w:tblGrid>
            <w:tr w14:paraId="1FD7266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36" w:type="pct"/>
                  <w:tcBorders>
                    <w:tl2br w:val="nil"/>
                    <w:tr2bl w:val="nil"/>
                  </w:tcBorders>
                  <w:vAlign w:val="center"/>
                </w:tcPr>
                <w:p w14:paraId="141F030E">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555" w:type="pct"/>
                  <w:tcBorders>
                    <w:tl2br w:val="nil"/>
                    <w:tr2bl w:val="nil"/>
                  </w:tcBorders>
                  <w:vAlign w:val="center"/>
                </w:tcPr>
                <w:p w14:paraId="04C4F5D9">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废水类别</w:t>
                  </w:r>
                </w:p>
              </w:tc>
              <w:tc>
                <w:tcPr>
                  <w:tcW w:w="759" w:type="pct"/>
                  <w:tcBorders>
                    <w:tl2br w:val="nil"/>
                    <w:tr2bl w:val="nil"/>
                  </w:tcBorders>
                  <w:vAlign w:val="center"/>
                </w:tcPr>
                <w:p w14:paraId="13183D6F">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污染物种类</w:t>
                  </w:r>
                </w:p>
              </w:tc>
              <w:tc>
                <w:tcPr>
                  <w:tcW w:w="750" w:type="pct"/>
                  <w:tcBorders>
                    <w:tl2br w:val="nil"/>
                    <w:tr2bl w:val="nil"/>
                  </w:tcBorders>
                  <w:vAlign w:val="center"/>
                </w:tcPr>
                <w:p w14:paraId="23F97643">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排放规律</w:t>
                  </w:r>
                </w:p>
              </w:tc>
              <w:tc>
                <w:tcPr>
                  <w:tcW w:w="524" w:type="pct"/>
                  <w:tcBorders>
                    <w:tl2br w:val="nil"/>
                    <w:tr2bl w:val="nil"/>
                  </w:tcBorders>
                  <w:vAlign w:val="center"/>
                </w:tcPr>
                <w:p w14:paraId="51B51585">
                  <w:pPr>
                    <w:adjustRightInd w:val="0"/>
                    <w:snapToGrid w:val="0"/>
                    <w:spacing w:line="260" w:lineRule="exact"/>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污染治理设施编号</w:t>
                  </w:r>
                </w:p>
              </w:tc>
              <w:tc>
                <w:tcPr>
                  <w:tcW w:w="350" w:type="pct"/>
                  <w:tcBorders>
                    <w:tl2br w:val="nil"/>
                    <w:tr2bl w:val="nil"/>
                  </w:tcBorders>
                  <w:vAlign w:val="center"/>
                </w:tcPr>
                <w:p w14:paraId="47EE4D4C">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污染治理设施名称</w:t>
                  </w:r>
                </w:p>
              </w:tc>
              <w:tc>
                <w:tcPr>
                  <w:tcW w:w="334" w:type="pct"/>
                  <w:tcBorders>
                    <w:tl2br w:val="nil"/>
                    <w:tr2bl w:val="nil"/>
                  </w:tcBorders>
                  <w:vAlign w:val="center"/>
                </w:tcPr>
                <w:p w14:paraId="1C18267E">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污染治理设施工艺</w:t>
                  </w:r>
                </w:p>
              </w:tc>
              <w:tc>
                <w:tcPr>
                  <w:tcW w:w="485" w:type="pct"/>
                  <w:tcBorders>
                    <w:tl2br w:val="nil"/>
                    <w:tr2bl w:val="nil"/>
                  </w:tcBorders>
                  <w:vAlign w:val="center"/>
                </w:tcPr>
                <w:p w14:paraId="667B671A">
                  <w:pPr>
                    <w:adjustRightInd w:val="0"/>
                    <w:snapToGrid w:val="0"/>
                    <w:spacing w:line="260" w:lineRule="exact"/>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排放口编号</w:t>
                  </w:r>
                </w:p>
              </w:tc>
              <w:tc>
                <w:tcPr>
                  <w:tcW w:w="383" w:type="pct"/>
                  <w:tcBorders>
                    <w:tl2br w:val="nil"/>
                    <w:tr2bl w:val="nil"/>
                  </w:tcBorders>
                  <w:vAlign w:val="center"/>
                </w:tcPr>
                <w:p w14:paraId="63411974">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排放口设置是否符合要求</w:t>
                  </w:r>
                </w:p>
              </w:tc>
              <w:tc>
                <w:tcPr>
                  <w:tcW w:w="285" w:type="pct"/>
                  <w:tcBorders>
                    <w:tl2br w:val="nil"/>
                    <w:tr2bl w:val="nil"/>
                  </w:tcBorders>
                  <w:vAlign w:val="center"/>
                </w:tcPr>
                <w:p w14:paraId="537A68A8">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排放口类型</w:t>
                  </w:r>
                </w:p>
              </w:tc>
              <w:tc>
                <w:tcPr>
                  <w:tcW w:w="333" w:type="pct"/>
                  <w:tcBorders>
                    <w:tl2br w:val="nil"/>
                    <w:tr2bl w:val="nil"/>
                  </w:tcBorders>
                  <w:vAlign w:val="center"/>
                </w:tcPr>
                <w:p w14:paraId="1A0DD5FE">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r>
            <w:tr w14:paraId="457A003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36" w:type="pct"/>
                  <w:tcBorders>
                    <w:tl2br w:val="nil"/>
                    <w:tr2bl w:val="nil"/>
                  </w:tcBorders>
                  <w:vAlign w:val="center"/>
                </w:tcPr>
                <w:p w14:paraId="1BE8E894">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55" w:type="pct"/>
                  <w:tcBorders>
                    <w:tl2br w:val="nil"/>
                    <w:tr2bl w:val="nil"/>
                  </w:tcBorders>
                  <w:vAlign w:val="center"/>
                </w:tcPr>
                <w:p w14:paraId="512F4138">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实验器材清洗废水、</w:t>
                  </w:r>
                  <w:r>
                    <w:rPr>
                      <w:rFonts w:hint="eastAsia" w:cs="Times New Roman"/>
                      <w:color w:val="auto"/>
                      <w:szCs w:val="21"/>
                      <w:lang w:val="en-US" w:eastAsia="zh-CN"/>
                    </w:rPr>
                    <w:t>实验室</w:t>
                  </w:r>
                  <w:r>
                    <w:rPr>
                      <w:rFonts w:hint="default" w:ascii="Times New Roman" w:hAnsi="Times New Roman" w:cs="Times New Roman"/>
                      <w:color w:val="auto"/>
                      <w:szCs w:val="21"/>
                    </w:rPr>
                    <w:t>清洗废水</w:t>
                  </w:r>
                </w:p>
              </w:tc>
              <w:tc>
                <w:tcPr>
                  <w:tcW w:w="759" w:type="pct"/>
                  <w:tcBorders>
                    <w:tl2br w:val="nil"/>
                    <w:tr2bl w:val="nil"/>
                  </w:tcBorders>
                  <w:vAlign w:val="center"/>
                </w:tcPr>
                <w:p w14:paraId="1CE5D7D0">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pH、COD、BOD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-N、SS</w:t>
                  </w:r>
                </w:p>
              </w:tc>
              <w:tc>
                <w:tcPr>
                  <w:tcW w:w="750" w:type="pct"/>
                  <w:tcBorders>
                    <w:tl2br w:val="nil"/>
                    <w:tr2bl w:val="nil"/>
                  </w:tcBorders>
                  <w:vAlign w:val="center"/>
                </w:tcPr>
                <w:p w14:paraId="38951191">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间断排放，排放期间流量不稳定，属于冲击型排放</w:t>
                  </w:r>
                </w:p>
              </w:tc>
              <w:tc>
                <w:tcPr>
                  <w:tcW w:w="524" w:type="pct"/>
                  <w:tcBorders>
                    <w:tl2br w:val="nil"/>
                    <w:tr2bl w:val="nil"/>
                  </w:tcBorders>
                  <w:vAlign w:val="center"/>
                </w:tcPr>
                <w:p w14:paraId="659EDED5">
                  <w:pPr>
                    <w:adjustRightInd w:val="0"/>
                    <w:snapToGrid w:val="0"/>
                    <w:spacing w:line="260" w:lineRule="exact"/>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TW001</w:t>
                  </w:r>
                </w:p>
              </w:tc>
              <w:tc>
                <w:tcPr>
                  <w:tcW w:w="350" w:type="pct"/>
                  <w:tcBorders>
                    <w:tl2br w:val="nil"/>
                    <w:tr2bl w:val="nil"/>
                  </w:tcBorders>
                  <w:vAlign w:val="center"/>
                </w:tcPr>
                <w:p w14:paraId="6E464D76">
                  <w:pPr>
                    <w:adjustRightInd w:val="0"/>
                    <w:snapToGrid w:val="0"/>
                    <w:spacing w:line="260" w:lineRule="exac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酸碱中和池</w:t>
                  </w:r>
                </w:p>
              </w:tc>
              <w:tc>
                <w:tcPr>
                  <w:tcW w:w="334" w:type="pct"/>
                  <w:tcBorders>
                    <w:tl2br w:val="nil"/>
                    <w:tr2bl w:val="nil"/>
                  </w:tcBorders>
                  <w:vAlign w:val="center"/>
                </w:tcPr>
                <w:p w14:paraId="1A16A0BB">
                  <w:pPr>
                    <w:adjustRightInd w:val="0"/>
                    <w:snapToGrid w:val="0"/>
                    <w:spacing w:line="260" w:lineRule="exac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中和</w:t>
                  </w:r>
                </w:p>
              </w:tc>
              <w:tc>
                <w:tcPr>
                  <w:tcW w:w="485" w:type="pct"/>
                  <w:vMerge w:val="restart"/>
                  <w:tcBorders>
                    <w:tl2br w:val="nil"/>
                    <w:tr2bl w:val="nil"/>
                  </w:tcBorders>
                  <w:vAlign w:val="center"/>
                </w:tcPr>
                <w:p w14:paraId="27A8FF3A">
                  <w:pPr>
                    <w:adjustRightInd w:val="0"/>
                    <w:snapToGrid w:val="0"/>
                    <w:spacing w:line="260" w:lineRule="exact"/>
                    <w:jc w:val="center"/>
                    <w:rPr>
                      <w:rFonts w:hint="default" w:cs="Times New Roman"/>
                      <w:color w:val="auto"/>
                      <w:szCs w:val="21"/>
                      <w:lang w:val="en-US" w:eastAsia="zh-CN"/>
                    </w:rPr>
                  </w:pPr>
                  <w:r>
                    <w:rPr>
                      <w:rFonts w:hint="eastAsia" w:cs="Times New Roman"/>
                      <w:color w:val="auto"/>
                      <w:szCs w:val="21"/>
                      <w:lang w:val="en-US" w:eastAsia="zh-CN"/>
                    </w:rPr>
                    <w:t>DW001</w:t>
                  </w:r>
                </w:p>
              </w:tc>
              <w:tc>
                <w:tcPr>
                  <w:tcW w:w="383" w:type="pct"/>
                  <w:vMerge w:val="restart"/>
                  <w:tcBorders>
                    <w:tl2br w:val="nil"/>
                    <w:tr2bl w:val="nil"/>
                  </w:tcBorders>
                  <w:vAlign w:val="center"/>
                </w:tcPr>
                <w:p w14:paraId="14302398">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color w:val="auto"/>
                      <w:szCs w:val="21"/>
                    </w:rPr>
                    <w:t>是</w:t>
                  </w:r>
                </w:p>
              </w:tc>
              <w:tc>
                <w:tcPr>
                  <w:tcW w:w="285" w:type="pct"/>
                  <w:vMerge w:val="restart"/>
                  <w:tcBorders>
                    <w:tl2br w:val="nil"/>
                    <w:tr2bl w:val="nil"/>
                  </w:tcBorders>
                  <w:vAlign w:val="center"/>
                </w:tcPr>
                <w:p w14:paraId="15D249F9">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color w:val="auto"/>
                      <w:szCs w:val="21"/>
                    </w:rPr>
                    <w:t>企业总排口</w:t>
                  </w:r>
                </w:p>
              </w:tc>
              <w:tc>
                <w:tcPr>
                  <w:tcW w:w="333" w:type="pct"/>
                  <w:vMerge w:val="restart"/>
                  <w:tcBorders>
                    <w:tl2br w:val="nil"/>
                    <w:tr2bl w:val="nil"/>
                  </w:tcBorders>
                  <w:vAlign w:val="center"/>
                </w:tcPr>
                <w:p w14:paraId="3F6CA16F">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邓家村污水处理厂</w:t>
                  </w:r>
                </w:p>
              </w:tc>
            </w:tr>
            <w:tr w14:paraId="5B3A4C4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36" w:type="pct"/>
                  <w:tcBorders>
                    <w:tl2br w:val="nil"/>
                    <w:tr2bl w:val="nil"/>
                  </w:tcBorders>
                  <w:vAlign w:val="center"/>
                </w:tcPr>
                <w:p w14:paraId="7466C5C5">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555" w:type="pct"/>
                  <w:tcBorders>
                    <w:tl2br w:val="nil"/>
                    <w:tr2bl w:val="nil"/>
                  </w:tcBorders>
                  <w:vAlign w:val="center"/>
                </w:tcPr>
                <w:p w14:paraId="25BE1293">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w:t>
                  </w:r>
                </w:p>
              </w:tc>
              <w:tc>
                <w:tcPr>
                  <w:tcW w:w="759" w:type="pct"/>
                  <w:tcBorders>
                    <w:tl2br w:val="nil"/>
                    <w:tr2bl w:val="nil"/>
                  </w:tcBorders>
                  <w:vAlign w:val="center"/>
                </w:tcPr>
                <w:p w14:paraId="07DB5C8F">
                  <w:pPr>
                    <w:adjustRightInd w:val="0"/>
                    <w:snapToGrid w:val="0"/>
                    <w:spacing w:line="2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pH、COD、BOD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-N、SS</w:t>
                  </w:r>
                  <w:r>
                    <w:rPr>
                      <w:rFonts w:hint="eastAsia" w:cs="Times New Roman"/>
                      <w:color w:val="auto"/>
                      <w:szCs w:val="21"/>
                      <w:lang w:eastAsia="zh-CN"/>
                    </w:rPr>
                    <w:t>、</w:t>
                  </w:r>
                  <w:r>
                    <w:rPr>
                      <w:rFonts w:hint="eastAsia" w:cs="Times New Roman"/>
                      <w:color w:val="auto"/>
                      <w:szCs w:val="21"/>
                      <w:lang w:val="en-US" w:eastAsia="zh-CN"/>
                    </w:rPr>
                    <w:t>TP、TN</w:t>
                  </w:r>
                </w:p>
              </w:tc>
              <w:tc>
                <w:tcPr>
                  <w:tcW w:w="750" w:type="pct"/>
                  <w:tcBorders>
                    <w:tl2br w:val="nil"/>
                    <w:tr2bl w:val="nil"/>
                  </w:tcBorders>
                  <w:vAlign w:val="center"/>
                </w:tcPr>
                <w:p w14:paraId="057A948C">
                  <w:pPr>
                    <w:adjustRightInd w:val="0"/>
                    <w:snapToGrid w:val="0"/>
                    <w:spacing w:line="260" w:lineRule="exact"/>
                    <w:jc w:val="center"/>
                    <w:rPr>
                      <w:rFonts w:hint="default" w:ascii="Times New Roman" w:hAnsi="Times New Roman" w:cs="Times New Roman"/>
                      <w:b/>
                      <w:bCs/>
                      <w:color w:val="auto"/>
                      <w:szCs w:val="21"/>
                    </w:rPr>
                  </w:pPr>
                  <w:r>
                    <w:rPr>
                      <w:rFonts w:hint="default" w:ascii="Times New Roman" w:hAnsi="Times New Roman" w:cs="Times New Roman"/>
                      <w:color w:val="auto"/>
                      <w:szCs w:val="21"/>
                    </w:rPr>
                    <w:t>间断排放，排放期间流量不稳定且无规律，但不属于冲击型排放</w:t>
                  </w:r>
                </w:p>
              </w:tc>
              <w:tc>
                <w:tcPr>
                  <w:tcW w:w="524" w:type="pct"/>
                  <w:tcBorders>
                    <w:tl2br w:val="nil"/>
                    <w:tr2bl w:val="nil"/>
                  </w:tcBorders>
                  <w:vAlign w:val="center"/>
                </w:tcPr>
                <w:p w14:paraId="3655B2E7">
                  <w:pPr>
                    <w:adjustRightInd w:val="0"/>
                    <w:snapToGrid w:val="0"/>
                    <w:spacing w:line="260" w:lineRule="exact"/>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TW002</w:t>
                  </w:r>
                </w:p>
              </w:tc>
              <w:tc>
                <w:tcPr>
                  <w:tcW w:w="350" w:type="pct"/>
                  <w:tcBorders>
                    <w:tl2br w:val="nil"/>
                    <w:tr2bl w:val="nil"/>
                  </w:tcBorders>
                  <w:vAlign w:val="center"/>
                </w:tcPr>
                <w:p w14:paraId="1637E9FF">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化粪池</w:t>
                  </w:r>
                </w:p>
              </w:tc>
              <w:tc>
                <w:tcPr>
                  <w:tcW w:w="334" w:type="pct"/>
                  <w:tcBorders>
                    <w:tl2br w:val="nil"/>
                    <w:tr2bl w:val="nil"/>
                  </w:tcBorders>
                  <w:vAlign w:val="center"/>
                </w:tcPr>
                <w:p w14:paraId="7A188BBD">
                  <w:pPr>
                    <w:adjustRightInd w:val="0"/>
                    <w:snapToGrid w:val="0"/>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沉淀</w:t>
                  </w:r>
                </w:p>
              </w:tc>
              <w:tc>
                <w:tcPr>
                  <w:tcW w:w="485" w:type="pct"/>
                  <w:vMerge w:val="continue"/>
                  <w:tcBorders>
                    <w:tl2br w:val="nil"/>
                    <w:tr2bl w:val="nil"/>
                  </w:tcBorders>
                  <w:vAlign w:val="center"/>
                </w:tcPr>
                <w:p w14:paraId="7F695982">
                  <w:pPr>
                    <w:adjustRightInd w:val="0"/>
                    <w:snapToGrid w:val="0"/>
                    <w:spacing w:line="260" w:lineRule="exact"/>
                    <w:jc w:val="center"/>
                    <w:rPr>
                      <w:rFonts w:hint="default" w:ascii="Times New Roman" w:hAnsi="Times New Roman" w:cs="Times New Roman"/>
                      <w:color w:val="auto"/>
                      <w:szCs w:val="21"/>
                    </w:rPr>
                  </w:pPr>
                </w:p>
              </w:tc>
              <w:tc>
                <w:tcPr>
                  <w:tcW w:w="383" w:type="pct"/>
                  <w:vMerge w:val="continue"/>
                  <w:tcBorders>
                    <w:tl2br w:val="nil"/>
                    <w:tr2bl w:val="nil"/>
                  </w:tcBorders>
                  <w:vAlign w:val="center"/>
                </w:tcPr>
                <w:p w14:paraId="2D6EB751">
                  <w:pPr>
                    <w:adjustRightInd w:val="0"/>
                    <w:snapToGrid w:val="0"/>
                    <w:spacing w:line="260" w:lineRule="exact"/>
                    <w:jc w:val="center"/>
                    <w:rPr>
                      <w:rFonts w:hint="default" w:ascii="Times New Roman" w:hAnsi="Times New Roman" w:cs="Times New Roman"/>
                      <w:b/>
                      <w:bCs/>
                      <w:color w:val="auto"/>
                      <w:szCs w:val="21"/>
                    </w:rPr>
                  </w:pPr>
                </w:p>
              </w:tc>
              <w:tc>
                <w:tcPr>
                  <w:tcW w:w="285" w:type="pct"/>
                  <w:vMerge w:val="continue"/>
                  <w:tcBorders>
                    <w:tl2br w:val="nil"/>
                    <w:tr2bl w:val="nil"/>
                  </w:tcBorders>
                  <w:vAlign w:val="center"/>
                </w:tcPr>
                <w:p w14:paraId="24F675EA">
                  <w:pPr>
                    <w:adjustRightInd w:val="0"/>
                    <w:snapToGrid w:val="0"/>
                    <w:spacing w:line="260" w:lineRule="exact"/>
                    <w:jc w:val="center"/>
                    <w:rPr>
                      <w:rFonts w:hint="default" w:ascii="Times New Roman" w:hAnsi="Times New Roman" w:cs="Times New Roman"/>
                      <w:b/>
                      <w:bCs/>
                      <w:color w:val="auto"/>
                      <w:szCs w:val="21"/>
                    </w:rPr>
                  </w:pPr>
                </w:p>
              </w:tc>
              <w:tc>
                <w:tcPr>
                  <w:tcW w:w="333" w:type="pct"/>
                  <w:vMerge w:val="continue"/>
                  <w:tcBorders>
                    <w:tl2br w:val="nil"/>
                    <w:tr2bl w:val="nil"/>
                  </w:tcBorders>
                  <w:vAlign w:val="center"/>
                </w:tcPr>
                <w:p w14:paraId="1E165EA9">
                  <w:pPr>
                    <w:adjustRightInd w:val="0"/>
                    <w:snapToGrid w:val="0"/>
                    <w:spacing w:line="260" w:lineRule="exact"/>
                    <w:jc w:val="center"/>
                    <w:rPr>
                      <w:rFonts w:hint="default" w:ascii="Times New Roman" w:hAnsi="Times New Roman" w:cs="Times New Roman"/>
                      <w:b/>
                      <w:bCs/>
                      <w:color w:val="auto"/>
                      <w:szCs w:val="21"/>
                    </w:rPr>
                  </w:pPr>
                </w:p>
              </w:tc>
            </w:tr>
          </w:tbl>
          <w:p w14:paraId="668CA27E">
            <w:pPr>
              <w:adjustRightInd w:val="0"/>
              <w:snapToGrid w:val="0"/>
              <w:spacing w:before="120" w:beforeLines="50"/>
              <w:jc w:val="center"/>
              <w:rPr>
                <w:rFonts w:hint="default" w:ascii="Times New Roman" w:hAnsi="Times New Roman" w:cs="Times New Roman"/>
                <w:b/>
                <w:color w:val="auto"/>
                <w:szCs w:val="21"/>
              </w:rPr>
            </w:pPr>
            <w:r>
              <w:rPr>
                <w:rFonts w:hint="default" w:ascii="Times New Roman" w:hAnsi="Times New Roman" w:cs="Times New Roman"/>
                <w:b/>
                <w:color w:val="auto"/>
                <w:szCs w:val="21"/>
              </w:rPr>
              <w:t>表4-</w:t>
            </w:r>
            <w:r>
              <w:rPr>
                <w:rFonts w:hint="eastAsia" w:cs="Times New Roman"/>
                <w:b/>
                <w:color w:val="auto"/>
                <w:szCs w:val="21"/>
                <w:lang w:val="en-US" w:eastAsia="zh-CN"/>
              </w:rPr>
              <w:t>5</w:t>
            </w:r>
            <w:r>
              <w:rPr>
                <w:rFonts w:hint="default" w:ascii="Times New Roman" w:hAnsi="Times New Roman" w:cs="Times New Roman"/>
                <w:b/>
                <w:color w:val="auto"/>
                <w:szCs w:val="21"/>
              </w:rPr>
              <w:t xml:space="preserve"> 本项目废水产生与排放情况一览表</w:t>
            </w:r>
          </w:p>
          <w:tbl>
            <w:tblPr>
              <w:tblStyle w:val="29"/>
              <w:tblW w:w="4992" w:type="pct"/>
              <w:tblInd w:w="0" w:type="dxa"/>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71"/>
              <w:gridCol w:w="834"/>
              <w:gridCol w:w="1856"/>
              <w:gridCol w:w="643"/>
              <w:gridCol w:w="833"/>
              <w:gridCol w:w="889"/>
              <w:gridCol w:w="860"/>
              <w:gridCol w:w="1003"/>
              <w:gridCol w:w="821"/>
              <w:gridCol w:w="848"/>
            </w:tblGrid>
            <w:tr w14:paraId="4FC81AB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PrEx>
              <w:trPr>
                <w:trHeight w:val="369" w:hRule="atLeast"/>
              </w:trPr>
              <w:tc>
                <w:tcPr>
                  <w:tcW w:w="555" w:type="pct"/>
                  <w:vMerge w:val="restart"/>
                  <w:tcBorders>
                    <w:tl2br w:val="nil"/>
                    <w:tr2bl w:val="nil"/>
                  </w:tcBorders>
                  <w:shd w:val="clear" w:color="auto" w:fill="auto"/>
                  <w:vAlign w:val="center"/>
                </w:tcPr>
                <w:p w14:paraId="3C42BB27">
                  <w:pPr>
                    <w:adjustRightInd w:val="0"/>
                    <w:snapToGrid w:val="0"/>
                    <w:spacing w:line="2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废水类型</w:t>
                  </w:r>
                </w:p>
              </w:tc>
              <w:tc>
                <w:tcPr>
                  <w:tcW w:w="432" w:type="pct"/>
                  <w:vMerge w:val="restart"/>
                  <w:tcBorders>
                    <w:tl2br w:val="nil"/>
                    <w:tr2bl w:val="nil"/>
                  </w:tcBorders>
                  <w:shd w:val="clear" w:color="auto" w:fill="auto"/>
                  <w:vAlign w:val="center"/>
                </w:tcPr>
                <w:p w14:paraId="671298EA">
                  <w:pPr>
                    <w:adjustRightInd w:val="0"/>
                    <w:snapToGrid w:val="0"/>
                    <w:spacing w:line="2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废水量m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/a</w:t>
                  </w:r>
                </w:p>
              </w:tc>
              <w:tc>
                <w:tcPr>
                  <w:tcW w:w="960" w:type="pct"/>
                  <w:vMerge w:val="restart"/>
                  <w:tcBorders>
                    <w:tl2br w:val="nil"/>
                    <w:tr2bl w:val="nil"/>
                  </w:tcBorders>
                  <w:shd w:val="clear" w:color="auto" w:fill="auto"/>
                  <w:vAlign w:val="center"/>
                </w:tcPr>
                <w:p w14:paraId="4F81295D">
                  <w:pPr>
                    <w:adjustRightInd w:val="0"/>
                    <w:snapToGrid w:val="0"/>
                    <w:spacing w:line="2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3051" w:type="pct"/>
                  <w:gridSpan w:val="7"/>
                  <w:tcBorders>
                    <w:tl2br w:val="nil"/>
                    <w:tr2bl w:val="nil"/>
                  </w:tcBorders>
                  <w:shd w:val="clear" w:color="auto" w:fill="auto"/>
                  <w:vAlign w:val="center"/>
                </w:tcPr>
                <w:p w14:paraId="291CC541">
                  <w:pPr>
                    <w:adjustRightInd w:val="0"/>
                    <w:snapToGrid w:val="0"/>
                    <w:spacing w:line="26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r>
            <w:tr w14:paraId="74B3A91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4AB6B37B">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5E1041F6">
                  <w:pPr>
                    <w:adjustRightInd w:val="0"/>
                    <w:snapToGrid w:val="0"/>
                    <w:jc w:val="center"/>
                    <w:rPr>
                      <w:rFonts w:hint="default" w:ascii="Times New Roman" w:hAnsi="Times New Roman" w:cs="Times New Roman"/>
                      <w:color w:val="auto"/>
                      <w:sz w:val="21"/>
                      <w:szCs w:val="21"/>
                    </w:rPr>
                  </w:pPr>
                </w:p>
              </w:tc>
              <w:tc>
                <w:tcPr>
                  <w:tcW w:w="960" w:type="pct"/>
                  <w:vMerge w:val="continue"/>
                  <w:tcBorders>
                    <w:tl2br w:val="nil"/>
                    <w:tr2bl w:val="nil"/>
                  </w:tcBorders>
                  <w:shd w:val="clear" w:color="auto" w:fill="auto"/>
                  <w:vAlign w:val="center"/>
                </w:tcPr>
                <w:p w14:paraId="30BF50C3">
                  <w:pPr>
                    <w:adjustRightInd w:val="0"/>
                    <w:snapToGrid w:val="0"/>
                    <w:jc w:val="center"/>
                    <w:rPr>
                      <w:rFonts w:hint="default" w:ascii="Times New Roman" w:hAnsi="Times New Roman" w:cs="Times New Roman"/>
                      <w:color w:val="auto"/>
                      <w:sz w:val="21"/>
                      <w:szCs w:val="21"/>
                    </w:rPr>
                  </w:pPr>
                </w:p>
              </w:tc>
              <w:tc>
                <w:tcPr>
                  <w:tcW w:w="333" w:type="pct"/>
                  <w:tcBorders>
                    <w:tl2br w:val="nil"/>
                    <w:tr2bl w:val="nil"/>
                  </w:tcBorders>
                  <w:shd w:val="clear" w:color="auto" w:fill="auto"/>
                  <w:vAlign w:val="center"/>
                </w:tcPr>
                <w:p w14:paraId="368A0CE0">
                  <w:pPr>
                    <w:widowControl/>
                    <w:adjustRightInd w:val="0"/>
                    <w:snapToGrid w:val="0"/>
                    <w:jc w:val="center"/>
                    <w:textAlignment w:val="bottom"/>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pH</w:t>
                  </w:r>
                </w:p>
              </w:tc>
              <w:tc>
                <w:tcPr>
                  <w:tcW w:w="431" w:type="pct"/>
                  <w:tcBorders>
                    <w:tl2br w:val="nil"/>
                    <w:tr2bl w:val="nil"/>
                  </w:tcBorders>
                  <w:shd w:val="clear" w:color="auto" w:fill="auto"/>
                  <w:vAlign w:val="center"/>
                </w:tcPr>
                <w:p w14:paraId="691CC484">
                  <w:pPr>
                    <w:widowControl/>
                    <w:adjustRightInd w:val="0"/>
                    <w:snapToGrid w:val="0"/>
                    <w:jc w:val="center"/>
                    <w:textAlignment w:val="bottom"/>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COD</w:t>
                  </w:r>
                </w:p>
              </w:tc>
              <w:tc>
                <w:tcPr>
                  <w:tcW w:w="460" w:type="pct"/>
                  <w:tcBorders>
                    <w:tl2br w:val="nil"/>
                    <w:tr2bl w:val="nil"/>
                  </w:tcBorders>
                  <w:shd w:val="clear" w:color="auto" w:fill="auto"/>
                  <w:vAlign w:val="center"/>
                </w:tcPr>
                <w:p w14:paraId="0FABDF50">
                  <w:pPr>
                    <w:widowControl/>
                    <w:adjustRightInd w:val="0"/>
                    <w:snapToGrid w:val="0"/>
                    <w:jc w:val="center"/>
                    <w:textAlignment w:val="bottom"/>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BOD</w:t>
                  </w:r>
                  <w:r>
                    <w:rPr>
                      <w:rFonts w:hint="default" w:ascii="Times New Roman" w:hAnsi="Times New Roman" w:cs="Times New Roman"/>
                      <w:b/>
                      <w:bCs/>
                      <w:color w:val="auto"/>
                      <w:sz w:val="21"/>
                      <w:szCs w:val="21"/>
                      <w:vertAlign w:val="subscript"/>
                    </w:rPr>
                    <w:t>5</w:t>
                  </w:r>
                </w:p>
              </w:tc>
              <w:tc>
                <w:tcPr>
                  <w:tcW w:w="445" w:type="pct"/>
                  <w:tcBorders>
                    <w:tl2br w:val="nil"/>
                    <w:tr2bl w:val="nil"/>
                  </w:tcBorders>
                  <w:shd w:val="clear" w:color="auto" w:fill="auto"/>
                  <w:vAlign w:val="center"/>
                </w:tcPr>
                <w:p w14:paraId="4FA2ADFE">
                  <w:pPr>
                    <w:widowControl/>
                    <w:adjustRightInd w:val="0"/>
                    <w:snapToGrid w:val="0"/>
                    <w:jc w:val="center"/>
                    <w:textAlignment w:val="bottom"/>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NH</w:t>
                  </w:r>
                  <w:r>
                    <w:rPr>
                      <w:rFonts w:hint="default" w:ascii="Times New Roman" w:hAnsi="Times New Roman" w:cs="Times New Roman"/>
                      <w:b/>
                      <w:bCs/>
                      <w:color w:val="auto"/>
                      <w:sz w:val="21"/>
                      <w:szCs w:val="21"/>
                      <w:vertAlign w:val="subscript"/>
                    </w:rPr>
                    <w:t>3</w:t>
                  </w:r>
                  <w:r>
                    <w:rPr>
                      <w:rFonts w:hint="default" w:ascii="Times New Roman" w:hAnsi="Times New Roman" w:cs="Times New Roman"/>
                      <w:b/>
                      <w:bCs/>
                      <w:color w:val="auto"/>
                      <w:sz w:val="21"/>
                      <w:szCs w:val="21"/>
                    </w:rPr>
                    <w:t>-N</w:t>
                  </w:r>
                </w:p>
              </w:tc>
              <w:tc>
                <w:tcPr>
                  <w:tcW w:w="519" w:type="pct"/>
                  <w:tcBorders>
                    <w:tl2br w:val="nil"/>
                    <w:tr2bl w:val="nil"/>
                  </w:tcBorders>
                  <w:shd w:val="clear" w:color="auto" w:fill="auto"/>
                  <w:vAlign w:val="center"/>
                </w:tcPr>
                <w:p w14:paraId="2EF9D060">
                  <w:pPr>
                    <w:widowControl/>
                    <w:adjustRightInd w:val="0"/>
                    <w:snapToGrid w:val="0"/>
                    <w:jc w:val="center"/>
                    <w:textAlignment w:val="bottom"/>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SS</w:t>
                  </w:r>
                </w:p>
              </w:tc>
              <w:tc>
                <w:tcPr>
                  <w:tcW w:w="425" w:type="pct"/>
                  <w:tcBorders>
                    <w:tl2br w:val="nil"/>
                    <w:tr2bl w:val="nil"/>
                  </w:tcBorders>
                  <w:shd w:val="clear" w:color="auto" w:fill="auto"/>
                  <w:vAlign w:val="center"/>
                </w:tcPr>
                <w:p w14:paraId="6FC91305">
                  <w:pPr>
                    <w:widowControl/>
                    <w:adjustRightInd w:val="0"/>
                    <w:snapToGrid w:val="0"/>
                    <w:jc w:val="center"/>
                    <w:textAlignment w:val="bottom"/>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TP</w:t>
                  </w:r>
                </w:p>
              </w:tc>
              <w:tc>
                <w:tcPr>
                  <w:tcW w:w="435" w:type="pct"/>
                  <w:tcBorders>
                    <w:tl2br w:val="nil"/>
                    <w:tr2bl w:val="nil"/>
                  </w:tcBorders>
                  <w:shd w:val="clear" w:color="auto" w:fill="auto"/>
                  <w:vAlign w:val="center"/>
                </w:tcPr>
                <w:p w14:paraId="2CBC2933">
                  <w:pPr>
                    <w:widowControl/>
                    <w:adjustRightInd w:val="0"/>
                    <w:snapToGrid w:val="0"/>
                    <w:jc w:val="center"/>
                    <w:textAlignment w:val="bottom"/>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TN</w:t>
                  </w:r>
                </w:p>
              </w:tc>
            </w:tr>
            <w:tr w14:paraId="54B280F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restart"/>
                  <w:tcBorders>
                    <w:tl2br w:val="nil"/>
                    <w:tr2bl w:val="nil"/>
                  </w:tcBorders>
                  <w:shd w:val="clear" w:color="auto" w:fill="auto"/>
                  <w:vAlign w:val="center"/>
                </w:tcPr>
                <w:p w14:paraId="7F4D5E4A">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实验器材清洗废水、</w:t>
                  </w:r>
                  <w:r>
                    <w:rPr>
                      <w:rFonts w:hint="eastAsia" w:cs="Times New Roman"/>
                      <w:color w:val="auto"/>
                      <w:sz w:val="21"/>
                      <w:szCs w:val="21"/>
                      <w:lang w:val="en-US" w:eastAsia="zh-CN"/>
                    </w:rPr>
                    <w:t>实验室</w:t>
                  </w:r>
                  <w:r>
                    <w:rPr>
                      <w:rFonts w:hint="default" w:ascii="Times New Roman" w:hAnsi="Times New Roman" w:cs="Times New Roman"/>
                      <w:color w:val="auto"/>
                      <w:sz w:val="21"/>
                      <w:szCs w:val="21"/>
                    </w:rPr>
                    <w:t>清洗废水</w:t>
                  </w:r>
                </w:p>
              </w:tc>
              <w:tc>
                <w:tcPr>
                  <w:tcW w:w="432" w:type="pct"/>
                  <w:vMerge w:val="restart"/>
                  <w:tcBorders>
                    <w:tl2br w:val="nil"/>
                    <w:tr2bl w:val="nil"/>
                  </w:tcBorders>
                  <w:shd w:val="clear" w:color="auto" w:fill="auto"/>
                  <w:vAlign w:val="center"/>
                </w:tcPr>
                <w:p w14:paraId="5627270E">
                  <w:pPr>
                    <w:widowControl/>
                    <w:jc w:val="center"/>
                    <w:textAlignment w:val="bottom"/>
                    <w:rPr>
                      <w:rFonts w:hint="default" w:ascii="Times New Roman" w:hAnsi="Times New Roman" w:eastAsia="宋体" w:cs="Times New Roman"/>
                      <w:color w:val="auto"/>
                      <w:sz w:val="21"/>
                      <w:szCs w:val="21"/>
                      <w:lang w:val="en-US" w:eastAsia="zh-CN"/>
                    </w:rPr>
                  </w:pPr>
                  <w:r>
                    <w:rPr>
                      <w:rFonts w:hint="eastAsia" w:eastAsia="等线" w:cs="Times New Roman"/>
                      <w:color w:val="auto"/>
                      <w:kern w:val="0"/>
                      <w:sz w:val="21"/>
                      <w:szCs w:val="21"/>
                      <w:lang w:val="en-US" w:eastAsia="zh-CN" w:bidi="ar"/>
                    </w:rPr>
                    <w:t>45</w:t>
                  </w:r>
                </w:p>
              </w:tc>
              <w:tc>
                <w:tcPr>
                  <w:tcW w:w="960" w:type="pct"/>
                  <w:tcBorders>
                    <w:tl2br w:val="nil"/>
                    <w:tr2bl w:val="nil"/>
                  </w:tcBorders>
                  <w:shd w:val="clear" w:color="auto" w:fill="auto"/>
                  <w:vAlign w:val="center"/>
                </w:tcPr>
                <w:p w14:paraId="37122CC3">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产生浓度mg/L</w:t>
                  </w:r>
                </w:p>
              </w:tc>
              <w:tc>
                <w:tcPr>
                  <w:tcW w:w="333" w:type="pct"/>
                  <w:tcBorders>
                    <w:tl2br w:val="nil"/>
                    <w:tr2bl w:val="nil"/>
                  </w:tcBorders>
                  <w:shd w:val="clear" w:color="auto" w:fill="auto"/>
                  <w:vAlign w:val="center"/>
                </w:tcPr>
                <w:p w14:paraId="4F4C052A">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4~12</w:t>
                  </w:r>
                </w:p>
              </w:tc>
              <w:tc>
                <w:tcPr>
                  <w:tcW w:w="431" w:type="pct"/>
                  <w:tcBorders>
                    <w:tl2br w:val="nil"/>
                    <w:tr2bl w:val="nil"/>
                  </w:tcBorders>
                  <w:shd w:val="clear" w:color="auto" w:fill="auto"/>
                  <w:vAlign w:val="center"/>
                </w:tcPr>
                <w:p w14:paraId="326EEB4F">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c>
                <w:tcPr>
                  <w:tcW w:w="460" w:type="pct"/>
                  <w:tcBorders>
                    <w:tl2br w:val="nil"/>
                    <w:tr2bl w:val="nil"/>
                  </w:tcBorders>
                  <w:shd w:val="clear" w:color="auto" w:fill="auto"/>
                  <w:vAlign w:val="center"/>
                </w:tcPr>
                <w:p w14:paraId="64460160">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w:t>
                  </w:r>
                </w:p>
              </w:tc>
              <w:tc>
                <w:tcPr>
                  <w:tcW w:w="445" w:type="pct"/>
                  <w:tcBorders>
                    <w:tl2br w:val="nil"/>
                    <w:tr2bl w:val="nil"/>
                  </w:tcBorders>
                  <w:shd w:val="clear" w:color="auto" w:fill="auto"/>
                  <w:vAlign w:val="center"/>
                </w:tcPr>
                <w:p w14:paraId="6CAFAB3F">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519" w:type="pct"/>
                  <w:tcBorders>
                    <w:tl2br w:val="nil"/>
                    <w:tr2bl w:val="nil"/>
                  </w:tcBorders>
                  <w:shd w:val="clear" w:color="auto" w:fill="auto"/>
                  <w:vAlign w:val="center"/>
                </w:tcPr>
                <w:p w14:paraId="2A4974E4">
                  <w:pPr>
                    <w:widowControl/>
                    <w:jc w:val="center"/>
                    <w:textAlignment w:val="bottom"/>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500</w:t>
                  </w:r>
                </w:p>
              </w:tc>
              <w:tc>
                <w:tcPr>
                  <w:tcW w:w="425" w:type="pct"/>
                  <w:tcBorders>
                    <w:tl2br w:val="nil"/>
                    <w:tr2bl w:val="nil"/>
                  </w:tcBorders>
                  <w:shd w:val="clear" w:color="auto" w:fill="auto"/>
                  <w:vAlign w:val="center"/>
                </w:tcPr>
                <w:p w14:paraId="543B6150">
                  <w:pPr>
                    <w:widowControl/>
                    <w:jc w:val="center"/>
                    <w:textAlignment w:val="bottom"/>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c>
                <w:tcPr>
                  <w:tcW w:w="435" w:type="pct"/>
                  <w:tcBorders>
                    <w:tl2br w:val="nil"/>
                    <w:tr2bl w:val="nil"/>
                  </w:tcBorders>
                  <w:shd w:val="clear" w:color="auto" w:fill="auto"/>
                  <w:vAlign w:val="center"/>
                </w:tcPr>
                <w:p w14:paraId="571E716A">
                  <w:pPr>
                    <w:widowControl/>
                    <w:jc w:val="center"/>
                    <w:textAlignment w:val="bottom"/>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r>
            <w:tr w14:paraId="470E9739">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6F48839E">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4BEE4A72">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0FAACF9C">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产生量t/a</w:t>
                  </w:r>
                </w:p>
              </w:tc>
              <w:tc>
                <w:tcPr>
                  <w:tcW w:w="333" w:type="pct"/>
                  <w:tcBorders>
                    <w:tl2br w:val="nil"/>
                    <w:tr2bl w:val="nil"/>
                  </w:tcBorders>
                  <w:shd w:val="clear" w:color="auto" w:fill="auto"/>
                  <w:vAlign w:val="center"/>
                </w:tcPr>
                <w:p w14:paraId="26EB3F22">
                  <w:pPr>
                    <w:widowControl/>
                    <w:jc w:val="center"/>
                    <w:textAlignment w:val="bottom"/>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w:t>
                  </w:r>
                </w:p>
              </w:tc>
              <w:tc>
                <w:tcPr>
                  <w:tcW w:w="431" w:type="pct"/>
                  <w:tcBorders>
                    <w:tl2br w:val="nil"/>
                    <w:tr2bl w:val="nil"/>
                  </w:tcBorders>
                  <w:shd w:val="clear" w:color="auto" w:fill="auto"/>
                  <w:vAlign w:val="center"/>
                </w:tcPr>
                <w:p w14:paraId="29E1BC51">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0.0135</w:t>
                  </w:r>
                </w:p>
              </w:tc>
              <w:tc>
                <w:tcPr>
                  <w:tcW w:w="460" w:type="pct"/>
                  <w:tcBorders>
                    <w:tl2br w:val="nil"/>
                    <w:tr2bl w:val="nil"/>
                  </w:tcBorders>
                  <w:shd w:val="clear" w:color="auto" w:fill="auto"/>
                  <w:vAlign w:val="center"/>
                </w:tcPr>
                <w:p w14:paraId="54023568">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0.0090</w:t>
                  </w:r>
                </w:p>
              </w:tc>
              <w:tc>
                <w:tcPr>
                  <w:tcW w:w="445" w:type="pct"/>
                  <w:tcBorders>
                    <w:tl2br w:val="nil"/>
                    <w:tr2bl w:val="nil"/>
                  </w:tcBorders>
                  <w:shd w:val="clear" w:color="auto" w:fill="auto"/>
                  <w:vAlign w:val="center"/>
                </w:tcPr>
                <w:p w14:paraId="73C7C9A5">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0.0002</w:t>
                  </w:r>
                </w:p>
              </w:tc>
              <w:tc>
                <w:tcPr>
                  <w:tcW w:w="519" w:type="pct"/>
                  <w:tcBorders>
                    <w:tl2br w:val="nil"/>
                    <w:tr2bl w:val="nil"/>
                  </w:tcBorders>
                  <w:shd w:val="clear" w:color="auto" w:fill="auto"/>
                  <w:vAlign w:val="center"/>
                </w:tcPr>
                <w:p w14:paraId="61EB5155">
                  <w:pPr>
                    <w:widowControl/>
                    <w:jc w:val="center"/>
                    <w:textAlignment w:val="center"/>
                    <w:rPr>
                      <w:rFonts w:hint="default" w:cs="Times New Roman"/>
                      <w:color w:val="auto"/>
                      <w:sz w:val="21"/>
                      <w:szCs w:val="21"/>
                      <w:lang w:val="en-US" w:eastAsia="zh-CN"/>
                    </w:rPr>
                  </w:pPr>
                  <w:r>
                    <w:rPr>
                      <w:rFonts w:hint="eastAsia" w:cs="Times New Roman"/>
                      <w:color w:val="auto"/>
                      <w:sz w:val="21"/>
                      <w:szCs w:val="21"/>
                      <w:lang w:val="en-US" w:eastAsia="zh-CN"/>
                    </w:rPr>
                    <w:t>0.0225</w:t>
                  </w:r>
                </w:p>
              </w:tc>
              <w:tc>
                <w:tcPr>
                  <w:tcW w:w="425" w:type="pct"/>
                  <w:tcBorders>
                    <w:tl2br w:val="nil"/>
                    <w:tr2bl w:val="nil"/>
                  </w:tcBorders>
                  <w:shd w:val="clear" w:color="auto" w:fill="auto"/>
                  <w:vAlign w:val="center"/>
                </w:tcPr>
                <w:p w14:paraId="0FD4C171">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c>
                <w:tcPr>
                  <w:tcW w:w="435" w:type="pct"/>
                  <w:tcBorders>
                    <w:tl2br w:val="nil"/>
                    <w:tr2bl w:val="nil"/>
                  </w:tcBorders>
                  <w:shd w:val="clear" w:color="auto" w:fill="auto"/>
                  <w:vAlign w:val="center"/>
                </w:tcPr>
                <w:p w14:paraId="78FCA67C">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r>
            <w:tr w14:paraId="440C7E7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46583578">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41080E91">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6D239F93">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预处理措施</w:t>
                  </w:r>
                </w:p>
              </w:tc>
              <w:tc>
                <w:tcPr>
                  <w:tcW w:w="3051" w:type="pct"/>
                  <w:gridSpan w:val="7"/>
                  <w:tcBorders>
                    <w:tl2br w:val="nil"/>
                    <w:tr2bl w:val="nil"/>
                  </w:tcBorders>
                  <w:shd w:val="clear" w:color="auto" w:fill="auto"/>
                  <w:vAlign w:val="center"/>
                </w:tcPr>
                <w:p w14:paraId="0AADAE83">
                  <w:pPr>
                    <w:adjustRightInd w:val="0"/>
                    <w:snapToGrid w:val="0"/>
                    <w:spacing w:line="260" w:lineRule="exact"/>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酸碱中和池</w:t>
                  </w:r>
                </w:p>
              </w:tc>
            </w:tr>
            <w:tr w14:paraId="7C2B9D0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2BBB035A">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0156C283">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7870C360">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处理后浓度mg/L</w:t>
                  </w:r>
                </w:p>
              </w:tc>
              <w:tc>
                <w:tcPr>
                  <w:tcW w:w="333" w:type="pct"/>
                  <w:tcBorders>
                    <w:tl2br w:val="nil"/>
                    <w:tr2bl w:val="nil"/>
                  </w:tcBorders>
                  <w:shd w:val="clear" w:color="auto" w:fill="auto"/>
                  <w:vAlign w:val="center"/>
                </w:tcPr>
                <w:p w14:paraId="19042507">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431" w:type="pct"/>
                  <w:tcBorders>
                    <w:tl2br w:val="nil"/>
                    <w:tr2bl w:val="nil"/>
                  </w:tcBorders>
                  <w:shd w:val="clear" w:color="auto" w:fill="auto"/>
                  <w:vAlign w:val="center"/>
                </w:tcPr>
                <w:p w14:paraId="4F0D32D1">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300</w:t>
                  </w:r>
                </w:p>
              </w:tc>
              <w:tc>
                <w:tcPr>
                  <w:tcW w:w="460" w:type="pct"/>
                  <w:tcBorders>
                    <w:tl2br w:val="nil"/>
                    <w:tr2bl w:val="nil"/>
                  </w:tcBorders>
                  <w:shd w:val="clear" w:color="auto" w:fill="auto"/>
                  <w:vAlign w:val="center"/>
                </w:tcPr>
                <w:p w14:paraId="48635B62">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200</w:t>
                  </w:r>
                </w:p>
              </w:tc>
              <w:tc>
                <w:tcPr>
                  <w:tcW w:w="445" w:type="pct"/>
                  <w:tcBorders>
                    <w:tl2br w:val="nil"/>
                    <w:tr2bl w:val="nil"/>
                  </w:tcBorders>
                  <w:shd w:val="clear" w:color="auto" w:fill="auto"/>
                  <w:vAlign w:val="center"/>
                </w:tcPr>
                <w:p w14:paraId="26B5A82D">
                  <w:pPr>
                    <w:widowControl/>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519" w:type="pct"/>
                  <w:tcBorders>
                    <w:tl2br w:val="nil"/>
                    <w:tr2bl w:val="nil"/>
                  </w:tcBorders>
                  <w:shd w:val="clear" w:color="auto" w:fill="auto"/>
                  <w:vAlign w:val="center"/>
                </w:tcPr>
                <w:p w14:paraId="22019D91">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500</w:t>
                  </w:r>
                </w:p>
              </w:tc>
              <w:tc>
                <w:tcPr>
                  <w:tcW w:w="425" w:type="pct"/>
                  <w:tcBorders>
                    <w:tl2br w:val="nil"/>
                    <w:tr2bl w:val="nil"/>
                  </w:tcBorders>
                  <w:shd w:val="clear" w:color="auto" w:fill="auto"/>
                  <w:vAlign w:val="center"/>
                </w:tcPr>
                <w:p w14:paraId="63725DF1">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c>
                <w:tcPr>
                  <w:tcW w:w="435" w:type="pct"/>
                  <w:tcBorders>
                    <w:tl2br w:val="nil"/>
                    <w:tr2bl w:val="nil"/>
                  </w:tcBorders>
                  <w:shd w:val="clear" w:color="auto" w:fill="auto"/>
                  <w:vAlign w:val="center"/>
                </w:tcPr>
                <w:p w14:paraId="25BE1859">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r>
            <w:tr w14:paraId="7BC88DB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1C8E4864">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197BE572">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411DF3F9">
                  <w:pPr>
                    <w:widowControl/>
                    <w:adjustRightInd w:val="0"/>
                    <w:snapToGrid w:val="0"/>
                    <w:jc w:val="center"/>
                    <w:textAlignment w:val="bottom"/>
                    <w:rPr>
                      <w:rFonts w:hint="default" w:ascii="Times New Roman" w:hAnsi="Times New Roman" w:cs="Times New Roman"/>
                      <w:color w:val="auto"/>
                      <w:sz w:val="21"/>
                      <w:szCs w:val="21"/>
                    </w:rPr>
                  </w:pPr>
                  <w:r>
                    <w:rPr>
                      <w:rFonts w:hint="eastAsia" w:cs="Times New Roman"/>
                      <w:color w:val="auto"/>
                      <w:sz w:val="21"/>
                      <w:szCs w:val="21"/>
                      <w:lang w:val="en-US" w:eastAsia="zh-CN"/>
                    </w:rPr>
                    <w:t>处理后</w:t>
                  </w:r>
                  <w:r>
                    <w:rPr>
                      <w:rFonts w:hint="default" w:ascii="Times New Roman" w:hAnsi="Times New Roman" w:cs="Times New Roman"/>
                      <w:color w:val="auto"/>
                      <w:sz w:val="21"/>
                      <w:szCs w:val="21"/>
                    </w:rPr>
                    <w:t>排放量t/a</w:t>
                  </w:r>
                </w:p>
              </w:tc>
              <w:tc>
                <w:tcPr>
                  <w:tcW w:w="333" w:type="pct"/>
                  <w:tcBorders>
                    <w:tl2br w:val="nil"/>
                    <w:tr2bl w:val="nil"/>
                  </w:tcBorders>
                  <w:shd w:val="clear" w:color="auto" w:fill="auto"/>
                  <w:vAlign w:val="center"/>
                </w:tcPr>
                <w:p w14:paraId="35255BB8">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833" w:type="dxa"/>
                  <w:tcBorders>
                    <w:tl2br w:val="nil"/>
                    <w:tr2bl w:val="nil"/>
                  </w:tcBorders>
                  <w:shd w:val="clear" w:color="auto" w:fill="auto"/>
                  <w:vAlign w:val="center"/>
                </w:tcPr>
                <w:p w14:paraId="753C6786">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0.0135</w:t>
                  </w:r>
                </w:p>
              </w:tc>
              <w:tc>
                <w:tcPr>
                  <w:tcW w:w="889" w:type="dxa"/>
                  <w:tcBorders>
                    <w:tl2br w:val="nil"/>
                    <w:tr2bl w:val="nil"/>
                  </w:tcBorders>
                  <w:shd w:val="clear" w:color="auto" w:fill="auto"/>
                  <w:vAlign w:val="center"/>
                </w:tcPr>
                <w:p w14:paraId="295C7D09">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0.0090</w:t>
                  </w:r>
                </w:p>
              </w:tc>
              <w:tc>
                <w:tcPr>
                  <w:tcW w:w="860" w:type="dxa"/>
                  <w:tcBorders>
                    <w:tl2br w:val="nil"/>
                    <w:tr2bl w:val="nil"/>
                  </w:tcBorders>
                  <w:shd w:val="clear" w:color="auto" w:fill="auto"/>
                  <w:vAlign w:val="center"/>
                </w:tcPr>
                <w:p w14:paraId="5C3597C3">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0.0002</w:t>
                  </w:r>
                </w:p>
              </w:tc>
              <w:tc>
                <w:tcPr>
                  <w:tcW w:w="1003" w:type="dxa"/>
                  <w:tcBorders>
                    <w:tl2br w:val="nil"/>
                    <w:tr2bl w:val="nil"/>
                  </w:tcBorders>
                  <w:shd w:val="clear" w:color="auto" w:fill="auto"/>
                  <w:vAlign w:val="center"/>
                </w:tcPr>
                <w:p w14:paraId="0F0BF759">
                  <w:pPr>
                    <w:widowControl/>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0.0225</w:t>
                  </w:r>
                </w:p>
              </w:tc>
              <w:tc>
                <w:tcPr>
                  <w:tcW w:w="425" w:type="pct"/>
                  <w:tcBorders>
                    <w:tl2br w:val="nil"/>
                    <w:tr2bl w:val="nil"/>
                  </w:tcBorders>
                  <w:shd w:val="clear" w:color="auto" w:fill="auto"/>
                  <w:vAlign w:val="center"/>
                </w:tcPr>
                <w:p w14:paraId="72B87F3D">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c>
                <w:tcPr>
                  <w:tcW w:w="435" w:type="pct"/>
                  <w:tcBorders>
                    <w:tl2br w:val="nil"/>
                    <w:tr2bl w:val="nil"/>
                  </w:tcBorders>
                  <w:shd w:val="clear" w:color="auto" w:fill="auto"/>
                  <w:vAlign w:val="center"/>
                </w:tcPr>
                <w:p w14:paraId="6014FF03">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r>
            <w:tr w14:paraId="2AF73A2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000" w:type="pct"/>
                  <w:gridSpan w:val="10"/>
                  <w:tcBorders>
                    <w:tl2br w:val="nil"/>
                    <w:tr2bl w:val="nil"/>
                  </w:tcBorders>
                  <w:shd w:val="clear" w:color="auto" w:fill="auto"/>
                  <w:vAlign w:val="center"/>
                </w:tcPr>
                <w:p w14:paraId="40F8FC63">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实验室废水与纯水制备浓水、生活污水一同进入现有化粪池处理，</w:t>
                  </w:r>
                  <w:r>
                    <w:rPr>
                      <w:rFonts w:hint="eastAsia" w:cs="Times New Roman"/>
                      <w:color w:val="auto"/>
                      <w:sz w:val="21"/>
                      <w:szCs w:val="21"/>
                      <w:lang w:val="en-US" w:eastAsia="zh-CN"/>
                    </w:rPr>
                    <w:t>最后经市政污水管网排</w:t>
                  </w:r>
                  <w:r>
                    <w:rPr>
                      <w:rFonts w:hint="default" w:ascii="Times New Roman" w:hAnsi="Times New Roman" w:cs="Times New Roman"/>
                      <w:color w:val="auto"/>
                      <w:sz w:val="21"/>
                      <w:szCs w:val="21"/>
                    </w:rPr>
                    <w:t>至</w:t>
                  </w:r>
                  <w:r>
                    <w:rPr>
                      <w:rFonts w:hint="eastAsia" w:cs="Times New Roman"/>
                      <w:color w:val="auto"/>
                      <w:sz w:val="21"/>
                      <w:szCs w:val="21"/>
                      <w:lang w:val="en-US" w:eastAsia="zh-CN"/>
                    </w:rPr>
                    <w:t>西安市第一污水处理厂</w:t>
                  </w:r>
                  <w:r>
                    <w:rPr>
                      <w:rFonts w:hint="default" w:ascii="Times New Roman" w:hAnsi="Times New Roman" w:cs="Times New Roman"/>
                      <w:color w:val="auto"/>
                      <w:sz w:val="21"/>
                      <w:szCs w:val="21"/>
                    </w:rPr>
                    <w:t>进一步处理。</w:t>
                  </w:r>
                </w:p>
              </w:tc>
            </w:tr>
            <w:tr w14:paraId="0267CBF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restart"/>
                  <w:tcBorders>
                    <w:tl2br w:val="nil"/>
                    <w:tr2bl w:val="nil"/>
                  </w:tcBorders>
                  <w:shd w:val="clear" w:color="auto" w:fill="auto"/>
                  <w:vAlign w:val="center"/>
                </w:tcPr>
                <w:p w14:paraId="697EE25A">
                  <w:pPr>
                    <w:adjustRightInd w:val="0"/>
                    <w:snapToGrid w:val="0"/>
                    <w:spacing w:line="2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生活污水</w:t>
                  </w:r>
                  <w:r>
                    <w:rPr>
                      <w:rFonts w:hint="eastAsia" w:cs="Times New Roman"/>
                      <w:color w:val="auto"/>
                      <w:sz w:val="21"/>
                      <w:szCs w:val="21"/>
                      <w:lang w:eastAsia="zh-CN"/>
                    </w:rPr>
                    <w:t>、</w:t>
                  </w:r>
                  <w:r>
                    <w:rPr>
                      <w:rFonts w:hint="eastAsia" w:cs="Times New Roman"/>
                      <w:color w:val="auto"/>
                      <w:sz w:val="21"/>
                      <w:szCs w:val="21"/>
                      <w:lang w:val="en-US" w:eastAsia="zh-CN"/>
                    </w:rPr>
                    <w:t>纯水制备浓水</w:t>
                  </w:r>
                </w:p>
              </w:tc>
              <w:tc>
                <w:tcPr>
                  <w:tcW w:w="432" w:type="pct"/>
                  <w:vMerge w:val="restart"/>
                  <w:tcBorders>
                    <w:tl2br w:val="nil"/>
                    <w:tr2bl w:val="nil"/>
                  </w:tcBorders>
                  <w:shd w:val="clear" w:color="auto" w:fill="auto"/>
                  <w:vAlign w:val="center"/>
                </w:tcPr>
                <w:p w14:paraId="43BE7E06">
                  <w:pPr>
                    <w:widowControl/>
                    <w:jc w:val="center"/>
                    <w:textAlignment w:val="bottom"/>
                    <w:rPr>
                      <w:rFonts w:hint="default" w:ascii="Times New Roman" w:hAnsi="Times New Roman" w:eastAsia="宋体" w:cs="Times New Roman"/>
                      <w:color w:val="auto"/>
                      <w:sz w:val="21"/>
                      <w:szCs w:val="21"/>
                      <w:lang w:val="en-US" w:eastAsia="zh-CN"/>
                    </w:rPr>
                  </w:pPr>
                  <w:r>
                    <w:rPr>
                      <w:rFonts w:hint="eastAsia" w:eastAsia="等线" w:cs="Times New Roman"/>
                      <w:color w:val="auto"/>
                      <w:kern w:val="0"/>
                      <w:sz w:val="21"/>
                      <w:szCs w:val="21"/>
                      <w:lang w:val="en-US" w:eastAsia="zh-CN" w:bidi="ar"/>
                    </w:rPr>
                    <w:t>99.33</w:t>
                  </w:r>
                </w:p>
              </w:tc>
              <w:tc>
                <w:tcPr>
                  <w:tcW w:w="960" w:type="pct"/>
                  <w:tcBorders>
                    <w:tl2br w:val="nil"/>
                    <w:tr2bl w:val="nil"/>
                  </w:tcBorders>
                  <w:shd w:val="clear" w:color="auto" w:fill="auto"/>
                  <w:vAlign w:val="center"/>
                </w:tcPr>
                <w:p w14:paraId="7DF57229">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产生浓度mg/L</w:t>
                  </w:r>
                </w:p>
              </w:tc>
              <w:tc>
                <w:tcPr>
                  <w:tcW w:w="333" w:type="pct"/>
                  <w:tcBorders>
                    <w:tl2br w:val="nil"/>
                    <w:tr2bl w:val="nil"/>
                  </w:tcBorders>
                  <w:shd w:val="clear" w:color="auto" w:fill="auto"/>
                  <w:vAlign w:val="center"/>
                </w:tcPr>
                <w:p w14:paraId="4C2981C2">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431" w:type="pct"/>
                  <w:tcBorders>
                    <w:tl2br w:val="nil"/>
                    <w:tr2bl w:val="nil"/>
                  </w:tcBorders>
                  <w:shd w:val="clear" w:color="auto" w:fill="auto"/>
                  <w:vAlign w:val="center"/>
                </w:tcPr>
                <w:p w14:paraId="6F63DAD9">
                  <w:pPr>
                    <w:keepNext w:val="0"/>
                    <w:keepLines w:val="0"/>
                    <w:widowControl/>
                    <w:suppressLineNumbers w:val="0"/>
                    <w:jc w:val="center"/>
                    <w:textAlignment w:val="center"/>
                    <w:rPr>
                      <w:rFonts w:hint="default" w:ascii="Times New Roman" w:hAnsi="Times New Roman" w:cs="Times New Roman"/>
                      <w:b/>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475</w:t>
                  </w:r>
                </w:p>
              </w:tc>
              <w:tc>
                <w:tcPr>
                  <w:tcW w:w="460" w:type="pct"/>
                  <w:tcBorders>
                    <w:tl2br w:val="nil"/>
                    <w:tr2bl w:val="nil"/>
                  </w:tcBorders>
                  <w:shd w:val="clear" w:color="auto" w:fill="auto"/>
                  <w:vAlign w:val="center"/>
                </w:tcPr>
                <w:p w14:paraId="64CF9BD5">
                  <w:pPr>
                    <w:keepNext w:val="0"/>
                    <w:keepLines w:val="0"/>
                    <w:widowControl/>
                    <w:suppressLineNumbers w:val="0"/>
                    <w:jc w:val="center"/>
                    <w:textAlignment w:val="center"/>
                    <w:rPr>
                      <w:rFonts w:hint="default" w:ascii="Times New Roman" w:hAnsi="Times New Roman" w:cs="Times New Roman"/>
                      <w:b/>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226</w:t>
                  </w:r>
                </w:p>
              </w:tc>
              <w:tc>
                <w:tcPr>
                  <w:tcW w:w="445" w:type="pct"/>
                  <w:tcBorders>
                    <w:tl2br w:val="nil"/>
                    <w:tr2bl w:val="nil"/>
                  </w:tcBorders>
                  <w:shd w:val="clear" w:color="auto" w:fill="auto"/>
                  <w:vAlign w:val="center"/>
                </w:tcPr>
                <w:p w14:paraId="0B9A34E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43.4</w:t>
                  </w:r>
                </w:p>
              </w:tc>
              <w:tc>
                <w:tcPr>
                  <w:tcW w:w="519" w:type="pct"/>
                  <w:tcBorders>
                    <w:tl2br w:val="nil"/>
                    <w:tr2bl w:val="nil"/>
                  </w:tcBorders>
                  <w:shd w:val="clear" w:color="auto" w:fill="auto"/>
                  <w:vAlign w:val="center"/>
                </w:tcPr>
                <w:p w14:paraId="35EBC1A1">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150</w:t>
                  </w:r>
                </w:p>
              </w:tc>
              <w:tc>
                <w:tcPr>
                  <w:tcW w:w="425" w:type="pct"/>
                  <w:tcBorders>
                    <w:tl2br w:val="nil"/>
                    <w:tr2bl w:val="nil"/>
                  </w:tcBorders>
                  <w:shd w:val="clear" w:color="auto" w:fill="auto"/>
                  <w:vAlign w:val="center"/>
                </w:tcPr>
                <w:p w14:paraId="08F55D32">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5.3</w:t>
                  </w:r>
                </w:p>
              </w:tc>
              <w:tc>
                <w:tcPr>
                  <w:tcW w:w="435" w:type="pct"/>
                  <w:tcBorders>
                    <w:tl2br w:val="nil"/>
                    <w:tr2bl w:val="nil"/>
                  </w:tcBorders>
                  <w:shd w:val="clear" w:color="auto" w:fill="auto"/>
                  <w:vAlign w:val="center"/>
                </w:tcPr>
                <w:p w14:paraId="2717B5CB">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59</w:t>
                  </w:r>
                </w:p>
              </w:tc>
            </w:tr>
            <w:tr w14:paraId="5A3A3725">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581BF919">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4430254C">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0613C00F">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产生量t/a</w:t>
                  </w:r>
                </w:p>
              </w:tc>
              <w:tc>
                <w:tcPr>
                  <w:tcW w:w="333" w:type="pct"/>
                  <w:tcBorders>
                    <w:tl2br w:val="nil"/>
                    <w:tr2bl w:val="nil"/>
                  </w:tcBorders>
                  <w:shd w:val="clear" w:color="auto" w:fill="auto"/>
                  <w:vAlign w:val="center"/>
                </w:tcPr>
                <w:p w14:paraId="3EBBC50F">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834" w:type="dxa"/>
                  <w:tcBorders>
                    <w:tl2br w:val="nil"/>
                    <w:tr2bl w:val="nil"/>
                  </w:tcBorders>
                  <w:shd w:val="clear" w:color="auto" w:fill="auto"/>
                  <w:vAlign w:val="center"/>
                </w:tcPr>
                <w:p w14:paraId="4483A079">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0.0472 </w:t>
                  </w:r>
                </w:p>
              </w:tc>
              <w:tc>
                <w:tcPr>
                  <w:tcW w:w="890" w:type="dxa"/>
                  <w:tcBorders>
                    <w:tl2br w:val="nil"/>
                    <w:tr2bl w:val="nil"/>
                  </w:tcBorders>
                  <w:shd w:val="clear" w:color="auto" w:fill="auto"/>
                  <w:vAlign w:val="center"/>
                </w:tcPr>
                <w:p w14:paraId="08B01B80">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0.0224 </w:t>
                  </w:r>
                </w:p>
              </w:tc>
              <w:tc>
                <w:tcPr>
                  <w:tcW w:w="861" w:type="dxa"/>
                  <w:tcBorders>
                    <w:tl2br w:val="nil"/>
                    <w:tr2bl w:val="nil"/>
                  </w:tcBorders>
                  <w:shd w:val="clear" w:color="auto" w:fill="auto"/>
                  <w:vAlign w:val="center"/>
                </w:tcPr>
                <w:p w14:paraId="671BB34C">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0.0043 </w:t>
                  </w:r>
                </w:p>
              </w:tc>
              <w:tc>
                <w:tcPr>
                  <w:tcW w:w="1004" w:type="dxa"/>
                  <w:tcBorders>
                    <w:tl2br w:val="nil"/>
                    <w:tr2bl w:val="nil"/>
                  </w:tcBorders>
                  <w:shd w:val="clear" w:color="auto" w:fill="auto"/>
                  <w:vAlign w:val="center"/>
                </w:tcPr>
                <w:p w14:paraId="2CBA547C">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0.0149 </w:t>
                  </w:r>
                </w:p>
              </w:tc>
              <w:tc>
                <w:tcPr>
                  <w:tcW w:w="822" w:type="dxa"/>
                  <w:tcBorders>
                    <w:tl2br w:val="nil"/>
                    <w:tr2bl w:val="nil"/>
                  </w:tcBorders>
                  <w:shd w:val="clear" w:color="auto" w:fill="auto"/>
                  <w:vAlign w:val="center"/>
                </w:tcPr>
                <w:p w14:paraId="215B037B">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0.0005 </w:t>
                  </w:r>
                </w:p>
              </w:tc>
              <w:tc>
                <w:tcPr>
                  <w:tcW w:w="849" w:type="dxa"/>
                  <w:tcBorders>
                    <w:tl2br w:val="nil"/>
                    <w:tr2bl w:val="nil"/>
                  </w:tcBorders>
                  <w:shd w:val="clear" w:color="auto" w:fill="auto"/>
                  <w:vAlign w:val="center"/>
                </w:tcPr>
                <w:p w14:paraId="6FE21A6F">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0.0059 </w:t>
                  </w:r>
                </w:p>
              </w:tc>
            </w:tr>
            <w:tr w14:paraId="44C546D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restart"/>
                  <w:tcBorders>
                    <w:tl2br w:val="nil"/>
                    <w:tr2bl w:val="nil"/>
                  </w:tcBorders>
                  <w:shd w:val="clear" w:color="auto" w:fill="auto"/>
                  <w:vAlign w:val="center"/>
                </w:tcPr>
                <w:p w14:paraId="7846B6C4">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混合废水</w:t>
                  </w:r>
                </w:p>
              </w:tc>
              <w:tc>
                <w:tcPr>
                  <w:tcW w:w="432" w:type="pct"/>
                  <w:vMerge w:val="restart"/>
                  <w:tcBorders>
                    <w:tl2br w:val="nil"/>
                    <w:tr2bl w:val="nil"/>
                  </w:tcBorders>
                  <w:shd w:val="clear" w:color="auto" w:fill="auto"/>
                  <w:vAlign w:val="center"/>
                </w:tcPr>
                <w:p w14:paraId="4BDE753D">
                  <w:pPr>
                    <w:widowControl/>
                    <w:jc w:val="center"/>
                    <w:textAlignment w:val="bottom"/>
                    <w:rPr>
                      <w:rFonts w:hint="default" w:ascii="Times New Roman" w:hAnsi="Times New Roman" w:eastAsia="宋体" w:cs="Times New Roman"/>
                      <w:color w:val="auto"/>
                      <w:sz w:val="21"/>
                      <w:szCs w:val="21"/>
                      <w:lang w:val="en-US" w:eastAsia="zh-CN"/>
                    </w:rPr>
                  </w:pPr>
                  <w:r>
                    <w:rPr>
                      <w:rFonts w:hint="eastAsia" w:eastAsia="等线" w:cs="Times New Roman"/>
                      <w:color w:val="auto"/>
                      <w:kern w:val="0"/>
                      <w:sz w:val="21"/>
                      <w:szCs w:val="21"/>
                      <w:lang w:val="en-US" w:eastAsia="zh-CN" w:bidi="ar"/>
                    </w:rPr>
                    <w:t>144.33</w:t>
                  </w:r>
                </w:p>
              </w:tc>
              <w:tc>
                <w:tcPr>
                  <w:tcW w:w="960" w:type="pct"/>
                  <w:tcBorders>
                    <w:tl2br w:val="nil"/>
                    <w:tr2bl w:val="nil"/>
                  </w:tcBorders>
                  <w:shd w:val="clear" w:color="auto" w:fill="auto"/>
                  <w:vAlign w:val="center"/>
                </w:tcPr>
                <w:p w14:paraId="304495A1">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混合浓度mg/L</w:t>
                  </w:r>
                </w:p>
              </w:tc>
              <w:tc>
                <w:tcPr>
                  <w:tcW w:w="333" w:type="pct"/>
                  <w:tcBorders>
                    <w:tl2br w:val="nil"/>
                    <w:tr2bl w:val="nil"/>
                  </w:tcBorders>
                  <w:shd w:val="clear" w:color="auto" w:fill="auto"/>
                  <w:vAlign w:val="center"/>
                </w:tcPr>
                <w:p w14:paraId="522D0D9D">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833" w:type="dxa"/>
                  <w:tcBorders>
                    <w:tl2br w:val="nil"/>
                    <w:tr2bl w:val="nil"/>
                  </w:tcBorders>
                  <w:shd w:val="clear" w:color="auto" w:fill="auto"/>
                  <w:vAlign w:val="center"/>
                </w:tcPr>
                <w:p w14:paraId="25702EDB">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420 </w:t>
                  </w:r>
                </w:p>
              </w:tc>
              <w:tc>
                <w:tcPr>
                  <w:tcW w:w="889" w:type="dxa"/>
                  <w:tcBorders>
                    <w:tl2br w:val="nil"/>
                    <w:tr2bl w:val="nil"/>
                  </w:tcBorders>
                  <w:shd w:val="clear" w:color="auto" w:fill="auto"/>
                  <w:vAlign w:val="center"/>
                </w:tcPr>
                <w:p w14:paraId="5BC253D6">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218 </w:t>
                  </w:r>
                </w:p>
              </w:tc>
              <w:tc>
                <w:tcPr>
                  <w:tcW w:w="860" w:type="dxa"/>
                  <w:tcBorders>
                    <w:tl2br w:val="nil"/>
                    <w:tr2bl w:val="nil"/>
                  </w:tcBorders>
                  <w:shd w:val="clear" w:color="auto" w:fill="auto"/>
                  <w:vAlign w:val="center"/>
                </w:tcPr>
                <w:p w14:paraId="49170F22">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31 </w:t>
                  </w:r>
                </w:p>
              </w:tc>
              <w:tc>
                <w:tcPr>
                  <w:tcW w:w="1003" w:type="dxa"/>
                  <w:tcBorders>
                    <w:tl2br w:val="nil"/>
                    <w:tr2bl w:val="nil"/>
                  </w:tcBorders>
                  <w:shd w:val="clear" w:color="auto" w:fill="auto"/>
                  <w:vAlign w:val="center"/>
                </w:tcPr>
                <w:p w14:paraId="14AC75C1">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259 </w:t>
                  </w:r>
                </w:p>
              </w:tc>
              <w:tc>
                <w:tcPr>
                  <w:tcW w:w="822" w:type="dxa"/>
                  <w:tcBorders>
                    <w:tl2br w:val="nil"/>
                    <w:tr2bl w:val="nil"/>
                  </w:tcBorders>
                  <w:shd w:val="clear" w:color="auto" w:fill="auto"/>
                  <w:vAlign w:val="center"/>
                </w:tcPr>
                <w:p w14:paraId="7F188CE8">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3.6 </w:t>
                  </w:r>
                </w:p>
              </w:tc>
              <w:tc>
                <w:tcPr>
                  <w:tcW w:w="849" w:type="dxa"/>
                  <w:tcBorders>
                    <w:tl2br w:val="nil"/>
                    <w:tr2bl w:val="nil"/>
                  </w:tcBorders>
                  <w:shd w:val="clear" w:color="auto" w:fill="auto"/>
                  <w:vAlign w:val="center"/>
                </w:tcPr>
                <w:p w14:paraId="17801CE4">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41 </w:t>
                  </w:r>
                </w:p>
              </w:tc>
            </w:tr>
            <w:tr w14:paraId="1088E60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7F3D972E">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78DDBA5E">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6D438F52">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处理措施</w:t>
                  </w:r>
                </w:p>
              </w:tc>
              <w:tc>
                <w:tcPr>
                  <w:tcW w:w="3051" w:type="pct"/>
                  <w:gridSpan w:val="7"/>
                  <w:tcBorders>
                    <w:tl2br w:val="nil"/>
                    <w:tr2bl w:val="nil"/>
                  </w:tcBorders>
                  <w:shd w:val="clear" w:color="auto" w:fill="auto"/>
                  <w:vAlign w:val="center"/>
                </w:tcPr>
                <w:p w14:paraId="53DE41A3">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w:t>
                  </w:r>
                </w:p>
              </w:tc>
            </w:tr>
            <w:tr w14:paraId="4523653E">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6EEC7B65">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0146B307">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104EC539">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去除效率</w:t>
                  </w:r>
                </w:p>
              </w:tc>
              <w:tc>
                <w:tcPr>
                  <w:tcW w:w="333" w:type="pct"/>
                  <w:tcBorders>
                    <w:tl2br w:val="nil"/>
                    <w:tr2bl w:val="nil"/>
                  </w:tcBorders>
                  <w:shd w:val="clear" w:color="auto" w:fill="auto"/>
                  <w:vAlign w:val="center"/>
                </w:tcPr>
                <w:p w14:paraId="38F0DF98">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31" w:type="pct"/>
                  <w:tcBorders>
                    <w:tl2br w:val="nil"/>
                    <w:tr2bl w:val="nil"/>
                  </w:tcBorders>
                  <w:shd w:val="clear" w:color="auto" w:fill="auto"/>
                  <w:vAlign w:val="center"/>
                </w:tcPr>
                <w:p w14:paraId="0BBE9EEE">
                  <w:pPr>
                    <w:widowControl/>
                    <w:jc w:val="center"/>
                    <w:textAlignment w:val="center"/>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10%</w:t>
                  </w:r>
                </w:p>
              </w:tc>
              <w:tc>
                <w:tcPr>
                  <w:tcW w:w="460" w:type="pct"/>
                  <w:tcBorders>
                    <w:tl2br w:val="nil"/>
                    <w:tr2bl w:val="nil"/>
                  </w:tcBorders>
                  <w:shd w:val="clear" w:color="auto" w:fill="auto"/>
                  <w:vAlign w:val="center"/>
                </w:tcPr>
                <w:p w14:paraId="2AE3BE05">
                  <w:pPr>
                    <w:widowControl/>
                    <w:jc w:val="center"/>
                    <w:textAlignment w:val="center"/>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w:t>
                  </w:r>
                </w:p>
              </w:tc>
              <w:tc>
                <w:tcPr>
                  <w:tcW w:w="445" w:type="pct"/>
                  <w:tcBorders>
                    <w:tl2br w:val="nil"/>
                    <w:tr2bl w:val="nil"/>
                  </w:tcBorders>
                  <w:shd w:val="clear" w:color="auto" w:fill="auto"/>
                  <w:vAlign w:val="center"/>
                </w:tcPr>
                <w:p w14:paraId="7DFD8A13">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519" w:type="pct"/>
                  <w:tcBorders>
                    <w:tl2br w:val="nil"/>
                    <w:tr2bl w:val="nil"/>
                  </w:tcBorders>
                  <w:shd w:val="clear" w:color="auto" w:fill="auto"/>
                  <w:vAlign w:val="center"/>
                </w:tcPr>
                <w:p w14:paraId="02A6E6F4">
                  <w:pPr>
                    <w:widowControl/>
                    <w:jc w:val="center"/>
                    <w:textAlignment w:val="center"/>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20%</w:t>
                  </w:r>
                </w:p>
              </w:tc>
              <w:tc>
                <w:tcPr>
                  <w:tcW w:w="425" w:type="pct"/>
                  <w:tcBorders>
                    <w:tl2br w:val="nil"/>
                    <w:tr2bl w:val="nil"/>
                  </w:tcBorders>
                  <w:shd w:val="clear" w:color="auto" w:fill="auto"/>
                  <w:vAlign w:val="center"/>
                </w:tcPr>
                <w:p w14:paraId="1BB547F9">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c>
                <w:tcPr>
                  <w:tcW w:w="435" w:type="pct"/>
                  <w:tcBorders>
                    <w:tl2br w:val="nil"/>
                    <w:tr2bl w:val="nil"/>
                  </w:tcBorders>
                  <w:shd w:val="clear" w:color="auto" w:fill="auto"/>
                  <w:vAlign w:val="center"/>
                </w:tcPr>
                <w:p w14:paraId="43EFA507">
                  <w:pPr>
                    <w:widowControl/>
                    <w:jc w:val="center"/>
                    <w:textAlignment w:val="center"/>
                    <w:rPr>
                      <w:rFonts w:hint="eastAsia" w:ascii="Times New Roman" w:hAnsi="Times New Roman" w:eastAsia="等线" w:cs="Times New Roman"/>
                      <w:color w:val="auto"/>
                      <w:kern w:val="0"/>
                      <w:sz w:val="21"/>
                      <w:szCs w:val="21"/>
                      <w:lang w:val="en-US" w:eastAsia="zh-CN" w:bidi="ar"/>
                    </w:rPr>
                  </w:pPr>
                  <w:r>
                    <w:rPr>
                      <w:rFonts w:hint="eastAsia" w:eastAsia="等线" w:cs="Times New Roman"/>
                      <w:color w:val="auto"/>
                      <w:kern w:val="0"/>
                      <w:sz w:val="21"/>
                      <w:szCs w:val="21"/>
                      <w:lang w:val="en-US" w:eastAsia="zh-CN" w:bidi="ar"/>
                    </w:rPr>
                    <w:t>/</w:t>
                  </w:r>
                </w:p>
              </w:tc>
            </w:tr>
            <w:tr w14:paraId="0251F6B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32801F3B">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783ADF5D">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0597F730">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处理后浓度mg/L</w:t>
                  </w:r>
                </w:p>
              </w:tc>
              <w:tc>
                <w:tcPr>
                  <w:tcW w:w="333" w:type="pct"/>
                  <w:tcBorders>
                    <w:tl2br w:val="nil"/>
                    <w:tr2bl w:val="nil"/>
                  </w:tcBorders>
                  <w:shd w:val="clear" w:color="auto" w:fill="auto"/>
                  <w:vAlign w:val="center"/>
                </w:tcPr>
                <w:p w14:paraId="31F29E6A">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834" w:type="dxa"/>
                  <w:tcBorders>
                    <w:tl2br w:val="nil"/>
                    <w:tr2bl w:val="nil"/>
                  </w:tcBorders>
                  <w:shd w:val="clear" w:color="auto" w:fill="auto"/>
                  <w:vAlign w:val="center"/>
                </w:tcPr>
                <w:p w14:paraId="43B42844">
                  <w:pPr>
                    <w:keepNext w:val="0"/>
                    <w:keepLines w:val="0"/>
                    <w:widowControl/>
                    <w:suppressLineNumbers w:val="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 xml:space="preserve">378 </w:t>
                  </w:r>
                </w:p>
              </w:tc>
              <w:tc>
                <w:tcPr>
                  <w:tcW w:w="890" w:type="dxa"/>
                  <w:tcBorders>
                    <w:tl2br w:val="nil"/>
                    <w:tr2bl w:val="nil"/>
                  </w:tcBorders>
                  <w:shd w:val="clear" w:color="auto" w:fill="auto"/>
                  <w:vAlign w:val="center"/>
                </w:tcPr>
                <w:p w14:paraId="717997C9">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218 </w:t>
                  </w:r>
                </w:p>
              </w:tc>
              <w:tc>
                <w:tcPr>
                  <w:tcW w:w="861" w:type="dxa"/>
                  <w:tcBorders>
                    <w:tl2br w:val="nil"/>
                    <w:tr2bl w:val="nil"/>
                  </w:tcBorders>
                  <w:shd w:val="clear" w:color="auto" w:fill="auto"/>
                  <w:vAlign w:val="center"/>
                </w:tcPr>
                <w:p w14:paraId="60C0E71D">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31 </w:t>
                  </w:r>
                </w:p>
              </w:tc>
              <w:tc>
                <w:tcPr>
                  <w:tcW w:w="1004" w:type="dxa"/>
                  <w:tcBorders>
                    <w:tl2br w:val="nil"/>
                    <w:tr2bl w:val="nil"/>
                  </w:tcBorders>
                  <w:shd w:val="clear" w:color="auto" w:fill="auto"/>
                  <w:vAlign w:val="center"/>
                </w:tcPr>
                <w:p w14:paraId="636F2F5B">
                  <w:pPr>
                    <w:keepNext w:val="0"/>
                    <w:keepLines w:val="0"/>
                    <w:widowControl/>
                    <w:suppressLineNumbers w:val="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 xml:space="preserve">207 </w:t>
                  </w:r>
                </w:p>
              </w:tc>
              <w:tc>
                <w:tcPr>
                  <w:tcW w:w="822" w:type="dxa"/>
                  <w:tcBorders>
                    <w:tl2br w:val="nil"/>
                    <w:tr2bl w:val="nil"/>
                  </w:tcBorders>
                  <w:shd w:val="clear" w:color="auto" w:fill="auto"/>
                  <w:vAlign w:val="center"/>
                </w:tcPr>
                <w:p w14:paraId="62DDFAC5">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3.6 </w:t>
                  </w:r>
                </w:p>
              </w:tc>
              <w:tc>
                <w:tcPr>
                  <w:tcW w:w="849" w:type="dxa"/>
                  <w:tcBorders>
                    <w:tl2br w:val="nil"/>
                    <w:tr2bl w:val="nil"/>
                  </w:tcBorders>
                  <w:shd w:val="clear" w:color="auto" w:fill="auto"/>
                  <w:vAlign w:val="center"/>
                </w:tcPr>
                <w:p w14:paraId="62A88B83">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41 </w:t>
                  </w:r>
                </w:p>
              </w:tc>
            </w:tr>
            <w:tr w14:paraId="07DFA25C">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vAlign w:val="center"/>
                </w:tcPr>
                <w:p w14:paraId="1D65C303">
                  <w:pPr>
                    <w:adjustRightInd w:val="0"/>
                    <w:snapToGrid w:val="0"/>
                    <w:jc w:val="center"/>
                    <w:rPr>
                      <w:rFonts w:hint="default" w:ascii="Times New Roman" w:hAnsi="Times New Roman" w:cs="Times New Roman"/>
                      <w:color w:val="auto"/>
                      <w:sz w:val="21"/>
                      <w:szCs w:val="21"/>
                    </w:rPr>
                  </w:pPr>
                </w:p>
              </w:tc>
              <w:tc>
                <w:tcPr>
                  <w:tcW w:w="432" w:type="pct"/>
                  <w:vMerge w:val="continue"/>
                  <w:tcBorders>
                    <w:tl2br w:val="nil"/>
                    <w:tr2bl w:val="nil"/>
                  </w:tcBorders>
                  <w:shd w:val="clear" w:color="auto" w:fill="auto"/>
                  <w:vAlign w:val="center"/>
                </w:tcPr>
                <w:p w14:paraId="63F6FF23">
                  <w:pPr>
                    <w:adjustRightInd w:val="0"/>
                    <w:snapToGrid w:val="0"/>
                    <w:jc w:val="center"/>
                    <w:rPr>
                      <w:rFonts w:hint="default" w:ascii="Times New Roman" w:hAnsi="Times New Roman" w:cs="Times New Roman"/>
                      <w:color w:val="auto"/>
                      <w:sz w:val="21"/>
                      <w:szCs w:val="21"/>
                    </w:rPr>
                  </w:pPr>
                </w:p>
              </w:tc>
              <w:tc>
                <w:tcPr>
                  <w:tcW w:w="960" w:type="pct"/>
                  <w:tcBorders>
                    <w:tl2br w:val="nil"/>
                    <w:tr2bl w:val="nil"/>
                  </w:tcBorders>
                  <w:shd w:val="clear" w:color="auto" w:fill="auto"/>
                  <w:vAlign w:val="center"/>
                </w:tcPr>
                <w:p w14:paraId="15A6D2A2">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排放量t/a</w:t>
                  </w:r>
                </w:p>
              </w:tc>
              <w:tc>
                <w:tcPr>
                  <w:tcW w:w="333" w:type="pct"/>
                  <w:tcBorders>
                    <w:tl2br w:val="nil"/>
                    <w:tr2bl w:val="nil"/>
                  </w:tcBorders>
                  <w:shd w:val="clear" w:color="auto" w:fill="auto"/>
                  <w:vAlign w:val="center"/>
                </w:tcPr>
                <w:p w14:paraId="3BEB606D">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833" w:type="dxa"/>
                  <w:tcBorders>
                    <w:tl2br w:val="nil"/>
                    <w:tr2bl w:val="nil"/>
                  </w:tcBorders>
                  <w:shd w:val="clear" w:color="auto" w:fill="auto"/>
                  <w:vAlign w:val="center"/>
                </w:tcPr>
                <w:p w14:paraId="4FDF0BB1">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0.0546 </w:t>
                  </w:r>
                </w:p>
              </w:tc>
              <w:tc>
                <w:tcPr>
                  <w:tcW w:w="889" w:type="dxa"/>
                  <w:tcBorders>
                    <w:tl2br w:val="nil"/>
                    <w:tr2bl w:val="nil"/>
                  </w:tcBorders>
                  <w:shd w:val="clear" w:color="auto" w:fill="auto"/>
                  <w:vAlign w:val="center"/>
                </w:tcPr>
                <w:p w14:paraId="3AD053D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0.0314 </w:t>
                  </w:r>
                </w:p>
              </w:tc>
              <w:tc>
                <w:tcPr>
                  <w:tcW w:w="860" w:type="dxa"/>
                  <w:tcBorders>
                    <w:tl2br w:val="nil"/>
                    <w:tr2bl w:val="nil"/>
                  </w:tcBorders>
                  <w:shd w:val="clear" w:color="auto" w:fill="auto"/>
                  <w:vAlign w:val="center"/>
                </w:tcPr>
                <w:p w14:paraId="652CAD47">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0.0045 </w:t>
                  </w:r>
                </w:p>
              </w:tc>
              <w:tc>
                <w:tcPr>
                  <w:tcW w:w="1003" w:type="dxa"/>
                  <w:tcBorders>
                    <w:tl2br w:val="nil"/>
                    <w:tr2bl w:val="nil"/>
                  </w:tcBorders>
                  <w:shd w:val="clear" w:color="auto" w:fill="auto"/>
                  <w:vAlign w:val="center"/>
                </w:tcPr>
                <w:p w14:paraId="7E005EA5">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0.0299 </w:t>
                  </w:r>
                </w:p>
              </w:tc>
              <w:tc>
                <w:tcPr>
                  <w:tcW w:w="822" w:type="dxa"/>
                  <w:tcBorders>
                    <w:tl2br w:val="nil"/>
                    <w:tr2bl w:val="nil"/>
                  </w:tcBorders>
                  <w:shd w:val="clear" w:color="auto" w:fill="auto"/>
                  <w:vAlign w:val="center"/>
                </w:tcPr>
                <w:p w14:paraId="25B76E6C">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0.0005 </w:t>
                  </w:r>
                </w:p>
              </w:tc>
              <w:tc>
                <w:tcPr>
                  <w:tcW w:w="849" w:type="dxa"/>
                  <w:tcBorders>
                    <w:tl2br w:val="nil"/>
                    <w:tr2bl w:val="nil"/>
                  </w:tcBorders>
                  <w:shd w:val="clear" w:color="auto" w:fill="auto"/>
                  <w:vAlign w:val="center"/>
                </w:tcPr>
                <w:p w14:paraId="06BC0409">
                  <w:pPr>
                    <w:keepNext w:val="0"/>
                    <w:keepLines w:val="0"/>
                    <w:widowControl/>
                    <w:suppressLineNumbers w:val="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0.0059 </w:t>
                  </w:r>
                </w:p>
              </w:tc>
            </w:tr>
            <w:tr w14:paraId="38ABA3F6">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restart"/>
                  <w:tcBorders>
                    <w:tl2br w:val="nil"/>
                    <w:tr2bl w:val="nil"/>
                  </w:tcBorders>
                  <w:shd w:val="clear" w:color="auto" w:fill="auto"/>
                  <w:noWrap/>
                  <w:vAlign w:val="center"/>
                </w:tcPr>
                <w:p w14:paraId="685A6E7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执行标准</w:t>
                  </w:r>
                </w:p>
              </w:tc>
              <w:tc>
                <w:tcPr>
                  <w:tcW w:w="1393" w:type="pct"/>
                  <w:gridSpan w:val="2"/>
                  <w:tcBorders>
                    <w:tl2br w:val="nil"/>
                    <w:tr2bl w:val="nil"/>
                  </w:tcBorders>
                  <w:shd w:val="clear" w:color="auto" w:fill="auto"/>
                  <w:vAlign w:val="center"/>
                </w:tcPr>
                <w:p w14:paraId="704BE267">
                  <w:pPr>
                    <w:widowControl/>
                    <w:adjustRightInd w:val="0"/>
                    <w:snapToGrid w:val="0"/>
                    <w:jc w:val="center"/>
                    <w:textAlignment w:val="bottom"/>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《污水综合排放标准》（GB8978-1996）三级标准</w:t>
                  </w:r>
                </w:p>
              </w:tc>
              <w:tc>
                <w:tcPr>
                  <w:tcW w:w="333" w:type="pct"/>
                  <w:tcBorders>
                    <w:tl2br w:val="nil"/>
                    <w:tr2bl w:val="nil"/>
                  </w:tcBorders>
                  <w:shd w:val="clear" w:color="auto" w:fill="auto"/>
                  <w:vAlign w:val="center"/>
                </w:tcPr>
                <w:p w14:paraId="2A398533">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431" w:type="pct"/>
                  <w:tcBorders>
                    <w:tl2br w:val="nil"/>
                    <w:tr2bl w:val="nil"/>
                  </w:tcBorders>
                  <w:shd w:val="clear" w:color="auto" w:fill="auto"/>
                  <w:vAlign w:val="center"/>
                </w:tcPr>
                <w:p w14:paraId="7BB7D20F">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c>
                <w:tcPr>
                  <w:tcW w:w="460" w:type="pct"/>
                  <w:tcBorders>
                    <w:tl2br w:val="nil"/>
                    <w:tr2bl w:val="nil"/>
                  </w:tcBorders>
                  <w:shd w:val="clear" w:color="auto" w:fill="auto"/>
                  <w:vAlign w:val="center"/>
                </w:tcPr>
                <w:p w14:paraId="5602962A">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c>
                <w:tcPr>
                  <w:tcW w:w="445" w:type="pct"/>
                  <w:tcBorders>
                    <w:tl2br w:val="nil"/>
                    <w:tr2bl w:val="nil"/>
                  </w:tcBorders>
                  <w:shd w:val="clear" w:color="auto" w:fill="auto"/>
                  <w:vAlign w:val="center"/>
                </w:tcPr>
                <w:p w14:paraId="3C47A7E5">
                  <w:pPr>
                    <w:adjustRightInd w:val="0"/>
                    <w:snapToGrid w:val="0"/>
                    <w:spacing w:line="260" w:lineRule="exact"/>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519" w:type="pct"/>
                  <w:tcBorders>
                    <w:tl2br w:val="nil"/>
                    <w:tr2bl w:val="nil"/>
                  </w:tcBorders>
                  <w:shd w:val="clear" w:color="auto" w:fill="auto"/>
                  <w:vAlign w:val="center"/>
                </w:tcPr>
                <w:p w14:paraId="2400BF7B">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c>
                <w:tcPr>
                  <w:tcW w:w="425" w:type="pct"/>
                  <w:tcBorders>
                    <w:tl2br w:val="nil"/>
                    <w:tr2bl w:val="nil"/>
                  </w:tcBorders>
                  <w:shd w:val="clear" w:color="auto" w:fill="auto"/>
                  <w:vAlign w:val="center"/>
                </w:tcPr>
                <w:p w14:paraId="6C4D0359">
                  <w:pPr>
                    <w:adjustRightInd w:val="0"/>
                    <w:snapToGrid w:val="0"/>
                    <w:spacing w:line="260" w:lineRule="exact"/>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435" w:type="pct"/>
                  <w:tcBorders>
                    <w:tl2br w:val="nil"/>
                    <w:tr2bl w:val="nil"/>
                  </w:tcBorders>
                  <w:shd w:val="clear" w:color="auto" w:fill="auto"/>
                  <w:vAlign w:val="center"/>
                </w:tcPr>
                <w:p w14:paraId="3C3CF7F1">
                  <w:pPr>
                    <w:adjustRightInd w:val="0"/>
                    <w:snapToGrid w:val="0"/>
                    <w:spacing w:line="260" w:lineRule="exact"/>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r>
            <w:tr w14:paraId="4F5CBDC8">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555" w:type="pct"/>
                  <w:vMerge w:val="continue"/>
                  <w:tcBorders>
                    <w:tl2br w:val="nil"/>
                    <w:tr2bl w:val="nil"/>
                  </w:tcBorders>
                  <w:shd w:val="clear" w:color="auto" w:fill="auto"/>
                  <w:noWrap/>
                  <w:vAlign w:val="center"/>
                </w:tcPr>
                <w:p w14:paraId="64F15826">
                  <w:pPr>
                    <w:adjustRightInd w:val="0"/>
                    <w:snapToGrid w:val="0"/>
                    <w:jc w:val="center"/>
                    <w:rPr>
                      <w:rFonts w:hint="default" w:ascii="Times New Roman" w:hAnsi="Times New Roman" w:cs="Times New Roman"/>
                      <w:color w:val="auto"/>
                      <w:sz w:val="21"/>
                      <w:szCs w:val="21"/>
                    </w:rPr>
                  </w:pPr>
                </w:p>
              </w:tc>
              <w:tc>
                <w:tcPr>
                  <w:tcW w:w="1393" w:type="pct"/>
                  <w:gridSpan w:val="2"/>
                  <w:tcBorders>
                    <w:tl2br w:val="nil"/>
                    <w:tr2bl w:val="nil"/>
                  </w:tcBorders>
                  <w:shd w:val="clear" w:color="auto" w:fill="auto"/>
                  <w:vAlign w:val="center"/>
                </w:tcPr>
                <w:p w14:paraId="464C056E">
                  <w:pPr>
                    <w:widowControl/>
                    <w:adjustRightInd w:val="0"/>
                    <w:snapToGrid w:val="0"/>
                    <w:jc w:val="center"/>
                    <w:textAlignment w:val="bottom"/>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《污水排入城镇下水道水质标准》（GB/T 31962-2015）</w:t>
                  </w:r>
                  <w:r>
                    <w:rPr>
                      <w:rFonts w:hint="eastAsia" w:cs="Times New Roman"/>
                      <w:color w:val="auto"/>
                      <w:sz w:val="21"/>
                      <w:szCs w:val="21"/>
                      <w:lang w:val="en-US" w:eastAsia="zh-CN"/>
                    </w:rPr>
                    <w:t>A级标准</w:t>
                  </w:r>
                </w:p>
              </w:tc>
              <w:tc>
                <w:tcPr>
                  <w:tcW w:w="333" w:type="pct"/>
                  <w:tcBorders>
                    <w:tl2br w:val="nil"/>
                    <w:tr2bl w:val="nil"/>
                  </w:tcBorders>
                  <w:shd w:val="clear" w:color="auto" w:fill="auto"/>
                  <w:vAlign w:val="center"/>
                </w:tcPr>
                <w:p w14:paraId="1436B0DD">
                  <w:pPr>
                    <w:adjustRightInd w:val="0"/>
                    <w:snapToGrid w:val="0"/>
                    <w:spacing w:line="260" w:lineRule="exact"/>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431" w:type="pct"/>
                  <w:tcBorders>
                    <w:tl2br w:val="nil"/>
                    <w:tr2bl w:val="nil"/>
                  </w:tcBorders>
                  <w:shd w:val="clear" w:color="auto" w:fill="auto"/>
                  <w:vAlign w:val="center"/>
                </w:tcPr>
                <w:p w14:paraId="4882D07F">
                  <w:pPr>
                    <w:adjustRightInd w:val="0"/>
                    <w:snapToGrid w:val="0"/>
                    <w:spacing w:line="260" w:lineRule="exact"/>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460" w:type="pct"/>
                  <w:tcBorders>
                    <w:tl2br w:val="nil"/>
                    <w:tr2bl w:val="nil"/>
                  </w:tcBorders>
                  <w:shd w:val="clear" w:color="auto" w:fill="auto"/>
                  <w:vAlign w:val="center"/>
                </w:tcPr>
                <w:p w14:paraId="314EA4D4">
                  <w:pPr>
                    <w:adjustRightInd w:val="0"/>
                    <w:snapToGrid w:val="0"/>
                    <w:spacing w:line="260" w:lineRule="exact"/>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445" w:type="pct"/>
                  <w:tcBorders>
                    <w:tl2br w:val="nil"/>
                    <w:tr2bl w:val="nil"/>
                  </w:tcBorders>
                  <w:shd w:val="clear" w:color="auto" w:fill="auto"/>
                  <w:vAlign w:val="center"/>
                </w:tcPr>
                <w:p w14:paraId="54584799">
                  <w:pPr>
                    <w:adjustRightInd w:val="0"/>
                    <w:snapToGrid w:val="0"/>
                    <w:spacing w:line="2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45</w:t>
                  </w:r>
                </w:p>
              </w:tc>
              <w:tc>
                <w:tcPr>
                  <w:tcW w:w="519" w:type="pct"/>
                  <w:tcBorders>
                    <w:tl2br w:val="nil"/>
                    <w:tr2bl w:val="nil"/>
                  </w:tcBorders>
                  <w:shd w:val="clear" w:color="auto" w:fill="auto"/>
                  <w:vAlign w:val="center"/>
                </w:tcPr>
                <w:p w14:paraId="5C2EBB9F">
                  <w:pPr>
                    <w:adjustRightInd w:val="0"/>
                    <w:snapToGrid w:val="0"/>
                    <w:spacing w:line="260" w:lineRule="exact"/>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425" w:type="pct"/>
                  <w:tcBorders>
                    <w:tl2br w:val="nil"/>
                    <w:tr2bl w:val="nil"/>
                  </w:tcBorders>
                  <w:shd w:val="clear" w:color="auto" w:fill="auto"/>
                  <w:vAlign w:val="center"/>
                </w:tcPr>
                <w:p w14:paraId="52E5D001">
                  <w:pPr>
                    <w:adjustRightInd w:val="0"/>
                    <w:snapToGrid w:val="0"/>
                    <w:spacing w:line="260" w:lineRule="exact"/>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8</w:t>
                  </w:r>
                </w:p>
              </w:tc>
              <w:tc>
                <w:tcPr>
                  <w:tcW w:w="435" w:type="pct"/>
                  <w:tcBorders>
                    <w:tl2br w:val="nil"/>
                    <w:tr2bl w:val="nil"/>
                  </w:tcBorders>
                  <w:shd w:val="clear" w:color="auto" w:fill="auto"/>
                  <w:vAlign w:val="center"/>
                </w:tcPr>
                <w:p w14:paraId="0A0992BA">
                  <w:pPr>
                    <w:adjustRightInd w:val="0"/>
                    <w:snapToGrid w:val="0"/>
                    <w:spacing w:line="260" w:lineRule="exact"/>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70</w:t>
                  </w:r>
                </w:p>
              </w:tc>
            </w:tr>
          </w:tbl>
          <w:p w14:paraId="57E804D2">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由工程分析可知，本项目实验</w:t>
            </w:r>
            <w:r>
              <w:rPr>
                <w:rFonts w:hint="eastAsia" w:cs="Times New Roman"/>
                <w:color w:val="auto"/>
                <w:sz w:val="24"/>
                <w:lang w:val="en-US" w:eastAsia="zh-CN"/>
              </w:rPr>
              <w:t>器材</w:t>
            </w:r>
            <w:r>
              <w:rPr>
                <w:rFonts w:hint="default" w:ascii="Times New Roman" w:hAnsi="Times New Roman" w:cs="Times New Roman"/>
                <w:color w:val="auto"/>
                <w:sz w:val="24"/>
                <w:lang w:eastAsia="zh-CN"/>
              </w:rPr>
              <w:t>清洗废水、</w:t>
            </w:r>
            <w:r>
              <w:rPr>
                <w:rFonts w:hint="eastAsia" w:cs="Times New Roman"/>
                <w:color w:val="auto"/>
                <w:sz w:val="24"/>
                <w:lang w:val="en-US" w:eastAsia="zh-CN"/>
              </w:rPr>
              <w:t>实验室</w:t>
            </w:r>
            <w:r>
              <w:rPr>
                <w:rFonts w:hint="default" w:ascii="Times New Roman" w:hAnsi="Times New Roman" w:cs="Times New Roman"/>
                <w:color w:val="auto"/>
                <w:sz w:val="24"/>
                <w:lang w:eastAsia="zh-CN"/>
              </w:rPr>
              <w:t>清洁废水经</w:t>
            </w:r>
            <w:r>
              <w:rPr>
                <w:rFonts w:hint="eastAsia" w:cs="Times New Roman"/>
                <w:color w:val="auto"/>
                <w:sz w:val="24"/>
                <w:lang w:val="en-US" w:eastAsia="zh-CN"/>
              </w:rPr>
              <w:t>酸碱中和</w:t>
            </w:r>
            <w:r>
              <w:rPr>
                <w:rFonts w:hint="default" w:ascii="Times New Roman" w:hAnsi="Times New Roman" w:cs="Times New Roman"/>
                <w:color w:val="auto"/>
                <w:sz w:val="24"/>
                <w:lang w:eastAsia="zh-CN"/>
              </w:rPr>
              <w:t>处理后与纯水制备废水、生活污水一同排入化粪池处理，最终经市政管网排入西安市第</w:t>
            </w:r>
            <w:r>
              <w:rPr>
                <w:rFonts w:hint="eastAsia" w:cs="Times New Roman"/>
                <w:color w:val="auto"/>
                <w:sz w:val="24"/>
                <w:lang w:val="en-US" w:eastAsia="zh-CN"/>
              </w:rPr>
              <w:t>一</w:t>
            </w:r>
            <w:r>
              <w:rPr>
                <w:rFonts w:hint="default" w:ascii="Times New Roman" w:hAnsi="Times New Roman" w:cs="Times New Roman"/>
                <w:color w:val="auto"/>
                <w:sz w:val="24"/>
                <w:lang w:eastAsia="zh-CN"/>
              </w:rPr>
              <w:t>污水处理厂集中处理。</w:t>
            </w:r>
            <w:r>
              <w:rPr>
                <w:rFonts w:hint="default" w:ascii="Times New Roman" w:hAnsi="Times New Roman" w:cs="Times New Roman"/>
                <w:color w:val="auto"/>
                <w:sz w:val="24"/>
              </w:rPr>
              <w:t>废水中各类污染物</w:t>
            </w:r>
            <w:r>
              <w:rPr>
                <w:rFonts w:hint="default" w:ascii="Times New Roman" w:hAnsi="Times New Roman" w:cs="Times New Roman"/>
                <w:color w:val="auto"/>
                <w:sz w:val="24"/>
                <w:lang w:eastAsia="zh-CN"/>
              </w:rPr>
              <w:t>排放</w:t>
            </w:r>
            <w:r>
              <w:rPr>
                <w:rFonts w:hint="default" w:ascii="Times New Roman" w:hAnsi="Times New Roman" w:cs="Times New Roman"/>
                <w:color w:val="auto"/>
                <w:sz w:val="24"/>
              </w:rPr>
              <w:t>浓度满足《污水综合排放标准》（GB8978-1996）三级标准</w:t>
            </w:r>
            <w:r>
              <w:rPr>
                <w:rFonts w:hint="eastAsia" w:cs="Times New Roman"/>
                <w:color w:val="auto"/>
                <w:sz w:val="24"/>
                <w:lang w:val="en-US" w:eastAsia="zh-CN"/>
              </w:rPr>
              <w:t>和</w:t>
            </w:r>
            <w:r>
              <w:rPr>
                <w:rFonts w:hint="default" w:ascii="Times New Roman" w:hAnsi="Times New Roman" w:cs="Times New Roman"/>
                <w:color w:val="auto"/>
                <w:sz w:val="24"/>
              </w:rPr>
              <w:t>《污水排入城镇下水道水质标准》（GB/T 31962-2015）中</w:t>
            </w:r>
            <w:r>
              <w:rPr>
                <w:rFonts w:hint="eastAsia" w:cs="Times New Roman"/>
                <w:color w:val="auto"/>
                <w:sz w:val="24"/>
                <w:lang w:val="en-US" w:eastAsia="zh-CN"/>
              </w:rPr>
              <w:t>A级</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w:t>
            </w:r>
          </w:p>
          <w:p w14:paraId="67AE0010">
            <w:pPr>
              <w:keepNext w:val="0"/>
              <w:keepLines w:val="0"/>
              <w:pageBreakBefore w:val="0"/>
              <w:widowControl/>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lang w:val="en-US" w:eastAsia="zh-CN"/>
              </w:rPr>
            </w:pPr>
            <w:r>
              <w:rPr>
                <w:rFonts w:hint="default" w:ascii="Times New Roman" w:hAnsi="Times New Roman" w:cs="Times New Roman"/>
                <w:b/>
                <w:bCs/>
                <w:color w:val="auto"/>
                <w:sz w:val="24"/>
              </w:rPr>
              <w:t>2、</w:t>
            </w:r>
            <w:r>
              <w:rPr>
                <w:rFonts w:hint="eastAsia" w:cs="Times New Roman"/>
                <w:b/>
                <w:bCs/>
                <w:color w:val="auto"/>
                <w:sz w:val="24"/>
                <w:lang w:val="en-US" w:eastAsia="zh-CN"/>
              </w:rPr>
              <w:t>废水排放口基本情况</w:t>
            </w:r>
          </w:p>
          <w:p w14:paraId="2CCE9555">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废水排放口基本情况见表4-</w:t>
            </w:r>
            <w:r>
              <w:rPr>
                <w:rFonts w:hint="eastAsia" w:cs="Times New Roman"/>
                <w:color w:val="auto"/>
                <w:sz w:val="24"/>
                <w:lang w:val="en-US" w:eastAsia="zh-CN"/>
              </w:rPr>
              <w:t>6</w:t>
            </w:r>
            <w:r>
              <w:rPr>
                <w:rFonts w:hint="default" w:ascii="Times New Roman" w:hAnsi="Times New Roman" w:cs="Times New Roman"/>
                <w:color w:val="auto"/>
                <w:sz w:val="24"/>
                <w:lang w:val="en-US" w:eastAsia="zh-CN"/>
              </w:rPr>
              <w:t>。</w:t>
            </w:r>
          </w:p>
          <w:p w14:paraId="05E8CC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表4-6 项目废水排放口一览表</w:t>
            </w:r>
          </w:p>
          <w:tbl>
            <w:tblPr>
              <w:tblStyle w:val="29"/>
              <w:tblW w:w="4998" w:type="pct"/>
              <w:jc w:val="center"/>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334"/>
              <w:gridCol w:w="1401"/>
              <w:gridCol w:w="1146"/>
              <w:gridCol w:w="1606"/>
              <w:gridCol w:w="1105"/>
              <w:gridCol w:w="2125"/>
              <w:gridCol w:w="952"/>
            </w:tblGrid>
            <w:tr w14:paraId="004B4EA5">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90" w:type="pct"/>
                  <w:vMerge w:val="restart"/>
                  <w:tcBorders>
                    <w:tl2br w:val="nil"/>
                    <w:tr2bl w:val="nil"/>
                  </w:tcBorders>
                  <w:noWrap w:val="0"/>
                  <w:vAlign w:val="center"/>
                </w:tcPr>
                <w:p w14:paraId="271FC9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名称</w:t>
                  </w:r>
                </w:p>
              </w:tc>
              <w:tc>
                <w:tcPr>
                  <w:tcW w:w="1316" w:type="pct"/>
                  <w:gridSpan w:val="2"/>
                  <w:tcBorders>
                    <w:tl2br w:val="nil"/>
                    <w:tr2bl w:val="nil"/>
                  </w:tcBorders>
                  <w:noWrap w:val="0"/>
                  <w:vAlign w:val="center"/>
                </w:tcPr>
                <w:p w14:paraId="7E50A0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排放口地理坐标</w:t>
                  </w:r>
                </w:p>
              </w:tc>
              <w:tc>
                <w:tcPr>
                  <w:tcW w:w="830" w:type="pct"/>
                  <w:vMerge w:val="restart"/>
                  <w:tcBorders>
                    <w:tl2br w:val="nil"/>
                    <w:tr2bl w:val="nil"/>
                  </w:tcBorders>
                  <w:noWrap w:val="0"/>
                  <w:vAlign w:val="center"/>
                </w:tcPr>
                <w:p w14:paraId="6750EB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排放去向</w:t>
                  </w:r>
                </w:p>
              </w:tc>
              <w:tc>
                <w:tcPr>
                  <w:tcW w:w="571" w:type="pct"/>
                  <w:vMerge w:val="restart"/>
                  <w:tcBorders>
                    <w:tl2br w:val="nil"/>
                    <w:tr2bl w:val="nil"/>
                  </w:tcBorders>
                  <w:noWrap w:val="0"/>
                  <w:vAlign w:val="center"/>
                </w:tcPr>
                <w:p w14:paraId="74C697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排放方式</w:t>
                  </w:r>
                </w:p>
              </w:tc>
              <w:tc>
                <w:tcPr>
                  <w:tcW w:w="1098" w:type="pct"/>
                  <w:vMerge w:val="restart"/>
                  <w:tcBorders>
                    <w:tl2br w:val="nil"/>
                    <w:tr2bl w:val="nil"/>
                  </w:tcBorders>
                  <w:noWrap w:val="0"/>
                  <w:vAlign w:val="center"/>
                </w:tcPr>
                <w:p w14:paraId="1C27F3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受纳污水处理厂</w:t>
                  </w:r>
                </w:p>
              </w:tc>
              <w:tc>
                <w:tcPr>
                  <w:tcW w:w="492" w:type="pct"/>
                  <w:vMerge w:val="restart"/>
                  <w:tcBorders>
                    <w:tl2br w:val="nil"/>
                    <w:tr2bl w:val="nil"/>
                  </w:tcBorders>
                  <w:noWrap w:val="0"/>
                  <w:vAlign w:val="center"/>
                </w:tcPr>
                <w:p w14:paraId="5ABE38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排放口类型</w:t>
                  </w:r>
                </w:p>
              </w:tc>
            </w:tr>
            <w:tr w14:paraId="7FBD0864">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0" w:hRule="atLeast"/>
                <w:jc w:val="center"/>
              </w:trPr>
              <w:tc>
                <w:tcPr>
                  <w:tcW w:w="690" w:type="pct"/>
                  <w:vMerge w:val="continue"/>
                  <w:tcBorders>
                    <w:tl2br w:val="nil"/>
                    <w:tr2bl w:val="nil"/>
                  </w:tcBorders>
                  <w:noWrap w:val="0"/>
                  <w:vAlign w:val="center"/>
                </w:tcPr>
                <w:p w14:paraId="16F08C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p>
              </w:tc>
              <w:tc>
                <w:tcPr>
                  <w:tcW w:w="724" w:type="pct"/>
                  <w:tcBorders>
                    <w:tl2br w:val="nil"/>
                    <w:tr2bl w:val="nil"/>
                  </w:tcBorders>
                  <w:noWrap w:val="0"/>
                  <w:vAlign w:val="center"/>
                </w:tcPr>
                <w:p w14:paraId="427DA3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经度（°）</w:t>
                  </w:r>
                </w:p>
              </w:tc>
              <w:tc>
                <w:tcPr>
                  <w:tcW w:w="592" w:type="pct"/>
                  <w:tcBorders>
                    <w:tl2br w:val="nil"/>
                    <w:tr2bl w:val="nil"/>
                  </w:tcBorders>
                  <w:noWrap w:val="0"/>
                  <w:vAlign w:val="center"/>
                </w:tcPr>
                <w:p w14:paraId="0ACA4B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纬度（°）</w:t>
                  </w:r>
                </w:p>
              </w:tc>
              <w:tc>
                <w:tcPr>
                  <w:tcW w:w="830" w:type="pct"/>
                  <w:vMerge w:val="continue"/>
                  <w:tcBorders>
                    <w:tl2br w:val="nil"/>
                    <w:tr2bl w:val="nil"/>
                  </w:tcBorders>
                  <w:noWrap w:val="0"/>
                  <w:vAlign w:val="center"/>
                </w:tcPr>
                <w:p w14:paraId="2249AD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571" w:type="pct"/>
                  <w:vMerge w:val="continue"/>
                  <w:tcBorders>
                    <w:tl2br w:val="nil"/>
                    <w:tr2bl w:val="nil"/>
                  </w:tcBorders>
                  <w:noWrap w:val="0"/>
                  <w:vAlign w:val="center"/>
                </w:tcPr>
                <w:p w14:paraId="2F39EB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1098" w:type="pct"/>
                  <w:vMerge w:val="continue"/>
                  <w:tcBorders>
                    <w:tl2br w:val="nil"/>
                    <w:tr2bl w:val="nil"/>
                  </w:tcBorders>
                  <w:noWrap w:val="0"/>
                  <w:vAlign w:val="center"/>
                </w:tcPr>
                <w:p w14:paraId="22E88A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492" w:type="pct"/>
                  <w:vMerge w:val="continue"/>
                  <w:tcBorders>
                    <w:tl2br w:val="nil"/>
                    <w:tr2bl w:val="nil"/>
                  </w:tcBorders>
                  <w:noWrap w:val="0"/>
                  <w:vAlign w:val="center"/>
                </w:tcPr>
                <w:p w14:paraId="19902E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r>
            <w:tr w14:paraId="3437032C">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90" w:type="pct"/>
                  <w:tcBorders>
                    <w:tl2br w:val="nil"/>
                    <w:tr2bl w:val="nil"/>
                  </w:tcBorders>
                  <w:noWrap w:val="0"/>
                  <w:vAlign w:val="center"/>
                </w:tcPr>
                <w:p w14:paraId="394511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化粪池排放口（DW001）</w:t>
                  </w:r>
                </w:p>
              </w:tc>
              <w:tc>
                <w:tcPr>
                  <w:tcW w:w="724" w:type="pct"/>
                  <w:tcBorders>
                    <w:tl2br w:val="nil"/>
                    <w:tr2bl w:val="nil"/>
                  </w:tcBorders>
                  <w:noWrap w:val="0"/>
                  <w:vAlign w:val="center"/>
                </w:tcPr>
                <w:p w14:paraId="0E5142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108.892954</w:t>
                  </w:r>
                </w:p>
              </w:tc>
              <w:tc>
                <w:tcPr>
                  <w:tcW w:w="592" w:type="pct"/>
                  <w:tcBorders>
                    <w:tl2br w:val="nil"/>
                    <w:tr2bl w:val="nil"/>
                  </w:tcBorders>
                  <w:noWrap w:val="0"/>
                  <w:vAlign w:val="center"/>
                </w:tcPr>
                <w:p w14:paraId="7C248C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34.290277</w:t>
                  </w:r>
                </w:p>
              </w:tc>
              <w:tc>
                <w:tcPr>
                  <w:tcW w:w="830" w:type="pct"/>
                  <w:tcBorders>
                    <w:tl2br w:val="nil"/>
                    <w:tr2bl w:val="nil"/>
                  </w:tcBorders>
                  <w:noWrap w:val="0"/>
                  <w:vAlign w:val="center"/>
                </w:tcPr>
                <w:p w14:paraId="6CC9B5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进入市政管网</w:t>
                  </w:r>
                </w:p>
              </w:tc>
              <w:tc>
                <w:tcPr>
                  <w:tcW w:w="571" w:type="pct"/>
                  <w:tcBorders>
                    <w:tl2br w:val="nil"/>
                    <w:tr2bl w:val="nil"/>
                  </w:tcBorders>
                  <w:noWrap w:val="0"/>
                  <w:vAlign w:val="center"/>
                </w:tcPr>
                <w:p w14:paraId="22BEEB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间接排放</w:t>
                  </w:r>
                </w:p>
              </w:tc>
              <w:tc>
                <w:tcPr>
                  <w:tcW w:w="1098" w:type="pct"/>
                  <w:tcBorders>
                    <w:tl2br w:val="nil"/>
                    <w:tr2bl w:val="nil"/>
                  </w:tcBorders>
                  <w:noWrap w:val="0"/>
                  <w:vAlign w:val="center"/>
                </w:tcPr>
                <w:p w14:paraId="3DFCF0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西安市第</w:t>
                  </w:r>
                  <w:r>
                    <w:rPr>
                      <w:rFonts w:hint="eastAsia" w:ascii="Times New Roman" w:hAnsi="Times New Roman" w:cs="Times New Roman"/>
                      <w:color w:val="auto"/>
                      <w:sz w:val="21"/>
                      <w:szCs w:val="21"/>
                      <w:lang w:val="en-US" w:eastAsia="zh-CN"/>
                    </w:rPr>
                    <w:t>一</w:t>
                  </w:r>
                  <w:r>
                    <w:rPr>
                      <w:rFonts w:hint="default" w:ascii="Times New Roman" w:hAnsi="Times New Roman" w:cs="Times New Roman"/>
                      <w:color w:val="auto"/>
                      <w:sz w:val="21"/>
                      <w:szCs w:val="21"/>
                      <w:lang w:eastAsia="zh-CN"/>
                    </w:rPr>
                    <w:t>污水处理厂（</w:t>
                  </w:r>
                  <w:r>
                    <w:rPr>
                      <w:rFonts w:hint="eastAsia" w:ascii="Times New Roman" w:hAnsi="Times New Roman" w:cs="Times New Roman"/>
                      <w:color w:val="auto"/>
                      <w:sz w:val="21"/>
                      <w:szCs w:val="21"/>
                      <w:lang w:val="en-US" w:eastAsia="zh-CN"/>
                    </w:rPr>
                    <w:t>邓家村</w:t>
                  </w:r>
                  <w:r>
                    <w:rPr>
                      <w:rFonts w:hint="default" w:ascii="Times New Roman" w:hAnsi="Times New Roman" w:cs="Times New Roman"/>
                      <w:color w:val="auto"/>
                      <w:sz w:val="21"/>
                      <w:szCs w:val="21"/>
                      <w:lang w:eastAsia="zh-CN"/>
                    </w:rPr>
                    <w:t>污水处理厂）</w:t>
                  </w:r>
                </w:p>
              </w:tc>
              <w:tc>
                <w:tcPr>
                  <w:tcW w:w="492" w:type="pct"/>
                  <w:tcBorders>
                    <w:tl2br w:val="nil"/>
                    <w:tr2bl w:val="nil"/>
                  </w:tcBorders>
                  <w:noWrap w:val="0"/>
                  <w:vAlign w:val="center"/>
                </w:tcPr>
                <w:p w14:paraId="02A299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一般排放口</w:t>
                  </w:r>
                </w:p>
              </w:tc>
            </w:tr>
          </w:tbl>
          <w:p w14:paraId="1503092A">
            <w:pPr>
              <w:widowControl/>
              <w:numPr>
                <w:ilvl w:val="0"/>
                <w:numId w:val="2"/>
              </w:numPr>
              <w:adjustRightInd w:val="0"/>
              <w:snapToGrid w:val="0"/>
              <w:spacing w:line="348"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废水治理措施可行性分析</w:t>
            </w:r>
          </w:p>
          <w:p w14:paraId="30834F93">
            <w:pPr>
              <w:adjustRightInd w:val="0"/>
              <w:snapToGrid w:val="0"/>
              <w:spacing w:line="360" w:lineRule="auto"/>
              <w:ind w:firstLine="482" w:firstLineChars="200"/>
              <w:rPr>
                <w:rFonts w:hint="default" w:ascii="Times New Roman" w:hAnsi="Times New Roman" w:cs="Times New Roman"/>
                <w:b/>
                <w:bCs/>
                <w:color w:val="auto"/>
                <w:sz w:val="24"/>
                <w:lang w:val="zh-TW"/>
              </w:rPr>
            </w:pPr>
            <w:r>
              <w:rPr>
                <w:rFonts w:hint="default" w:ascii="Times New Roman" w:hAnsi="Times New Roman" w:cs="Times New Roman"/>
                <w:b/>
                <w:bCs/>
                <w:color w:val="auto"/>
                <w:sz w:val="24"/>
                <w:lang w:val="zh-TW"/>
              </w:rPr>
              <w:t>（</w:t>
            </w:r>
            <w:r>
              <w:rPr>
                <w:rFonts w:hint="default" w:ascii="Times New Roman" w:hAnsi="Times New Roman" w:cs="Times New Roman"/>
                <w:b/>
                <w:bCs/>
                <w:color w:val="auto"/>
                <w:sz w:val="24"/>
              </w:rPr>
              <w:t>1</w:t>
            </w:r>
            <w:r>
              <w:rPr>
                <w:rFonts w:hint="default" w:ascii="Times New Roman" w:hAnsi="Times New Roman" w:cs="Times New Roman"/>
                <w:b/>
                <w:bCs/>
                <w:color w:val="auto"/>
                <w:sz w:val="24"/>
                <w:lang w:val="zh-TW"/>
              </w:rPr>
              <w:t>）废水收集方式</w:t>
            </w:r>
          </w:p>
          <w:p w14:paraId="38908089">
            <w:pPr>
              <w:adjustRightInd w:val="0"/>
              <w:snapToGrid w:val="0"/>
              <w:spacing w:line="360" w:lineRule="auto"/>
              <w:ind w:firstLine="480" w:firstLineChars="200"/>
              <w:rPr>
                <w:rFonts w:hint="default" w:ascii="Times New Roman" w:hAnsi="Times New Roman" w:cs="Times New Roman"/>
                <w:color w:val="auto"/>
                <w:kern w:val="0"/>
                <w:sz w:val="24"/>
                <w:lang w:val="zh-TW"/>
              </w:rPr>
            </w:pPr>
            <w:r>
              <w:rPr>
                <w:rFonts w:hint="default" w:ascii="Times New Roman" w:hAnsi="Times New Roman" w:cs="Times New Roman"/>
                <w:color w:val="auto"/>
                <w:kern w:val="0"/>
                <w:sz w:val="24"/>
                <w:lang w:val="zh-TW"/>
              </w:rPr>
              <w:t>本项目环评要求项目须配套建设实验室废水的收集与处理设施。</w:t>
            </w:r>
          </w:p>
          <w:p w14:paraId="1A9FE236">
            <w:pPr>
              <w:adjustRightInd w:val="0"/>
              <w:snapToGrid w:val="0"/>
              <w:spacing w:line="360" w:lineRule="auto"/>
              <w:ind w:firstLine="480" w:firstLineChars="200"/>
              <w:rPr>
                <w:rFonts w:hint="default" w:ascii="Times New Roman" w:hAnsi="Times New Roman" w:cs="Times New Roman"/>
                <w:color w:val="auto"/>
                <w:kern w:val="0"/>
                <w:sz w:val="24"/>
                <w:lang w:val="zh-TW"/>
              </w:rPr>
            </w:pPr>
            <w:r>
              <w:rPr>
                <w:rFonts w:hint="default" w:ascii="Times New Roman" w:hAnsi="Times New Roman" w:cs="Times New Roman"/>
                <w:color w:val="auto"/>
                <w:kern w:val="0"/>
                <w:sz w:val="24"/>
                <w:lang w:val="zh-TW"/>
              </w:rPr>
              <w:t>实验室废液收集方式：均须作为危险废物采用专用废水收集桶单独收集，收集后置于专用密闭废液收集桶中，于危险废物贮存库暂存后交由</w:t>
            </w:r>
            <w:r>
              <w:rPr>
                <w:rFonts w:hint="eastAsia" w:cs="Times New Roman"/>
                <w:color w:val="auto"/>
                <w:kern w:val="0"/>
                <w:sz w:val="24"/>
                <w:lang w:val="en-US" w:eastAsia="zh-CN"/>
              </w:rPr>
              <w:t>有</w:t>
            </w:r>
            <w:r>
              <w:rPr>
                <w:rFonts w:hint="default" w:ascii="Times New Roman" w:hAnsi="Times New Roman" w:cs="Times New Roman"/>
                <w:color w:val="auto"/>
                <w:kern w:val="0"/>
                <w:sz w:val="24"/>
                <w:lang w:val="zh-TW"/>
              </w:rPr>
              <w:t>资质单位处置。</w:t>
            </w:r>
          </w:p>
          <w:p w14:paraId="02B5EE50">
            <w:pPr>
              <w:adjustRightInd w:val="0"/>
              <w:snapToGrid w:val="0"/>
              <w:spacing w:line="360" w:lineRule="auto"/>
              <w:ind w:firstLine="480" w:firstLineChars="200"/>
              <w:rPr>
                <w:rFonts w:hint="default" w:ascii="Times New Roman" w:hAnsi="Times New Roman" w:cs="Times New Roman"/>
                <w:color w:val="auto"/>
                <w:kern w:val="0"/>
                <w:sz w:val="24"/>
              </w:rPr>
            </w:pPr>
            <w:r>
              <w:rPr>
                <w:rFonts w:hint="eastAsia" w:cs="Times New Roman"/>
                <w:color w:val="auto"/>
                <w:sz w:val="24"/>
                <w:lang w:eastAsia="zh-CN"/>
              </w:rPr>
              <w:t>实验室</w:t>
            </w:r>
            <w:r>
              <w:rPr>
                <w:rFonts w:hint="eastAsia" w:cs="Times New Roman"/>
                <w:color w:val="auto"/>
                <w:sz w:val="24"/>
                <w:lang w:val="en-US" w:eastAsia="zh-CN"/>
              </w:rPr>
              <w:t>产生的</w:t>
            </w:r>
            <w:r>
              <w:rPr>
                <w:rFonts w:hint="default" w:ascii="Times New Roman" w:hAnsi="Times New Roman" w:cs="Times New Roman"/>
                <w:color w:val="auto"/>
                <w:sz w:val="24"/>
              </w:rPr>
              <w:t>清洗废水</w:t>
            </w:r>
            <w:r>
              <w:rPr>
                <w:rFonts w:hint="default" w:ascii="Times New Roman" w:hAnsi="Times New Roman" w:cs="Times New Roman"/>
                <w:color w:val="auto"/>
                <w:kern w:val="0"/>
                <w:sz w:val="24"/>
                <w:lang w:val="zh-TW"/>
              </w:rPr>
              <w:t>收集方式：实验</w:t>
            </w:r>
            <w:r>
              <w:rPr>
                <w:rFonts w:hint="eastAsia" w:cs="Times New Roman"/>
                <w:color w:val="auto"/>
                <w:kern w:val="0"/>
                <w:sz w:val="24"/>
                <w:lang w:val="en-US" w:eastAsia="zh-CN"/>
              </w:rPr>
              <w:t>器材清洗废水和实验室的清洁废水</w:t>
            </w:r>
            <w:r>
              <w:rPr>
                <w:rFonts w:hint="default" w:ascii="Times New Roman" w:hAnsi="Times New Roman" w:cs="Times New Roman"/>
                <w:color w:val="auto"/>
                <w:kern w:val="0"/>
                <w:sz w:val="24"/>
                <w:lang w:val="zh-TW"/>
              </w:rPr>
              <w:t>，应确保有效收集，收集</w:t>
            </w:r>
            <w:r>
              <w:rPr>
                <w:rFonts w:hint="eastAsia" w:cs="Times New Roman"/>
                <w:color w:val="auto"/>
                <w:kern w:val="0"/>
                <w:sz w:val="24"/>
                <w:lang w:val="en-US" w:eastAsia="zh-CN"/>
              </w:rPr>
              <w:t>进</w:t>
            </w:r>
            <w:r>
              <w:rPr>
                <w:rFonts w:hint="eastAsia" w:cs="Times New Roman"/>
                <w:color w:val="auto"/>
                <w:sz w:val="24"/>
                <w:lang w:val="en-US" w:eastAsia="zh-CN"/>
              </w:rPr>
              <w:t>酸碱中和池进行预处理</w:t>
            </w:r>
            <w:r>
              <w:rPr>
                <w:rFonts w:hint="default" w:ascii="Times New Roman" w:hAnsi="Times New Roman" w:cs="Times New Roman"/>
                <w:color w:val="auto"/>
                <w:sz w:val="24"/>
                <w:lang w:val="en-GB"/>
              </w:rPr>
              <w:t>。</w:t>
            </w:r>
          </w:p>
          <w:p w14:paraId="21850546">
            <w:pPr>
              <w:adjustRightInd w:val="0"/>
              <w:snapToGrid w:val="0"/>
              <w:spacing w:line="360" w:lineRule="auto"/>
              <w:ind w:firstLine="480" w:firstLineChars="200"/>
              <w:rPr>
                <w:rFonts w:hint="default" w:ascii="Times New Roman" w:hAnsi="Times New Roman" w:cs="Times New Roman"/>
                <w:color w:val="auto"/>
                <w:sz w:val="24"/>
              </w:rPr>
            </w:pPr>
            <w:r>
              <w:rPr>
                <w:rFonts w:hint="eastAsia" w:cs="Times New Roman"/>
                <w:color w:val="auto"/>
                <w:sz w:val="24"/>
                <w:lang w:val="en-US" w:eastAsia="zh-CN"/>
              </w:rPr>
              <w:t>实验室产生的</w:t>
            </w:r>
            <w:r>
              <w:rPr>
                <w:rFonts w:hint="default" w:ascii="Times New Roman" w:hAnsi="Times New Roman" w:cs="Times New Roman"/>
                <w:color w:val="auto"/>
                <w:sz w:val="24"/>
              </w:rPr>
              <w:t>清洗废水经</w:t>
            </w:r>
            <w:r>
              <w:rPr>
                <w:rFonts w:hint="eastAsia" w:cs="Times New Roman"/>
                <w:color w:val="auto"/>
                <w:sz w:val="24"/>
                <w:lang w:val="en-US" w:eastAsia="zh-CN"/>
              </w:rPr>
              <w:t>中和处理</w:t>
            </w:r>
            <w:r>
              <w:rPr>
                <w:rFonts w:hint="default" w:ascii="Times New Roman" w:hAnsi="Times New Roman" w:cs="Times New Roman"/>
                <w:color w:val="auto"/>
                <w:sz w:val="24"/>
                <w:lang w:val="en-GB"/>
              </w:rPr>
              <w:t>后</w:t>
            </w:r>
            <w:r>
              <w:rPr>
                <w:rFonts w:hint="default" w:ascii="Times New Roman" w:hAnsi="Times New Roman" w:cs="Times New Roman"/>
                <w:color w:val="auto"/>
                <w:sz w:val="24"/>
              </w:rPr>
              <w:t>与纯水制备浓水、生活污水一同进入现有化粪池处理。</w:t>
            </w:r>
          </w:p>
          <w:p w14:paraId="27BAF1FA">
            <w:pPr>
              <w:adjustRightInd w:val="0"/>
              <w:snapToGrid w:val="0"/>
              <w:spacing w:line="360" w:lineRule="auto"/>
              <w:ind w:firstLine="482" w:firstLineChars="200"/>
              <w:rPr>
                <w:rFonts w:hint="default" w:ascii="Times New Roman" w:hAnsi="Times New Roman" w:cs="Times New Roman"/>
                <w:b/>
                <w:bCs/>
                <w:color w:val="auto"/>
                <w:sz w:val="24"/>
                <w:lang w:val="zh-TW"/>
              </w:rPr>
            </w:pPr>
            <w:r>
              <w:rPr>
                <w:rFonts w:hint="default" w:ascii="Times New Roman" w:hAnsi="Times New Roman" w:cs="Times New Roman"/>
                <w:b/>
                <w:bCs/>
                <w:color w:val="auto"/>
                <w:sz w:val="24"/>
                <w:lang w:val="zh-TW"/>
              </w:rPr>
              <w:t>（</w:t>
            </w:r>
            <w:r>
              <w:rPr>
                <w:rFonts w:hint="default" w:ascii="Times New Roman" w:hAnsi="Times New Roman" w:cs="Times New Roman"/>
                <w:b/>
                <w:bCs/>
                <w:color w:val="auto"/>
                <w:sz w:val="24"/>
              </w:rPr>
              <w:t>2</w:t>
            </w:r>
            <w:r>
              <w:rPr>
                <w:rFonts w:hint="default" w:ascii="Times New Roman" w:hAnsi="Times New Roman" w:cs="Times New Roman"/>
                <w:b/>
                <w:bCs/>
                <w:color w:val="auto"/>
                <w:sz w:val="24"/>
                <w:lang w:val="zh-TW"/>
              </w:rPr>
              <w:t>）废水处理工艺可行性分析</w:t>
            </w:r>
          </w:p>
          <w:p w14:paraId="49E1CE26">
            <w:pPr>
              <w:adjustRightInd w:val="0"/>
              <w:snapToGrid w:val="0"/>
              <w:spacing w:line="360" w:lineRule="auto"/>
              <w:ind w:firstLine="480" w:firstLineChars="200"/>
              <w:rPr>
                <w:rFonts w:hint="default" w:ascii="Times New Roman" w:hAnsi="Times New Roman" w:cs="Times New Roman"/>
                <w:color w:val="auto"/>
                <w:sz w:val="24"/>
                <w:lang w:val="zh-TW"/>
              </w:rPr>
            </w:pPr>
            <w:r>
              <w:rPr>
                <w:rFonts w:hint="default" w:ascii="Times New Roman" w:hAnsi="Times New Roman" w:cs="Times New Roman"/>
                <w:color w:val="auto"/>
                <w:sz w:val="24"/>
                <w:lang w:val="zh-TW"/>
              </w:rPr>
              <w:t>①实验室废水处理工艺可行性</w:t>
            </w:r>
          </w:p>
          <w:p w14:paraId="463F0ED4">
            <w:pPr>
              <w:pStyle w:val="37"/>
              <w:snapToGrid w:val="0"/>
              <w:spacing w:line="360" w:lineRule="auto"/>
              <w:ind w:firstLine="480" w:firstLineChars="20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根据项目特点，本项目实验</w:t>
            </w:r>
            <w:r>
              <w:rPr>
                <w:rFonts w:hint="eastAsia" w:ascii="Times New Roman" w:cs="Times New Roman"/>
                <w:color w:val="auto"/>
                <w:lang w:val="en-US" w:eastAsia="zh-CN"/>
              </w:rPr>
              <w:t>器材</w:t>
            </w:r>
            <w:r>
              <w:rPr>
                <w:rFonts w:hint="default" w:ascii="Times New Roman" w:hAnsi="Times New Roman" w:cs="Times New Roman"/>
                <w:color w:val="auto"/>
                <w:lang w:val="en-US" w:eastAsia="zh-CN"/>
              </w:rPr>
              <w:t>清洗废水、</w:t>
            </w:r>
            <w:r>
              <w:rPr>
                <w:rFonts w:hint="eastAsia" w:ascii="Times New Roman" w:cs="Times New Roman"/>
                <w:color w:val="auto"/>
                <w:lang w:val="en-US" w:eastAsia="zh-CN"/>
              </w:rPr>
              <w:t>实验室的</w:t>
            </w:r>
            <w:r>
              <w:rPr>
                <w:rFonts w:hint="default" w:ascii="Times New Roman" w:hAnsi="Times New Roman" w:cs="Times New Roman"/>
                <w:color w:val="auto"/>
                <w:lang w:val="en-US" w:eastAsia="zh-CN"/>
              </w:rPr>
              <w:t>清洁废水中主要污染物为pH、SS等，且由于项目</w:t>
            </w:r>
            <w:r>
              <w:rPr>
                <w:rFonts w:hint="eastAsia" w:ascii="Times New Roman" w:cs="Times New Roman"/>
                <w:color w:val="auto"/>
                <w:lang w:val="en-US" w:eastAsia="zh-CN"/>
              </w:rPr>
              <w:t>该部分</w:t>
            </w:r>
            <w:r>
              <w:rPr>
                <w:rFonts w:hint="default" w:ascii="Times New Roman" w:hAnsi="Times New Roman" w:cs="Times New Roman"/>
                <w:color w:val="auto"/>
                <w:lang w:val="en-US" w:eastAsia="zh-CN"/>
              </w:rPr>
              <w:t>废水产生量约</w:t>
            </w:r>
            <w:r>
              <w:rPr>
                <w:rFonts w:hint="eastAsia" w:ascii="Times New Roman" w:cs="Times New Roman"/>
                <w:color w:val="auto"/>
                <w:lang w:val="en-US" w:eastAsia="zh-CN"/>
              </w:rPr>
              <w:t>0.18</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/d，且主要为清洗水，废水中各类污染浓度低。因此拟设置</w:t>
            </w:r>
            <w:r>
              <w:rPr>
                <w:rFonts w:hint="eastAsia" w:ascii="Times New Roman" w:cs="Times New Roman"/>
                <w:color w:val="auto"/>
                <w:lang w:val="en-US" w:eastAsia="zh-CN"/>
              </w:rPr>
              <w:t>酸碱中和池</w:t>
            </w:r>
            <w:r>
              <w:rPr>
                <w:rFonts w:hint="default" w:ascii="Times New Roman" w:hAnsi="Times New Roman" w:cs="Times New Roman"/>
                <w:color w:val="auto"/>
                <w:lang w:val="en-US" w:eastAsia="zh-CN"/>
              </w:rPr>
              <w:t>，设计处理规模为</w:t>
            </w:r>
            <w:r>
              <w:rPr>
                <w:rFonts w:hint="eastAsia" w:ascii="Times New Roman" w:cs="Times New Roman"/>
                <w:color w:val="auto"/>
                <w:lang w:val="en-US" w:eastAsia="zh-CN"/>
              </w:rPr>
              <w:t>1</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/d，具体处理工艺为：</w:t>
            </w:r>
            <w:r>
              <w:rPr>
                <w:rFonts w:hint="eastAsia" w:ascii="Times New Roman" w:cs="Times New Roman"/>
                <w:color w:val="auto"/>
                <w:lang w:val="en-US" w:eastAsia="zh-CN"/>
              </w:rPr>
              <w:t>中和</w:t>
            </w:r>
            <w:r>
              <w:rPr>
                <w:rFonts w:hint="default" w:ascii="Times New Roman" w:hAnsi="Times New Roman" w:cs="Times New Roman"/>
                <w:color w:val="auto"/>
                <w:lang w:val="en-US" w:eastAsia="zh-CN"/>
              </w:rPr>
              <w:t>工艺。</w:t>
            </w:r>
          </w:p>
          <w:p w14:paraId="031C94E7">
            <w:pPr>
              <w:pStyle w:val="37"/>
              <w:snapToGrid w:val="0"/>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lang w:val="en-US" w:eastAsia="zh-CN"/>
              </w:rPr>
              <w:t>本项目废水收集后进入酸碱中和池，中和池进口设置</w:t>
            </w:r>
            <w:r>
              <w:rPr>
                <w:rFonts w:hint="eastAsia" w:ascii="Times New Roman" w:cs="Times New Roman"/>
                <w:color w:val="auto"/>
                <w:lang w:val="en-US" w:eastAsia="zh-CN"/>
              </w:rPr>
              <w:t>pH值</w:t>
            </w:r>
            <w:r>
              <w:rPr>
                <w:rFonts w:hint="default" w:ascii="Times New Roman" w:hAnsi="Times New Roman" w:cs="Times New Roman"/>
                <w:color w:val="auto"/>
                <w:lang w:val="en-US" w:eastAsia="zh-CN"/>
              </w:rPr>
              <w:t>自动监测和自动加药装置，根据来水</w:t>
            </w:r>
            <w:r>
              <w:rPr>
                <w:rFonts w:hint="eastAsia" w:ascii="Times New Roman" w:cs="Times New Roman"/>
                <w:color w:val="auto"/>
                <w:lang w:val="en-US" w:eastAsia="zh-CN"/>
              </w:rPr>
              <w:t>p</w:t>
            </w:r>
            <w:r>
              <w:rPr>
                <w:rFonts w:hint="default" w:ascii="Times New Roman" w:hAnsi="Times New Roman" w:cs="Times New Roman"/>
                <w:color w:val="auto"/>
                <w:lang w:val="en-US" w:eastAsia="zh-CN"/>
              </w:rPr>
              <w:t>H值情况，加入适量的氢氧化钠或稀盐酸溶液，确保中和池出水pH值在6-9之间。</w:t>
            </w:r>
          </w:p>
          <w:p w14:paraId="5780DF07">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cs="Times New Roman"/>
                <w:color w:val="auto"/>
                <w:sz w:val="24"/>
                <w:lang w:val="zh-TW"/>
              </w:rPr>
              <w:t>②</w:t>
            </w:r>
            <w:r>
              <w:rPr>
                <w:rFonts w:hint="eastAsia" w:cs="Times New Roman"/>
                <w:color w:val="auto"/>
                <w:sz w:val="24"/>
                <w:lang w:val="en-US" w:eastAsia="zh-CN"/>
              </w:rPr>
              <w:t>依托化粪池</w:t>
            </w:r>
            <w:r>
              <w:rPr>
                <w:rFonts w:hint="default" w:ascii="Times New Roman" w:hAnsi="Times New Roman" w:cs="Times New Roman"/>
                <w:color w:val="auto"/>
                <w:sz w:val="24"/>
                <w:lang w:val="zh-TW"/>
              </w:rPr>
              <w:t>可行性</w:t>
            </w:r>
            <w:r>
              <w:rPr>
                <w:rFonts w:hint="eastAsia" w:cs="Times New Roman"/>
                <w:color w:val="auto"/>
                <w:sz w:val="24"/>
                <w:lang w:val="en-US" w:eastAsia="zh-CN"/>
              </w:rPr>
              <w:t>分析</w:t>
            </w:r>
          </w:p>
          <w:p w14:paraId="11BB7890">
            <w:pPr>
              <w:widowControl/>
              <w:adjustRightInd w:val="0"/>
              <w:snapToGrid w:val="0"/>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本项目</w:t>
            </w:r>
            <w:r>
              <w:rPr>
                <w:rFonts w:hint="eastAsia" w:cs="Times New Roman"/>
                <w:color w:val="auto"/>
                <w:sz w:val="24"/>
                <w:lang w:val="en-US" w:eastAsia="zh-CN"/>
              </w:rPr>
              <w:t>排水依托小区公共</w:t>
            </w:r>
            <w:r>
              <w:rPr>
                <w:rFonts w:hint="default" w:ascii="Times New Roman" w:hAnsi="Times New Roman" w:cs="Times New Roman"/>
                <w:color w:val="auto"/>
                <w:sz w:val="24"/>
                <w:lang w:val="en-US" w:eastAsia="zh-CN"/>
              </w:rPr>
              <w:t>化粪池</w:t>
            </w:r>
            <w:r>
              <w:rPr>
                <w:rFonts w:hint="eastAsia" w:cs="Times New Roman"/>
                <w:color w:val="auto"/>
                <w:sz w:val="24"/>
                <w:lang w:val="en-US" w:eastAsia="zh-CN"/>
              </w:rPr>
              <w:t>220</w:t>
            </w:r>
            <w:r>
              <w:rPr>
                <w:rFonts w:hint="default" w:ascii="Times New Roman" w:hAnsi="Times New Roman" w:cs="Times New Roman"/>
                <w:color w:val="auto"/>
                <w:sz w:val="24"/>
                <w:lang w:val="en-US" w:eastAsia="zh-CN"/>
              </w:rPr>
              <w:t>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val="en-US" w:eastAsia="zh-CN"/>
              </w:rPr>
              <w:t>，本项目排入化粪池废水产生量约为</w:t>
            </w:r>
            <w:r>
              <w:rPr>
                <w:rFonts w:hint="eastAsia" w:cs="Times New Roman"/>
                <w:color w:val="auto"/>
                <w:sz w:val="24"/>
                <w:lang w:val="en-US" w:eastAsia="zh-CN"/>
              </w:rPr>
              <w:t>0.58</w:t>
            </w:r>
            <w:r>
              <w:rPr>
                <w:rFonts w:hint="default" w:ascii="Times New Roman" w:hAnsi="Times New Roman" w:cs="Times New Roman"/>
                <w:color w:val="auto"/>
                <w:sz w:val="24"/>
                <w:lang w:val="en-US" w:eastAsia="zh-CN"/>
              </w:rPr>
              <w:t>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val="en-US" w:eastAsia="zh-CN"/>
              </w:rPr>
              <w:t>/d，在化粪池容纳能力内，因此从处理规模的角度分析，现有化粪池可接纳本项目产生的废水。</w:t>
            </w:r>
          </w:p>
          <w:p w14:paraId="7A66B6EF">
            <w:pPr>
              <w:adjustRightInd w:val="0"/>
              <w:snapToGrid w:val="0"/>
              <w:spacing w:line="360" w:lineRule="auto"/>
              <w:ind w:firstLine="480" w:firstLineChars="200"/>
              <w:rPr>
                <w:rFonts w:hint="default" w:ascii="Times New Roman" w:hAnsi="Times New Roman" w:cs="Times New Roman"/>
                <w:b w:val="0"/>
                <w:bCs w:val="0"/>
                <w:color w:val="auto"/>
                <w:sz w:val="24"/>
                <w:szCs w:val="24"/>
                <w:lang w:val="zh-TW" w:eastAsia="zh-CN"/>
              </w:rPr>
            </w:pPr>
            <w:r>
              <w:rPr>
                <w:rFonts w:hint="default" w:ascii="Times New Roman" w:hAnsi="Times New Roman" w:cs="Times New Roman"/>
                <w:b w:val="0"/>
                <w:bCs w:val="0"/>
                <w:color w:val="auto"/>
                <w:sz w:val="24"/>
                <w:szCs w:val="24"/>
                <w:lang w:val="en-US" w:eastAsia="zh-CN"/>
              </w:rPr>
              <w:fldChar w:fldCharType="begin"/>
            </w:r>
            <w:r>
              <w:rPr>
                <w:rFonts w:hint="default" w:ascii="Times New Roman" w:hAnsi="Times New Roman" w:cs="Times New Roman"/>
                <w:b w:val="0"/>
                <w:bCs w:val="0"/>
                <w:color w:val="auto"/>
                <w:sz w:val="24"/>
                <w:szCs w:val="24"/>
                <w:lang w:val="en-US" w:eastAsia="zh-CN"/>
              </w:rPr>
              <w:instrText xml:space="preserve"> = 3 \* GB3 \* MERGEFORMAT </w:instrText>
            </w:r>
            <w:r>
              <w:rPr>
                <w:rFonts w:hint="default" w:ascii="Times New Roman" w:hAnsi="Times New Roman" w:cs="Times New Roman"/>
                <w:b w:val="0"/>
                <w:bCs w:val="0"/>
                <w:color w:val="auto"/>
                <w:sz w:val="24"/>
                <w:szCs w:val="24"/>
                <w:lang w:val="en-US" w:eastAsia="zh-CN"/>
              </w:rPr>
              <w:fldChar w:fldCharType="separate"/>
            </w:r>
            <w:r>
              <w:rPr>
                <w:rFonts w:hint="default" w:ascii="Times New Roman" w:hAnsi="Times New Roman" w:cs="Times New Roman"/>
                <w:b w:val="0"/>
                <w:bCs w:val="0"/>
                <w:color w:val="auto"/>
                <w:sz w:val="24"/>
                <w:szCs w:val="24"/>
              </w:rPr>
              <w:t>③</w:t>
            </w:r>
            <w:r>
              <w:rPr>
                <w:rFonts w:hint="default" w:ascii="Times New Roman" w:hAnsi="Times New Roman" w:cs="Times New Roman"/>
                <w:b w:val="0"/>
                <w:bCs w:val="0"/>
                <w:color w:val="auto"/>
                <w:sz w:val="24"/>
                <w:szCs w:val="24"/>
                <w:lang w:val="en-US" w:eastAsia="zh-CN"/>
              </w:rPr>
              <w:fldChar w:fldCharType="end"/>
            </w:r>
            <w:r>
              <w:rPr>
                <w:rFonts w:hint="eastAsia" w:ascii="Times New Roman" w:hAnsi="Times New Roman" w:cs="Times New Roman"/>
                <w:b w:val="0"/>
                <w:bCs w:val="0"/>
                <w:color w:val="auto"/>
                <w:sz w:val="24"/>
                <w:szCs w:val="24"/>
                <w:lang w:val="en-US" w:eastAsia="zh-CN"/>
              </w:rPr>
              <w:t>西安市第一污水处理厂（邓家村污水处理厂）</w:t>
            </w:r>
            <w:r>
              <w:rPr>
                <w:rFonts w:hint="default" w:ascii="Times New Roman" w:hAnsi="Times New Roman" w:cs="Times New Roman"/>
                <w:b w:val="0"/>
                <w:bCs w:val="0"/>
                <w:color w:val="auto"/>
                <w:sz w:val="24"/>
                <w:szCs w:val="24"/>
                <w:lang w:val="zh-TW"/>
              </w:rPr>
              <w:t>可行性</w:t>
            </w:r>
            <w:r>
              <w:rPr>
                <w:rFonts w:hint="default" w:ascii="Times New Roman" w:hAnsi="Times New Roman" w:cs="Times New Roman"/>
                <w:b w:val="0"/>
                <w:bCs w:val="0"/>
                <w:color w:val="auto"/>
                <w:sz w:val="24"/>
                <w:szCs w:val="24"/>
                <w:lang w:val="zh-TW" w:eastAsia="zh-CN"/>
              </w:rPr>
              <w:t>分析</w:t>
            </w:r>
          </w:p>
          <w:p w14:paraId="7E1B0A9E">
            <w:pPr>
              <w:pStyle w:val="38"/>
              <w:adjustRightInd w:val="0"/>
              <w:snapToGrid w:val="0"/>
              <w:ind w:firstLine="480"/>
              <w:rPr>
                <w:rFonts w:hint="eastAsia" w:cs="Times New Roman"/>
                <w:color w:val="auto"/>
                <w:lang w:val="en-US" w:eastAsia="zh-CN"/>
              </w:rPr>
            </w:pPr>
            <w:r>
              <w:rPr>
                <w:rFonts w:hint="eastAsia" w:cs="Times New Roman"/>
                <w:color w:val="auto"/>
                <w:lang w:val="en-US" w:eastAsia="zh-CN"/>
              </w:rPr>
              <w:t>西安市第一污水处理厂（邓家村污水处理厂）位于西安市莲湖区大兴西路19号，占地面积238亩，处理规模12万m</w:t>
            </w:r>
            <w:r>
              <w:rPr>
                <w:rFonts w:hint="eastAsia" w:cs="Times New Roman"/>
                <w:color w:val="auto"/>
                <w:vertAlign w:val="superscript"/>
                <w:lang w:val="en-US" w:eastAsia="zh-CN"/>
              </w:rPr>
              <w:t>3</w:t>
            </w:r>
            <w:r>
              <w:rPr>
                <w:rFonts w:hint="eastAsia" w:cs="Times New Roman"/>
                <w:color w:val="auto"/>
                <w:lang w:val="en-US" w:eastAsia="zh-CN"/>
              </w:rPr>
              <w:t>/d</w:t>
            </w:r>
            <w:r>
              <w:rPr>
                <w:rFonts w:hint="eastAsia" w:cs="Times New Roman"/>
                <w:color w:val="auto"/>
                <w:lang w:eastAsia="zh-CN"/>
              </w:rPr>
              <w:t>，</w:t>
            </w:r>
            <w:r>
              <w:rPr>
                <w:rFonts w:hint="eastAsia" w:cs="Times New Roman"/>
                <w:color w:val="auto"/>
                <w:lang w:val="en-US" w:eastAsia="zh-CN"/>
              </w:rPr>
              <w:t>污水处理工艺见下图4-1。污水排放执行《陕西省黄河流域污水综合排放标准》（DB61/224-2018）出水标准。</w:t>
            </w:r>
          </w:p>
          <w:p w14:paraId="153F00B4">
            <w:pPr>
              <w:pStyle w:val="38"/>
              <w:adjustRightInd w:val="0"/>
              <w:snapToGrid w:val="0"/>
              <w:ind w:firstLine="480"/>
              <w:rPr>
                <w:rFonts w:hint="eastAsia" w:cs="Times New Roman"/>
                <w:color w:val="auto"/>
                <w:lang w:val="en-US" w:eastAsia="zh-CN"/>
              </w:rPr>
            </w:pPr>
          </w:p>
          <w:p w14:paraId="2E4D744D">
            <w:pPr>
              <w:pStyle w:val="38"/>
              <w:adjustRightInd w:val="0"/>
              <w:snapToGrid w:val="0"/>
              <w:ind w:firstLine="480"/>
              <w:rPr>
                <w:rFonts w:hint="eastAsia" w:cs="Times New Roman"/>
                <w:color w:val="auto"/>
                <w:lang w:val="en-US" w:eastAsia="zh-CN"/>
              </w:rPr>
            </w:pPr>
          </w:p>
          <w:p w14:paraId="61003B19">
            <w:pPr>
              <w:pStyle w:val="38"/>
              <w:adjustRightInd w:val="0"/>
              <w:snapToGrid w:val="0"/>
              <w:ind w:firstLine="480"/>
              <w:rPr>
                <w:rFonts w:hint="eastAsia" w:cs="Times New Roman"/>
                <w:color w:val="auto"/>
                <w:lang w:val="en-US" w:eastAsia="zh-CN"/>
              </w:rPr>
            </w:pPr>
          </w:p>
          <w:p w14:paraId="3B686E29">
            <w:pPr>
              <w:pStyle w:val="38"/>
              <w:adjustRightInd w:val="0"/>
              <w:snapToGrid w:val="0"/>
              <w:ind w:firstLine="480"/>
              <w:rPr>
                <w:rFonts w:hint="eastAsia" w:cs="Times New Roman"/>
                <w:color w:val="auto"/>
                <w:lang w:val="en-US" w:eastAsia="zh-CN"/>
              </w:rPr>
            </w:pPr>
          </w:p>
          <w:p w14:paraId="6B957519">
            <w:pPr>
              <w:pStyle w:val="38"/>
              <w:adjustRightInd w:val="0"/>
              <w:snapToGrid w:val="0"/>
              <w:ind w:firstLine="480"/>
              <w:rPr>
                <w:rFonts w:hint="eastAsia" w:cs="Times New Roman"/>
                <w:color w:val="auto"/>
                <w:lang w:val="en-US" w:eastAsia="zh-CN"/>
              </w:rPr>
            </w:pPr>
          </w:p>
          <w:p w14:paraId="57A14626">
            <w:pPr>
              <w:pStyle w:val="38"/>
              <w:adjustRightInd w:val="0"/>
              <w:snapToGrid w:val="0"/>
              <w:ind w:firstLine="480"/>
              <w:rPr>
                <w:rFonts w:hint="eastAsia" w:cs="Times New Roman"/>
                <w:color w:val="auto"/>
                <w:lang w:val="en-US" w:eastAsia="zh-CN"/>
              </w:rPr>
            </w:pPr>
          </w:p>
          <w:p w14:paraId="68DEC9F9">
            <w:pPr>
              <w:pStyle w:val="38"/>
              <w:adjustRightInd w:val="0"/>
              <w:snapToGrid w:val="0"/>
              <w:ind w:left="0" w:leftChars="0" w:firstLine="0" w:firstLineChars="0"/>
              <w:rPr>
                <w:rFonts w:hint="default" w:cs="Times New Roman"/>
                <w:color w:val="auto"/>
                <w:lang w:val="en-US" w:eastAsia="zh-CN"/>
              </w:rPr>
            </w:pPr>
          </w:p>
          <w:p w14:paraId="3841252F">
            <w:pPr>
              <w:pStyle w:val="3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rPr>
            </w:pPr>
            <w:r>
              <w:rPr>
                <w:color w:val="auto"/>
              </w:rPr>
              <w:drawing>
                <wp:inline distT="0" distB="0" distL="114300" distR="114300">
                  <wp:extent cx="6142990" cy="3633470"/>
                  <wp:effectExtent l="0" t="0" r="10160" b="5080"/>
                  <wp:docPr id="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5"/>
                          <pic:cNvPicPr>
                            <a:picLocks noChangeAspect="1"/>
                          </pic:cNvPicPr>
                        </pic:nvPicPr>
                        <pic:blipFill>
                          <a:blip r:embed="rId17"/>
                          <a:srcRect l="16604" t="25860" r="16080" b="17851"/>
                          <a:stretch>
                            <a:fillRect/>
                          </a:stretch>
                        </pic:blipFill>
                        <pic:spPr>
                          <a:xfrm>
                            <a:off x="0" y="0"/>
                            <a:ext cx="6142990" cy="3633470"/>
                          </a:xfrm>
                          <a:prstGeom prst="rect">
                            <a:avLst/>
                          </a:prstGeom>
                          <a:noFill/>
                          <a:ln>
                            <a:noFill/>
                          </a:ln>
                        </pic:spPr>
                      </pic:pic>
                    </a:graphicData>
                  </a:graphic>
                </wp:inline>
              </w:drawing>
            </w:r>
          </w:p>
          <w:p w14:paraId="6F5BF69B">
            <w:pPr>
              <w:pStyle w:val="3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eastAsia"/>
                <w:b/>
                <w:bCs/>
                <w:color w:val="auto"/>
                <w:sz w:val="21"/>
                <w:szCs w:val="21"/>
                <w:lang w:val="en-US" w:eastAsia="zh-CN"/>
              </w:rPr>
              <w:t>图4-1 西安市第一污水处理厂工艺流程图</w:t>
            </w:r>
          </w:p>
          <w:p w14:paraId="36108063">
            <w:pPr>
              <w:pStyle w:val="38"/>
              <w:adjustRightInd w:val="0"/>
              <w:snapToGrid w:val="0"/>
              <w:ind w:firstLine="480"/>
              <w:rPr>
                <w:rFonts w:hint="default" w:ascii="Times New Roman" w:hAnsi="Times New Roman" w:cs="Times New Roman"/>
                <w:color w:val="auto"/>
              </w:rPr>
            </w:pPr>
            <w:r>
              <w:rPr>
                <w:rFonts w:hint="eastAsia" w:cs="Times New Roman"/>
                <w:color w:val="auto"/>
                <w:lang w:val="en-US" w:eastAsia="zh-CN"/>
              </w:rPr>
              <w:t>根据西安市第一污水处理厂（邓家村污水处理厂）收水范围，本项目属于其收水范围内，项目出水水质可达到《污水排入城镇下水道水质标准》（GB/T31962-2015）表1中A级标准限值及《污水综合排放标准》（GB8978-1996）表4中三级标准限值要求，符合西安市第一污水处理厂（邓家村污水处理厂）进水水质要求，且水量占比小，从水质、水量方面来看，西安市第一污水处理厂（邓家村污水处理厂）可以处理本项目废水。因此，项目废水依托西安市第一污水处理厂（邓家村污水处理厂）处理可行。</w:t>
            </w:r>
          </w:p>
          <w:p w14:paraId="321A14FB">
            <w:pPr>
              <w:adjustRightInd w:val="0"/>
              <w:snapToGrid w:val="0"/>
              <w:spacing w:line="360" w:lineRule="auto"/>
              <w:ind w:firstLine="241" w:firstLineChars="100"/>
              <w:contextualSpacing/>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 xml:space="preserve">4、环境监测与管理 </w:t>
            </w:r>
          </w:p>
          <w:p w14:paraId="2DA3B1CF">
            <w:pPr>
              <w:adjustRightInd w:val="0"/>
              <w:snapToGrid w:val="0"/>
              <w:spacing w:line="360" w:lineRule="auto"/>
              <w:ind w:firstLine="440" w:firstLineChars="200"/>
              <w:rPr>
                <w:rFonts w:hint="default" w:ascii="Times New Roman" w:hAnsi="Times New Roman" w:cs="Times New Roman"/>
                <w:b/>
                <w:bCs/>
                <w:color w:val="auto"/>
                <w:sz w:val="24"/>
              </w:rPr>
            </w:pPr>
            <w:r>
              <w:rPr>
                <w:rFonts w:hint="default" w:ascii="Times New Roman" w:hAnsi="Times New Roman" w:cs="Times New Roman"/>
                <w:bCs/>
                <w:color w:val="auto"/>
                <w:spacing w:val="-10"/>
                <w:sz w:val="24"/>
              </w:rPr>
              <w:t>根据</w:t>
            </w:r>
            <w:r>
              <w:rPr>
                <w:rFonts w:hint="default" w:ascii="Times New Roman" w:hAnsi="Times New Roman" w:cs="Times New Roman"/>
                <w:color w:val="auto"/>
                <w:sz w:val="24"/>
              </w:rPr>
              <w:t>《排污单位自行监测技术指南  总则》（</w:t>
            </w:r>
            <w:r>
              <w:rPr>
                <w:rFonts w:hint="default" w:ascii="Times New Roman" w:hAnsi="Times New Roman" w:cs="Times New Roman"/>
                <w:bCs/>
                <w:color w:val="auto"/>
                <w:spacing w:val="-10"/>
                <w:sz w:val="24"/>
              </w:rPr>
              <w:t>HJ819-2017</w:t>
            </w:r>
            <w:r>
              <w:rPr>
                <w:rFonts w:hint="default" w:ascii="Times New Roman" w:hAnsi="Times New Roman" w:cs="Times New Roman"/>
                <w:color w:val="auto"/>
                <w:sz w:val="24"/>
              </w:rPr>
              <w:t>）中的有关规定，本项目废水污染源自行监测方案见表4-</w:t>
            </w:r>
            <w:r>
              <w:rPr>
                <w:rFonts w:hint="eastAsia" w:cs="Times New Roman"/>
                <w:color w:val="auto"/>
                <w:sz w:val="24"/>
                <w:lang w:val="en-US" w:eastAsia="zh-CN"/>
              </w:rPr>
              <w:t>7</w:t>
            </w:r>
            <w:r>
              <w:rPr>
                <w:rFonts w:hint="default" w:ascii="Times New Roman" w:hAnsi="Times New Roman" w:cs="Times New Roman"/>
                <w:color w:val="auto"/>
                <w:sz w:val="24"/>
              </w:rPr>
              <w:t>。</w:t>
            </w:r>
          </w:p>
          <w:p w14:paraId="7BE916C1">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表4-</w:t>
            </w:r>
            <w:r>
              <w:rPr>
                <w:rFonts w:hint="eastAsia" w:cs="Times New Roman"/>
                <w:b/>
                <w:bCs/>
                <w:color w:val="auto"/>
                <w:szCs w:val="21"/>
                <w:lang w:val="en-US" w:eastAsia="zh-CN"/>
              </w:rPr>
              <w:t>7</w:t>
            </w:r>
            <w:r>
              <w:rPr>
                <w:rFonts w:hint="default" w:ascii="Times New Roman" w:hAnsi="Times New Roman" w:cs="Times New Roman"/>
                <w:b/>
                <w:bCs/>
                <w:color w:val="auto"/>
                <w:szCs w:val="21"/>
              </w:rPr>
              <w:t xml:space="preserve"> 企业废水自行监测方案一览表</w:t>
            </w:r>
          </w:p>
          <w:tbl>
            <w:tblPr>
              <w:tblStyle w:val="29"/>
              <w:tblW w:w="4994"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2037"/>
              <w:gridCol w:w="1353"/>
              <w:gridCol w:w="4688"/>
            </w:tblGrid>
            <w:tr w14:paraId="69A9305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9" w:type="pct"/>
                  <w:tcBorders>
                    <w:tl2br w:val="nil"/>
                    <w:tr2bl w:val="nil"/>
                  </w:tcBorders>
                  <w:vAlign w:val="center"/>
                </w:tcPr>
                <w:p w14:paraId="381AF209">
                  <w:pPr>
                    <w:adjustRightInd w:val="0"/>
                    <w:snapToGrid w:val="0"/>
                    <w:jc w:val="center"/>
                    <w:rPr>
                      <w:rFonts w:hint="default" w:ascii="Times New Roman" w:hAnsi="Times New Roman" w:cs="Times New Roman"/>
                      <w:b/>
                      <w:color w:val="auto"/>
                      <w:spacing w:val="-10"/>
                      <w:szCs w:val="21"/>
                    </w:rPr>
                  </w:pPr>
                  <w:r>
                    <w:rPr>
                      <w:rFonts w:hint="default" w:ascii="Times New Roman" w:hAnsi="Times New Roman" w:cs="Times New Roman"/>
                      <w:b/>
                      <w:color w:val="auto"/>
                      <w:spacing w:val="-10"/>
                      <w:szCs w:val="21"/>
                    </w:rPr>
                    <w:t>污染源</w:t>
                  </w:r>
                </w:p>
              </w:tc>
              <w:tc>
                <w:tcPr>
                  <w:tcW w:w="1054" w:type="pct"/>
                  <w:tcBorders>
                    <w:tl2br w:val="nil"/>
                    <w:tr2bl w:val="nil"/>
                  </w:tcBorders>
                  <w:vAlign w:val="center"/>
                </w:tcPr>
                <w:p w14:paraId="12C73000">
                  <w:pPr>
                    <w:adjustRightInd w:val="0"/>
                    <w:snapToGrid w:val="0"/>
                    <w:jc w:val="center"/>
                    <w:rPr>
                      <w:rFonts w:hint="default" w:ascii="Times New Roman" w:hAnsi="Times New Roman" w:cs="Times New Roman"/>
                      <w:b/>
                      <w:color w:val="auto"/>
                      <w:spacing w:val="-10"/>
                      <w:szCs w:val="21"/>
                    </w:rPr>
                  </w:pPr>
                  <w:r>
                    <w:rPr>
                      <w:rFonts w:hint="default" w:ascii="Times New Roman" w:hAnsi="Times New Roman" w:cs="Times New Roman"/>
                      <w:b/>
                      <w:color w:val="auto"/>
                      <w:spacing w:val="-10"/>
                      <w:szCs w:val="21"/>
                    </w:rPr>
                    <w:t>污染物</w:t>
                  </w:r>
                </w:p>
              </w:tc>
              <w:tc>
                <w:tcPr>
                  <w:tcW w:w="700" w:type="pct"/>
                  <w:tcBorders>
                    <w:tl2br w:val="nil"/>
                    <w:tr2bl w:val="nil"/>
                  </w:tcBorders>
                  <w:vAlign w:val="center"/>
                </w:tcPr>
                <w:p w14:paraId="7E8938FA">
                  <w:pPr>
                    <w:adjustRightInd w:val="0"/>
                    <w:snapToGrid w:val="0"/>
                    <w:jc w:val="center"/>
                    <w:rPr>
                      <w:rFonts w:hint="default" w:ascii="Times New Roman" w:hAnsi="Times New Roman" w:cs="Times New Roman"/>
                      <w:b/>
                      <w:color w:val="auto"/>
                      <w:spacing w:val="-10"/>
                      <w:szCs w:val="21"/>
                    </w:rPr>
                  </w:pPr>
                  <w:r>
                    <w:rPr>
                      <w:rFonts w:hint="default" w:ascii="Times New Roman" w:hAnsi="Times New Roman" w:cs="Times New Roman"/>
                      <w:b/>
                      <w:color w:val="auto"/>
                      <w:spacing w:val="-10"/>
                      <w:szCs w:val="21"/>
                    </w:rPr>
                    <w:t>监测频次</w:t>
                  </w:r>
                </w:p>
              </w:tc>
              <w:tc>
                <w:tcPr>
                  <w:tcW w:w="2425" w:type="pct"/>
                  <w:tcBorders>
                    <w:tl2br w:val="nil"/>
                    <w:tr2bl w:val="nil"/>
                  </w:tcBorders>
                  <w:vAlign w:val="center"/>
                </w:tcPr>
                <w:p w14:paraId="715BCBDF">
                  <w:pPr>
                    <w:adjustRightInd w:val="0"/>
                    <w:snapToGrid w:val="0"/>
                    <w:jc w:val="center"/>
                    <w:rPr>
                      <w:rFonts w:hint="eastAsia" w:ascii="Times New Roman" w:hAnsi="Times New Roman" w:eastAsia="宋体" w:cs="Times New Roman"/>
                      <w:b/>
                      <w:color w:val="auto"/>
                      <w:spacing w:val="-10"/>
                      <w:szCs w:val="21"/>
                      <w:lang w:eastAsia="zh-CN"/>
                    </w:rPr>
                  </w:pPr>
                  <w:r>
                    <w:rPr>
                      <w:rFonts w:hint="default" w:ascii="Times New Roman" w:hAnsi="Times New Roman" w:cs="Times New Roman"/>
                      <w:b/>
                      <w:bCs/>
                      <w:color w:val="auto"/>
                      <w:szCs w:val="21"/>
                    </w:rPr>
                    <w:t>控制</w:t>
                  </w:r>
                  <w:r>
                    <w:rPr>
                      <w:rFonts w:hint="eastAsia" w:cs="Times New Roman"/>
                      <w:b/>
                      <w:bCs/>
                      <w:color w:val="auto"/>
                      <w:szCs w:val="21"/>
                      <w:lang w:val="en-US" w:eastAsia="zh-CN"/>
                    </w:rPr>
                    <w:t>标准</w:t>
                  </w:r>
                </w:p>
              </w:tc>
            </w:tr>
            <w:tr w14:paraId="1295A1C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9" w:type="pct"/>
                  <w:tcBorders>
                    <w:tl2br w:val="nil"/>
                    <w:tr2bl w:val="nil"/>
                  </w:tcBorders>
                  <w:vAlign w:val="center"/>
                </w:tcPr>
                <w:p w14:paraId="146B17F7">
                  <w:pPr>
                    <w:adjustRightInd w:val="0"/>
                    <w:snapToGrid w:val="0"/>
                    <w:jc w:val="center"/>
                    <w:rPr>
                      <w:rFonts w:hint="default" w:ascii="Times New Roman" w:hAnsi="Times New Roman" w:eastAsia="宋体" w:cs="Times New Roman"/>
                      <w:bCs/>
                      <w:color w:val="auto"/>
                      <w:spacing w:val="-10"/>
                      <w:szCs w:val="21"/>
                      <w:lang w:val="en-US" w:eastAsia="zh-CN"/>
                    </w:rPr>
                  </w:pPr>
                  <w:r>
                    <w:rPr>
                      <w:rFonts w:hint="eastAsia" w:cs="Times New Roman"/>
                      <w:bCs/>
                      <w:color w:val="auto"/>
                      <w:spacing w:val="-10"/>
                      <w:szCs w:val="21"/>
                      <w:lang w:val="en-US" w:eastAsia="zh-CN"/>
                    </w:rPr>
                    <w:t>化粪池出口（DW001）</w:t>
                  </w:r>
                </w:p>
              </w:tc>
              <w:tc>
                <w:tcPr>
                  <w:tcW w:w="1054" w:type="pct"/>
                  <w:tcBorders>
                    <w:tl2br w:val="nil"/>
                    <w:tr2bl w:val="nil"/>
                  </w:tcBorders>
                  <w:vAlign w:val="center"/>
                </w:tcPr>
                <w:p w14:paraId="49BCB3C5">
                  <w:pPr>
                    <w:adjustRightInd w:val="0"/>
                    <w:snapToGrid w:val="0"/>
                    <w:jc w:val="center"/>
                    <w:rPr>
                      <w:rFonts w:hint="default" w:ascii="Times New Roman" w:hAnsi="Times New Roman" w:cs="Times New Roman"/>
                      <w:bCs/>
                      <w:color w:val="auto"/>
                      <w:spacing w:val="-10"/>
                      <w:szCs w:val="21"/>
                    </w:rPr>
                  </w:pPr>
                  <w:r>
                    <w:rPr>
                      <w:rFonts w:hint="default" w:ascii="Times New Roman" w:hAnsi="Times New Roman" w:cs="Times New Roman"/>
                      <w:bCs/>
                      <w:color w:val="auto"/>
                      <w:spacing w:val="-10"/>
                      <w:szCs w:val="21"/>
                    </w:rPr>
                    <w:t>pH、COD、BOD</w:t>
                  </w:r>
                  <w:r>
                    <w:rPr>
                      <w:rFonts w:hint="default" w:ascii="Times New Roman" w:hAnsi="Times New Roman" w:cs="Times New Roman"/>
                      <w:bCs/>
                      <w:color w:val="auto"/>
                      <w:spacing w:val="-10"/>
                      <w:szCs w:val="21"/>
                      <w:vertAlign w:val="subscript"/>
                    </w:rPr>
                    <w:t>5</w:t>
                  </w:r>
                  <w:r>
                    <w:rPr>
                      <w:rFonts w:hint="default" w:ascii="Times New Roman" w:hAnsi="Times New Roman" w:cs="Times New Roman"/>
                      <w:bCs/>
                      <w:color w:val="auto"/>
                      <w:spacing w:val="-10"/>
                      <w:szCs w:val="21"/>
                    </w:rPr>
                    <w:t>、NH</w:t>
                  </w:r>
                  <w:r>
                    <w:rPr>
                      <w:rFonts w:hint="default" w:ascii="Times New Roman" w:hAnsi="Times New Roman" w:cs="Times New Roman"/>
                      <w:bCs/>
                      <w:color w:val="auto"/>
                      <w:spacing w:val="-10"/>
                      <w:szCs w:val="21"/>
                      <w:vertAlign w:val="subscript"/>
                    </w:rPr>
                    <w:t>3</w:t>
                  </w:r>
                  <w:r>
                    <w:rPr>
                      <w:rFonts w:hint="default" w:ascii="Times New Roman" w:hAnsi="Times New Roman" w:cs="Times New Roman"/>
                      <w:bCs/>
                      <w:color w:val="auto"/>
                      <w:spacing w:val="-10"/>
                      <w:szCs w:val="21"/>
                    </w:rPr>
                    <w:t>-N、</w:t>
                  </w:r>
                  <w:r>
                    <w:rPr>
                      <w:rFonts w:hint="eastAsia" w:cs="Times New Roman"/>
                      <w:bCs/>
                      <w:color w:val="auto"/>
                      <w:spacing w:val="-10"/>
                      <w:szCs w:val="21"/>
                      <w:lang w:val="en-US" w:eastAsia="zh-CN"/>
                    </w:rPr>
                    <w:t>SS、</w:t>
                  </w:r>
                  <w:r>
                    <w:rPr>
                      <w:rFonts w:hint="default" w:ascii="Times New Roman" w:hAnsi="Times New Roman" w:cs="Times New Roman"/>
                      <w:bCs/>
                      <w:color w:val="auto"/>
                      <w:spacing w:val="-10"/>
                      <w:szCs w:val="21"/>
                    </w:rPr>
                    <w:t>TP、TN</w:t>
                  </w:r>
                </w:p>
              </w:tc>
              <w:tc>
                <w:tcPr>
                  <w:tcW w:w="700" w:type="pct"/>
                  <w:tcBorders>
                    <w:tl2br w:val="nil"/>
                    <w:tr2bl w:val="nil"/>
                  </w:tcBorders>
                  <w:vAlign w:val="center"/>
                </w:tcPr>
                <w:p w14:paraId="674966EE">
                  <w:pPr>
                    <w:adjustRightInd w:val="0"/>
                    <w:snapToGrid w:val="0"/>
                    <w:jc w:val="center"/>
                    <w:rPr>
                      <w:rFonts w:hint="default" w:ascii="Times New Roman" w:hAnsi="Times New Roman" w:eastAsia="宋体" w:cs="Times New Roman"/>
                      <w:bCs/>
                      <w:color w:val="auto"/>
                      <w:spacing w:val="-10"/>
                      <w:szCs w:val="21"/>
                      <w:lang w:val="en-US" w:eastAsia="zh-CN"/>
                    </w:rPr>
                  </w:pPr>
                  <w:r>
                    <w:rPr>
                      <w:rFonts w:hint="default" w:ascii="Times New Roman" w:hAnsi="Times New Roman" w:cs="Times New Roman"/>
                      <w:bCs/>
                      <w:color w:val="auto"/>
                      <w:spacing w:val="-10"/>
                      <w:szCs w:val="21"/>
                    </w:rPr>
                    <w:t>1次</w:t>
                  </w:r>
                  <w:r>
                    <w:rPr>
                      <w:rFonts w:hint="eastAsia" w:cs="Times New Roman"/>
                      <w:bCs/>
                      <w:color w:val="auto"/>
                      <w:spacing w:val="-10"/>
                      <w:szCs w:val="21"/>
                      <w:lang w:val="en-US" w:eastAsia="zh-CN"/>
                    </w:rPr>
                    <w:t>/年</w:t>
                  </w:r>
                </w:p>
              </w:tc>
              <w:tc>
                <w:tcPr>
                  <w:tcW w:w="2425" w:type="pct"/>
                  <w:tcBorders>
                    <w:tl2br w:val="nil"/>
                    <w:tr2bl w:val="nil"/>
                  </w:tcBorders>
                  <w:vAlign w:val="center"/>
                </w:tcPr>
                <w:p w14:paraId="05FE948D">
                  <w:pPr>
                    <w:adjustRightInd w:val="0"/>
                    <w:snapToGrid w:val="0"/>
                    <w:jc w:val="center"/>
                    <w:rPr>
                      <w:rFonts w:hint="eastAsia" w:ascii="Times New Roman" w:hAnsi="Times New Roman" w:eastAsia="宋体" w:cs="Times New Roman"/>
                      <w:bCs/>
                      <w:color w:val="auto"/>
                      <w:spacing w:val="-10"/>
                      <w:szCs w:val="21"/>
                      <w:lang w:val="en-US" w:eastAsia="zh-CN"/>
                    </w:rPr>
                  </w:pPr>
                  <w:r>
                    <w:rPr>
                      <w:rFonts w:hint="default" w:ascii="Times New Roman" w:hAnsi="Times New Roman" w:cs="Times New Roman"/>
                      <w:color w:val="auto"/>
                      <w:szCs w:val="21"/>
                    </w:rPr>
                    <w:t>《污水综合排放标准》（GB8978-1996）三级标准及《污水排入城镇下水道水质标准》（GB/T 31962-2015）</w:t>
                  </w:r>
                  <w:r>
                    <w:rPr>
                      <w:rFonts w:hint="eastAsia" w:cs="Times New Roman"/>
                      <w:color w:val="auto"/>
                      <w:szCs w:val="21"/>
                      <w:lang w:eastAsia="zh-CN"/>
                    </w:rPr>
                    <w:t>A级</w:t>
                  </w:r>
                  <w:r>
                    <w:rPr>
                      <w:rFonts w:hint="eastAsia" w:cs="Times New Roman"/>
                      <w:color w:val="auto"/>
                      <w:szCs w:val="21"/>
                      <w:lang w:val="en-US" w:eastAsia="zh-CN"/>
                    </w:rPr>
                    <w:t>标准</w:t>
                  </w:r>
                </w:p>
              </w:tc>
            </w:tr>
          </w:tbl>
          <w:p w14:paraId="116BAD0E">
            <w:pPr>
              <w:pStyle w:val="10"/>
              <w:adjustRightInd w:val="0"/>
              <w:snapToGrid w:val="0"/>
              <w:spacing w:line="360" w:lineRule="auto"/>
              <w:ind w:left="0" w:firstLine="0"/>
              <w:rPr>
                <w:rStyle w:val="34"/>
                <w:rFonts w:hint="default" w:ascii="Times New Roman" w:hAnsi="Times New Roman" w:eastAsia="宋体" w:cs="Times New Roman"/>
                <w:b/>
                <w:color w:val="auto"/>
                <w:sz w:val="24"/>
                <w:szCs w:val="24"/>
                <w:u w:val="none"/>
              </w:rPr>
            </w:pPr>
            <w:r>
              <w:rPr>
                <w:rStyle w:val="34"/>
                <w:rFonts w:hint="default" w:ascii="Times New Roman" w:hAnsi="Times New Roman" w:eastAsia="宋体" w:cs="Times New Roman"/>
                <w:b/>
                <w:color w:val="auto"/>
                <w:sz w:val="24"/>
                <w:szCs w:val="24"/>
                <w:u w:val="none"/>
              </w:rPr>
              <w:t>（三）声环境影响分析</w:t>
            </w:r>
          </w:p>
          <w:p w14:paraId="6ADAA52F">
            <w:pPr>
              <w:adjustRightInd w:val="0"/>
              <w:snapToGrid w:val="0"/>
              <w:spacing w:line="360" w:lineRule="auto"/>
              <w:ind w:firstLine="480"/>
              <w:rPr>
                <w:rFonts w:hint="default" w:ascii="Times New Roman" w:hAnsi="Times New Roman" w:cs="Times New Roman"/>
                <w:b/>
                <w:snapToGrid w:val="0"/>
                <w:color w:val="auto"/>
                <w:kern w:val="0"/>
                <w:sz w:val="24"/>
              </w:rPr>
            </w:pPr>
            <w:r>
              <w:rPr>
                <w:rFonts w:hint="default" w:ascii="Times New Roman" w:hAnsi="Times New Roman" w:cs="Times New Roman"/>
                <w:b/>
                <w:snapToGrid w:val="0"/>
                <w:color w:val="auto"/>
                <w:kern w:val="0"/>
                <w:sz w:val="24"/>
              </w:rPr>
              <w:t>1、</w:t>
            </w:r>
            <w:r>
              <w:rPr>
                <w:rFonts w:hint="default" w:ascii="Times New Roman" w:hAnsi="Times New Roman" w:cs="Times New Roman"/>
                <w:b/>
                <w:color w:val="auto"/>
                <w:sz w:val="24"/>
              </w:rPr>
              <w:t>噪声源强分析</w:t>
            </w:r>
          </w:p>
          <w:p w14:paraId="60FFF7A1">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本项目为实验室项目，根据本项目特点，项目实验仪器</w:t>
            </w:r>
            <w:r>
              <w:rPr>
                <w:rFonts w:hint="eastAsia" w:cs="Times New Roman"/>
                <w:color w:val="auto"/>
                <w:sz w:val="24"/>
                <w:lang w:val="en-US" w:eastAsia="zh-CN"/>
              </w:rPr>
              <w:t>及</w:t>
            </w:r>
            <w:r>
              <w:rPr>
                <w:rFonts w:hint="default" w:ascii="Times New Roman" w:hAnsi="Times New Roman" w:cs="Times New Roman"/>
                <w:color w:val="auto"/>
                <w:sz w:val="24"/>
              </w:rPr>
              <w:t>废水收集的水泵均为小型设备，均位于室内，采用</w:t>
            </w:r>
            <w:r>
              <w:rPr>
                <w:rFonts w:hint="eastAsia" w:cs="Times New Roman"/>
                <w:color w:val="auto"/>
                <w:sz w:val="24"/>
                <w:lang w:val="en-US" w:eastAsia="zh-CN"/>
              </w:rPr>
              <w:t>建筑物</w:t>
            </w:r>
            <w:r>
              <w:rPr>
                <w:rFonts w:hint="default" w:ascii="Times New Roman" w:hAnsi="Times New Roman" w:cs="Times New Roman"/>
                <w:color w:val="auto"/>
                <w:sz w:val="24"/>
              </w:rPr>
              <w:t>隔声等措施后，其噪声级均在65dB（A）以下，源强较小，不纳入本次噪声源统计。</w:t>
            </w:r>
            <w:r>
              <w:rPr>
                <w:rFonts w:hint="default" w:ascii="Times New Roman" w:hAnsi="Times New Roman" w:cs="Times New Roman"/>
                <w:color w:val="auto"/>
                <w:sz w:val="24"/>
                <w:lang w:val="en-US" w:eastAsia="zh-CN"/>
              </w:rPr>
              <w:t>分体式空调采用符合国家标准要求的</w:t>
            </w:r>
            <w:r>
              <w:rPr>
                <w:rFonts w:hint="eastAsia" w:cs="Times New Roman"/>
                <w:color w:val="auto"/>
                <w:sz w:val="24"/>
                <w:lang w:val="en-US" w:eastAsia="zh-CN"/>
              </w:rPr>
              <w:t>空调</w:t>
            </w:r>
            <w:r>
              <w:rPr>
                <w:rFonts w:hint="default" w:ascii="Times New Roman" w:hAnsi="Times New Roman" w:cs="Times New Roman"/>
                <w:color w:val="auto"/>
                <w:sz w:val="24"/>
                <w:lang w:val="en-US" w:eastAsia="zh-CN"/>
              </w:rPr>
              <w:t>，</w:t>
            </w:r>
            <w:r>
              <w:rPr>
                <w:rFonts w:hint="eastAsia" w:cs="Times New Roman"/>
                <w:color w:val="auto"/>
                <w:sz w:val="24"/>
                <w:lang w:val="en-US" w:eastAsia="zh-CN"/>
              </w:rPr>
              <w:t>其噪声级在55dB（A）以下，源强较小，不纳入本次噪声源统计。</w:t>
            </w:r>
            <w:r>
              <w:rPr>
                <w:rFonts w:hint="default" w:ascii="Times New Roman" w:hAnsi="Times New Roman" w:cs="Times New Roman"/>
                <w:color w:val="auto"/>
                <w:sz w:val="24"/>
              </w:rPr>
              <w:t>本项目噪声源主要为废气</w:t>
            </w:r>
            <w:r>
              <w:rPr>
                <w:rFonts w:hint="eastAsia" w:cs="Times New Roman"/>
                <w:color w:val="auto"/>
                <w:sz w:val="24"/>
                <w:lang w:val="en-US" w:eastAsia="zh-CN"/>
              </w:rPr>
              <w:t>治理设施</w:t>
            </w:r>
            <w:r>
              <w:rPr>
                <w:rFonts w:hint="default" w:ascii="Times New Roman" w:hAnsi="Times New Roman" w:cs="Times New Roman"/>
                <w:color w:val="auto"/>
                <w:sz w:val="24"/>
              </w:rPr>
              <w:t>风机，</w:t>
            </w:r>
            <w:r>
              <w:rPr>
                <w:rFonts w:hint="eastAsia" w:cs="Times New Roman"/>
                <w:color w:val="auto"/>
                <w:sz w:val="24"/>
                <w:lang w:val="en-US" w:eastAsia="zh-CN"/>
              </w:rPr>
              <w:t>置于室内，进行噪声影响分析。</w:t>
            </w:r>
          </w:p>
          <w:p w14:paraId="1C931FBF">
            <w:pPr>
              <w:pStyle w:val="6"/>
              <w:adjustRightInd w:val="0"/>
              <w:snapToGrid w:val="0"/>
              <w:spacing w:line="360" w:lineRule="auto"/>
              <w:rPr>
                <w:rFonts w:hint="default" w:ascii="Times New Roman" w:hAnsi="Times New Roman" w:cs="Times New Roman"/>
                <w:b/>
                <w:bCs/>
                <w:color w:val="auto"/>
                <w:szCs w:val="24"/>
              </w:rPr>
            </w:pPr>
            <w:r>
              <w:rPr>
                <w:rFonts w:hint="default" w:ascii="Times New Roman" w:hAnsi="Times New Roman" w:cs="Times New Roman"/>
                <w:b/>
                <w:bCs/>
                <w:color w:val="auto"/>
                <w:szCs w:val="24"/>
              </w:rPr>
              <w:t>2、</w:t>
            </w:r>
            <w:r>
              <w:rPr>
                <w:rFonts w:hint="default" w:ascii="Times New Roman" w:hAnsi="Times New Roman" w:cs="Times New Roman"/>
                <w:b/>
                <w:bCs/>
                <w:color w:val="auto"/>
                <w:szCs w:val="24"/>
                <w:highlight w:val="none"/>
              </w:rPr>
              <w:t>预测模式</w:t>
            </w:r>
          </w:p>
          <w:p w14:paraId="31663F40">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eastAsia="zh-CN"/>
              </w:rPr>
              <w:t>根据项目建设内容，本次环评参考《环境影响评价技术导则</w: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lang w:eastAsia="zh-CN"/>
              </w:rPr>
              <w:t>声环境》（HJ2.4-2021）附录</w:t>
            </w:r>
            <w:r>
              <w:rPr>
                <w:rFonts w:hint="default" w:ascii="Times New Roman" w:hAnsi="Times New Roman" w:cs="Times New Roman"/>
                <w:color w:val="auto"/>
                <w:szCs w:val="24"/>
                <w:lang w:val="en-US" w:eastAsia="zh-CN"/>
              </w:rPr>
              <w:t>A和附录B</w:t>
            </w:r>
            <w:r>
              <w:rPr>
                <w:rFonts w:hint="default" w:ascii="Times New Roman" w:hAnsi="Times New Roman" w:cs="Times New Roman"/>
                <w:color w:val="auto"/>
                <w:szCs w:val="24"/>
                <w:lang w:eastAsia="zh-CN"/>
              </w:rPr>
              <w:t>中预测模式对项目声环境影响进行分析，预测模型如下：</w:t>
            </w:r>
          </w:p>
          <w:p w14:paraId="5ADB5A1B">
            <w:pPr>
              <w:pStyle w:val="6"/>
              <w:adjustRightInd w:val="0"/>
              <w:snapToGrid w:val="0"/>
              <w:spacing w:line="360" w:lineRule="auto"/>
              <w:rPr>
                <w:rFonts w:hint="default" w:ascii="Times New Roman" w:hAnsi="Times New Roman" w:cs="Times New Roman"/>
                <w:color w:val="auto"/>
                <w:szCs w:val="24"/>
                <w:lang w:eastAsia="zh-CN"/>
              </w:rPr>
            </w:pPr>
            <w:r>
              <w:rPr>
                <w:rFonts w:hint="default" w:ascii="Times New Roman" w:hAnsi="Times New Roman" w:cs="Times New Roman"/>
                <w:color w:val="auto"/>
                <w:szCs w:val="24"/>
                <w:lang w:eastAsia="zh-CN"/>
              </w:rPr>
              <w:t>（</w:t>
            </w:r>
            <w:r>
              <w:rPr>
                <w:rFonts w:hint="default" w:ascii="Times New Roman" w:hAnsi="Times New Roman" w:cs="Times New Roman"/>
                <w:color w:val="auto"/>
                <w:szCs w:val="24"/>
                <w:lang w:val="en-US" w:eastAsia="zh-CN"/>
              </w:rPr>
              <w:t>1</w:t>
            </w:r>
            <w:r>
              <w:rPr>
                <w:rFonts w:hint="default" w:ascii="Times New Roman" w:hAnsi="Times New Roman" w:cs="Times New Roman"/>
                <w:color w:val="auto"/>
                <w:szCs w:val="24"/>
                <w:lang w:eastAsia="zh-CN"/>
              </w:rPr>
              <w:t>）室内声源</w:t>
            </w:r>
          </w:p>
          <w:p w14:paraId="4721300A">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fldChar w:fldCharType="begin"/>
            </w:r>
            <w:r>
              <w:rPr>
                <w:rFonts w:hint="default" w:ascii="Times New Roman" w:hAnsi="Times New Roman" w:cs="Times New Roman"/>
                <w:color w:val="auto"/>
                <w:szCs w:val="24"/>
                <w:lang w:val="en-US" w:eastAsia="zh-CN"/>
              </w:rPr>
              <w:instrText xml:space="preserve"> = 1 \* GB3 \* MERGEFORMAT </w:instrText>
            </w:r>
            <w:r>
              <w:rPr>
                <w:rFonts w:hint="default" w:ascii="Times New Roman" w:hAnsi="Times New Roman" w:cs="Times New Roman"/>
                <w:color w:val="auto"/>
                <w:szCs w:val="24"/>
                <w:lang w:val="en-US" w:eastAsia="zh-CN"/>
              </w:rPr>
              <w:fldChar w:fldCharType="separate"/>
            </w:r>
            <w:r>
              <w:rPr>
                <w:rFonts w:hint="default" w:ascii="Times New Roman" w:hAnsi="Times New Roman" w:cs="Times New Roman"/>
                <w:color w:val="auto"/>
                <w:szCs w:val="24"/>
              </w:rPr>
              <w:t>①</w:t>
            </w:r>
            <w:r>
              <w:rPr>
                <w:rFonts w:hint="default" w:ascii="Times New Roman" w:hAnsi="Times New Roman" w:cs="Times New Roman"/>
                <w:color w:val="auto"/>
                <w:szCs w:val="24"/>
                <w:lang w:val="en-US" w:eastAsia="zh-CN"/>
              </w:rPr>
              <w:fldChar w:fldCharType="end"/>
            </w:r>
            <w:r>
              <w:rPr>
                <w:rFonts w:hint="default" w:ascii="Times New Roman" w:hAnsi="Times New Roman" w:cs="Times New Roman"/>
                <w:color w:val="auto"/>
                <w:szCs w:val="24"/>
                <w:lang w:val="en-US" w:eastAsia="zh-CN"/>
              </w:rPr>
              <w:t>附录B.1.3室内声源等效室外声源声功率级计算方法</w:t>
            </w:r>
          </w:p>
          <w:p w14:paraId="1B523112">
            <w:pPr>
              <w:pStyle w:val="6"/>
              <w:adjustRightInd w:val="0"/>
              <w:snapToGrid w:val="0"/>
              <w:spacing w:line="360" w:lineRule="auto"/>
              <w:rPr>
                <w:rFonts w:hint="default" w:ascii="Times New Roman" w:hAnsi="Times New Roman" w:cs="Times New Roman"/>
                <w:color w:val="auto"/>
                <w:szCs w:val="24"/>
                <w:lang w:eastAsia="zh-CN"/>
              </w:rPr>
            </w:pPr>
            <w:r>
              <w:rPr>
                <w:rFonts w:hint="default" w:ascii="Times New Roman" w:hAnsi="Times New Roman" w:cs="Times New Roman"/>
                <w:color w:val="auto"/>
                <w:szCs w:val="24"/>
              </w:rPr>
              <w:t>声源位于室内，室内声源可采用等效室外声源声功率级法进行计算。设靠近开口处（或窗户）室内、室外某倍频带的声压级或A声级分别为Lp1和Lp2。若声源所在室内声场为近似扩散声场，则室外的倍频带声压级可按式（B.1）近似求出</w:t>
            </w:r>
            <w:r>
              <w:rPr>
                <w:rFonts w:hint="default" w:ascii="Times New Roman" w:hAnsi="Times New Roman" w:cs="Times New Roman"/>
                <w:color w:val="auto"/>
                <w:szCs w:val="24"/>
                <w:lang w:eastAsia="zh-CN"/>
              </w:rPr>
              <w:t>：</w:t>
            </w:r>
          </w:p>
          <w:p w14:paraId="483C0463">
            <w:pPr>
              <w:pStyle w:val="6"/>
              <w:adjustRightInd w:val="0"/>
              <w:snapToGrid w:val="0"/>
              <w:spacing w:line="360" w:lineRule="auto"/>
              <w:jc w:val="center"/>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28" o:spt="75" type="#_x0000_t75" style="height:19pt;width:95pt;" o:ole="t" filled="f" o:preferrelative="t" stroked="f" coordsize="21600,21600">
                  <v:path/>
                  <v:fill on="f" focussize="0,0"/>
                  <v:stroke on="f"/>
                  <v:imagedata r:id="rId19" o:title=""/>
                  <o:lock v:ext="edit" aspectratio="t"/>
                  <w10:wrap type="none"/>
                  <w10:anchorlock/>
                </v:shape>
                <o:OLEObject Type="Embed" ProgID="Equation.KSEE3" ShapeID="_x0000_i1028" DrawAspect="Content" ObjectID="_1468075728" r:id="rId18">
                  <o:LockedField>false</o:LockedField>
                </o:OLEObject>
              </w:objec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（B.1）</w:t>
            </w:r>
          </w:p>
          <w:p w14:paraId="5B745898">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color w:val="auto"/>
                <w:szCs w:val="24"/>
                <w:lang w:val="en-US" w:eastAsia="zh-CN"/>
              </w:rPr>
              <w:object>
                <v:shape id="_x0000_i1029" o:spt="75" type="#_x0000_t75" style="height:19pt;width:18pt;" o:ole="t" filled="f" o:preferrelative="t" stroked="f" coordsize="21600,21600">
                  <v:path/>
                  <v:fill on="f" focussize="0,0"/>
                  <v:stroke on="f"/>
                  <v:imagedata r:id="rId21" o:title=""/>
                  <o:lock v:ext="edit" aspectratio="t"/>
                  <w10:wrap type="none"/>
                  <w10:anchorlock/>
                </v:shape>
                <o:OLEObject Type="Embed" ProgID="Equation.KSEE3" ShapeID="_x0000_i1029" DrawAspect="Content" ObjectID="_1468075729" r:id="rId20">
                  <o:LockedField>false</o:LockedField>
                </o:OLEObject>
              </w:object>
            </w:r>
            <w:r>
              <w:rPr>
                <w:rFonts w:hint="default" w:ascii="Times New Roman" w:hAnsi="Times New Roman" w:cs="Times New Roman"/>
                <w:color w:val="auto"/>
                <w:szCs w:val="24"/>
              </w:rPr>
              <w:t>——靠近开口处（或窗户）室内某倍频带的声压级或A声级，dB；</w:t>
            </w:r>
          </w:p>
          <w:p w14:paraId="450F0F2E">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30" o:spt="75" type="#_x0000_t75" style="height:19pt;width:19pt;" o:ole="t" filled="f" o:preferrelative="t" stroked="f" coordsize="21600,21600">
                  <v:path/>
                  <v:fill on="f" focussize="0,0"/>
                  <v:stroke on="f"/>
                  <v:imagedata r:id="rId23" o:title=""/>
                  <o:lock v:ext="edit" aspectratio="t"/>
                  <w10:wrap type="none"/>
                  <w10:anchorlock/>
                </v:shape>
                <o:OLEObject Type="Embed" ProgID="Equation.KSEE3" ShapeID="_x0000_i1030" DrawAspect="Content" ObjectID="_1468075730" r:id="rId22">
                  <o:LockedField>false</o:LockedField>
                </o:OLEObject>
              </w:object>
            </w:r>
            <w:r>
              <w:rPr>
                <w:rFonts w:hint="default" w:ascii="Times New Roman" w:hAnsi="Times New Roman" w:cs="Times New Roman"/>
                <w:color w:val="auto"/>
                <w:szCs w:val="24"/>
              </w:rPr>
              <w:t>——靠近开口处（或窗户）室外某倍频带的声压级或A声级，dB；</w:t>
            </w:r>
          </w:p>
          <w:p w14:paraId="52386A20">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TL——隔墙（或窗户）倍频带或A声级的隔声量，dB。</w:t>
            </w:r>
          </w:p>
          <w:p w14:paraId="69AC295A">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也可按式（B.2）计算某一室内声源靠近围护结构处产生的倍频带声压级或A声级：</w:t>
            </w:r>
          </w:p>
          <w:p w14:paraId="78EDC944">
            <w:pPr>
              <w:pStyle w:val="6"/>
              <w:adjustRightInd w:val="0"/>
              <w:snapToGrid w:val="0"/>
              <w:spacing w:line="360" w:lineRule="auto"/>
              <w:jc w:val="center"/>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31" o:spt="75" type="#_x0000_t75" style="height:34pt;width:132.95pt;" o:ole="t" filled="f" o:preferrelative="t" stroked="f" coordsize="21600,21600">
                  <v:path/>
                  <v:fill on="f" focussize="0,0"/>
                  <v:stroke on="f"/>
                  <v:imagedata r:id="rId25" o:title=""/>
                  <o:lock v:ext="edit" aspectratio="t"/>
                  <w10:wrap type="none"/>
                  <w10:anchorlock/>
                </v:shape>
                <o:OLEObject Type="Embed" ProgID="Equation.KSEE3" ShapeID="_x0000_i1031" DrawAspect="Content" ObjectID="_1468075731" r:id="rId24">
                  <o:LockedField>false</o:LockedField>
                </o:OLEObject>
              </w:objec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（B.2）</w:t>
            </w:r>
          </w:p>
          <w:p w14:paraId="30957896">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color w:val="auto"/>
                <w:szCs w:val="24"/>
                <w:lang w:val="en-US" w:eastAsia="zh-CN"/>
              </w:rPr>
              <w:object>
                <v:shape id="_x0000_i1032" o:spt="75" type="#_x0000_t75" style="height:19pt;width:18pt;" o:ole="t" filled="f" o:preferrelative="t" stroked="f" coordsize="21600,21600">
                  <v:path/>
                  <v:fill on="f" focussize="0,0"/>
                  <v:stroke on="f"/>
                  <v:imagedata r:id="rId21" o:title=""/>
                  <o:lock v:ext="edit" aspectratio="t"/>
                  <w10:wrap type="none"/>
                  <w10:anchorlock/>
                </v:shape>
                <o:OLEObject Type="Embed" ProgID="Equation.KSEE3" ShapeID="_x0000_i1032" DrawAspect="Content" ObjectID="_1468075732" r:id="rId26">
                  <o:LockedField>false</o:LockedField>
                </o:OLEObject>
              </w:object>
            </w:r>
            <w:r>
              <w:rPr>
                <w:rFonts w:hint="default" w:ascii="Times New Roman" w:hAnsi="Times New Roman" w:cs="Times New Roman"/>
                <w:color w:val="auto"/>
                <w:szCs w:val="24"/>
              </w:rPr>
              <w:t>——靠近开口处（或窗户）室内某倍频带的声压级或A声级，dB；</w:t>
            </w:r>
          </w:p>
          <w:p w14:paraId="0B2CAD8A">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33" o:spt="75" type="#_x0000_t75" style="height:18pt;width:15pt;" o:ole="t" filled="f" o:preferrelative="t" stroked="f" coordsize="21600,21600">
                  <v:path/>
                  <v:fill on="f" focussize="0,0"/>
                  <v:stroke on="f"/>
                  <v:imagedata r:id="rId28" o:title=""/>
                  <o:lock v:ext="edit" aspectratio="t"/>
                  <w10:wrap type="none"/>
                  <w10:anchorlock/>
                </v:shape>
                <o:OLEObject Type="Embed" ProgID="Equation.KSEE3" ShapeID="_x0000_i1033" DrawAspect="Content" ObjectID="_1468075733" r:id="rId27">
                  <o:LockedField>false</o:LockedField>
                </o:OLEObject>
              </w:object>
            </w:r>
            <w:r>
              <w:rPr>
                <w:rFonts w:hint="default" w:ascii="Times New Roman" w:hAnsi="Times New Roman" w:cs="Times New Roman"/>
                <w:color w:val="auto"/>
                <w:szCs w:val="24"/>
              </w:rPr>
              <w:t>——点声源声功率级（A计权或倍频带），dB；</w:t>
            </w:r>
          </w:p>
          <w:p w14:paraId="1C9647DF">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34" o:spt="75" type="#_x0000_t75" style="height:16pt;width:12pt;" o:ole="t" filled="f" o:preferrelative="t" stroked="f" coordsize="21600,21600">
                  <v:path/>
                  <v:fill on="f" focussize="0,0"/>
                  <v:stroke on="f"/>
                  <v:imagedata r:id="rId30" o:title=""/>
                  <o:lock v:ext="edit" aspectratio="t"/>
                  <w10:wrap type="none"/>
                  <w10:anchorlock/>
                </v:shape>
                <o:OLEObject Type="Embed" ProgID="Equation.KSEE3" ShapeID="_x0000_i1034" DrawAspect="Content" ObjectID="_1468075734" r:id="rId29">
                  <o:LockedField>false</o:LockedField>
                </o:OLEObject>
              </w:object>
            </w:r>
            <w:r>
              <w:rPr>
                <w:rFonts w:hint="default" w:ascii="Times New Roman" w:hAnsi="Times New Roman" w:cs="Times New Roman"/>
                <w:color w:val="auto"/>
                <w:szCs w:val="24"/>
              </w:rPr>
              <w:t>——指向性因数；通常对无指向性声源，当声源放在房间中心时，</w:t>
            </w:r>
            <w:r>
              <w:rPr>
                <w:rFonts w:hint="default" w:ascii="Times New Roman" w:hAnsi="Times New Roman" w:cs="Times New Roman"/>
                <w:color w:val="auto"/>
                <w:szCs w:val="24"/>
                <w:lang w:val="en-US" w:eastAsia="zh-CN"/>
              </w:rPr>
              <w:object>
                <v:shape id="_x0000_i1035" o:spt="75" type="#_x0000_t75" style="height:16pt;width:28pt;" o:ole="t" filled="f" o:preferrelative="t" stroked="f" coordsize="21600,21600">
                  <v:path/>
                  <v:fill on="f" focussize="0,0"/>
                  <v:stroke on="f"/>
                  <v:imagedata r:id="rId32" o:title=""/>
                  <o:lock v:ext="edit" aspectratio="t"/>
                  <w10:wrap type="none"/>
                  <w10:anchorlock/>
                </v:shape>
                <o:OLEObject Type="Embed" ProgID="Equation.KSEE3" ShapeID="_x0000_i1035" DrawAspect="Content" ObjectID="_1468075735" r:id="rId31">
                  <o:LockedField>false</o:LockedField>
                </o:OLEObject>
              </w:object>
            </w:r>
            <w:r>
              <w:rPr>
                <w:rFonts w:hint="default" w:ascii="Times New Roman" w:hAnsi="Times New Roman" w:cs="Times New Roman"/>
                <w:color w:val="auto"/>
                <w:szCs w:val="24"/>
              </w:rPr>
              <w:t>；当放在一面墙的中心时，</w:t>
            </w:r>
            <w:r>
              <w:rPr>
                <w:rFonts w:hint="default" w:ascii="Times New Roman" w:hAnsi="Times New Roman" w:cs="Times New Roman"/>
                <w:color w:val="auto"/>
                <w:szCs w:val="24"/>
                <w:lang w:val="en-US" w:eastAsia="zh-CN"/>
              </w:rPr>
              <w:object>
                <v:shape id="_x0000_i1036" o:spt="75" type="#_x0000_t75" style="height:16pt;width:30pt;" o:ole="t" filled="f" o:preferrelative="t" stroked="f" coordsize="21600,21600">
                  <v:path/>
                  <v:fill on="f" focussize="0,0"/>
                  <v:stroke on="f"/>
                  <v:imagedata r:id="rId34" o:title=""/>
                  <o:lock v:ext="edit" aspectratio="t"/>
                  <w10:wrap type="none"/>
                  <w10:anchorlock/>
                </v:shape>
                <o:OLEObject Type="Embed" ProgID="Equation.KSEE3" ShapeID="_x0000_i1036" DrawAspect="Content" ObjectID="_1468075736" r:id="rId33">
                  <o:LockedField>false</o:LockedField>
                </o:OLEObject>
              </w:object>
            </w:r>
            <w:r>
              <w:rPr>
                <w:rFonts w:hint="default" w:ascii="Times New Roman" w:hAnsi="Times New Roman" w:cs="Times New Roman"/>
                <w:color w:val="auto"/>
                <w:szCs w:val="24"/>
              </w:rPr>
              <w:t>；当放在两面墙夹角处时，</w:t>
            </w:r>
            <w:r>
              <w:rPr>
                <w:rFonts w:hint="default" w:ascii="Times New Roman" w:hAnsi="Times New Roman" w:cs="Times New Roman"/>
                <w:color w:val="auto"/>
                <w:szCs w:val="24"/>
                <w:lang w:val="en-US" w:eastAsia="zh-CN"/>
              </w:rPr>
              <w:object>
                <v:shape id="_x0000_i1037" o:spt="75" type="#_x0000_t75" style="height:16pt;width:30pt;" o:ole="t" filled="f" o:preferrelative="t" stroked="f" coordsize="21600,21600">
                  <v:path/>
                  <v:fill on="f" focussize="0,0"/>
                  <v:stroke on="f"/>
                  <v:imagedata r:id="rId36" o:title=""/>
                  <o:lock v:ext="edit" aspectratio="t"/>
                  <w10:wrap type="none"/>
                  <w10:anchorlock/>
                </v:shape>
                <o:OLEObject Type="Embed" ProgID="Equation.KSEE3" ShapeID="_x0000_i1037" DrawAspect="Content" ObjectID="_1468075737" r:id="rId35">
                  <o:LockedField>false</o:LockedField>
                </o:OLEObject>
              </w:object>
            </w:r>
            <w:r>
              <w:rPr>
                <w:rFonts w:hint="default" w:ascii="Times New Roman" w:hAnsi="Times New Roman" w:cs="Times New Roman"/>
                <w:color w:val="auto"/>
                <w:szCs w:val="24"/>
              </w:rPr>
              <w:t>；当放在三面墙夹角处时，</w:t>
            </w:r>
            <w:r>
              <w:rPr>
                <w:rFonts w:hint="default" w:ascii="Times New Roman" w:hAnsi="Times New Roman" w:cs="Times New Roman"/>
                <w:color w:val="auto"/>
                <w:szCs w:val="24"/>
                <w:lang w:val="en-US" w:eastAsia="zh-CN"/>
              </w:rPr>
              <w:object>
                <v:shape id="_x0000_i1038" o:spt="75" type="#_x0000_t75" style="height:16pt;width:30pt;" o:ole="t" filled="f" o:preferrelative="t" stroked="f" coordsize="21600,21600">
                  <v:path/>
                  <v:fill on="f" focussize="0,0"/>
                  <v:stroke on="f"/>
                  <v:imagedata r:id="rId38" o:title=""/>
                  <o:lock v:ext="edit" aspectratio="t"/>
                  <w10:wrap type="none"/>
                  <w10:anchorlock/>
                </v:shape>
                <o:OLEObject Type="Embed" ProgID="Equation.KSEE3" ShapeID="_x0000_i1038" DrawAspect="Content" ObjectID="_1468075738" r:id="rId37">
                  <o:LockedField>false</o:LockedField>
                </o:OLEObject>
              </w:object>
            </w:r>
            <w:r>
              <w:rPr>
                <w:rFonts w:hint="default" w:ascii="Times New Roman" w:hAnsi="Times New Roman" w:cs="Times New Roman"/>
                <w:color w:val="auto"/>
                <w:szCs w:val="24"/>
              </w:rPr>
              <w:t>；</w:t>
            </w:r>
          </w:p>
          <w:p w14:paraId="7A645E99">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39" o:spt="75" type="#_x0000_t75" style="height:13pt;width:12pt;" o:ole="t" filled="f" o:preferrelative="t" stroked="f" coordsize="21600,21600">
                  <v:path/>
                  <v:fill on="f" focussize="0,0"/>
                  <v:stroke on="f"/>
                  <v:imagedata r:id="rId40" o:title=""/>
                  <o:lock v:ext="edit" aspectratio="t"/>
                  <w10:wrap type="none"/>
                  <w10:anchorlock/>
                </v:shape>
                <o:OLEObject Type="Embed" ProgID="Equation.KSEE3" ShapeID="_x0000_i1039" DrawAspect="Content" ObjectID="_1468075739" r:id="rId39">
                  <o:LockedField>false</o:LockedField>
                </o:OLEObject>
              </w:object>
            </w:r>
            <w:r>
              <w:rPr>
                <w:rFonts w:hint="default" w:ascii="Times New Roman" w:hAnsi="Times New Roman" w:cs="Times New Roman"/>
                <w:color w:val="auto"/>
                <w:szCs w:val="24"/>
              </w:rPr>
              <w:t>——房间常数；</w:t>
            </w:r>
            <w:r>
              <w:rPr>
                <w:rFonts w:hint="default" w:ascii="Times New Roman" w:hAnsi="Times New Roman" w:cs="Times New Roman"/>
                <w:color w:val="auto"/>
                <w:szCs w:val="24"/>
                <w:lang w:val="en-US" w:eastAsia="zh-CN"/>
              </w:rPr>
              <w:object>
                <v:shape id="_x0000_i1040" o:spt="75" type="#_x0000_t75" style="height:17pt;width:74pt;" o:ole="t" filled="f" o:preferrelative="t" stroked="f" coordsize="21600,21600">
                  <v:path/>
                  <v:fill on="f" focussize="0,0"/>
                  <v:stroke on="f"/>
                  <v:imagedata r:id="rId42" o:title=""/>
                  <o:lock v:ext="edit" aspectratio="t"/>
                  <w10:wrap type="none"/>
                  <w10:anchorlock/>
                </v:shape>
                <o:OLEObject Type="Embed" ProgID="Equation.KSEE3" ShapeID="_x0000_i1040" DrawAspect="Content" ObjectID="_1468075740" r:id="rId41">
                  <o:LockedField>false</o:LockedField>
                </o:OLEObject>
              </w:object>
            </w:r>
            <w:r>
              <w:rPr>
                <w:rFonts w:hint="default" w:ascii="Times New Roman" w:hAnsi="Times New Roman" w:cs="Times New Roman"/>
                <w:color w:val="auto"/>
                <w:szCs w:val="24"/>
              </w:rPr>
              <w:t>，</w:t>
            </w:r>
            <w:r>
              <w:rPr>
                <w:rFonts w:hint="default" w:ascii="Times New Roman" w:hAnsi="Times New Roman" w:cs="Times New Roman"/>
                <w:color w:val="auto"/>
                <w:szCs w:val="24"/>
                <w:lang w:val="en-US" w:eastAsia="zh-CN"/>
              </w:rPr>
              <w:object>
                <v:shape id="_x0000_i1041" o:spt="75" type="#_x0000_t75" style="height:13.95pt;width:11pt;" o:ole="t" filled="f" o:preferrelative="t" stroked="f" coordsize="21600,21600">
                  <v:path/>
                  <v:fill on="f" focussize="0,0"/>
                  <v:stroke on="f"/>
                  <v:imagedata r:id="rId44" o:title=""/>
                  <o:lock v:ext="edit" aspectratio="t"/>
                  <w10:wrap type="none"/>
                  <w10:anchorlock/>
                </v:shape>
                <o:OLEObject Type="Embed" ProgID="Equation.KSEE3" ShapeID="_x0000_i1041" DrawAspect="Content" ObjectID="_1468075741" r:id="rId43">
                  <o:LockedField>false</o:LockedField>
                </o:OLEObject>
              </w:object>
            </w:r>
            <w:r>
              <w:rPr>
                <w:rFonts w:hint="default" w:ascii="Times New Roman" w:hAnsi="Times New Roman" w:cs="Times New Roman"/>
                <w:color w:val="auto"/>
                <w:szCs w:val="24"/>
              </w:rPr>
              <w:t>为房间内表面面积，</w:t>
            </w:r>
            <w:r>
              <w:rPr>
                <w:rFonts w:hint="default" w:ascii="Times New Roman" w:hAnsi="Times New Roman" w:cs="Times New Roman"/>
                <w:color w:val="auto"/>
                <w:szCs w:val="24"/>
                <w:lang w:val="en-US" w:eastAsia="zh-CN"/>
              </w:rPr>
              <w:object>
                <v:shape id="_x0000_i1042" o:spt="75" type="#_x0000_t75" style="height:16pt;width:17pt;" o:ole="t" filled="f" o:preferrelative="t" stroked="f" coordsize="21600,21600">
                  <v:path/>
                  <v:fill on="f" focussize="0,0"/>
                  <v:stroke on="f"/>
                  <v:imagedata r:id="rId46" o:title=""/>
                  <o:lock v:ext="edit" aspectratio="t"/>
                  <w10:wrap type="none"/>
                  <w10:anchorlock/>
                </v:shape>
                <o:OLEObject Type="Embed" ProgID="Equation.KSEE3" ShapeID="_x0000_i1042" DrawAspect="Content" ObjectID="_1468075742" r:id="rId45">
                  <o:LockedField>false</o:LockedField>
                </o:OLEObject>
              </w:object>
            </w:r>
            <w:r>
              <w:rPr>
                <w:rFonts w:hint="default" w:ascii="Times New Roman" w:hAnsi="Times New Roman" w:cs="Times New Roman"/>
                <w:color w:val="auto"/>
                <w:szCs w:val="24"/>
              </w:rPr>
              <w:t>；</w:t>
            </w:r>
            <w:r>
              <w:rPr>
                <w:rFonts w:hint="default" w:ascii="Times New Roman" w:hAnsi="Times New Roman" w:cs="Times New Roman"/>
                <w:color w:val="auto"/>
                <w:szCs w:val="24"/>
                <w:lang w:val="en-US" w:eastAsia="zh-CN"/>
              </w:rPr>
              <w:object>
                <v:shape id="_x0000_i1043" o:spt="75" type="#_x0000_t75" style="height:11pt;width:12pt;" o:ole="t" filled="f" o:preferrelative="t" stroked="f" coordsize="21600,21600">
                  <v:path/>
                  <v:fill on="f" focussize="0,0"/>
                  <v:stroke on="f"/>
                  <v:imagedata r:id="rId48" o:title=""/>
                  <o:lock v:ext="edit" aspectratio="t"/>
                  <w10:wrap type="none"/>
                  <w10:anchorlock/>
                </v:shape>
                <o:OLEObject Type="Embed" ProgID="Equation.KSEE3" ShapeID="_x0000_i1043" DrawAspect="Content" ObjectID="_1468075743" r:id="rId47">
                  <o:LockedField>false</o:LockedField>
                </o:OLEObject>
              </w:object>
            </w:r>
            <w:r>
              <w:rPr>
                <w:rFonts w:hint="default" w:ascii="Times New Roman" w:hAnsi="Times New Roman" w:cs="Times New Roman"/>
                <w:color w:val="auto"/>
                <w:szCs w:val="24"/>
              </w:rPr>
              <w:t>为平均吸声系数；</w:t>
            </w:r>
          </w:p>
          <w:p w14:paraId="4FBEBB48">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44" o:spt="75" type="#_x0000_t75" style="height:10pt;width:9pt;" o:ole="t" filled="f" o:preferrelative="t" stroked="f" coordsize="21600,21600">
                  <v:path/>
                  <v:fill on="f" focussize="0,0"/>
                  <v:stroke on="f"/>
                  <v:imagedata r:id="rId50" o:title=""/>
                  <o:lock v:ext="edit" aspectratio="t"/>
                  <w10:wrap type="none"/>
                  <w10:anchorlock/>
                </v:shape>
                <o:OLEObject Type="Embed" ProgID="Equation.KSEE3" ShapeID="_x0000_i1044" DrawAspect="Content" ObjectID="_1468075744" r:id="rId49">
                  <o:LockedField>false</o:LockedField>
                </o:OLEObject>
              </w:object>
            </w:r>
            <w:r>
              <w:rPr>
                <w:rFonts w:hint="default" w:ascii="Times New Roman" w:hAnsi="Times New Roman" w:cs="Times New Roman"/>
                <w:color w:val="auto"/>
                <w:szCs w:val="24"/>
              </w:rPr>
              <w:t>——声源到靠近围护结构某点处的距离，m。</w:t>
            </w:r>
          </w:p>
          <w:p w14:paraId="6DEEDFDE">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然后按式（B.3）计算出所有室内声源在围护结构处产生的</w:t>
            </w:r>
            <w:r>
              <w:rPr>
                <w:rFonts w:hint="default" w:ascii="Times New Roman" w:hAnsi="Times New Roman" w:cs="Times New Roman"/>
                <w:color w:val="auto"/>
                <w:szCs w:val="24"/>
                <w:lang w:val="en-US" w:eastAsia="zh-CN"/>
              </w:rPr>
              <w:object>
                <v:shape id="_x0000_i1045" o:spt="75" type="#_x0000_t75" style="height:13pt;width:6.95pt;" o:ole="t" filled="f" o:preferrelative="t" stroked="f" coordsize="21600,21600">
                  <v:path/>
                  <v:fill on="f" focussize="0,0"/>
                  <v:stroke on="f"/>
                  <v:imagedata r:id="rId52" o:title=""/>
                  <o:lock v:ext="edit" aspectratio="t"/>
                  <w10:wrap type="none"/>
                  <w10:anchorlock/>
                </v:shape>
                <o:OLEObject Type="Embed" ProgID="Equation.KSEE3" ShapeID="_x0000_i1045" DrawAspect="Content" ObjectID="_1468075745" r:id="rId51">
                  <o:LockedField>false</o:LockedField>
                </o:OLEObject>
              </w:object>
            </w:r>
            <w:r>
              <w:rPr>
                <w:rFonts w:hint="default" w:ascii="Times New Roman" w:hAnsi="Times New Roman" w:cs="Times New Roman"/>
                <w:color w:val="auto"/>
                <w:szCs w:val="24"/>
              </w:rPr>
              <w:t>倍频带叠加声压级：</w:t>
            </w:r>
          </w:p>
          <w:p w14:paraId="756FC200">
            <w:pPr>
              <w:pStyle w:val="6"/>
              <w:adjustRightInd w:val="0"/>
              <w:snapToGrid w:val="0"/>
              <w:spacing w:line="360" w:lineRule="auto"/>
              <w:jc w:val="center"/>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46" o:spt="75" type="#_x0000_t75" style="height:40pt;width:131pt;" o:ole="t" filled="f" o:preferrelative="t" stroked="f" coordsize="21600,21600">
                  <v:path/>
                  <v:fill on="f" focussize="0,0"/>
                  <v:stroke on="f"/>
                  <v:imagedata r:id="rId54" o:title=""/>
                  <o:lock v:ext="edit" aspectratio="t"/>
                  <w10:wrap type="none"/>
                  <w10:anchorlock/>
                </v:shape>
                <o:OLEObject Type="Embed" ProgID="Equation.KSEE3" ShapeID="_x0000_i1046" DrawAspect="Content" ObjectID="_1468075746" r:id="rId53">
                  <o:LockedField>false</o:LockedField>
                </o:OLEObject>
              </w:objec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（B.3）</w:t>
            </w:r>
          </w:p>
          <w:p w14:paraId="10A2422E">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color w:val="auto"/>
                <w:szCs w:val="24"/>
                <w:lang w:val="en-US" w:eastAsia="zh-CN"/>
              </w:rPr>
              <w:object>
                <v:shape id="_x0000_i1047" o:spt="75" type="#_x0000_t75" style="height:19pt;width:36pt;" o:ole="t" filled="f" o:preferrelative="t" stroked="f" coordsize="21600,21600">
                  <v:path/>
                  <v:fill on="f" focussize="0,0"/>
                  <v:stroke on="f"/>
                  <v:imagedata r:id="rId56" o:title=""/>
                  <o:lock v:ext="edit" aspectratio="t"/>
                  <w10:wrap type="none"/>
                  <w10:anchorlock/>
                </v:shape>
                <o:OLEObject Type="Embed" ProgID="Equation.KSEE3" ShapeID="_x0000_i1047" DrawAspect="Content" ObjectID="_1468075747" r:id="rId55">
                  <o:LockedField>false</o:LockedField>
                </o:OLEObject>
              </w:object>
            </w:r>
            <w:r>
              <w:rPr>
                <w:rFonts w:hint="default" w:ascii="Times New Roman" w:hAnsi="Times New Roman" w:cs="Times New Roman"/>
                <w:color w:val="auto"/>
                <w:szCs w:val="24"/>
              </w:rPr>
              <w:t>——靠近围护结构处室内</w:t>
            </w:r>
            <w:r>
              <w:rPr>
                <w:rFonts w:hint="default" w:ascii="Times New Roman" w:hAnsi="Times New Roman" w:cs="Times New Roman"/>
                <w:color w:val="auto"/>
                <w:szCs w:val="24"/>
                <w:lang w:val="en-US" w:eastAsia="zh-CN"/>
              </w:rPr>
              <w:object>
                <v:shape id="_x0000_i1048" o:spt="75" type="#_x0000_t75" style="height:13.95pt;width:13.95pt;" o:ole="t" filled="f" o:preferrelative="t" stroked="f" coordsize="21600,21600">
                  <v:path/>
                  <v:fill on="f" focussize="0,0"/>
                  <v:stroke on="f"/>
                  <v:imagedata r:id="rId58" o:title=""/>
                  <o:lock v:ext="edit" aspectratio="t"/>
                  <w10:wrap type="none"/>
                  <w10:anchorlock/>
                </v:shape>
                <o:OLEObject Type="Embed" ProgID="Equation.KSEE3" ShapeID="_x0000_i1048" DrawAspect="Content" ObjectID="_1468075748" r:id="rId57">
                  <o:LockedField>false</o:LockedField>
                </o:OLEObject>
              </w:object>
            </w:r>
            <w:r>
              <w:rPr>
                <w:rFonts w:hint="default" w:ascii="Times New Roman" w:hAnsi="Times New Roman" w:cs="Times New Roman"/>
                <w:color w:val="auto"/>
                <w:szCs w:val="24"/>
              </w:rPr>
              <w:t>个声源</w:t>
            </w:r>
            <w:r>
              <w:rPr>
                <w:rFonts w:hint="default" w:ascii="Times New Roman" w:hAnsi="Times New Roman" w:cs="Times New Roman"/>
                <w:color w:val="auto"/>
                <w:szCs w:val="24"/>
                <w:lang w:val="en-US" w:eastAsia="zh-CN"/>
              </w:rPr>
              <w:object>
                <v:shape id="_x0000_i1049" o:spt="75" type="#_x0000_t75" style="height:13pt;width:6.95pt;" o:ole="t" filled="f" o:preferrelative="t" stroked="f" coordsize="21600,21600">
                  <v:path/>
                  <v:fill on="f" focussize="0,0"/>
                  <v:stroke on="f"/>
                  <v:imagedata r:id="rId52" o:title=""/>
                  <o:lock v:ext="edit" aspectratio="t"/>
                  <w10:wrap type="none"/>
                  <w10:anchorlock/>
                </v:shape>
                <o:OLEObject Type="Embed" ProgID="Equation.KSEE3" ShapeID="_x0000_i1049" DrawAspect="Content" ObjectID="_1468075749" r:id="rId59">
                  <o:LockedField>false</o:LockedField>
                </o:OLEObject>
              </w:object>
            </w:r>
            <w:r>
              <w:rPr>
                <w:rFonts w:hint="default" w:ascii="Times New Roman" w:hAnsi="Times New Roman" w:cs="Times New Roman"/>
                <w:color w:val="auto"/>
                <w:szCs w:val="24"/>
              </w:rPr>
              <w:t>倍频带的叠加声压级，dB；</w:t>
            </w:r>
          </w:p>
          <w:p w14:paraId="53C59EC8">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50" o:spt="75" type="#_x0000_t75" style="height:19pt;width:23pt;" o:ole="t" filled="f" o:preferrelative="t" stroked="f" coordsize="21600,21600">
                  <v:path/>
                  <v:fill on="f" focussize="0,0"/>
                  <v:stroke on="f"/>
                  <v:imagedata r:id="rId61" o:title=""/>
                  <o:lock v:ext="edit" aspectratio="t"/>
                  <w10:wrap type="none"/>
                  <w10:anchorlock/>
                </v:shape>
                <o:OLEObject Type="Embed" ProgID="Equation.KSEE3" ShapeID="_x0000_i1050" DrawAspect="Content" ObjectID="_1468075750" r:id="rId60">
                  <o:LockedField>false</o:LockedField>
                </o:OLEObject>
              </w:object>
            </w:r>
            <w:r>
              <w:rPr>
                <w:rFonts w:hint="default" w:ascii="Times New Roman" w:hAnsi="Times New Roman" w:cs="Times New Roman"/>
                <w:color w:val="auto"/>
                <w:szCs w:val="24"/>
              </w:rPr>
              <w:t>——室内</w:t>
            </w:r>
            <w:r>
              <w:rPr>
                <w:rFonts w:hint="default" w:ascii="Times New Roman" w:hAnsi="Times New Roman" w:cs="Times New Roman"/>
                <w:color w:val="auto"/>
                <w:szCs w:val="24"/>
                <w:lang w:val="en-US" w:eastAsia="zh-CN"/>
              </w:rPr>
              <w:object>
                <v:shape id="_x0000_i1051" o:spt="75" type="#_x0000_t75" style="height:15pt;width:10pt;" o:ole="t" filled="f" o:preferrelative="t" stroked="f" coordsize="21600,21600">
                  <v:path/>
                  <v:fill on="f" focussize="0,0"/>
                  <v:stroke on="f"/>
                  <v:imagedata r:id="rId63" o:title=""/>
                  <o:lock v:ext="edit" aspectratio="t"/>
                  <w10:wrap type="none"/>
                  <w10:anchorlock/>
                </v:shape>
                <o:OLEObject Type="Embed" ProgID="Equation.KSEE3" ShapeID="_x0000_i1051" DrawAspect="Content" ObjectID="_1468075751" r:id="rId62">
                  <o:LockedField>false</o:LockedField>
                </o:OLEObject>
              </w:object>
            </w:r>
            <w:r>
              <w:rPr>
                <w:rFonts w:hint="default" w:ascii="Times New Roman" w:hAnsi="Times New Roman" w:cs="Times New Roman"/>
                <w:color w:val="auto"/>
                <w:szCs w:val="24"/>
              </w:rPr>
              <w:t>声源</w:t>
            </w:r>
            <w:r>
              <w:rPr>
                <w:rFonts w:hint="default" w:ascii="Times New Roman" w:hAnsi="Times New Roman" w:cs="Times New Roman"/>
                <w:color w:val="auto"/>
                <w:szCs w:val="24"/>
                <w:lang w:val="en-US" w:eastAsia="zh-CN"/>
              </w:rPr>
              <w:object>
                <v:shape id="_x0000_i1052" o:spt="75" type="#_x0000_t75" style="height:13pt;width:6.95pt;" o:ole="t" filled="f" o:preferrelative="t" stroked="f" coordsize="21600,21600">
                  <v:path/>
                  <v:fill on="f" focussize="0,0"/>
                  <v:stroke on="f"/>
                  <v:imagedata r:id="rId52" o:title=""/>
                  <o:lock v:ext="edit" aspectratio="t"/>
                  <w10:wrap type="none"/>
                  <w10:anchorlock/>
                </v:shape>
                <o:OLEObject Type="Embed" ProgID="Equation.KSEE3" ShapeID="_x0000_i1052" DrawAspect="Content" ObjectID="_1468075752" r:id="rId64">
                  <o:LockedField>false</o:LockedField>
                </o:OLEObject>
              </w:object>
            </w:r>
            <w:r>
              <w:rPr>
                <w:rFonts w:hint="default" w:ascii="Times New Roman" w:hAnsi="Times New Roman" w:cs="Times New Roman"/>
                <w:color w:val="auto"/>
                <w:szCs w:val="24"/>
              </w:rPr>
              <w:t>倍频带的声压级，dB；</w:t>
            </w:r>
          </w:p>
          <w:p w14:paraId="49F86FA6">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53" o:spt="75" type="#_x0000_t75" style="height:13.95pt;width:13.95pt;" o:ole="t" filled="f" o:preferrelative="t" stroked="f" coordsize="21600,21600">
                  <v:path/>
                  <v:fill on="f" focussize="0,0"/>
                  <v:stroke on="f"/>
                  <v:imagedata r:id="rId58" o:title=""/>
                  <o:lock v:ext="edit" aspectratio="t"/>
                  <w10:wrap type="none"/>
                  <w10:anchorlock/>
                </v:shape>
                <o:OLEObject Type="Embed" ProgID="Equation.KSEE3" ShapeID="_x0000_i1053" DrawAspect="Content" ObjectID="_1468075753" r:id="rId65">
                  <o:LockedField>false</o:LockedField>
                </o:OLEObject>
              </w:object>
            </w:r>
            <w:r>
              <w:rPr>
                <w:rFonts w:hint="default" w:ascii="Times New Roman" w:hAnsi="Times New Roman" w:cs="Times New Roman"/>
                <w:color w:val="auto"/>
                <w:szCs w:val="24"/>
              </w:rPr>
              <w:t>——室内声源总数。</w:t>
            </w:r>
          </w:p>
          <w:p w14:paraId="15732B9A">
            <w:pPr>
              <w:pStyle w:val="6"/>
              <w:adjustRightInd w:val="0"/>
              <w:snapToGrid w:val="0"/>
              <w:spacing w:line="360" w:lineRule="auto"/>
              <w:jc w:val="left"/>
              <w:rPr>
                <w:rFonts w:hint="default" w:ascii="Times New Roman" w:hAnsi="Times New Roman" w:cs="Times New Roman"/>
                <w:color w:val="auto"/>
                <w:szCs w:val="24"/>
              </w:rPr>
            </w:pPr>
            <w:r>
              <w:rPr>
                <w:rFonts w:hint="default" w:ascii="Times New Roman" w:hAnsi="Times New Roman" w:cs="Times New Roman"/>
                <w:color w:val="auto"/>
                <w:szCs w:val="24"/>
              </w:rPr>
              <w:t>在室内近似为扩散声场时，按式（B.4）计算出靠近室外围护结构处的声压级：</w:t>
            </w:r>
          </w:p>
          <w:p w14:paraId="3211957B">
            <w:pPr>
              <w:pStyle w:val="6"/>
              <w:adjustRightInd w:val="0"/>
              <w:snapToGrid w:val="0"/>
              <w:spacing w:line="360" w:lineRule="auto"/>
              <w:jc w:val="center"/>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54" o:spt="75" type="#_x0000_t75" style="height:19pt;width:132pt;" o:ole="t" filled="f" o:preferrelative="t" stroked="f" coordsize="21600,21600">
                  <v:path/>
                  <v:fill on="f" focussize="0,0"/>
                  <v:stroke on="f"/>
                  <v:imagedata r:id="rId67" o:title=""/>
                  <o:lock v:ext="edit" aspectratio="t"/>
                  <w10:wrap type="none"/>
                  <w10:anchorlock/>
                </v:shape>
                <o:OLEObject Type="Embed" ProgID="Equation.KSEE3" ShapeID="_x0000_i1054" DrawAspect="Content" ObjectID="_1468075754" r:id="rId66">
                  <o:LockedField>false</o:LockedField>
                </o:OLEObject>
              </w:objec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（B.4）</w:t>
            </w:r>
          </w:p>
          <w:p w14:paraId="086DC703">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color w:val="auto"/>
                <w:szCs w:val="24"/>
                <w:lang w:val="en-US" w:eastAsia="zh-CN"/>
              </w:rPr>
              <w:object>
                <v:shape id="_x0000_i1055" o:spt="75" type="#_x0000_t75" style="height:19pt;width:38pt;" o:ole="t" filled="f" o:preferrelative="t" stroked="f" coordsize="21600,21600">
                  <v:path/>
                  <v:fill on="f" focussize="0,0"/>
                  <v:stroke on="f"/>
                  <v:imagedata r:id="rId69" o:title=""/>
                  <o:lock v:ext="edit" aspectratio="t"/>
                  <w10:wrap type="none"/>
                  <w10:anchorlock/>
                </v:shape>
                <o:OLEObject Type="Embed" ProgID="Equation.KSEE3" ShapeID="_x0000_i1055" DrawAspect="Content" ObjectID="_1468075755" r:id="rId68">
                  <o:LockedField>false</o:LockedField>
                </o:OLEObject>
              </w:object>
            </w:r>
            <w:r>
              <w:rPr>
                <w:rFonts w:hint="default" w:ascii="Times New Roman" w:hAnsi="Times New Roman" w:cs="Times New Roman"/>
                <w:color w:val="auto"/>
                <w:szCs w:val="24"/>
              </w:rPr>
              <w:t>——靠近围护结构处室外</w:t>
            </w:r>
            <w:r>
              <w:rPr>
                <w:rFonts w:hint="default" w:ascii="Times New Roman" w:hAnsi="Times New Roman" w:cs="Times New Roman"/>
                <w:color w:val="auto"/>
                <w:szCs w:val="24"/>
                <w:lang w:val="en-US" w:eastAsia="zh-CN"/>
              </w:rPr>
              <w:object>
                <v:shape id="_x0000_i1056" o:spt="75" type="#_x0000_t75" style="height:13.95pt;width:13.95pt;" o:ole="t" filled="f" o:preferrelative="t" stroked="f" coordsize="21600,21600">
                  <v:path/>
                  <v:fill on="f" focussize="0,0"/>
                  <v:stroke on="f"/>
                  <v:imagedata r:id="rId58" o:title=""/>
                  <o:lock v:ext="edit" aspectratio="t"/>
                  <w10:wrap type="none"/>
                  <w10:anchorlock/>
                </v:shape>
                <o:OLEObject Type="Embed" ProgID="Equation.KSEE3" ShapeID="_x0000_i1056" DrawAspect="Content" ObjectID="_1468075756" r:id="rId70">
                  <o:LockedField>false</o:LockedField>
                </o:OLEObject>
              </w:object>
            </w:r>
            <w:r>
              <w:rPr>
                <w:rFonts w:hint="default" w:ascii="Times New Roman" w:hAnsi="Times New Roman" w:cs="Times New Roman"/>
                <w:color w:val="auto"/>
                <w:szCs w:val="24"/>
              </w:rPr>
              <w:t>个声源</w:t>
            </w:r>
            <w:r>
              <w:rPr>
                <w:rFonts w:hint="default" w:ascii="Times New Roman" w:hAnsi="Times New Roman" w:cs="Times New Roman"/>
                <w:color w:val="auto"/>
                <w:szCs w:val="24"/>
                <w:lang w:val="en-US" w:eastAsia="zh-CN"/>
              </w:rPr>
              <w:object>
                <v:shape id="_x0000_i1057" o:spt="75" type="#_x0000_t75" style="height:13pt;width:6.95pt;" o:ole="t" filled="f" o:preferrelative="t" stroked="f" coordsize="21600,21600">
                  <v:path/>
                  <v:fill on="f" focussize="0,0"/>
                  <v:stroke on="f"/>
                  <v:imagedata r:id="rId52" o:title=""/>
                  <o:lock v:ext="edit" aspectratio="t"/>
                  <w10:wrap type="none"/>
                  <w10:anchorlock/>
                </v:shape>
                <o:OLEObject Type="Embed" ProgID="Equation.KSEE3" ShapeID="_x0000_i1057" DrawAspect="Content" ObjectID="_1468075757" r:id="rId71">
                  <o:LockedField>false</o:LockedField>
                </o:OLEObject>
              </w:object>
            </w:r>
            <w:r>
              <w:rPr>
                <w:rFonts w:hint="default" w:ascii="Times New Roman" w:hAnsi="Times New Roman" w:cs="Times New Roman"/>
                <w:color w:val="auto"/>
                <w:szCs w:val="24"/>
              </w:rPr>
              <w:t>倍频带的叠加声压级，dB；</w:t>
            </w:r>
            <w:r>
              <w:rPr>
                <w:rFonts w:hint="default" w:ascii="Times New Roman" w:hAnsi="Times New Roman" w:cs="Times New Roman"/>
                <w:color w:val="auto"/>
                <w:szCs w:val="24"/>
                <w:lang w:val="en-US" w:eastAsia="zh-CN"/>
              </w:rPr>
              <w:object>
                <v:shape id="_x0000_i1058" o:spt="75" type="#_x0000_t75" style="height:19pt;width:36pt;" o:ole="t" filled="f" o:preferrelative="t" stroked="f" coordsize="21600,21600">
                  <v:path/>
                  <v:fill on="f" focussize="0,0"/>
                  <v:stroke on="f"/>
                  <v:imagedata r:id="rId73" o:title=""/>
                  <o:lock v:ext="edit" aspectratio="t"/>
                  <w10:wrap type="none"/>
                  <w10:anchorlock/>
                </v:shape>
                <o:OLEObject Type="Embed" ProgID="Equation.KSEE3" ShapeID="_x0000_i1058" DrawAspect="Content" ObjectID="_1468075758" r:id="rId72">
                  <o:LockedField>false</o:LockedField>
                </o:OLEObject>
              </w:object>
            </w:r>
            <w:r>
              <w:rPr>
                <w:rFonts w:hint="default" w:ascii="Times New Roman" w:hAnsi="Times New Roman" w:cs="Times New Roman"/>
                <w:color w:val="auto"/>
                <w:szCs w:val="24"/>
              </w:rPr>
              <w:t>——靠近围护结构处室内</w:t>
            </w:r>
            <w:r>
              <w:rPr>
                <w:rFonts w:hint="default" w:ascii="Times New Roman" w:hAnsi="Times New Roman" w:cs="Times New Roman"/>
                <w:color w:val="auto"/>
                <w:szCs w:val="24"/>
                <w:lang w:val="en-US" w:eastAsia="zh-CN"/>
              </w:rPr>
              <w:object>
                <v:shape id="_x0000_i1059" o:spt="75" type="#_x0000_t75" style="height:13.95pt;width:13.95pt;" o:ole="t" filled="f" o:preferrelative="t" stroked="f" coordsize="21600,21600">
                  <v:path/>
                  <v:fill on="f" focussize="0,0"/>
                  <v:stroke on="f"/>
                  <v:imagedata r:id="rId58" o:title=""/>
                  <o:lock v:ext="edit" aspectratio="t"/>
                  <w10:wrap type="none"/>
                  <w10:anchorlock/>
                </v:shape>
                <o:OLEObject Type="Embed" ProgID="Equation.KSEE3" ShapeID="_x0000_i1059" DrawAspect="Content" ObjectID="_1468075759" r:id="rId74">
                  <o:LockedField>false</o:LockedField>
                </o:OLEObject>
              </w:object>
            </w:r>
            <w:r>
              <w:rPr>
                <w:rFonts w:hint="default" w:ascii="Times New Roman" w:hAnsi="Times New Roman" w:cs="Times New Roman"/>
                <w:color w:val="auto"/>
                <w:szCs w:val="24"/>
              </w:rPr>
              <w:t>个声源</w:t>
            </w:r>
            <w:r>
              <w:rPr>
                <w:rFonts w:hint="default" w:ascii="Times New Roman" w:hAnsi="Times New Roman" w:cs="Times New Roman"/>
                <w:color w:val="auto"/>
                <w:szCs w:val="24"/>
                <w:lang w:val="en-US" w:eastAsia="zh-CN"/>
              </w:rPr>
              <w:object>
                <v:shape id="_x0000_i1060" o:spt="75" type="#_x0000_t75" style="height:13pt;width:6.95pt;" o:ole="t" filled="f" o:preferrelative="t" stroked="f" coordsize="21600,21600">
                  <v:path/>
                  <v:fill on="f" focussize="0,0"/>
                  <v:stroke on="f"/>
                  <v:imagedata r:id="rId52" o:title=""/>
                  <o:lock v:ext="edit" aspectratio="t"/>
                  <w10:wrap type="none"/>
                  <w10:anchorlock/>
                </v:shape>
                <o:OLEObject Type="Embed" ProgID="Equation.KSEE3" ShapeID="_x0000_i1060" DrawAspect="Content" ObjectID="_1468075760" r:id="rId75">
                  <o:LockedField>false</o:LockedField>
                </o:OLEObject>
              </w:object>
            </w:r>
            <w:r>
              <w:rPr>
                <w:rFonts w:hint="default" w:ascii="Times New Roman" w:hAnsi="Times New Roman" w:cs="Times New Roman"/>
                <w:color w:val="auto"/>
                <w:szCs w:val="24"/>
              </w:rPr>
              <w:t>倍频带的叠加声压级，dB；</w:t>
            </w:r>
          </w:p>
          <w:p w14:paraId="377BB187">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61" o:spt="75" type="#_x0000_t75" style="height:18pt;width:18pt;" o:ole="t" filled="f" o:preferrelative="t" stroked="f" coordsize="21600,21600">
                  <v:path/>
                  <v:fill on="f" focussize="0,0"/>
                  <v:stroke on="f"/>
                  <v:imagedata r:id="rId77" o:title=""/>
                  <o:lock v:ext="edit" aspectratio="t"/>
                  <w10:wrap type="none"/>
                  <w10:anchorlock/>
                </v:shape>
                <o:OLEObject Type="Embed" ProgID="Equation.KSEE3" ShapeID="_x0000_i1061" DrawAspect="Content" ObjectID="_1468075761" r:id="rId76">
                  <o:LockedField>false</o:LockedField>
                </o:OLEObject>
              </w:object>
            </w:r>
            <w:r>
              <w:rPr>
                <w:rFonts w:hint="default" w:ascii="Times New Roman" w:hAnsi="Times New Roman" w:cs="Times New Roman"/>
                <w:color w:val="auto"/>
                <w:szCs w:val="24"/>
              </w:rPr>
              <w:t>——围护结构</w:t>
            </w:r>
            <w:r>
              <w:rPr>
                <w:rFonts w:hint="default" w:ascii="Times New Roman" w:hAnsi="Times New Roman" w:cs="Times New Roman"/>
                <w:color w:val="auto"/>
                <w:szCs w:val="24"/>
                <w:lang w:val="en-US" w:eastAsia="zh-CN"/>
              </w:rPr>
              <w:object>
                <v:shape id="_x0000_i1062" o:spt="75" type="#_x0000_t75" style="height:13pt;width:6.95pt;" o:ole="t" filled="f" o:preferrelative="t" stroked="f" coordsize="21600,21600">
                  <v:path/>
                  <v:fill on="f" focussize="0,0"/>
                  <v:stroke on="f"/>
                  <v:imagedata r:id="rId52" o:title=""/>
                  <o:lock v:ext="edit" aspectratio="t"/>
                  <w10:wrap type="none"/>
                  <w10:anchorlock/>
                </v:shape>
                <o:OLEObject Type="Embed" ProgID="Equation.KSEE3" ShapeID="_x0000_i1062" DrawAspect="Content" ObjectID="_1468075762" r:id="rId78">
                  <o:LockedField>false</o:LockedField>
                </o:OLEObject>
              </w:object>
            </w:r>
            <w:r>
              <w:rPr>
                <w:rFonts w:hint="default" w:ascii="Times New Roman" w:hAnsi="Times New Roman" w:cs="Times New Roman"/>
                <w:color w:val="auto"/>
                <w:szCs w:val="24"/>
              </w:rPr>
              <w:t>倍频带的隔声量，dB。</w:t>
            </w:r>
          </w:p>
          <w:p w14:paraId="23F3366E">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然后按式（B.5）将室外声源的声压级和透过面积换算成等效的室外声源，计算出中心位置位于透声面积（</w:t>
            </w:r>
            <w:r>
              <w:rPr>
                <w:rFonts w:hint="default" w:ascii="Times New Roman" w:hAnsi="Times New Roman" w:cs="Times New Roman"/>
                <w:color w:val="auto"/>
                <w:szCs w:val="24"/>
                <w:lang w:val="en-US" w:eastAsia="zh-CN"/>
              </w:rPr>
              <w:object>
                <v:shape id="_x0000_i1063" o:spt="75" type="#_x0000_t75" style="height:13.95pt;width:11pt;" o:ole="t" filled="f" o:preferrelative="t" stroked="f" coordsize="21600,21600">
                  <v:path/>
                  <v:fill on="f" focussize="0,0"/>
                  <v:stroke on="f"/>
                  <v:imagedata r:id="rId80" o:title=""/>
                  <o:lock v:ext="edit" aspectratio="t"/>
                  <w10:wrap type="none"/>
                  <w10:anchorlock/>
                </v:shape>
                <o:OLEObject Type="Embed" ProgID="Equation.KSEE3" ShapeID="_x0000_i1063" DrawAspect="Content" ObjectID="_1468075763" r:id="rId79">
                  <o:LockedField>false</o:LockedField>
                </o:OLEObject>
              </w:object>
            </w:r>
            <w:r>
              <w:rPr>
                <w:rFonts w:hint="default" w:ascii="Times New Roman" w:hAnsi="Times New Roman" w:cs="Times New Roman"/>
                <w:color w:val="auto"/>
                <w:szCs w:val="24"/>
              </w:rPr>
              <w:t>）处的等效声源的倍频带声功率级。</w:t>
            </w:r>
          </w:p>
          <w:p w14:paraId="1B664095">
            <w:pPr>
              <w:pStyle w:val="6"/>
              <w:adjustRightInd w:val="0"/>
              <w:snapToGrid w:val="0"/>
              <w:spacing w:line="360" w:lineRule="auto"/>
              <w:jc w:val="center"/>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64" o:spt="75" type="#_x0000_t75" style="height:19pt;width:101pt;" o:ole="t" filled="f" o:preferrelative="t" stroked="f" coordsize="21600,21600">
                  <v:path/>
                  <v:fill on="f" focussize="0,0"/>
                  <v:stroke on="f"/>
                  <v:imagedata r:id="rId82" o:title=""/>
                  <o:lock v:ext="edit" aspectratio="t"/>
                  <w10:wrap type="none"/>
                  <w10:anchorlock/>
                </v:shape>
                <o:OLEObject Type="Embed" ProgID="Equation.KSEE3" ShapeID="_x0000_i1064" DrawAspect="Content" ObjectID="_1468075764" r:id="rId81">
                  <o:LockedField>false</o:LockedField>
                </o:OLEObject>
              </w:objec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（B.5）</w:t>
            </w:r>
          </w:p>
          <w:p w14:paraId="2E89C1B3">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color w:val="auto"/>
                <w:szCs w:val="24"/>
                <w:lang w:val="en-US" w:eastAsia="zh-CN"/>
              </w:rPr>
              <w:object>
                <v:shape id="_x0000_i1065" o:spt="75" type="#_x0000_t75" style="height:18pt;width:15pt;" o:ole="t" filled="f" o:preferrelative="t" stroked="f" coordsize="21600,21600">
                  <v:path/>
                  <v:fill on="f" focussize="0,0"/>
                  <v:stroke on="f"/>
                  <v:imagedata r:id="rId84" o:title=""/>
                  <o:lock v:ext="edit" aspectratio="t"/>
                  <w10:wrap type="none"/>
                  <w10:anchorlock/>
                </v:shape>
                <o:OLEObject Type="Embed" ProgID="Equation.KSEE3" ShapeID="_x0000_i1065" DrawAspect="Content" ObjectID="_1468075765" r:id="rId83">
                  <o:LockedField>false</o:LockedField>
                </o:OLEObject>
              </w:object>
            </w:r>
            <w:r>
              <w:rPr>
                <w:rFonts w:hint="default" w:ascii="Times New Roman" w:hAnsi="Times New Roman" w:cs="Times New Roman"/>
                <w:color w:val="auto"/>
                <w:szCs w:val="24"/>
              </w:rPr>
              <w:t>——中心位置位于透声面积（</w:t>
            </w:r>
            <w:r>
              <w:rPr>
                <w:rFonts w:hint="default" w:ascii="Times New Roman" w:hAnsi="Times New Roman" w:cs="Times New Roman"/>
                <w:color w:val="auto"/>
                <w:szCs w:val="24"/>
                <w:lang w:val="en-US" w:eastAsia="zh-CN"/>
              </w:rPr>
              <w:object>
                <v:shape id="_x0000_i1066" o:spt="75" type="#_x0000_t75" style="height:13.95pt;width:11pt;" o:ole="t" filled="f" o:preferrelative="t" stroked="f" coordsize="21600,21600">
                  <v:path/>
                  <v:fill on="f" focussize="0,0"/>
                  <v:stroke on="f"/>
                  <v:imagedata r:id="rId80" o:title=""/>
                  <o:lock v:ext="edit" aspectratio="t"/>
                  <w10:wrap type="none"/>
                  <w10:anchorlock/>
                </v:shape>
                <o:OLEObject Type="Embed" ProgID="Equation.KSEE3" ShapeID="_x0000_i1066" DrawAspect="Content" ObjectID="_1468075766" r:id="rId85">
                  <o:LockedField>false</o:LockedField>
                </o:OLEObject>
              </w:object>
            </w:r>
            <w:r>
              <w:rPr>
                <w:rFonts w:hint="default" w:ascii="Times New Roman" w:hAnsi="Times New Roman" w:cs="Times New Roman"/>
                <w:color w:val="auto"/>
                <w:szCs w:val="24"/>
              </w:rPr>
              <w:t>）处的等效声源的倍频带声功率级，dB；</w:t>
            </w:r>
          </w:p>
          <w:p w14:paraId="26FCE942">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67" o:spt="75" type="#_x0000_t75" style="height:19pt;width:35pt;" o:ole="t" filled="f" o:preferrelative="t" stroked="f" coordsize="21600,21600">
                  <v:path/>
                  <v:fill on="f" focussize="0,0"/>
                  <v:stroke on="f"/>
                  <v:imagedata r:id="rId87" o:title=""/>
                  <o:lock v:ext="edit" aspectratio="t"/>
                  <w10:wrap type="none"/>
                  <w10:anchorlock/>
                </v:shape>
                <o:OLEObject Type="Embed" ProgID="Equation.KSEE3" ShapeID="_x0000_i1067" DrawAspect="Content" ObjectID="_1468075767" r:id="rId86">
                  <o:LockedField>false</o:LockedField>
                </o:OLEObject>
              </w:object>
            </w:r>
            <w:r>
              <w:rPr>
                <w:rFonts w:hint="default" w:ascii="Times New Roman" w:hAnsi="Times New Roman" w:cs="Times New Roman"/>
                <w:color w:val="auto"/>
                <w:szCs w:val="24"/>
              </w:rPr>
              <w:t>——靠近围护结构处室外声源的声压级，dB；</w:t>
            </w:r>
          </w:p>
          <w:p w14:paraId="63E7AF71">
            <w:pPr>
              <w:pStyle w:val="6"/>
              <w:adjustRightInd w:val="0"/>
              <w:snapToGrid w:val="0"/>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lang w:val="en-US" w:eastAsia="zh-CN"/>
              </w:rPr>
              <w:object>
                <v:shape id="_x0000_i1068" o:spt="75" type="#_x0000_t75" style="height:13.95pt;width:11pt;" o:ole="t" filled="f" o:preferrelative="t" stroked="f" coordsize="21600,21600">
                  <v:path/>
                  <v:fill on="f" focussize="0,0"/>
                  <v:stroke on="f"/>
                  <v:imagedata r:id="rId80" o:title=""/>
                  <o:lock v:ext="edit" aspectratio="t"/>
                  <w10:wrap type="none"/>
                  <w10:anchorlock/>
                </v:shape>
                <o:OLEObject Type="Embed" ProgID="Equation.KSEE3" ShapeID="_x0000_i1068" DrawAspect="Content" ObjectID="_1468075768" r:id="rId88">
                  <o:LockedField>false</o:LockedField>
                </o:OLEObject>
              </w:object>
            </w:r>
            <w:r>
              <w:rPr>
                <w:rFonts w:hint="default" w:ascii="Times New Roman" w:hAnsi="Times New Roman" w:cs="Times New Roman"/>
                <w:color w:val="auto"/>
                <w:szCs w:val="24"/>
              </w:rPr>
              <w:t>——透声面积，</w:t>
            </w:r>
            <w:r>
              <w:rPr>
                <w:rFonts w:hint="default" w:ascii="Times New Roman" w:hAnsi="Times New Roman" w:cs="Times New Roman"/>
                <w:color w:val="auto"/>
                <w:szCs w:val="24"/>
                <w:lang w:val="en-US" w:eastAsia="zh-CN"/>
              </w:rPr>
              <w:object>
                <v:shape id="_x0000_i1069" o:spt="75" type="#_x0000_t75" style="height:16pt;width:17pt;" o:ole="t" filled="f" o:preferrelative="t" stroked="f" coordsize="21600,21600">
                  <v:path/>
                  <v:fill on="f" focussize="0,0"/>
                  <v:stroke on="f"/>
                  <v:imagedata r:id="rId46" o:title=""/>
                  <o:lock v:ext="edit" aspectratio="t"/>
                  <w10:wrap type="none"/>
                  <w10:anchorlock/>
                </v:shape>
                <o:OLEObject Type="Embed" ProgID="Equation.KSEE3" ShapeID="_x0000_i1069" DrawAspect="Content" ObjectID="_1468075769" r:id="rId89">
                  <o:LockedField>false</o:LockedField>
                </o:OLEObject>
              </w:object>
            </w:r>
            <w:r>
              <w:rPr>
                <w:rFonts w:hint="default" w:ascii="Times New Roman" w:hAnsi="Times New Roman" w:cs="Times New Roman"/>
                <w:color w:val="auto"/>
                <w:szCs w:val="24"/>
              </w:rPr>
              <w:t>。</w:t>
            </w:r>
          </w:p>
          <w:p w14:paraId="50A36157">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rPr>
              <w:t>然后按室外声源预测方法计算预测点处的A声级。</w:t>
            </w:r>
          </w:p>
          <w:p w14:paraId="1B94AC21">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fldChar w:fldCharType="begin"/>
            </w:r>
            <w:r>
              <w:rPr>
                <w:rFonts w:hint="default" w:ascii="Times New Roman" w:hAnsi="Times New Roman" w:cs="Times New Roman"/>
                <w:color w:val="auto"/>
                <w:szCs w:val="24"/>
                <w:lang w:val="en-US" w:eastAsia="zh-CN"/>
              </w:rPr>
              <w:instrText xml:space="preserve"> = 2 \* GB3 \* MERGEFORMAT </w:instrText>
            </w:r>
            <w:r>
              <w:rPr>
                <w:rFonts w:hint="default" w:ascii="Times New Roman" w:hAnsi="Times New Roman" w:cs="Times New Roman"/>
                <w:color w:val="auto"/>
                <w:szCs w:val="24"/>
                <w:lang w:val="en-US" w:eastAsia="zh-CN"/>
              </w:rPr>
              <w:fldChar w:fldCharType="separate"/>
            </w:r>
            <w:r>
              <w:rPr>
                <w:rFonts w:hint="default" w:ascii="Times New Roman" w:hAnsi="Times New Roman" w:cs="Times New Roman"/>
                <w:color w:val="auto"/>
                <w:szCs w:val="24"/>
              </w:rPr>
              <w:t>②</w:t>
            </w:r>
            <w:r>
              <w:rPr>
                <w:rFonts w:hint="default" w:ascii="Times New Roman" w:hAnsi="Times New Roman" w:cs="Times New Roman"/>
                <w:color w:val="auto"/>
                <w:szCs w:val="24"/>
                <w:lang w:val="en-US" w:eastAsia="zh-CN"/>
              </w:rPr>
              <w:fldChar w:fldCharType="end"/>
            </w:r>
            <w:r>
              <w:rPr>
                <w:rFonts w:hint="default" w:ascii="Times New Roman" w:hAnsi="Times New Roman" w:cs="Times New Roman"/>
                <w:color w:val="auto"/>
                <w:szCs w:val="24"/>
                <w:lang w:val="en-US" w:eastAsia="zh-CN"/>
              </w:rPr>
              <w:t>附录A.3.1.3面声源的几何发散衰减</w:t>
            </w:r>
          </w:p>
          <w:p w14:paraId="1D32FEBC">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t>一个大型机器设备的振动表面，车间透声的墙壁，均可以认为是面声源。如果已知面声源单位面积的声功率为W，各面积元噪声的位相是随机的，面声源可</w:t>
            </w:r>
            <w:r>
              <w:rPr>
                <w:rFonts w:hint="eastAsia" w:cs="Times New Roman"/>
                <w:color w:val="auto"/>
                <w:szCs w:val="24"/>
                <w:lang w:val="en-US" w:eastAsia="zh-CN"/>
              </w:rPr>
              <w:t>看作</w:t>
            </w:r>
            <w:r>
              <w:rPr>
                <w:rFonts w:hint="default" w:ascii="Times New Roman" w:hAnsi="Times New Roman" w:cs="Times New Roman"/>
                <w:color w:val="auto"/>
                <w:szCs w:val="24"/>
                <w:lang w:val="en-US" w:eastAsia="zh-CN"/>
              </w:rPr>
              <w:t>由无数点声源连续分布组合而成，其合成声级可按能量叠加法求出。</w:t>
            </w:r>
          </w:p>
          <w:p w14:paraId="636ABCAD">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t>当预测点和面声源中心距离r处于以下条件时，可按下述方法近似计算：</w:t>
            </w:r>
          </w:p>
          <w:p w14:paraId="1548F34F">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t>A.</w:t>
            </w:r>
            <w:r>
              <w:rPr>
                <w:rFonts w:hint="default" w:ascii="Times New Roman" w:hAnsi="Times New Roman" w:cs="Times New Roman"/>
                <w:color w:val="auto"/>
                <w:szCs w:val="24"/>
                <w:lang w:val="en-US" w:eastAsia="zh-CN"/>
              </w:rPr>
              <w:object>
                <v:shape id="_x0000_i1070" o:spt="75" type="#_x0000_t75" style="height:13.95pt;width:42pt;" o:ole="t" filled="f" o:preferrelative="t" stroked="f" coordsize="21600,21600">
                  <v:path/>
                  <v:fill on="f" focussize="0,0"/>
                  <v:stroke on="f"/>
                  <v:imagedata r:id="rId91" o:title=""/>
                  <o:lock v:ext="edit" aspectratio="t"/>
                  <w10:wrap type="none"/>
                  <w10:anchorlock/>
                </v:shape>
                <o:OLEObject Type="Embed" ProgID="Equation.KSEE3" ShapeID="_x0000_i1070" DrawAspect="Content" ObjectID="_1468075770" r:id="rId90">
                  <o:LockedField>false</o:LockedField>
                </o:OLEObject>
              </w:object>
            </w:r>
            <w:r>
              <w:rPr>
                <w:rFonts w:hint="default" w:ascii="Times New Roman" w:hAnsi="Times New Roman" w:cs="Times New Roman"/>
                <w:color w:val="auto"/>
                <w:szCs w:val="24"/>
                <w:lang w:val="en-US" w:eastAsia="zh-CN"/>
              </w:rPr>
              <w:t>时，几乎不衰减（</w:t>
            </w:r>
            <w:r>
              <w:rPr>
                <w:rFonts w:hint="default" w:ascii="Times New Roman" w:hAnsi="Times New Roman" w:cs="Times New Roman"/>
                <w:color w:val="auto"/>
                <w:szCs w:val="24"/>
                <w:lang w:val="en-US" w:eastAsia="zh-CN"/>
              </w:rPr>
              <w:object>
                <v:shape id="_x0000_i1071" o:spt="75" type="#_x0000_t75" style="height:18pt;width:39pt;" o:ole="t" filled="f" o:preferrelative="t" stroked="f" coordsize="21600,21600">
                  <v:path/>
                  <v:fill on="f" focussize="0,0"/>
                  <v:stroke on="f"/>
                  <v:imagedata r:id="rId93" o:title=""/>
                  <o:lock v:ext="edit" aspectratio="t"/>
                  <w10:wrap type="none"/>
                  <w10:anchorlock/>
                </v:shape>
                <o:OLEObject Type="Embed" ProgID="Equation.KSEE3" ShapeID="_x0000_i1071" DrawAspect="Content" ObjectID="_1468075771" r:id="rId92">
                  <o:LockedField>false</o:LockedField>
                </o:OLEObject>
              </w:object>
            </w:r>
            <w:r>
              <w:rPr>
                <w:rFonts w:hint="default" w:ascii="Times New Roman" w:hAnsi="Times New Roman" w:cs="Times New Roman"/>
                <w:color w:val="auto"/>
                <w:szCs w:val="24"/>
                <w:lang w:val="en-US" w:eastAsia="zh-CN"/>
              </w:rPr>
              <w:t>）；</w:t>
            </w:r>
          </w:p>
          <w:p w14:paraId="2FD319C9">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t>B.</w:t>
            </w:r>
            <w:r>
              <w:rPr>
                <w:rFonts w:hint="default" w:ascii="Times New Roman" w:hAnsi="Times New Roman" w:cs="Times New Roman"/>
                <w:color w:val="auto"/>
                <w:szCs w:val="24"/>
                <w:lang w:val="en-US" w:eastAsia="zh-CN"/>
              </w:rPr>
              <w:object>
                <v:shape id="_x0000_i1072" o:spt="75" type="#_x0000_t75" style="height:13.95pt;width:73pt;" o:ole="t" filled="f" o:preferrelative="t" stroked="f" coordsize="21600,21600">
                  <v:path/>
                  <v:fill on="f" focussize="0,0"/>
                  <v:stroke on="f"/>
                  <v:imagedata r:id="rId95" o:title=""/>
                  <o:lock v:ext="edit" aspectratio="t"/>
                  <w10:wrap type="none"/>
                  <w10:anchorlock/>
                </v:shape>
                <o:OLEObject Type="Embed" ProgID="Equation.KSEE3" ShapeID="_x0000_i1072" DrawAspect="Content" ObjectID="_1468075772" r:id="rId94">
                  <o:LockedField>false</o:LockedField>
                </o:OLEObject>
              </w:object>
            </w:r>
            <w:r>
              <w:rPr>
                <w:rFonts w:hint="default" w:ascii="Times New Roman" w:hAnsi="Times New Roman" w:cs="Times New Roman"/>
                <w:color w:val="auto"/>
                <w:szCs w:val="24"/>
                <w:lang w:val="en-US" w:eastAsia="zh-CN"/>
              </w:rPr>
              <w:t>，距离加倍衰减3dB左右，类似线声源衰减特性</w:t>
            </w:r>
            <w:r>
              <w:rPr>
                <w:rFonts w:hint="default" w:ascii="Times New Roman" w:hAnsi="Times New Roman" w:cs="Times New Roman"/>
                <w:color w:val="auto"/>
                <w:szCs w:val="24"/>
                <w:lang w:val="en-US" w:eastAsia="zh-CN"/>
              </w:rPr>
              <w:object>
                <v:shape id="_x0000_i1073" o:spt="75" type="#_x0000_t75" style="height:18pt;width:85pt;" o:ole="t" filled="f" o:preferrelative="t" stroked="f" coordsize="21600,21600">
                  <v:path/>
                  <v:fill on="f" focussize="0,0"/>
                  <v:stroke on="f"/>
                  <v:imagedata r:id="rId97" o:title=""/>
                  <o:lock v:ext="edit" aspectratio="t"/>
                  <w10:wrap type="none"/>
                  <w10:anchorlock/>
                </v:shape>
                <o:OLEObject Type="Embed" ProgID="Equation.KSEE3" ShapeID="_x0000_i1073" DrawAspect="Content" ObjectID="_1468075773" r:id="rId96">
                  <o:LockedField>false</o:LockedField>
                </o:OLEObject>
              </w:object>
            </w:r>
            <w:r>
              <w:rPr>
                <w:rFonts w:hint="default" w:ascii="Times New Roman" w:hAnsi="Times New Roman" w:cs="Times New Roman"/>
                <w:color w:val="auto"/>
                <w:szCs w:val="24"/>
                <w:lang w:val="en-US" w:eastAsia="zh-CN"/>
              </w:rPr>
              <w:t>；</w:t>
            </w:r>
          </w:p>
          <w:p w14:paraId="0B004655">
            <w:pPr>
              <w:pStyle w:val="6"/>
              <w:adjustRightInd w:val="0"/>
              <w:snapToGrid w:val="0"/>
              <w:spacing w:line="360" w:lineRule="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t>C.</w:t>
            </w:r>
            <w:r>
              <w:rPr>
                <w:rFonts w:hint="default" w:ascii="Times New Roman" w:hAnsi="Times New Roman" w:cs="Times New Roman"/>
                <w:color w:val="auto"/>
                <w:szCs w:val="24"/>
                <w:lang w:val="en-US" w:eastAsia="zh-CN"/>
              </w:rPr>
              <w:object>
                <v:shape id="_x0000_i1074" o:spt="75" type="#_x0000_t75" style="height:13.95pt;width:41pt;" o:ole="t" filled="f" o:preferrelative="t" stroked="f" coordsize="21600,21600">
                  <v:path/>
                  <v:fill on="f" focussize="0,0"/>
                  <v:stroke on="f"/>
                  <v:imagedata r:id="rId99" o:title=""/>
                  <o:lock v:ext="edit" aspectratio="t"/>
                  <w10:wrap type="none"/>
                  <w10:anchorlock/>
                </v:shape>
                <o:OLEObject Type="Embed" ProgID="Equation.KSEE3" ShapeID="_x0000_i1074" DrawAspect="Content" ObjectID="_1468075774" r:id="rId98">
                  <o:LockedField>false</o:LockedField>
                </o:OLEObject>
              </w:object>
            </w:r>
            <w:r>
              <w:rPr>
                <w:rFonts w:hint="default" w:ascii="Times New Roman" w:hAnsi="Times New Roman" w:cs="Times New Roman"/>
                <w:color w:val="auto"/>
                <w:szCs w:val="24"/>
                <w:lang w:val="en-US" w:eastAsia="zh-CN"/>
              </w:rPr>
              <w:t>时，距离加倍衰减趋近于6dB，类似点声源衰减特性</w:t>
            </w:r>
            <w:r>
              <w:rPr>
                <w:rFonts w:hint="default" w:ascii="Times New Roman" w:hAnsi="Times New Roman" w:cs="Times New Roman"/>
                <w:color w:val="auto"/>
                <w:szCs w:val="24"/>
                <w:lang w:val="en-US" w:eastAsia="zh-CN"/>
              </w:rPr>
              <w:object>
                <v:shape id="_x0000_i1075" o:spt="75" type="#_x0000_t75" style="height:18pt;width:85.95pt;" o:ole="t" filled="f" o:preferrelative="t" stroked="f" coordsize="21600,21600">
                  <v:path/>
                  <v:fill on="f" focussize="0,0"/>
                  <v:stroke on="f"/>
                  <v:imagedata r:id="rId101" o:title=""/>
                  <o:lock v:ext="edit" aspectratio="t"/>
                  <w10:wrap type="none"/>
                  <w10:anchorlock/>
                </v:shape>
                <o:OLEObject Type="Embed" ProgID="Equation.KSEE3" ShapeID="_x0000_i1075" DrawAspect="Content" ObjectID="_1468075775" r:id="rId100">
                  <o:LockedField>false</o:LockedField>
                </o:OLEObject>
              </w:object>
            </w:r>
            <w:r>
              <w:rPr>
                <w:rFonts w:hint="default" w:ascii="Times New Roman" w:hAnsi="Times New Roman" w:cs="Times New Roman"/>
                <w:color w:val="auto"/>
                <w:szCs w:val="24"/>
                <w:lang w:val="en-US" w:eastAsia="zh-CN"/>
              </w:rPr>
              <w:t>。其中面声源的</w:t>
            </w:r>
            <w:r>
              <w:rPr>
                <w:rFonts w:hint="default" w:ascii="Times New Roman" w:hAnsi="Times New Roman" w:cs="Times New Roman"/>
                <w:color w:val="auto"/>
                <w:szCs w:val="24"/>
                <w:lang w:val="en-US" w:eastAsia="zh-CN"/>
              </w:rPr>
              <w:object>
                <v:shape id="_x0000_i1076" o:spt="75" type="#_x0000_t75" style="height:13.95pt;width:28pt;" o:ole="t" filled="f" o:preferrelative="t" stroked="f" coordsize="21600,21600">
                  <v:path/>
                  <v:fill on="f" focussize="0,0"/>
                  <v:stroke on="f"/>
                  <v:imagedata r:id="rId103" o:title=""/>
                  <o:lock v:ext="edit" aspectratio="t"/>
                  <w10:wrap type="none"/>
                  <w10:anchorlock/>
                </v:shape>
                <o:OLEObject Type="Embed" ProgID="Equation.KSEE3" ShapeID="_x0000_i1076" DrawAspect="Content" ObjectID="_1468075776" r:id="rId102">
                  <o:LockedField>false</o:LockedField>
                </o:OLEObject>
              </w:object>
            </w:r>
            <w:r>
              <w:rPr>
                <w:rFonts w:hint="default" w:ascii="Times New Roman" w:hAnsi="Times New Roman" w:cs="Times New Roman"/>
                <w:color w:val="auto"/>
                <w:szCs w:val="24"/>
                <w:lang w:val="en-US" w:eastAsia="zh-CN"/>
              </w:rPr>
              <w:t>。</w:t>
            </w:r>
          </w:p>
          <w:p w14:paraId="1744C170">
            <w:pPr>
              <w:pStyle w:val="6"/>
              <w:adjustRightInd w:val="0"/>
              <w:snapToGrid w:val="0"/>
              <w:spacing w:line="360" w:lineRule="auto"/>
              <w:rPr>
                <w:rFonts w:hint="eastAsia" w:cs="Times New Roman"/>
                <w:color w:val="auto"/>
                <w:szCs w:val="24"/>
                <w:lang w:val="en-US" w:eastAsia="zh-CN"/>
              </w:rPr>
            </w:pPr>
            <w:r>
              <w:rPr>
                <w:rFonts w:hint="eastAsia" w:cs="Times New Roman"/>
                <w:color w:val="auto"/>
                <w:szCs w:val="24"/>
                <w:lang w:val="en-US" w:eastAsia="zh-CN"/>
              </w:rPr>
              <w:t>经预测，项目声环境保护目标调查见表4-8，噪声源源强调查清单见表4-9。</w:t>
            </w:r>
          </w:p>
          <w:p w14:paraId="54D5D442">
            <w:pPr>
              <w:pStyle w:val="6"/>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b/>
                <w:bCs/>
                <w:color w:val="auto"/>
                <w:sz w:val="21"/>
                <w:szCs w:val="21"/>
                <w:lang w:val="en-US" w:eastAsia="zh-CN"/>
              </w:rPr>
            </w:pPr>
          </w:p>
          <w:p w14:paraId="483BCBBC">
            <w:pPr>
              <w:pStyle w:val="6"/>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b/>
                <w:bCs/>
                <w:color w:val="auto"/>
                <w:sz w:val="21"/>
                <w:szCs w:val="21"/>
                <w:lang w:val="en-US" w:eastAsia="zh-CN"/>
              </w:rPr>
            </w:pPr>
          </w:p>
          <w:p w14:paraId="637DF886">
            <w:pPr>
              <w:pStyle w:val="6"/>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eastAsia="zh-CN"/>
              </w:rPr>
              <w:t>表4-8 工业企业声环境保护目标调查表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95"/>
              <w:gridCol w:w="1926"/>
              <w:gridCol w:w="683"/>
              <w:gridCol w:w="750"/>
              <w:gridCol w:w="501"/>
              <w:gridCol w:w="915"/>
              <w:gridCol w:w="398"/>
              <w:gridCol w:w="1101"/>
              <w:gridCol w:w="2894"/>
            </w:tblGrid>
            <w:tr w14:paraId="156B2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9" w:hRule="atLeast"/>
                <w:jc w:val="center"/>
              </w:trPr>
              <w:tc>
                <w:tcPr>
                  <w:tcW w:w="256" w:type="pct"/>
                  <w:vMerge w:val="restart"/>
                  <w:shd w:val="clear" w:color="auto" w:fill="auto"/>
                  <w:vAlign w:val="center"/>
                </w:tcPr>
                <w:p w14:paraId="1FC68EC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序号</w:t>
                  </w:r>
                </w:p>
              </w:tc>
              <w:tc>
                <w:tcPr>
                  <w:tcW w:w="996" w:type="pct"/>
                  <w:vMerge w:val="restart"/>
                  <w:shd w:val="clear" w:color="auto" w:fill="auto"/>
                  <w:vAlign w:val="center"/>
                </w:tcPr>
                <w:p w14:paraId="17177426">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声环境保护目标名称</w:t>
                  </w:r>
                </w:p>
              </w:tc>
              <w:tc>
                <w:tcPr>
                  <w:tcW w:w="1000" w:type="pct"/>
                  <w:gridSpan w:val="3"/>
                  <w:shd w:val="clear" w:color="auto" w:fill="auto"/>
                  <w:vAlign w:val="center"/>
                </w:tcPr>
                <w:p w14:paraId="21B0DED3">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空间相对位置/m</w:t>
                  </w:r>
                </w:p>
              </w:tc>
              <w:tc>
                <w:tcPr>
                  <w:tcW w:w="473" w:type="pct"/>
                  <w:vMerge w:val="restart"/>
                  <w:shd w:val="clear" w:color="auto" w:fill="auto"/>
                  <w:vAlign w:val="center"/>
                </w:tcPr>
                <w:p w14:paraId="4F6F0CA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距厂界最近距离/m</w:t>
                  </w:r>
                </w:p>
              </w:tc>
              <w:tc>
                <w:tcPr>
                  <w:tcW w:w="206" w:type="pct"/>
                  <w:vMerge w:val="restart"/>
                  <w:shd w:val="clear" w:color="auto" w:fill="auto"/>
                  <w:vAlign w:val="center"/>
                </w:tcPr>
                <w:p w14:paraId="458D34D0">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方位</w:t>
                  </w:r>
                </w:p>
              </w:tc>
              <w:tc>
                <w:tcPr>
                  <w:tcW w:w="569" w:type="pct"/>
                  <w:vMerge w:val="restart"/>
                  <w:shd w:val="clear" w:color="auto" w:fill="auto"/>
                  <w:vAlign w:val="center"/>
                </w:tcPr>
                <w:p w14:paraId="3887E1F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执行标准/功能区类别</w:t>
                  </w:r>
                </w:p>
              </w:tc>
              <w:tc>
                <w:tcPr>
                  <w:tcW w:w="1496" w:type="pct"/>
                  <w:vMerge w:val="restart"/>
                  <w:shd w:val="clear" w:color="auto" w:fill="auto"/>
                  <w:vAlign w:val="center"/>
                </w:tcPr>
                <w:p w14:paraId="5CC49E36">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1"/>
                      <w:lang w:eastAsia="zh-CN"/>
                    </w:rPr>
                    <w:t>声环境保护目标情况说明（介绍声环境保护目标建筑结构、朝向、楼层、周围环境情况）</w:t>
                  </w:r>
                </w:p>
              </w:tc>
            </w:tr>
            <w:tr w14:paraId="5747A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atLeast"/>
                <w:jc w:val="center"/>
              </w:trPr>
              <w:tc>
                <w:tcPr>
                  <w:tcW w:w="256" w:type="pct"/>
                  <w:vMerge w:val="continue"/>
                  <w:shd w:val="clear" w:color="auto" w:fill="auto"/>
                  <w:vAlign w:val="center"/>
                </w:tcPr>
                <w:p w14:paraId="38EE139F">
                  <w:pPr>
                    <w:jc w:val="center"/>
                    <w:rPr>
                      <w:rFonts w:hint="default" w:ascii="Times New Roman" w:hAnsi="Times New Roman" w:eastAsia="宋体" w:cs="Times New Roman"/>
                      <w:color w:val="auto"/>
                      <w:sz w:val="21"/>
                      <w:szCs w:val="21"/>
                      <w:lang w:eastAsia="zh-CN"/>
                    </w:rPr>
                  </w:pPr>
                </w:p>
              </w:tc>
              <w:tc>
                <w:tcPr>
                  <w:tcW w:w="996" w:type="pct"/>
                  <w:vMerge w:val="continue"/>
                  <w:shd w:val="clear" w:color="auto" w:fill="auto"/>
                  <w:vAlign w:val="center"/>
                </w:tcPr>
                <w:p w14:paraId="22F6FB62">
                  <w:pPr>
                    <w:jc w:val="center"/>
                    <w:rPr>
                      <w:rFonts w:hint="default" w:ascii="Times New Roman" w:hAnsi="Times New Roman" w:eastAsia="宋体" w:cs="Times New Roman"/>
                      <w:color w:val="auto"/>
                      <w:sz w:val="21"/>
                      <w:szCs w:val="21"/>
                      <w:lang w:eastAsia="zh-CN"/>
                    </w:rPr>
                  </w:pPr>
                </w:p>
              </w:tc>
              <w:tc>
                <w:tcPr>
                  <w:tcW w:w="353" w:type="pct"/>
                  <w:shd w:val="clear" w:color="auto" w:fill="auto"/>
                  <w:vAlign w:val="center"/>
                </w:tcPr>
                <w:p w14:paraId="4CB5D5F1">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w:t>
                  </w:r>
                </w:p>
              </w:tc>
              <w:tc>
                <w:tcPr>
                  <w:tcW w:w="388" w:type="pct"/>
                  <w:shd w:val="clear" w:color="auto" w:fill="auto"/>
                  <w:vAlign w:val="center"/>
                </w:tcPr>
                <w:p w14:paraId="15FAE2CD">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t>
                  </w:r>
                </w:p>
              </w:tc>
              <w:tc>
                <w:tcPr>
                  <w:tcW w:w="258" w:type="pct"/>
                  <w:shd w:val="clear" w:color="auto" w:fill="auto"/>
                  <w:vAlign w:val="center"/>
                </w:tcPr>
                <w:p w14:paraId="5F59E1F6">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w:t>
                  </w:r>
                </w:p>
              </w:tc>
              <w:tc>
                <w:tcPr>
                  <w:tcW w:w="473" w:type="pct"/>
                  <w:vMerge w:val="continue"/>
                  <w:shd w:val="clear" w:color="auto" w:fill="auto"/>
                  <w:vAlign w:val="center"/>
                </w:tcPr>
                <w:p w14:paraId="5A001C38">
                  <w:pPr>
                    <w:jc w:val="center"/>
                    <w:rPr>
                      <w:rFonts w:hint="default" w:ascii="Times New Roman" w:hAnsi="Times New Roman" w:eastAsia="宋体" w:cs="Times New Roman"/>
                      <w:color w:val="auto"/>
                      <w:sz w:val="21"/>
                      <w:szCs w:val="21"/>
                    </w:rPr>
                  </w:pPr>
                </w:p>
              </w:tc>
              <w:tc>
                <w:tcPr>
                  <w:tcW w:w="206" w:type="pct"/>
                  <w:vMerge w:val="continue"/>
                  <w:shd w:val="clear" w:color="auto" w:fill="auto"/>
                  <w:vAlign w:val="center"/>
                </w:tcPr>
                <w:p w14:paraId="5D329FC7">
                  <w:pPr>
                    <w:jc w:val="center"/>
                    <w:rPr>
                      <w:rFonts w:hint="default" w:ascii="Times New Roman" w:hAnsi="Times New Roman" w:eastAsia="宋体" w:cs="Times New Roman"/>
                      <w:color w:val="auto"/>
                      <w:sz w:val="21"/>
                      <w:szCs w:val="21"/>
                    </w:rPr>
                  </w:pPr>
                </w:p>
              </w:tc>
              <w:tc>
                <w:tcPr>
                  <w:tcW w:w="569" w:type="pct"/>
                  <w:vMerge w:val="continue"/>
                  <w:shd w:val="clear" w:color="auto" w:fill="auto"/>
                  <w:vAlign w:val="center"/>
                </w:tcPr>
                <w:p w14:paraId="270A6426">
                  <w:pPr>
                    <w:jc w:val="center"/>
                    <w:rPr>
                      <w:rFonts w:hint="default" w:ascii="Times New Roman" w:hAnsi="Times New Roman" w:eastAsia="宋体" w:cs="Times New Roman"/>
                      <w:color w:val="auto"/>
                      <w:sz w:val="21"/>
                      <w:szCs w:val="21"/>
                    </w:rPr>
                  </w:pPr>
                </w:p>
              </w:tc>
              <w:tc>
                <w:tcPr>
                  <w:tcW w:w="1496" w:type="pct"/>
                  <w:vMerge w:val="continue"/>
                  <w:shd w:val="clear" w:color="auto" w:fill="auto"/>
                  <w:vAlign w:val="center"/>
                </w:tcPr>
                <w:p w14:paraId="53D04B35">
                  <w:pPr>
                    <w:jc w:val="center"/>
                    <w:rPr>
                      <w:rFonts w:hint="default" w:ascii="Times New Roman" w:hAnsi="Times New Roman" w:eastAsia="宋体" w:cs="Times New Roman"/>
                      <w:color w:val="auto"/>
                      <w:sz w:val="21"/>
                      <w:szCs w:val="21"/>
                    </w:rPr>
                  </w:pPr>
                </w:p>
              </w:tc>
            </w:tr>
            <w:tr w14:paraId="069D9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exact"/>
                <w:jc w:val="center"/>
              </w:trPr>
              <w:tc>
                <w:tcPr>
                  <w:tcW w:w="256" w:type="pct"/>
                  <w:shd w:val="clear" w:color="auto" w:fill="auto"/>
                  <w:vAlign w:val="center"/>
                </w:tcPr>
                <w:p w14:paraId="0168649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996" w:type="pct"/>
                  <w:shd w:val="clear" w:color="auto" w:fill="auto"/>
                  <w:vAlign w:val="center"/>
                </w:tcPr>
                <w:p w14:paraId="0738C2B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南侧居民楼一楼</w:t>
                  </w:r>
                </w:p>
              </w:tc>
              <w:tc>
                <w:tcPr>
                  <w:tcW w:w="353" w:type="pct"/>
                  <w:shd w:val="clear" w:color="auto" w:fill="auto"/>
                  <w:vAlign w:val="center"/>
                </w:tcPr>
                <w:p w14:paraId="157C23C3">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-5.7</w:t>
                  </w:r>
                </w:p>
              </w:tc>
              <w:tc>
                <w:tcPr>
                  <w:tcW w:w="388" w:type="pct"/>
                  <w:shd w:val="clear" w:color="auto" w:fill="auto"/>
                  <w:vAlign w:val="center"/>
                </w:tcPr>
                <w:p w14:paraId="3FBD76D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258" w:type="pct"/>
                  <w:shd w:val="clear" w:color="auto" w:fill="auto"/>
                  <w:vAlign w:val="center"/>
                </w:tcPr>
                <w:p w14:paraId="770FFAD1">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473" w:type="pct"/>
                  <w:shd w:val="clear" w:color="auto" w:fill="auto"/>
                  <w:vAlign w:val="center"/>
                </w:tcPr>
                <w:p w14:paraId="665D741E">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7.6</w:t>
                  </w:r>
                </w:p>
              </w:tc>
              <w:tc>
                <w:tcPr>
                  <w:tcW w:w="206" w:type="pct"/>
                  <w:shd w:val="clear" w:color="auto" w:fill="auto"/>
                  <w:vAlign w:val="center"/>
                </w:tcPr>
                <w:p w14:paraId="5D329ED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w:t>
                  </w:r>
                </w:p>
              </w:tc>
              <w:tc>
                <w:tcPr>
                  <w:tcW w:w="569" w:type="pct"/>
                  <w:shd w:val="clear" w:color="auto" w:fill="auto"/>
                  <w:vAlign w:val="center"/>
                </w:tcPr>
                <w:p w14:paraId="19FF66E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1类</w:t>
                  </w:r>
                </w:p>
              </w:tc>
              <w:tc>
                <w:tcPr>
                  <w:tcW w:w="1496" w:type="pct"/>
                  <w:shd w:val="clear" w:color="auto" w:fill="auto"/>
                  <w:vAlign w:val="center"/>
                </w:tcPr>
                <w:p w14:paraId="3936EDA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朝南，1层，钢混结构</w:t>
                  </w:r>
                </w:p>
              </w:tc>
            </w:tr>
            <w:tr w14:paraId="34D11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exact"/>
                <w:jc w:val="center"/>
              </w:trPr>
              <w:tc>
                <w:tcPr>
                  <w:tcW w:w="256" w:type="pct"/>
                  <w:shd w:val="clear" w:color="auto" w:fill="auto"/>
                  <w:vAlign w:val="center"/>
                </w:tcPr>
                <w:p w14:paraId="436224E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996" w:type="pct"/>
                  <w:shd w:val="clear" w:color="auto" w:fill="auto"/>
                  <w:vAlign w:val="center"/>
                </w:tcPr>
                <w:p w14:paraId="09820153">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南侧居民楼二楼</w:t>
                  </w:r>
                </w:p>
              </w:tc>
              <w:tc>
                <w:tcPr>
                  <w:tcW w:w="353" w:type="pct"/>
                  <w:shd w:val="clear" w:color="auto" w:fill="auto"/>
                  <w:vAlign w:val="center"/>
                </w:tcPr>
                <w:p w14:paraId="49D1CDE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388" w:type="pct"/>
                  <w:shd w:val="clear" w:color="auto" w:fill="auto"/>
                  <w:vAlign w:val="center"/>
                </w:tcPr>
                <w:p w14:paraId="1470D71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-18.1</w:t>
                  </w:r>
                </w:p>
              </w:tc>
              <w:tc>
                <w:tcPr>
                  <w:tcW w:w="258" w:type="pct"/>
                  <w:shd w:val="clear" w:color="auto" w:fill="auto"/>
                  <w:vAlign w:val="center"/>
                </w:tcPr>
                <w:p w14:paraId="1F28D61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w:t>
                  </w:r>
                </w:p>
              </w:tc>
              <w:tc>
                <w:tcPr>
                  <w:tcW w:w="473" w:type="pct"/>
                  <w:shd w:val="clear" w:color="auto" w:fill="auto"/>
                  <w:vAlign w:val="center"/>
                </w:tcPr>
                <w:p w14:paraId="5BB4DF5E">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7.7</w:t>
                  </w:r>
                </w:p>
              </w:tc>
              <w:tc>
                <w:tcPr>
                  <w:tcW w:w="206" w:type="pct"/>
                  <w:shd w:val="clear" w:color="auto" w:fill="auto"/>
                  <w:vAlign w:val="center"/>
                </w:tcPr>
                <w:p w14:paraId="5E9B5F3B">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w:t>
                  </w:r>
                </w:p>
              </w:tc>
              <w:tc>
                <w:tcPr>
                  <w:tcW w:w="569" w:type="pct"/>
                  <w:shd w:val="clear" w:color="auto" w:fill="auto"/>
                  <w:vAlign w:val="center"/>
                </w:tcPr>
                <w:p w14:paraId="70ED092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1类</w:t>
                  </w:r>
                </w:p>
              </w:tc>
              <w:tc>
                <w:tcPr>
                  <w:tcW w:w="1496" w:type="pct"/>
                  <w:shd w:val="clear" w:color="auto" w:fill="auto"/>
                  <w:vAlign w:val="center"/>
                </w:tcPr>
                <w:p w14:paraId="55488F00">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朝南，2层，钢混结构</w:t>
                  </w:r>
                </w:p>
              </w:tc>
            </w:tr>
            <w:tr w14:paraId="19AB4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exact"/>
                <w:jc w:val="center"/>
              </w:trPr>
              <w:tc>
                <w:tcPr>
                  <w:tcW w:w="256" w:type="pct"/>
                  <w:shd w:val="clear" w:color="auto" w:fill="auto"/>
                  <w:vAlign w:val="center"/>
                </w:tcPr>
                <w:p w14:paraId="27D6750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996" w:type="pct"/>
                  <w:shd w:val="clear" w:color="auto" w:fill="auto"/>
                  <w:vAlign w:val="center"/>
                </w:tcPr>
                <w:p w14:paraId="4DB1C58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南侧居民楼三楼</w:t>
                  </w:r>
                </w:p>
              </w:tc>
              <w:tc>
                <w:tcPr>
                  <w:tcW w:w="353" w:type="pct"/>
                  <w:shd w:val="clear" w:color="auto" w:fill="auto"/>
                  <w:vAlign w:val="center"/>
                </w:tcPr>
                <w:p w14:paraId="73A02386">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388" w:type="pct"/>
                  <w:shd w:val="clear" w:color="auto" w:fill="auto"/>
                  <w:vAlign w:val="center"/>
                </w:tcPr>
                <w:p w14:paraId="7DA1D8B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-17.8</w:t>
                  </w:r>
                </w:p>
              </w:tc>
              <w:tc>
                <w:tcPr>
                  <w:tcW w:w="258" w:type="pct"/>
                  <w:shd w:val="clear" w:color="auto" w:fill="auto"/>
                  <w:vAlign w:val="center"/>
                </w:tcPr>
                <w:p w14:paraId="3671DAF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7.2</w:t>
                  </w:r>
                </w:p>
              </w:tc>
              <w:tc>
                <w:tcPr>
                  <w:tcW w:w="473" w:type="pct"/>
                  <w:shd w:val="clear" w:color="auto" w:fill="auto"/>
                  <w:vAlign w:val="center"/>
                </w:tcPr>
                <w:p w14:paraId="2DE0CAD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7.4</w:t>
                  </w:r>
                </w:p>
              </w:tc>
              <w:tc>
                <w:tcPr>
                  <w:tcW w:w="206" w:type="pct"/>
                  <w:shd w:val="clear" w:color="auto" w:fill="auto"/>
                  <w:vAlign w:val="center"/>
                </w:tcPr>
                <w:p w14:paraId="5BF6F31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w:t>
                  </w:r>
                </w:p>
              </w:tc>
              <w:tc>
                <w:tcPr>
                  <w:tcW w:w="569" w:type="pct"/>
                  <w:shd w:val="clear" w:color="auto" w:fill="auto"/>
                  <w:vAlign w:val="center"/>
                </w:tcPr>
                <w:p w14:paraId="18B68DE6">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1类</w:t>
                  </w:r>
                </w:p>
              </w:tc>
              <w:tc>
                <w:tcPr>
                  <w:tcW w:w="1496" w:type="pct"/>
                  <w:shd w:val="clear" w:color="auto" w:fill="auto"/>
                  <w:vAlign w:val="center"/>
                </w:tcPr>
                <w:p w14:paraId="65FC388B">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朝南，3层，钢混结构</w:t>
                  </w:r>
                </w:p>
              </w:tc>
            </w:tr>
            <w:tr w14:paraId="59E35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exact"/>
                <w:jc w:val="center"/>
              </w:trPr>
              <w:tc>
                <w:tcPr>
                  <w:tcW w:w="256" w:type="pct"/>
                  <w:shd w:val="clear" w:color="auto" w:fill="auto"/>
                  <w:vAlign w:val="center"/>
                </w:tcPr>
                <w:p w14:paraId="31F3912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996" w:type="pct"/>
                  <w:shd w:val="clear" w:color="auto" w:fill="auto"/>
                  <w:vAlign w:val="center"/>
                </w:tcPr>
                <w:p w14:paraId="0C14476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南侧居民楼四楼</w:t>
                  </w:r>
                </w:p>
              </w:tc>
              <w:tc>
                <w:tcPr>
                  <w:tcW w:w="353" w:type="pct"/>
                  <w:shd w:val="clear" w:color="auto" w:fill="auto"/>
                  <w:vAlign w:val="center"/>
                </w:tcPr>
                <w:p w14:paraId="4665F876">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w:t>
                  </w:r>
                </w:p>
              </w:tc>
              <w:tc>
                <w:tcPr>
                  <w:tcW w:w="388" w:type="pct"/>
                  <w:shd w:val="clear" w:color="auto" w:fill="auto"/>
                  <w:vAlign w:val="center"/>
                </w:tcPr>
                <w:p w14:paraId="61EAE1C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258" w:type="pct"/>
                  <w:shd w:val="clear" w:color="auto" w:fill="auto"/>
                  <w:vAlign w:val="center"/>
                </w:tcPr>
                <w:p w14:paraId="254F22F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10.2</w:t>
                  </w:r>
                </w:p>
              </w:tc>
              <w:tc>
                <w:tcPr>
                  <w:tcW w:w="473" w:type="pct"/>
                  <w:shd w:val="clear" w:color="auto" w:fill="auto"/>
                  <w:vAlign w:val="center"/>
                </w:tcPr>
                <w:p w14:paraId="7C73F57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7.6</w:t>
                  </w:r>
                </w:p>
              </w:tc>
              <w:tc>
                <w:tcPr>
                  <w:tcW w:w="206" w:type="pct"/>
                  <w:shd w:val="clear" w:color="auto" w:fill="auto"/>
                  <w:vAlign w:val="center"/>
                </w:tcPr>
                <w:p w14:paraId="2697A44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w:t>
                  </w:r>
                </w:p>
              </w:tc>
              <w:tc>
                <w:tcPr>
                  <w:tcW w:w="569" w:type="pct"/>
                  <w:shd w:val="clear" w:color="auto" w:fill="auto"/>
                  <w:vAlign w:val="center"/>
                </w:tcPr>
                <w:p w14:paraId="2AF1CBEB">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1类</w:t>
                  </w:r>
                </w:p>
              </w:tc>
              <w:tc>
                <w:tcPr>
                  <w:tcW w:w="1496" w:type="pct"/>
                  <w:shd w:val="clear" w:color="auto" w:fill="auto"/>
                  <w:vAlign w:val="center"/>
                </w:tcPr>
                <w:p w14:paraId="0C8ED441">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朝南，4层，钢混结构</w:t>
                  </w:r>
                </w:p>
              </w:tc>
            </w:tr>
            <w:tr w14:paraId="17190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exact"/>
                <w:jc w:val="center"/>
              </w:trPr>
              <w:tc>
                <w:tcPr>
                  <w:tcW w:w="256" w:type="pct"/>
                  <w:shd w:val="clear" w:color="auto" w:fill="auto"/>
                  <w:vAlign w:val="center"/>
                </w:tcPr>
                <w:p w14:paraId="5E1BE99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996" w:type="pct"/>
                  <w:shd w:val="clear" w:color="auto" w:fill="auto"/>
                  <w:vAlign w:val="center"/>
                </w:tcPr>
                <w:p w14:paraId="073B223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北侧居民楼三楼</w:t>
                  </w:r>
                </w:p>
              </w:tc>
              <w:tc>
                <w:tcPr>
                  <w:tcW w:w="353" w:type="pct"/>
                  <w:shd w:val="clear" w:color="auto" w:fill="auto"/>
                  <w:vAlign w:val="center"/>
                </w:tcPr>
                <w:p w14:paraId="43447D5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w:t>
                  </w:r>
                </w:p>
              </w:tc>
              <w:tc>
                <w:tcPr>
                  <w:tcW w:w="388" w:type="pct"/>
                  <w:shd w:val="clear" w:color="auto" w:fill="auto"/>
                  <w:vAlign w:val="center"/>
                </w:tcPr>
                <w:p w14:paraId="24D96F33">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19.4</w:t>
                  </w:r>
                </w:p>
              </w:tc>
              <w:tc>
                <w:tcPr>
                  <w:tcW w:w="258" w:type="pct"/>
                  <w:shd w:val="clear" w:color="auto" w:fill="auto"/>
                  <w:vAlign w:val="center"/>
                </w:tcPr>
                <w:p w14:paraId="45E0288A">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7.2</w:t>
                  </w:r>
                </w:p>
              </w:tc>
              <w:tc>
                <w:tcPr>
                  <w:tcW w:w="473" w:type="pct"/>
                  <w:shd w:val="clear" w:color="auto" w:fill="auto"/>
                  <w:vAlign w:val="center"/>
                </w:tcPr>
                <w:p w14:paraId="11DC7C33">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7.6</w:t>
                  </w:r>
                </w:p>
              </w:tc>
              <w:tc>
                <w:tcPr>
                  <w:tcW w:w="206" w:type="pct"/>
                  <w:shd w:val="clear" w:color="auto" w:fill="auto"/>
                  <w:vAlign w:val="center"/>
                </w:tcPr>
                <w:p w14:paraId="1F7C03E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w:t>
                  </w:r>
                </w:p>
              </w:tc>
              <w:tc>
                <w:tcPr>
                  <w:tcW w:w="569" w:type="pct"/>
                  <w:shd w:val="clear" w:color="auto" w:fill="auto"/>
                  <w:vAlign w:val="center"/>
                </w:tcPr>
                <w:p w14:paraId="2EB0235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1类</w:t>
                  </w:r>
                </w:p>
              </w:tc>
              <w:tc>
                <w:tcPr>
                  <w:tcW w:w="1496" w:type="pct"/>
                  <w:shd w:val="clear" w:color="auto" w:fill="auto"/>
                  <w:vAlign w:val="center"/>
                </w:tcPr>
                <w:p w14:paraId="3FCEE91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朝南，</w:t>
                  </w: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层，钢混结构</w:t>
                  </w:r>
                </w:p>
              </w:tc>
            </w:tr>
          </w:tbl>
          <w:p w14:paraId="30E504DA">
            <w:pPr>
              <w:pStyle w:val="6"/>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表4-9 工业企业噪声源强调查清单（室内声源）</w:t>
            </w:r>
          </w:p>
          <w:tbl>
            <w:tblPr>
              <w:tblStyle w:val="29"/>
              <w:tblW w:w="4993"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7"/>
              <w:gridCol w:w="617"/>
              <w:gridCol w:w="238"/>
              <w:gridCol w:w="609"/>
              <w:gridCol w:w="429"/>
              <w:gridCol w:w="344"/>
              <w:gridCol w:w="344"/>
              <w:gridCol w:w="139"/>
              <w:gridCol w:w="273"/>
              <w:gridCol w:w="369"/>
              <w:gridCol w:w="273"/>
              <w:gridCol w:w="373"/>
              <w:gridCol w:w="379"/>
              <w:gridCol w:w="379"/>
              <w:gridCol w:w="379"/>
              <w:gridCol w:w="387"/>
              <w:gridCol w:w="429"/>
              <w:gridCol w:w="379"/>
              <w:gridCol w:w="379"/>
              <w:gridCol w:w="379"/>
              <w:gridCol w:w="387"/>
              <w:gridCol w:w="379"/>
              <w:gridCol w:w="379"/>
              <w:gridCol w:w="379"/>
              <w:gridCol w:w="379"/>
              <w:gridCol w:w="233"/>
            </w:tblGrid>
            <w:tr w14:paraId="22FD5A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2" w:hRule="exact"/>
              </w:trPr>
              <w:tc>
                <w:tcPr>
                  <w:tcW w:w="220" w:type="pct"/>
                  <w:vMerge w:val="restart"/>
                  <w:tcBorders>
                    <w:tl2br w:val="nil"/>
                    <w:tr2bl w:val="nil"/>
                  </w:tcBorders>
                  <w:shd w:val="clear" w:color="auto" w:fill="auto"/>
                  <w:vAlign w:val="center"/>
                </w:tcPr>
                <w:p w14:paraId="39477A0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bookmarkStart w:id="8" w:name="PT_6"/>
                  <w:r>
                    <w:rPr>
                      <w:rFonts w:hint="default" w:ascii="Times New Roman" w:hAnsi="Times New Roman" w:eastAsia="宋体" w:cs="Times New Roman"/>
                      <w:b/>
                      <w:color w:val="auto"/>
                      <w:sz w:val="21"/>
                      <w:szCs w:val="21"/>
                    </w:rPr>
                    <w:t>序号</w:t>
                  </w:r>
                </w:p>
              </w:tc>
              <w:tc>
                <w:tcPr>
                  <w:tcW w:w="319" w:type="pct"/>
                  <w:vMerge w:val="restart"/>
                  <w:tcBorders>
                    <w:tl2br w:val="nil"/>
                    <w:tr2bl w:val="nil"/>
                  </w:tcBorders>
                  <w:shd w:val="clear" w:color="auto" w:fill="auto"/>
                  <w:vAlign w:val="center"/>
                </w:tcPr>
                <w:p w14:paraId="44D1820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建筑物名称</w:t>
                  </w:r>
                </w:p>
              </w:tc>
              <w:tc>
                <w:tcPr>
                  <w:tcW w:w="123" w:type="pct"/>
                  <w:vMerge w:val="restart"/>
                  <w:tcBorders>
                    <w:tl2br w:val="nil"/>
                    <w:tr2bl w:val="nil"/>
                  </w:tcBorders>
                  <w:shd w:val="clear" w:color="auto" w:fill="auto"/>
                  <w:vAlign w:val="center"/>
                </w:tcPr>
                <w:p w14:paraId="1376F55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声源名称</w:t>
                  </w:r>
                </w:p>
              </w:tc>
              <w:tc>
                <w:tcPr>
                  <w:tcW w:w="315" w:type="pct"/>
                  <w:tcBorders>
                    <w:tl2br w:val="nil"/>
                    <w:tr2bl w:val="nil"/>
                  </w:tcBorders>
                  <w:shd w:val="clear" w:color="auto" w:fill="auto"/>
                  <w:vAlign w:val="center"/>
                </w:tcPr>
                <w:p w14:paraId="2A616BD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1"/>
                      <w:lang w:eastAsia="zh-CN"/>
                    </w:rPr>
                    <w:t>声</w:t>
                  </w:r>
                  <w:r>
                    <w:rPr>
                      <w:rFonts w:hint="eastAsia" w:cs="Times New Roman"/>
                      <w:b/>
                      <w:color w:val="auto"/>
                      <w:sz w:val="21"/>
                      <w:szCs w:val="21"/>
                      <w:lang w:eastAsia="zh-CN"/>
                    </w:rPr>
                    <w:t>源</w:t>
                  </w:r>
                  <w:r>
                    <w:rPr>
                      <w:rFonts w:hint="default" w:ascii="Times New Roman" w:hAnsi="Times New Roman" w:eastAsia="宋体" w:cs="Times New Roman"/>
                      <w:b/>
                      <w:color w:val="auto"/>
                      <w:sz w:val="21"/>
                      <w:szCs w:val="21"/>
                      <w:lang w:eastAsia="zh-CN"/>
                    </w:rPr>
                    <w:t>强</w:t>
                  </w:r>
                </w:p>
              </w:tc>
              <w:tc>
                <w:tcPr>
                  <w:tcW w:w="222" w:type="pct"/>
                  <w:vMerge w:val="restart"/>
                  <w:tcBorders>
                    <w:tl2br w:val="nil"/>
                    <w:tr2bl w:val="nil"/>
                  </w:tcBorders>
                  <w:shd w:val="clear" w:color="auto" w:fill="auto"/>
                  <w:vAlign w:val="center"/>
                </w:tcPr>
                <w:p w14:paraId="1887E4B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声源控制措施</w:t>
                  </w:r>
                </w:p>
              </w:tc>
              <w:tc>
                <w:tcPr>
                  <w:tcW w:w="428" w:type="pct"/>
                  <w:gridSpan w:val="3"/>
                  <w:tcBorders>
                    <w:tl2br w:val="nil"/>
                    <w:tr2bl w:val="nil"/>
                  </w:tcBorders>
                  <w:shd w:val="clear" w:color="auto" w:fill="auto"/>
                  <w:vAlign w:val="center"/>
                </w:tcPr>
                <w:p w14:paraId="39ECC57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空间相对位置/m</w:t>
                  </w:r>
                </w:p>
              </w:tc>
              <w:tc>
                <w:tcPr>
                  <w:tcW w:w="666" w:type="pct"/>
                  <w:gridSpan w:val="4"/>
                  <w:tcBorders>
                    <w:tl2br w:val="nil"/>
                    <w:tr2bl w:val="nil"/>
                  </w:tcBorders>
                  <w:shd w:val="clear" w:color="auto" w:fill="auto"/>
                  <w:vAlign w:val="center"/>
                </w:tcPr>
                <w:p w14:paraId="404C1B5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距室内边界距离/m</w:t>
                  </w:r>
                </w:p>
              </w:tc>
              <w:tc>
                <w:tcPr>
                  <w:tcW w:w="788" w:type="pct"/>
                  <w:gridSpan w:val="4"/>
                  <w:tcBorders>
                    <w:tl2br w:val="nil"/>
                    <w:tr2bl w:val="nil"/>
                  </w:tcBorders>
                  <w:shd w:val="clear" w:color="auto" w:fill="auto"/>
                  <w:vAlign w:val="center"/>
                </w:tcPr>
                <w:p w14:paraId="6ECCFDF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室内边界声级/dB(A)</w:t>
                  </w:r>
                </w:p>
              </w:tc>
              <w:tc>
                <w:tcPr>
                  <w:tcW w:w="222" w:type="pct"/>
                  <w:vMerge w:val="restart"/>
                  <w:tcBorders>
                    <w:tl2br w:val="nil"/>
                    <w:tr2bl w:val="nil"/>
                  </w:tcBorders>
                  <w:shd w:val="clear" w:color="auto" w:fill="auto"/>
                  <w:vAlign w:val="center"/>
                </w:tcPr>
                <w:p w14:paraId="0C7236E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运行时段</w:t>
                  </w:r>
                </w:p>
              </w:tc>
              <w:tc>
                <w:tcPr>
                  <w:tcW w:w="788" w:type="pct"/>
                  <w:gridSpan w:val="4"/>
                  <w:tcBorders>
                    <w:tl2br w:val="nil"/>
                    <w:tr2bl w:val="nil"/>
                  </w:tcBorders>
                  <w:shd w:val="clear" w:color="auto" w:fill="auto"/>
                  <w:vAlign w:val="center"/>
                </w:tcPr>
                <w:p w14:paraId="06AB4D9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建筑物插入损失 / dB(A)</w:t>
                  </w:r>
                  <w:bookmarkStart w:id="9" w:name="PT_10"/>
                  <w:bookmarkEnd w:id="9"/>
                </w:p>
              </w:tc>
              <w:tc>
                <w:tcPr>
                  <w:tcW w:w="905" w:type="pct"/>
                  <w:gridSpan w:val="5"/>
                  <w:tcBorders>
                    <w:tl2br w:val="nil"/>
                    <w:tr2bl w:val="nil"/>
                  </w:tcBorders>
                  <w:shd w:val="clear" w:color="auto" w:fill="auto"/>
                  <w:vAlign w:val="center"/>
                </w:tcPr>
                <w:p w14:paraId="7F4200F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建筑物外噪声声压级/dB(A)</w:t>
                  </w:r>
                </w:p>
              </w:tc>
            </w:tr>
            <w:tr w14:paraId="47BB3A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220" w:type="pct"/>
                  <w:vMerge w:val="continue"/>
                  <w:tcBorders>
                    <w:tl2br w:val="nil"/>
                    <w:tr2bl w:val="nil"/>
                  </w:tcBorders>
                  <w:shd w:val="clear" w:color="auto" w:fill="auto"/>
                  <w:tcMar>
                    <w:top w:w="0" w:type="dxa"/>
                    <w:left w:w="0" w:type="dxa"/>
                    <w:bottom w:w="0" w:type="dxa"/>
                    <w:right w:w="0" w:type="dxa"/>
                  </w:tcMar>
                  <w:vAlign w:val="center"/>
                </w:tcPr>
                <w:p w14:paraId="0CACC7F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p>
              </w:tc>
              <w:tc>
                <w:tcPr>
                  <w:tcW w:w="319" w:type="pct"/>
                  <w:vMerge w:val="continue"/>
                  <w:tcBorders>
                    <w:tl2br w:val="nil"/>
                    <w:tr2bl w:val="nil"/>
                  </w:tcBorders>
                  <w:shd w:val="clear" w:color="auto" w:fill="auto"/>
                  <w:tcMar>
                    <w:top w:w="0" w:type="dxa"/>
                    <w:left w:w="0" w:type="dxa"/>
                    <w:bottom w:w="0" w:type="dxa"/>
                    <w:right w:w="0" w:type="dxa"/>
                  </w:tcMar>
                  <w:vAlign w:val="center"/>
                </w:tcPr>
                <w:p w14:paraId="7710B38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p>
              </w:tc>
              <w:tc>
                <w:tcPr>
                  <w:tcW w:w="123" w:type="pct"/>
                  <w:vMerge w:val="continue"/>
                  <w:tcBorders>
                    <w:tl2br w:val="nil"/>
                    <w:tr2bl w:val="nil"/>
                  </w:tcBorders>
                  <w:shd w:val="clear" w:color="auto" w:fill="auto"/>
                  <w:tcMar>
                    <w:top w:w="0" w:type="dxa"/>
                    <w:left w:w="0" w:type="dxa"/>
                    <w:bottom w:w="0" w:type="dxa"/>
                    <w:right w:w="0" w:type="dxa"/>
                  </w:tcMar>
                  <w:vAlign w:val="center"/>
                </w:tcPr>
                <w:p w14:paraId="00A67A0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p>
              </w:tc>
              <w:tc>
                <w:tcPr>
                  <w:tcW w:w="315" w:type="pct"/>
                  <w:tcBorders>
                    <w:tl2br w:val="nil"/>
                    <w:tr2bl w:val="nil"/>
                  </w:tcBorders>
                  <w:shd w:val="clear" w:color="auto" w:fill="auto"/>
                  <w:tcMar>
                    <w:top w:w="0" w:type="dxa"/>
                    <w:left w:w="0" w:type="dxa"/>
                    <w:bottom w:w="0" w:type="dxa"/>
                    <w:right w:w="0" w:type="dxa"/>
                  </w:tcMar>
                  <w:vAlign w:val="center"/>
                </w:tcPr>
                <w:p w14:paraId="70B2471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声功率级/dB(A)</w:t>
                  </w:r>
                </w:p>
              </w:tc>
              <w:tc>
                <w:tcPr>
                  <w:tcW w:w="222" w:type="pct"/>
                  <w:vMerge w:val="continue"/>
                  <w:tcBorders>
                    <w:tl2br w:val="nil"/>
                    <w:tr2bl w:val="nil"/>
                  </w:tcBorders>
                  <w:shd w:val="clear" w:color="auto" w:fill="auto"/>
                  <w:tcMar>
                    <w:top w:w="0" w:type="dxa"/>
                    <w:left w:w="0" w:type="dxa"/>
                    <w:bottom w:w="0" w:type="dxa"/>
                    <w:right w:w="0" w:type="dxa"/>
                  </w:tcMar>
                  <w:vAlign w:val="center"/>
                </w:tcPr>
                <w:p w14:paraId="4D62A79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p>
              </w:tc>
              <w:tc>
                <w:tcPr>
                  <w:tcW w:w="178" w:type="pct"/>
                  <w:tcBorders>
                    <w:tl2br w:val="nil"/>
                    <w:tr2bl w:val="nil"/>
                  </w:tcBorders>
                  <w:shd w:val="clear" w:color="auto" w:fill="auto"/>
                  <w:tcMar>
                    <w:top w:w="0" w:type="dxa"/>
                    <w:left w:w="0" w:type="dxa"/>
                    <w:bottom w:w="0" w:type="dxa"/>
                    <w:right w:w="0" w:type="dxa"/>
                  </w:tcMar>
                  <w:vAlign w:val="center"/>
                </w:tcPr>
                <w:p w14:paraId="1E904BF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w:t>
                  </w:r>
                </w:p>
              </w:tc>
              <w:tc>
                <w:tcPr>
                  <w:tcW w:w="178" w:type="pct"/>
                  <w:tcBorders>
                    <w:tl2br w:val="nil"/>
                    <w:tr2bl w:val="nil"/>
                  </w:tcBorders>
                  <w:shd w:val="clear" w:color="auto" w:fill="auto"/>
                  <w:tcMar>
                    <w:top w:w="0" w:type="dxa"/>
                    <w:left w:w="0" w:type="dxa"/>
                    <w:bottom w:w="0" w:type="dxa"/>
                    <w:right w:w="0" w:type="dxa"/>
                  </w:tcMar>
                  <w:vAlign w:val="center"/>
                </w:tcPr>
                <w:p w14:paraId="4C56823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t>
                  </w:r>
                </w:p>
              </w:tc>
              <w:tc>
                <w:tcPr>
                  <w:tcW w:w="71" w:type="pct"/>
                  <w:tcBorders>
                    <w:tl2br w:val="nil"/>
                    <w:tr2bl w:val="nil"/>
                  </w:tcBorders>
                  <w:shd w:val="clear" w:color="auto" w:fill="auto"/>
                  <w:tcMar>
                    <w:top w:w="0" w:type="dxa"/>
                    <w:left w:w="0" w:type="dxa"/>
                    <w:bottom w:w="0" w:type="dxa"/>
                    <w:right w:w="0" w:type="dxa"/>
                  </w:tcMar>
                  <w:vAlign w:val="center"/>
                </w:tcPr>
                <w:p w14:paraId="2F51CB1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w:t>
                  </w:r>
                </w:p>
              </w:tc>
              <w:tc>
                <w:tcPr>
                  <w:tcW w:w="141" w:type="pct"/>
                  <w:tcBorders>
                    <w:tl2br w:val="nil"/>
                    <w:tr2bl w:val="nil"/>
                  </w:tcBorders>
                  <w:shd w:val="clear" w:color="auto" w:fill="auto"/>
                  <w:tcMar>
                    <w:top w:w="0" w:type="dxa"/>
                    <w:left w:w="0" w:type="dxa"/>
                    <w:bottom w:w="0" w:type="dxa"/>
                    <w:right w:w="0" w:type="dxa"/>
                  </w:tcMar>
                  <w:vAlign w:val="center"/>
                </w:tcPr>
                <w:p w14:paraId="46871E7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东</w:t>
                  </w:r>
                </w:p>
              </w:tc>
              <w:tc>
                <w:tcPr>
                  <w:tcW w:w="190" w:type="pct"/>
                  <w:tcBorders>
                    <w:tl2br w:val="nil"/>
                    <w:tr2bl w:val="nil"/>
                  </w:tcBorders>
                  <w:shd w:val="clear" w:color="auto" w:fill="auto"/>
                  <w:tcMar>
                    <w:top w:w="0" w:type="dxa"/>
                    <w:left w:w="0" w:type="dxa"/>
                    <w:bottom w:w="0" w:type="dxa"/>
                    <w:right w:w="0" w:type="dxa"/>
                  </w:tcMar>
                  <w:vAlign w:val="center"/>
                </w:tcPr>
                <w:p w14:paraId="13A0ABB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南</w:t>
                  </w:r>
                </w:p>
              </w:tc>
              <w:tc>
                <w:tcPr>
                  <w:tcW w:w="141" w:type="pct"/>
                  <w:tcBorders>
                    <w:tl2br w:val="nil"/>
                    <w:tr2bl w:val="nil"/>
                  </w:tcBorders>
                  <w:shd w:val="clear" w:color="auto" w:fill="auto"/>
                  <w:tcMar>
                    <w:top w:w="0" w:type="dxa"/>
                    <w:left w:w="0" w:type="dxa"/>
                    <w:bottom w:w="0" w:type="dxa"/>
                    <w:right w:w="0" w:type="dxa"/>
                  </w:tcMar>
                  <w:vAlign w:val="center"/>
                </w:tcPr>
                <w:p w14:paraId="1EDEEE7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西</w:t>
                  </w:r>
                </w:p>
              </w:tc>
              <w:tc>
                <w:tcPr>
                  <w:tcW w:w="193" w:type="pct"/>
                  <w:tcBorders>
                    <w:tl2br w:val="nil"/>
                    <w:tr2bl w:val="nil"/>
                  </w:tcBorders>
                  <w:shd w:val="clear" w:color="auto" w:fill="auto"/>
                  <w:tcMar>
                    <w:top w:w="0" w:type="dxa"/>
                    <w:left w:w="0" w:type="dxa"/>
                    <w:bottom w:w="0" w:type="dxa"/>
                    <w:right w:w="0" w:type="dxa"/>
                  </w:tcMar>
                  <w:vAlign w:val="center"/>
                </w:tcPr>
                <w:p w14:paraId="5EC353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p>
              </w:tc>
              <w:tc>
                <w:tcPr>
                  <w:tcW w:w="196" w:type="pct"/>
                  <w:tcBorders>
                    <w:tl2br w:val="nil"/>
                    <w:tr2bl w:val="nil"/>
                  </w:tcBorders>
                  <w:shd w:val="clear" w:color="auto" w:fill="auto"/>
                  <w:tcMar>
                    <w:top w:w="0" w:type="dxa"/>
                    <w:left w:w="0" w:type="dxa"/>
                    <w:bottom w:w="0" w:type="dxa"/>
                    <w:right w:w="0" w:type="dxa"/>
                  </w:tcMar>
                  <w:vAlign w:val="center"/>
                </w:tcPr>
                <w:p w14:paraId="567C8A3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东</w:t>
                  </w:r>
                </w:p>
              </w:tc>
              <w:tc>
                <w:tcPr>
                  <w:tcW w:w="196" w:type="pct"/>
                  <w:tcBorders>
                    <w:tl2br w:val="nil"/>
                    <w:tr2bl w:val="nil"/>
                  </w:tcBorders>
                  <w:shd w:val="clear" w:color="auto" w:fill="auto"/>
                  <w:tcMar>
                    <w:top w:w="0" w:type="dxa"/>
                    <w:left w:w="0" w:type="dxa"/>
                    <w:bottom w:w="0" w:type="dxa"/>
                    <w:right w:w="0" w:type="dxa"/>
                  </w:tcMar>
                  <w:vAlign w:val="center"/>
                </w:tcPr>
                <w:p w14:paraId="17A04CE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南</w:t>
                  </w:r>
                </w:p>
              </w:tc>
              <w:tc>
                <w:tcPr>
                  <w:tcW w:w="196" w:type="pct"/>
                  <w:tcBorders>
                    <w:tl2br w:val="nil"/>
                    <w:tr2bl w:val="nil"/>
                  </w:tcBorders>
                  <w:shd w:val="clear" w:color="auto" w:fill="auto"/>
                  <w:tcMar>
                    <w:top w:w="0" w:type="dxa"/>
                    <w:left w:w="0" w:type="dxa"/>
                    <w:bottom w:w="0" w:type="dxa"/>
                    <w:right w:w="0" w:type="dxa"/>
                  </w:tcMar>
                  <w:vAlign w:val="center"/>
                </w:tcPr>
                <w:p w14:paraId="6C7E3D1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西</w:t>
                  </w:r>
                </w:p>
              </w:tc>
              <w:tc>
                <w:tcPr>
                  <w:tcW w:w="200" w:type="pct"/>
                  <w:tcBorders>
                    <w:tl2br w:val="nil"/>
                    <w:tr2bl w:val="nil"/>
                  </w:tcBorders>
                  <w:shd w:val="clear" w:color="auto" w:fill="auto"/>
                  <w:tcMar>
                    <w:top w:w="0" w:type="dxa"/>
                    <w:left w:w="0" w:type="dxa"/>
                    <w:bottom w:w="0" w:type="dxa"/>
                    <w:right w:w="0" w:type="dxa"/>
                  </w:tcMar>
                  <w:vAlign w:val="center"/>
                </w:tcPr>
                <w:p w14:paraId="20B6B1A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p>
              </w:tc>
              <w:tc>
                <w:tcPr>
                  <w:tcW w:w="222" w:type="pct"/>
                  <w:vMerge w:val="continue"/>
                  <w:tcBorders>
                    <w:tl2br w:val="nil"/>
                    <w:tr2bl w:val="nil"/>
                  </w:tcBorders>
                  <w:shd w:val="clear" w:color="auto" w:fill="auto"/>
                  <w:tcMar>
                    <w:top w:w="0" w:type="dxa"/>
                    <w:left w:w="0" w:type="dxa"/>
                    <w:bottom w:w="0" w:type="dxa"/>
                    <w:right w:w="0" w:type="dxa"/>
                  </w:tcMar>
                  <w:vAlign w:val="center"/>
                </w:tcPr>
                <w:p w14:paraId="21D58E8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p>
              </w:tc>
              <w:tc>
                <w:tcPr>
                  <w:tcW w:w="196" w:type="pct"/>
                  <w:tcBorders>
                    <w:tl2br w:val="nil"/>
                    <w:tr2bl w:val="nil"/>
                  </w:tcBorders>
                  <w:shd w:val="clear" w:color="auto" w:fill="auto"/>
                  <w:tcMar>
                    <w:top w:w="0" w:type="dxa"/>
                    <w:left w:w="0" w:type="dxa"/>
                    <w:bottom w:w="0" w:type="dxa"/>
                    <w:right w:w="0" w:type="dxa"/>
                  </w:tcMar>
                  <w:vAlign w:val="center"/>
                </w:tcPr>
                <w:p w14:paraId="38A0F5E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东</w:t>
                  </w:r>
                </w:p>
              </w:tc>
              <w:tc>
                <w:tcPr>
                  <w:tcW w:w="196" w:type="pct"/>
                  <w:tcBorders>
                    <w:tl2br w:val="nil"/>
                    <w:tr2bl w:val="nil"/>
                  </w:tcBorders>
                  <w:shd w:val="clear" w:color="auto" w:fill="auto"/>
                  <w:tcMar>
                    <w:top w:w="0" w:type="dxa"/>
                    <w:left w:w="0" w:type="dxa"/>
                    <w:bottom w:w="0" w:type="dxa"/>
                    <w:right w:w="0" w:type="dxa"/>
                  </w:tcMar>
                  <w:vAlign w:val="center"/>
                </w:tcPr>
                <w:p w14:paraId="205D79C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南</w:t>
                  </w:r>
                </w:p>
              </w:tc>
              <w:tc>
                <w:tcPr>
                  <w:tcW w:w="196" w:type="pct"/>
                  <w:tcBorders>
                    <w:tl2br w:val="nil"/>
                    <w:tr2bl w:val="nil"/>
                  </w:tcBorders>
                  <w:shd w:val="clear" w:color="auto" w:fill="auto"/>
                  <w:tcMar>
                    <w:top w:w="0" w:type="dxa"/>
                    <w:left w:w="0" w:type="dxa"/>
                    <w:bottom w:w="0" w:type="dxa"/>
                    <w:right w:w="0" w:type="dxa"/>
                  </w:tcMar>
                  <w:vAlign w:val="center"/>
                </w:tcPr>
                <w:p w14:paraId="7EF0A62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西</w:t>
                  </w:r>
                </w:p>
              </w:tc>
              <w:tc>
                <w:tcPr>
                  <w:tcW w:w="200" w:type="pct"/>
                  <w:tcBorders>
                    <w:tl2br w:val="nil"/>
                    <w:tr2bl w:val="nil"/>
                  </w:tcBorders>
                  <w:shd w:val="clear" w:color="auto" w:fill="auto"/>
                  <w:tcMar>
                    <w:top w:w="0" w:type="dxa"/>
                    <w:left w:w="0" w:type="dxa"/>
                    <w:bottom w:w="0" w:type="dxa"/>
                    <w:right w:w="0" w:type="dxa"/>
                  </w:tcMar>
                  <w:vAlign w:val="center"/>
                </w:tcPr>
                <w:p w14:paraId="3BBD0ED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北</w:t>
                  </w:r>
                </w:p>
              </w:tc>
              <w:tc>
                <w:tcPr>
                  <w:tcW w:w="196" w:type="pct"/>
                  <w:tcBorders>
                    <w:tl2br w:val="nil"/>
                    <w:tr2bl w:val="nil"/>
                  </w:tcBorders>
                  <w:shd w:val="clear" w:color="auto" w:fill="auto"/>
                  <w:tcMar>
                    <w:top w:w="0" w:type="dxa"/>
                    <w:left w:w="0" w:type="dxa"/>
                    <w:bottom w:w="0" w:type="dxa"/>
                    <w:right w:w="0" w:type="dxa"/>
                  </w:tcMar>
                  <w:vAlign w:val="center"/>
                </w:tcPr>
                <w:p w14:paraId="6C673A0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东</w:t>
                  </w:r>
                </w:p>
              </w:tc>
              <w:tc>
                <w:tcPr>
                  <w:tcW w:w="196" w:type="pct"/>
                  <w:tcBorders>
                    <w:tl2br w:val="nil"/>
                    <w:tr2bl w:val="nil"/>
                  </w:tcBorders>
                  <w:shd w:val="clear" w:color="auto" w:fill="auto"/>
                  <w:tcMar>
                    <w:top w:w="0" w:type="dxa"/>
                    <w:left w:w="0" w:type="dxa"/>
                    <w:bottom w:w="0" w:type="dxa"/>
                    <w:right w:w="0" w:type="dxa"/>
                  </w:tcMar>
                  <w:vAlign w:val="center"/>
                </w:tcPr>
                <w:p w14:paraId="7E6D5C2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南</w:t>
                  </w:r>
                </w:p>
              </w:tc>
              <w:tc>
                <w:tcPr>
                  <w:tcW w:w="196" w:type="pct"/>
                  <w:tcBorders>
                    <w:tl2br w:val="nil"/>
                    <w:tr2bl w:val="nil"/>
                  </w:tcBorders>
                  <w:shd w:val="clear" w:color="auto" w:fill="auto"/>
                  <w:tcMar>
                    <w:top w:w="0" w:type="dxa"/>
                    <w:left w:w="0" w:type="dxa"/>
                    <w:bottom w:w="0" w:type="dxa"/>
                    <w:right w:w="0" w:type="dxa"/>
                  </w:tcMar>
                  <w:vAlign w:val="center"/>
                </w:tcPr>
                <w:p w14:paraId="17DD316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西</w:t>
                  </w:r>
                </w:p>
              </w:tc>
              <w:tc>
                <w:tcPr>
                  <w:tcW w:w="196" w:type="pct"/>
                  <w:tcBorders>
                    <w:tl2br w:val="nil"/>
                    <w:tr2bl w:val="nil"/>
                  </w:tcBorders>
                  <w:shd w:val="clear" w:color="auto" w:fill="auto"/>
                  <w:tcMar>
                    <w:top w:w="0" w:type="dxa"/>
                    <w:left w:w="0" w:type="dxa"/>
                    <w:bottom w:w="0" w:type="dxa"/>
                    <w:right w:w="0" w:type="dxa"/>
                  </w:tcMar>
                  <w:vAlign w:val="center"/>
                </w:tcPr>
                <w:p w14:paraId="1CEFE1E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p>
              </w:tc>
              <w:tc>
                <w:tcPr>
                  <w:tcW w:w="120" w:type="pct"/>
                  <w:tcBorders>
                    <w:tl2br w:val="nil"/>
                    <w:tr2bl w:val="nil"/>
                  </w:tcBorders>
                  <w:shd w:val="clear" w:color="auto" w:fill="auto"/>
                  <w:tcMar>
                    <w:top w:w="0" w:type="dxa"/>
                    <w:left w:w="0" w:type="dxa"/>
                    <w:bottom w:w="0" w:type="dxa"/>
                    <w:right w:w="0" w:type="dxa"/>
                  </w:tcMar>
                  <w:vAlign w:val="center"/>
                </w:tcPr>
                <w:p w14:paraId="3AF0FDC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建筑物外距离</w:t>
                  </w:r>
                </w:p>
              </w:tc>
            </w:tr>
            <w:tr w14:paraId="56630F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rPr>
              <w:tc>
                <w:tcPr>
                  <w:tcW w:w="220" w:type="pct"/>
                  <w:tcBorders>
                    <w:tl2br w:val="nil"/>
                    <w:tr2bl w:val="nil"/>
                  </w:tcBorders>
                  <w:shd w:val="clear" w:color="auto" w:fill="auto"/>
                  <w:tcMar>
                    <w:top w:w="0" w:type="dxa"/>
                    <w:left w:w="0" w:type="dxa"/>
                    <w:bottom w:w="0" w:type="dxa"/>
                    <w:right w:w="0" w:type="dxa"/>
                  </w:tcMar>
                  <w:vAlign w:val="center"/>
                </w:tcPr>
                <w:p w14:paraId="7DBF5E6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19" w:type="pct"/>
                  <w:tcBorders>
                    <w:tl2br w:val="nil"/>
                    <w:tr2bl w:val="nil"/>
                  </w:tcBorders>
                  <w:shd w:val="clear" w:color="auto" w:fill="auto"/>
                  <w:tcMar>
                    <w:top w:w="0" w:type="dxa"/>
                    <w:left w:w="0" w:type="dxa"/>
                    <w:bottom w:w="0" w:type="dxa"/>
                    <w:right w:w="0" w:type="dxa"/>
                  </w:tcMar>
                  <w:vAlign w:val="center"/>
                </w:tcPr>
                <w:p w14:paraId="6CC1078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陕西环宇百嘉检测服务有限公司检测实验室建设项目-声屏障</w:t>
                  </w:r>
                </w:p>
              </w:tc>
              <w:tc>
                <w:tcPr>
                  <w:tcW w:w="123" w:type="pct"/>
                  <w:tcBorders>
                    <w:tl2br w:val="nil"/>
                    <w:tr2bl w:val="nil"/>
                  </w:tcBorders>
                  <w:shd w:val="clear" w:color="auto" w:fill="auto"/>
                  <w:tcMar>
                    <w:top w:w="0" w:type="dxa"/>
                    <w:left w:w="0" w:type="dxa"/>
                    <w:bottom w:w="0" w:type="dxa"/>
                    <w:right w:w="0" w:type="dxa"/>
                  </w:tcMar>
                  <w:vAlign w:val="center"/>
                </w:tcPr>
                <w:p w14:paraId="27FD8F9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废气治理设施风机</w:t>
                  </w:r>
                </w:p>
              </w:tc>
              <w:tc>
                <w:tcPr>
                  <w:tcW w:w="315" w:type="pct"/>
                  <w:tcBorders>
                    <w:tl2br w:val="nil"/>
                    <w:tr2bl w:val="nil"/>
                  </w:tcBorders>
                  <w:shd w:val="clear" w:color="auto" w:fill="auto"/>
                  <w:tcMar>
                    <w:top w:w="0" w:type="dxa"/>
                    <w:left w:w="0" w:type="dxa"/>
                    <w:bottom w:w="0" w:type="dxa"/>
                    <w:right w:w="0" w:type="dxa"/>
                  </w:tcMar>
                  <w:vAlign w:val="center"/>
                </w:tcPr>
                <w:p w14:paraId="5D30740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85</w:t>
                  </w:r>
                </w:p>
              </w:tc>
              <w:tc>
                <w:tcPr>
                  <w:tcW w:w="222" w:type="pct"/>
                  <w:tcBorders>
                    <w:tl2br w:val="nil"/>
                    <w:tr2bl w:val="nil"/>
                  </w:tcBorders>
                  <w:shd w:val="clear" w:color="auto" w:fill="auto"/>
                  <w:tcMar>
                    <w:top w:w="0" w:type="dxa"/>
                    <w:left w:w="0" w:type="dxa"/>
                    <w:bottom w:w="0" w:type="dxa"/>
                    <w:right w:w="0" w:type="dxa"/>
                  </w:tcMar>
                  <w:vAlign w:val="center"/>
                </w:tcPr>
                <w:p w14:paraId="4C09AFD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基础减振</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建筑物隔声</w:t>
                  </w:r>
                </w:p>
              </w:tc>
              <w:tc>
                <w:tcPr>
                  <w:tcW w:w="178" w:type="pct"/>
                  <w:tcBorders>
                    <w:tl2br w:val="nil"/>
                    <w:tr2bl w:val="nil"/>
                  </w:tcBorders>
                  <w:shd w:val="clear" w:color="auto" w:fill="auto"/>
                  <w:tcMar>
                    <w:top w:w="0" w:type="dxa"/>
                    <w:left w:w="0" w:type="dxa"/>
                    <w:bottom w:w="0" w:type="dxa"/>
                    <w:right w:w="0" w:type="dxa"/>
                  </w:tcMar>
                  <w:vAlign w:val="center"/>
                </w:tcPr>
                <w:p w14:paraId="254FB12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cs="Times New Roman"/>
                      <w:color w:val="auto"/>
                      <w:sz w:val="21"/>
                      <w:szCs w:val="21"/>
                      <w:lang w:val="en-US" w:eastAsia="zh-CN"/>
                    </w:rPr>
                    <w:t>1.7</w:t>
                  </w:r>
                </w:p>
              </w:tc>
              <w:tc>
                <w:tcPr>
                  <w:tcW w:w="178" w:type="pct"/>
                  <w:tcBorders>
                    <w:tl2br w:val="nil"/>
                    <w:tr2bl w:val="nil"/>
                  </w:tcBorders>
                  <w:shd w:val="clear" w:color="auto" w:fill="auto"/>
                  <w:tcMar>
                    <w:top w:w="0" w:type="dxa"/>
                    <w:left w:w="0" w:type="dxa"/>
                    <w:bottom w:w="0" w:type="dxa"/>
                    <w:right w:w="0" w:type="dxa"/>
                  </w:tcMar>
                  <w:vAlign w:val="center"/>
                </w:tcPr>
                <w:p w14:paraId="209FBBF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0.6</w:t>
                  </w:r>
                </w:p>
              </w:tc>
              <w:tc>
                <w:tcPr>
                  <w:tcW w:w="71" w:type="pct"/>
                  <w:tcBorders>
                    <w:tl2br w:val="nil"/>
                    <w:tr2bl w:val="nil"/>
                  </w:tcBorders>
                  <w:shd w:val="clear" w:color="auto" w:fill="auto"/>
                  <w:tcMar>
                    <w:top w:w="0" w:type="dxa"/>
                    <w:left w:w="0" w:type="dxa"/>
                    <w:bottom w:w="0" w:type="dxa"/>
                    <w:right w:w="0" w:type="dxa"/>
                  </w:tcMar>
                  <w:vAlign w:val="center"/>
                </w:tcPr>
                <w:p w14:paraId="45CE8FD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41" w:type="pct"/>
                  <w:tcBorders>
                    <w:tl2br w:val="nil"/>
                    <w:tr2bl w:val="nil"/>
                  </w:tcBorders>
                  <w:shd w:val="clear" w:color="auto" w:fill="auto"/>
                  <w:tcMar>
                    <w:top w:w="0" w:type="dxa"/>
                    <w:left w:w="0" w:type="dxa"/>
                    <w:bottom w:w="0" w:type="dxa"/>
                    <w:right w:w="0" w:type="dxa"/>
                  </w:tcMar>
                  <w:vAlign w:val="center"/>
                </w:tcPr>
                <w:p w14:paraId="70C2A94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8.8</w:t>
                  </w:r>
                </w:p>
              </w:tc>
              <w:tc>
                <w:tcPr>
                  <w:tcW w:w="190" w:type="pct"/>
                  <w:tcBorders>
                    <w:tl2br w:val="nil"/>
                    <w:tr2bl w:val="nil"/>
                  </w:tcBorders>
                  <w:shd w:val="clear" w:color="auto" w:fill="auto"/>
                  <w:tcMar>
                    <w:top w:w="0" w:type="dxa"/>
                    <w:left w:w="0" w:type="dxa"/>
                    <w:bottom w:w="0" w:type="dxa"/>
                    <w:right w:w="0" w:type="dxa"/>
                  </w:tcMar>
                  <w:vAlign w:val="center"/>
                </w:tcPr>
                <w:p w14:paraId="12C253F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11.2</w:t>
                  </w:r>
                </w:p>
              </w:tc>
              <w:tc>
                <w:tcPr>
                  <w:tcW w:w="141" w:type="pct"/>
                  <w:tcBorders>
                    <w:tl2br w:val="nil"/>
                    <w:tr2bl w:val="nil"/>
                  </w:tcBorders>
                  <w:shd w:val="clear" w:color="auto" w:fill="auto"/>
                  <w:tcMar>
                    <w:top w:w="0" w:type="dxa"/>
                    <w:left w:w="0" w:type="dxa"/>
                    <w:bottom w:w="0" w:type="dxa"/>
                    <w:right w:w="0" w:type="dxa"/>
                  </w:tcMar>
                  <w:vAlign w:val="center"/>
                </w:tcPr>
                <w:p w14:paraId="4D87DFE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6.1</w:t>
                  </w:r>
                </w:p>
              </w:tc>
              <w:tc>
                <w:tcPr>
                  <w:tcW w:w="193" w:type="pct"/>
                  <w:tcBorders>
                    <w:tl2br w:val="nil"/>
                    <w:tr2bl w:val="nil"/>
                  </w:tcBorders>
                  <w:shd w:val="clear" w:color="auto" w:fill="auto"/>
                  <w:tcMar>
                    <w:top w:w="0" w:type="dxa"/>
                    <w:left w:w="0" w:type="dxa"/>
                    <w:bottom w:w="0" w:type="dxa"/>
                    <w:right w:w="0" w:type="dxa"/>
                  </w:tcMar>
                  <w:vAlign w:val="center"/>
                </w:tcPr>
                <w:p w14:paraId="1D0B4DC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8.7</w:t>
                  </w:r>
                </w:p>
              </w:tc>
              <w:tc>
                <w:tcPr>
                  <w:tcW w:w="196" w:type="pct"/>
                  <w:tcBorders>
                    <w:tl2br w:val="nil"/>
                    <w:tr2bl w:val="nil"/>
                  </w:tcBorders>
                  <w:shd w:val="clear" w:color="auto" w:fill="auto"/>
                  <w:tcMar>
                    <w:top w:w="0" w:type="dxa"/>
                    <w:left w:w="0" w:type="dxa"/>
                    <w:bottom w:w="0" w:type="dxa"/>
                    <w:right w:w="0" w:type="dxa"/>
                  </w:tcMar>
                  <w:vAlign w:val="center"/>
                </w:tcPr>
                <w:p w14:paraId="54041D5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74.6</w:t>
                  </w:r>
                </w:p>
              </w:tc>
              <w:tc>
                <w:tcPr>
                  <w:tcW w:w="196" w:type="pct"/>
                  <w:tcBorders>
                    <w:tl2br w:val="nil"/>
                    <w:tr2bl w:val="nil"/>
                  </w:tcBorders>
                  <w:shd w:val="clear" w:color="auto" w:fill="auto"/>
                  <w:tcMar>
                    <w:top w:w="0" w:type="dxa"/>
                    <w:left w:w="0" w:type="dxa"/>
                    <w:bottom w:w="0" w:type="dxa"/>
                    <w:right w:w="0" w:type="dxa"/>
                  </w:tcMar>
                  <w:vAlign w:val="center"/>
                </w:tcPr>
                <w:p w14:paraId="1130A19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74.6</w:t>
                  </w:r>
                </w:p>
              </w:tc>
              <w:tc>
                <w:tcPr>
                  <w:tcW w:w="196" w:type="pct"/>
                  <w:tcBorders>
                    <w:tl2br w:val="nil"/>
                    <w:tr2bl w:val="nil"/>
                  </w:tcBorders>
                  <w:shd w:val="clear" w:color="auto" w:fill="auto"/>
                  <w:tcMar>
                    <w:top w:w="0" w:type="dxa"/>
                    <w:left w:w="0" w:type="dxa"/>
                    <w:bottom w:w="0" w:type="dxa"/>
                    <w:right w:w="0" w:type="dxa"/>
                  </w:tcMar>
                  <w:vAlign w:val="center"/>
                </w:tcPr>
                <w:p w14:paraId="4F91CAC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74.6</w:t>
                  </w:r>
                </w:p>
              </w:tc>
              <w:tc>
                <w:tcPr>
                  <w:tcW w:w="200" w:type="pct"/>
                  <w:tcBorders>
                    <w:tl2br w:val="nil"/>
                    <w:tr2bl w:val="nil"/>
                  </w:tcBorders>
                  <w:shd w:val="clear" w:color="auto" w:fill="auto"/>
                  <w:tcMar>
                    <w:top w:w="0" w:type="dxa"/>
                    <w:left w:w="0" w:type="dxa"/>
                    <w:bottom w:w="0" w:type="dxa"/>
                    <w:right w:w="0" w:type="dxa"/>
                  </w:tcMar>
                  <w:vAlign w:val="center"/>
                </w:tcPr>
                <w:p w14:paraId="22B495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74.6</w:t>
                  </w:r>
                </w:p>
              </w:tc>
              <w:tc>
                <w:tcPr>
                  <w:tcW w:w="222" w:type="pct"/>
                  <w:tcBorders>
                    <w:tl2br w:val="nil"/>
                    <w:tr2bl w:val="nil"/>
                  </w:tcBorders>
                  <w:shd w:val="clear" w:color="auto" w:fill="auto"/>
                  <w:tcMar>
                    <w:top w:w="0" w:type="dxa"/>
                    <w:left w:w="0" w:type="dxa"/>
                    <w:bottom w:w="0" w:type="dxa"/>
                    <w:right w:w="0" w:type="dxa"/>
                  </w:tcMar>
                  <w:vAlign w:val="center"/>
                </w:tcPr>
                <w:p w14:paraId="013DE40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昼间</w:t>
                  </w:r>
                </w:p>
              </w:tc>
              <w:tc>
                <w:tcPr>
                  <w:tcW w:w="196" w:type="pct"/>
                  <w:tcBorders>
                    <w:tl2br w:val="nil"/>
                    <w:tr2bl w:val="nil"/>
                  </w:tcBorders>
                  <w:shd w:val="clear" w:color="auto" w:fill="auto"/>
                  <w:tcMar>
                    <w:top w:w="0" w:type="dxa"/>
                    <w:left w:w="0" w:type="dxa"/>
                    <w:bottom w:w="0" w:type="dxa"/>
                    <w:right w:w="0" w:type="dxa"/>
                  </w:tcMar>
                  <w:vAlign w:val="center"/>
                </w:tcPr>
                <w:p w14:paraId="73F3869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21.0</w:t>
                  </w:r>
                </w:p>
              </w:tc>
              <w:tc>
                <w:tcPr>
                  <w:tcW w:w="196" w:type="pct"/>
                  <w:tcBorders>
                    <w:tl2br w:val="nil"/>
                    <w:tr2bl w:val="nil"/>
                  </w:tcBorders>
                  <w:shd w:val="clear" w:color="auto" w:fill="auto"/>
                  <w:tcMar>
                    <w:top w:w="0" w:type="dxa"/>
                    <w:left w:w="0" w:type="dxa"/>
                    <w:bottom w:w="0" w:type="dxa"/>
                    <w:right w:w="0" w:type="dxa"/>
                  </w:tcMar>
                  <w:vAlign w:val="center"/>
                </w:tcPr>
                <w:p w14:paraId="3D817E2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21.0</w:t>
                  </w:r>
                </w:p>
              </w:tc>
              <w:tc>
                <w:tcPr>
                  <w:tcW w:w="196" w:type="pct"/>
                  <w:tcBorders>
                    <w:tl2br w:val="nil"/>
                    <w:tr2bl w:val="nil"/>
                  </w:tcBorders>
                  <w:shd w:val="clear" w:color="auto" w:fill="auto"/>
                  <w:tcMar>
                    <w:top w:w="0" w:type="dxa"/>
                    <w:left w:w="0" w:type="dxa"/>
                    <w:bottom w:w="0" w:type="dxa"/>
                    <w:right w:w="0" w:type="dxa"/>
                  </w:tcMar>
                  <w:vAlign w:val="center"/>
                </w:tcPr>
                <w:p w14:paraId="2F5EE4E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21.0</w:t>
                  </w:r>
                </w:p>
              </w:tc>
              <w:tc>
                <w:tcPr>
                  <w:tcW w:w="200" w:type="pct"/>
                  <w:tcBorders>
                    <w:tl2br w:val="nil"/>
                    <w:tr2bl w:val="nil"/>
                  </w:tcBorders>
                  <w:shd w:val="clear" w:color="auto" w:fill="auto"/>
                  <w:tcMar>
                    <w:top w:w="0" w:type="dxa"/>
                    <w:left w:w="0" w:type="dxa"/>
                    <w:bottom w:w="0" w:type="dxa"/>
                    <w:right w:w="0" w:type="dxa"/>
                  </w:tcMar>
                  <w:vAlign w:val="center"/>
                </w:tcPr>
                <w:p w14:paraId="045E0F9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21.0</w:t>
                  </w:r>
                </w:p>
              </w:tc>
              <w:tc>
                <w:tcPr>
                  <w:tcW w:w="196" w:type="pct"/>
                  <w:tcBorders>
                    <w:tl2br w:val="nil"/>
                    <w:tr2bl w:val="nil"/>
                  </w:tcBorders>
                  <w:shd w:val="clear" w:color="auto" w:fill="auto"/>
                  <w:tcMar>
                    <w:top w:w="0" w:type="dxa"/>
                    <w:left w:w="0" w:type="dxa"/>
                    <w:bottom w:w="0" w:type="dxa"/>
                    <w:right w:w="0" w:type="dxa"/>
                  </w:tcMar>
                  <w:vAlign w:val="center"/>
                </w:tcPr>
                <w:p w14:paraId="1F3B06E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53.6</w:t>
                  </w:r>
                </w:p>
              </w:tc>
              <w:tc>
                <w:tcPr>
                  <w:tcW w:w="196" w:type="pct"/>
                  <w:tcBorders>
                    <w:tl2br w:val="nil"/>
                    <w:tr2bl w:val="nil"/>
                  </w:tcBorders>
                  <w:shd w:val="clear" w:color="auto" w:fill="auto"/>
                  <w:tcMar>
                    <w:top w:w="0" w:type="dxa"/>
                    <w:left w:w="0" w:type="dxa"/>
                    <w:bottom w:w="0" w:type="dxa"/>
                    <w:right w:w="0" w:type="dxa"/>
                  </w:tcMar>
                  <w:vAlign w:val="center"/>
                </w:tcPr>
                <w:p w14:paraId="05ABB90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53.6</w:t>
                  </w:r>
                </w:p>
              </w:tc>
              <w:tc>
                <w:tcPr>
                  <w:tcW w:w="196" w:type="pct"/>
                  <w:tcBorders>
                    <w:tl2br w:val="nil"/>
                    <w:tr2bl w:val="nil"/>
                  </w:tcBorders>
                  <w:shd w:val="clear" w:color="auto" w:fill="auto"/>
                  <w:tcMar>
                    <w:top w:w="0" w:type="dxa"/>
                    <w:left w:w="0" w:type="dxa"/>
                    <w:bottom w:w="0" w:type="dxa"/>
                    <w:right w:w="0" w:type="dxa"/>
                  </w:tcMar>
                  <w:vAlign w:val="center"/>
                </w:tcPr>
                <w:p w14:paraId="7C00F5A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53.6</w:t>
                  </w:r>
                </w:p>
              </w:tc>
              <w:tc>
                <w:tcPr>
                  <w:tcW w:w="196" w:type="pct"/>
                  <w:tcBorders>
                    <w:tl2br w:val="nil"/>
                    <w:tr2bl w:val="nil"/>
                  </w:tcBorders>
                  <w:shd w:val="clear" w:color="auto" w:fill="auto"/>
                  <w:tcMar>
                    <w:top w:w="0" w:type="dxa"/>
                    <w:left w:w="0" w:type="dxa"/>
                    <w:bottom w:w="0" w:type="dxa"/>
                    <w:right w:w="0" w:type="dxa"/>
                  </w:tcMar>
                  <w:vAlign w:val="center"/>
                </w:tcPr>
                <w:p w14:paraId="7E54687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53.6</w:t>
                  </w:r>
                </w:p>
              </w:tc>
              <w:tc>
                <w:tcPr>
                  <w:tcW w:w="120" w:type="pct"/>
                  <w:tcBorders>
                    <w:tl2br w:val="nil"/>
                    <w:tr2bl w:val="nil"/>
                  </w:tcBorders>
                  <w:shd w:val="clear" w:color="auto" w:fill="auto"/>
                  <w:tcMar>
                    <w:top w:w="0" w:type="dxa"/>
                    <w:left w:w="0" w:type="dxa"/>
                    <w:bottom w:w="0" w:type="dxa"/>
                    <w:right w:w="0" w:type="dxa"/>
                  </w:tcMar>
                  <w:vAlign w:val="center"/>
                </w:tcPr>
                <w:p w14:paraId="643E943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r>
            <w:bookmarkEnd w:id="8"/>
          </w:tbl>
          <w:p w14:paraId="72B41803">
            <w:pPr>
              <w:pStyle w:val="6"/>
              <w:adjustRightInd w:val="0"/>
              <w:snapToGrid w:val="0"/>
              <w:spacing w:line="360" w:lineRule="auto"/>
              <w:ind w:left="0" w:leftChars="0" w:firstLine="0" w:firstLineChars="0"/>
              <w:rPr>
                <w:rFonts w:hint="default" w:ascii="Times New Roman" w:hAnsi="Times New Roman" w:cs="Times New Roman"/>
                <w:b/>
                <w:bCs/>
                <w:color w:val="auto"/>
                <w:szCs w:val="24"/>
              </w:rPr>
            </w:pPr>
            <w:r>
              <w:rPr>
                <w:rFonts w:hint="default" w:ascii="Times New Roman" w:hAnsi="Times New Roman" w:cs="Times New Roman"/>
                <w:b/>
                <w:bCs/>
                <w:color w:val="auto"/>
                <w:szCs w:val="24"/>
              </w:rPr>
              <w:t>3、预测结果</w:t>
            </w:r>
          </w:p>
          <w:p w14:paraId="020A1FD5">
            <w:pPr>
              <w:adjustRightInd w:val="0"/>
              <w:snapToGrid w:val="0"/>
              <w:spacing w:line="360" w:lineRule="auto"/>
              <w:ind w:firstLine="480" w:firstLineChars="200"/>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本项目夜间不运营。通过预测模型计算，项目厂界噪声预测结果与达标分析见表4-</w:t>
            </w:r>
            <w:r>
              <w:rPr>
                <w:rFonts w:hint="eastAsia" w:cs="Times New Roman" w:eastAsiaTheme="minorEastAsia"/>
                <w:color w:val="auto"/>
                <w:sz w:val="24"/>
                <w:lang w:val="en-US" w:eastAsia="zh-CN"/>
              </w:rPr>
              <w:t>10，敏感点噪声预测结果与达标分析见表4-11</w:t>
            </w:r>
            <w:r>
              <w:rPr>
                <w:rFonts w:hint="default" w:ascii="Times New Roman" w:hAnsi="Times New Roman" w:cs="Times New Roman" w:eastAsiaTheme="minorEastAsia"/>
                <w:color w:val="auto"/>
                <w:sz w:val="24"/>
              </w:rPr>
              <w:t>。</w:t>
            </w:r>
          </w:p>
          <w:p w14:paraId="46862B1C">
            <w:pPr>
              <w:adjustRightInd w:val="0"/>
              <w:snapToGrid w:val="0"/>
              <w:jc w:val="center"/>
              <w:rPr>
                <w:rFonts w:hint="default" w:ascii="Times New Roman" w:hAnsi="Times New Roman" w:cs="Times New Roman"/>
                <w:color w:val="auto"/>
              </w:rPr>
            </w:pPr>
            <w:r>
              <w:rPr>
                <w:rFonts w:hint="default" w:ascii="Times New Roman" w:hAnsi="Times New Roman" w:cs="Times New Roman"/>
                <w:b/>
                <w:color w:val="auto"/>
                <w:szCs w:val="21"/>
              </w:rPr>
              <w:t>表4-</w:t>
            </w:r>
            <w:r>
              <w:rPr>
                <w:rFonts w:hint="eastAsia" w:cs="Times New Roman"/>
                <w:b/>
                <w:color w:val="auto"/>
                <w:szCs w:val="21"/>
                <w:lang w:val="en-US" w:eastAsia="zh-CN"/>
              </w:rPr>
              <w:t>10</w:t>
            </w:r>
            <w:r>
              <w:rPr>
                <w:rFonts w:hint="default" w:ascii="Times New Roman" w:hAnsi="Times New Roman" w:cs="Times New Roman"/>
                <w:b/>
                <w:color w:val="auto"/>
                <w:szCs w:val="21"/>
              </w:rPr>
              <w:t xml:space="preserve"> 厂界噪声预测结果与达标分析表</w:t>
            </w:r>
          </w:p>
          <w:tbl>
            <w:tblPr>
              <w:tblStyle w:val="29"/>
              <w:tblW w:w="499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17"/>
              <w:gridCol w:w="919"/>
              <w:gridCol w:w="975"/>
              <w:gridCol w:w="805"/>
              <w:gridCol w:w="671"/>
              <w:gridCol w:w="1919"/>
              <w:gridCol w:w="2141"/>
              <w:gridCol w:w="1118"/>
            </w:tblGrid>
            <w:tr w14:paraId="3EF1F8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78" w:type="pct"/>
                  <w:vMerge w:val="restart"/>
                  <w:tcBorders>
                    <w:tl2br w:val="nil"/>
                    <w:tr2bl w:val="nil"/>
                  </w:tcBorders>
                  <w:shd w:val="clear" w:color="auto" w:fill="auto"/>
                  <w:vAlign w:val="center"/>
                </w:tcPr>
                <w:p w14:paraId="62277016">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预测方位</w:t>
                  </w:r>
                </w:p>
              </w:tc>
              <w:tc>
                <w:tcPr>
                  <w:tcW w:w="1395" w:type="pct"/>
                  <w:gridSpan w:val="3"/>
                  <w:tcBorders>
                    <w:tl2br w:val="nil"/>
                    <w:tr2bl w:val="nil"/>
                  </w:tcBorders>
                  <w:shd w:val="clear" w:color="auto" w:fill="auto"/>
                  <w:vAlign w:val="center"/>
                </w:tcPr>
                <w:p w14:paraId="6D361C26">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lang w:val="en-US" w:eastAsia="zh-CN"/>
                    </w:rPr>
                    <w:t>最大值点</w:t>
                  </w:r>
                  <w:r>
                    <w:rPr>
                      <w:rFonts w:hint="default" w:ascii="Times New Roman" w:hAnsi="Times New Roman" w:cs="Times New Roman" w:eastAsiaTheme="minorEastAsia"/>
                      <w:b/>
                      <w:color w:val="auto"/>
                      <w:sz w:val="21"/>
                      <w:szCs w:val="21"/>
                    </w:rPr>
                    <w:t>空间相对位置/m</w:t>
                  </w:r>
                </w:p>
              </w:tc>
              <w:tc>
                <w:tcPr>
                  <w:tcW w:w="347" w:type="pct"/>
                  <w:vMerge w:val="restart"/>
                  <w:tcBorders>
                    <w:tl2br w:val="nil"/>
                    <w:tr2bl w:val="nil"/>
                  </w:tcBorders>
                  <w:shd w:val="clear" w:color="auto" w:fill="auto"/>
                  <w:vAlign w:val="center"/>
                </w:tcPr>
                <w:p w14:paraId="0A99DFD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时段</w:t>
                  </w:r>
                </w:p>
              </w:tc>
              <w:tc>
                <w:tcPr>
                  <w:tcW w:w="992" w:type="pct"/>
                  <w:vMerge w:val="restart"/>
                  <w:tcBorders>
                    <w:tl2br w:val="nil"/>
                    <w:tr2bl w:val="nil"/>
                  </w:tcBorders>
                  <w:shd w:val="clear" w:color="auto" w:fill="auto"/>
                  <w:vAlign w:val="center"/>
                </w:tcPr>
                <w:p w14:paraId="588D6E79">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贡献值dB(A)</w:t>
                  </w:r>
                </w:p>
              </w:tc>
              <w:tc>
                <w:tcPr>
                  <w:tcW w:w="1107" w:type="pct"/>
                  <w:vMerge w:val="restart"/>
                  <w:tcBorders>
                    <w:tl2br w:val="nil"/>
                    <w:tr2bl w:val="nil"/>
                  </w:tcBorders>
                  <w:shd w:val="clear" w:color="auto" w:fill="auto"/>
                  <w:vAlign w:val="center"/>
                </w:tcPr>
                <w:p w14:paraId="6D2B3CD9">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标准限值dB(A)</w:t>
                  </w:r>
                </w:p>
              </w:tc>
              <w:tc>
                <w:tcPr>
                  <w:tcW w:w="578" w:type="pct"/>
                  <w:vMerge w:val="restart"/>
                  <w:tcBorders>
                    <w:tl2br w:val="nil"/>
                    <w:tr2bl w:val="nil"/>
                  </w:tcBorders>
                  <w:shd w:val="clear" w:color="auto" w:fill="auto"/>
                  <w:vAlign w:val="center"/>
                </w:tcPr>
                <w:p w14:paraId="50AA0D31">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达标情况</w:t>
                  </w:r>
                </w:p>
              </w:tc>
            </w:tr>
            <w:tr w14:paraId="0896D8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578" w:type="pct"/>
                  <w:vMerge w:val="continue"/>
                  <w:tcBorders>
                    <w:tl2br w:val="nil"/>
                    <w:tr2bl w:val="nil"/>
                  </w:tcBorders>
                  <w:shd w:val="clear" w:color="auto" w:fill="auto"/>
                  <w:vAlign w:val="center"/>
                </w:tcPr>
                <w:p w14:paraId="1E4B8EA5">
                  <w:pPr>
                    <w:jc w:val="center"/>
                    <w:rPr>
                      <w:rFonts w:hint="default" w:ascii="Times New Roman" w:hAnsi="Times New Roman" w:cs="Times New Roman" w:eastAsiaTheme="minorEastAsia"/>
                      <w:color w:val="auto"/>
                      <w:sz w:val="21"/>
                      <w:szCs w:val="21"/>
                    </w:rPr>
                  </w:pPr>
                </w:p>
              </w:tc>
              <w:tc>
                <w:tcPr>
                  <w:tcW w:w="475" w:type="pct"/>
                  <w:tcBorders>
                    <w:tl2br w:val="nil"/>
                    <w:tr2bl w:val="nil"/>
                  </w:tcBorders>
                  <w:shd w:val="clear" w:color="auto" w:fill="auto"/>
                  <w:vAlign w:val="center"/>
                </w:tcPr>
                <w:p w14:paraId="510D368D">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X</w:t>
                  </w:r>
                </w:p>
              </w:tc>
              <w:tc>
                <w:tcPr>
                  <w:tcW w:w="504" w:type="pct"/>
                  <w:tcBorders>
                    <w:tl2br w:val="nil"/>
                    <w:tr2bl w:val="nil"/>
                  </w:tcBorders>
                  <w:shd w:val="clear" w:color="auto" w:fill="auto"/>
                  <w:vAlign w:val="center"/>
                </w:tcPr>
                <w:p w14:paraId="6C8A5298">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Y</w:t>
                  </w:r>
                </w:p>
              </w:tc>
              <w:tc>
                <w:tcPr>
                  <w:tcW w:w="415" w:type="pct"/>
                  <w:tcBorders>
                    <w:tl2br w:val="nil"/>
                    <w:tr2bl w:val="nil"/>
                  </w:tcBorders>
                  <w:shd w:val="clear" w:color="auto" w:fill="auto"/>
                  <w:vAlign w:val="center"/>
                </w:tcPr>
                <w:p w14:paraId="0769F99C">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Z</w:t>
                  </w:r>
                </w:p>
              </w:tc>
              <w:tc>
                <w:tcPr>
                  <w:tcW w:w="347" w:type="pct"/>
                  <w:vMerge w:val="continue"/>
                  <w:tcBorders>
                    <w:tl2br w:val="nil"/>
                    <w:tr2bl w:val="nil"/>
                  </w:tcBorders>
                  <w:shd w:val="clear" w:color="auto" w:fill="auto"/>
                  <w:vAlign w:val="center"/>
                </w:tcPr>
                <w:p w14:paraId="262301F1">
                  <w:pPr>
                    <w:jc w:val="center"/>
                    <w:rPr>
                      <w:rFonts w:hint="default" w:ascii="Times New Roman" w:hAnsi="Times New Roman" w:cs="Times New Roman" w:eastAsiaTheme="minorEastAsia"/>
                      <w:color w:val="auto"/>
                      <w:sz w:val="21"/>
                      <w:szCs w:val="21"/>
                    </w:rPr>
                  </w:pPr>
                </w:p>
              </w:tc>
              <w:tc>
                <w:tcPr>
                  <w:tcW w:w="992" w:type="pct"/>
                  <w:vMerge w:val="continue"/>
                  <w:tcBorders>
                    <w:tl2br w:val="nil"/>
                    <w:tr2bl w:val="nil"/>
                  </w:tcBorders>
                  <w:shd w:val="clear" w:color="auto" w:fill="auto"/>
                  <w:vAlign w:val="center"/>
                </w:tcPr>
                <w:p w14:paraId="4B6A6DC1">
                  <w:pPr>
                    <w:jc w:val="center"/>
                    <w:rPr>
                      <w:rFonts w:hint="default" w:ascii="Times New Roman" w:hAnsi="Times New Roman" w:cs="Times New Roman" w:eastAsiaTheme="minorEastAsia"/>
                      <w:color w:val="auto"/>
                      <w:sz w:val="21"/>
                      <w:szCs w:val="21"/>
                    </w:rPr>
                  </w:pPr>
                </w:p>
              </w:tc>
              <w:tc>
                <w:tcPr>
                  <w:tcW w:w="1107" w:type="pct"/>
                  <w:vMerge w:val="continue"/>
                  <w:tcBorders>
                    <w:tl2br w:val="nil"/>
                    <w:tr2bl w:val="nil"/>
                  </w:tcBorders>
                  <w:shd w:val="clear" w:color="auto" w:fill="auto"/>
                  <w:vAlign w:val="center"/>
                </w:tcPr>
                <w:p w14:paraId="3EB51C17">
                  <w:pPr>
                    <w:jc w:val="center"/>
                    <w:rPr>
                      <w:rFonts w:hint="default" w:ascii="Times New Roman" w:hAnsi="Times New Roman" w:cs="Times New Roman" w:eastAsiaTheme="minorEastAsia"/>
                      <w:color w:val="auto"/>
                      <w:sz w:val="21"/>
                      <w:szCs w:val="21"/>
                    </w:rPr>
                  </w:pPr>
                </w:p>
              </w:tc>
              <w:tc>
                <w:tcPr>
                  <w:tcW w:w="578" w:type="pct"/>
                  <w:vMerge w:val="continue"/>
                  <w:tcBorders>
                    <w:tl2br w:val="nil"/>
                    <w:tr2bl w:val="nil"/>
                  </w:tcBorders>
                  <w:shd w:val="clear" w:color="auto" w:fill="auto"/>
                  <w:vAlign w:val="center"/>
                </w:tcPr>
                <w:p w14:paraId="42EE895B">
                  <w:pPr>
                    <w:jc w:val="center"/>
                    <w:rPr>
                      <w:rFonts w:hint="default" w:ascii="Times New Roman" w:hAnsi="Times New Roman" w:cs="Times New Roman" w:eastAsiaTheme="minorEastAsia"/>
                      <w:color w:val="auto"/>
                      <w:sz w:val="21"/>
                      <w:szCs w:val="21"/>
                    </w:rPr>
                  </w:pPr>
                </w:p>
              </w:tc>
            </w:tr>
            <w:tr w14:paraId="35BD16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578" w:type="pct"/>
                  <w:tcBorders>
                    <w:tl2br w:val="nil"/>
                    <w:tr2bl w:val="nil"/>
                  </w:tcBorders>
                  <w:shd w:val="clear" w:color="auto" w:fill="auto"/>
                  <w:vAlign w:val="center"/>
                </w:tcPr>
                <w:p w14:paraId="64D3BB3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东侧</w:t>
                  </w:r>
                </w:p>
              </w:tc>
              <w:tc>
                <w:tcPr>
                  <w:tcW w:w="475" w:type="pct"/>
                  <w:tcBorders>
                    <w:tl2br w:val="nil"/>
                    <w:tr2bl w:val="nil"/>
                  </w:tcBorders>
                  <w:shd w:val="clear" w:color="auto" w:fill="auto"/>
                  <w:vAlign w:val="center"/>
                </w:tcPr>
                <w:p w14:paraId="5A5E1FA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7.7</w:t>
                  </w:r>
                </w:p>
              </w:tc>
              <w:tc>
                <w:tcPr>
                  <w:tcW w:w="504" w:type="pct"/>
                  <w:tcBorders>
                    <w:tl2br w:val="nil"/>
                    <w:tr2bl w:val="nil"/>
                  </w:tcBorders>
                  <w:shd w:val="clear" w:color="auto" w:fill="auto"/>
                  <w:vAlign w:val="center"/>
                </w:tcPr>
                <w:p w14:paraId="79A6931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-1.6</w:t>
                  </w:r>
                </w:p>
              </w:tc>
              <w:tc>
                <w:tcPr>
                  <w:tcW w:w="415" w:type="pct"/>
                  <w:tcBorders>
                    <w:tl2br w:val="nil"/>
                    <w:tr2bl w:val="nil"/>
                  </w:tcBorders>
                  <w:shd w:val="clear" w:color="auto" w:fill="auto"/>
                  <w:vAlign w:val="center"/>
                </w:tcPr>
                <w:p w14:paraId="3B9F61F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347" w:type="pct"/>
                  <w:tcBorders>
                    <w:tl2br w:val="nil"/>
                    <w:tr2bl w:val="nil"/>
                  </w:tcBorders>
                  <w:shd w:val="clear" w:color="auto" w:fill="auto"/>
                  <w:vAlign w:val="center"/>
                </w:tcPr>
                <w:p w14:paraId="7EF123E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992" w:type="pct"/>
                  <w:tcBorders>
                    <w:tl2br w:val="nil"/>
                    <w:tr2bl w:val="nil"/>
                  </w:tcBorders>
                  <w:shd w:val="clear" w:color="auto" w:fill="auto"/>
                  <w:vAlign w:val="center"/>
                </w:tcPr>
                <w:p w14:paraId="7B8E70E8">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54.4</w:t>
                  </w:r>
                </w:p>
              </w:tc>
              <w:tc>
                <w:tcPr>
                  <w:tcW w:w="1107" w:type="pct"/>
                  <w:tcBorders>
                    <w:tl2br w:val="nil"/>
                    <w:tr2bl w:val="nil"/>
                  </w:tcBorders>
                  <w:shd w:val="clear" w:color="auto" w:fill="auto"/>
                  <w:vAlign w:val="center"/>
                </w:tcPr>
                <w:p w14:paraId="7D89066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578" w:type="pct"/>
                  <w:tcBorders>
                    <w:tl2br w:val="nil"/>
                    <w:tr2bl w:val="nil"/>
                  </w:tcBorders>
                  <w:shd w:val="clear" w:color="auto" w:fill="auto"/>
                  <w:vAlign w:val="center"/>
                </w:tcPr>
                <w:p w14:paraId="67C9C09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4CE68E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578" w:type="pct"/>
                  <w:tcBorders>
                    <w:tl2br w:val="nil"/>
                    <w:tr2bl w:val="nil"/>
                  </w:tcBorders>
                  <w:shd w:val="clear" w:color="auto" w:fill="auto"/>
                  <w:vAlign w:val="center"/>
                </w:tcPr>
                <w:p w14:paraId="1984E40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南侧</w:t>
                  </w:r>
                </w:p>
              </w:tc>
              <w:tc>
                <w:tcPr>
                  <w:tcW w:w="475" w:type="pct"/>
                  <w:tcBorders>
                    <w:tl2br w:val="nil"/>
                    <w:tr2bl w:val="nil"/>
                  </w:tcBorders>
                  <w:shd w:val="clear" w:color="auto" w:fill="auto"/>
                  <w:vAlign w:val="center"/>
                </w:tcPr>
                <w:p w14:paraId="39649DB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4.2</w:t>
                  </w:r>
                </w:p>
              </w:tc>
              <w:tc>
                <w:tcPr>
                  <w:tcW w:w="504" w:type="pct"/>
                  <w:tcBorders>
                    <w:tl2br w:val="nil"/>
                    <w:tr2bl w:val="nil"/>
                  </w:tcBorders>
                  <w:shd w:val="clear" w:color="auto" w:fill="auto"/>
                  <w:vAlign w:val="center"/>
                </w:tcPr>
                <w:p w14:paraId="6ECAFE7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w:t>
                  </w:r>
                </w:p>
              </w:tc>
              <w:tc>
                <w:tcPr>
                  <w:tcW w:w="415" w:type="pct"/>
                  <w:tcBorders>
                    <w:tl2br w:val="nil"/>
                    <w:tr2bl w:val="nil"/>
                  </w:tcBorders>
                  <w:shd w:val="clear" w:color="auto" w:fill="auto"/>
                  <w:vAlign w:val="center"/>
                </w:tcPr>
                <w:p w14:paraId="27F5926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347" w:type="pct"/>
                  <w:tcBorders>
                    <w:tl2br w:val="nil"/>
                    <w:tr2bl w:val="nil"/>
                  </w:tcBorders>
                  <w:shd w:val="clear" w:color="auto" w:fill="auto"/>
                  <w:vAlign w:val="center"/>
                </w:tcPr>
                <w:p w14:paraId="14A79F5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992" w:type="pct"/>
                  <w:tcBorders>
                    <w:tl2br w:val="nil"/>
                    <w:tr2bl w:val="nil"/>
                  </w:tcBorders>
                  <w:shd w:val="clear" w:color="auto" w:fill="auto"/>
                  <w:vAlign w:val="center"/>
                </w:tcPr>
                <w:p w14:paraId="6DCBEC7F">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52.2</w:t>
                  </w:r>
                </w:p>
              </w:tc>
              <w:tc>
                <w:tcPr>
                  <w:tcW w:w="1107" w:type="pct"/>
                  <w:tcBorders>
                    <w:tl2br w:val="nil"/>
                    <w:tr2bl w:val="nil"/>
                  </w:tcBorders>
                  <w:shd w:val="clear" w:color="auto" w:fill="auto"/>
                  <w:vAlign w:val="center"/>
                </w:tcPr>
                <w:p w14:paraId="6A05A3B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578" w:type="pct"/>
                  <w:tcBorders>
                    <w:tl2br w:val="nil"/>
                    <w:tr2bl w:val="nil"/>
                  </w:tcBorders>
                  <w:shd w:val="clear" w:color="auto" w:fill="auto"/>
                  <w:vAlign w:val="center"/>
                </w:tcPr>
                <w:p w14:paraId="289A7D1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69D5D4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578" w:type="pct"/>
                  <w:tcBorders>
                    <w:tl2br w:val="nil"/>
                    <w:tr2bl w:val="nil"/>
                  </w:tcBorders>
                  <w:shd w:val="clear" w:color="auto" w:fill="auto"/>
                  <w:vAlign w:val="center"/>
                </w:tcPr>
                <w:p w14:paraId="5F648B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西侧</w:t>
                  </w:r>
                </w:p>
              </w:tc>
              <w:tc>
                <w:tcPr>
                  <w:tcW w:w="475" w:type="pct"/>
                  <w:tcBorders>
                    <w:tl2br w:val="nil"/>
                    <w:tr2bl w:val="nil"/>
                  </w:tcBorders>
                  <w:shd w:val="clear" w:color="auto" w:fill="auto"/>
                  <w:vAlign w:val="center"/>
                </w:tcPr>
                <w:p w14:paraId="140075CF">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Arial" w:cs="Times New Roman"/>
                      <w:color w:val="auto"/>
                      <w:sz w:val="21"/>
                      <w:szCs w:val="21"/>
                    </w:rPr>
                    <w:t>-</w:t>
                  </w:r>
                  <w:r>
                    <w:rPr>
                      <w:rFonts w:hint="eastAsia" w:eastAsia="宋体" w:cs="Times New Roman"/>
                      <w:color w:val="auto"/>
                      <w:sz w:val="21"/>
                      <w:szCs w:val="21"/>
                      <w:lang w:val="en-US" w:eastAsia="zh-CN"/>
                    </w:rPr>
                    <w:t>8.7</w:t>
                  </w:r>
                </w:p>
              </w:tc>
              <w:tc>
                <w:tcPr>
                  <w:tcW w:w="504" w:type="pct"/>
                  <w:tcBorders>
                    <w:tl2br w:val="nil"/>
                    <w:tr2bl w:val="nil"/>
                  </w:tcBorders>
                  <w:shd w:val="clear" w:color="auto" w:fill="auto"/>
                  <w:vAlign w:val="center"/>
                </w:tcPr>
                <w:p w14:paraId="2D1576D3">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1.4</w:t>
                  </w:r>
                </w:p>
              </w:tc>
              <w:tc>
                <w:tcPr>
                  <w:tcW w:w="415" w:type="pct"/>
                  <w:tcBorders>
                    <w:tl2br w:val="nil"/>
                    <w:tr2bl w:val="nil"/>
                  </w:tcBorders>
                  <w:shd w:val="clear" w:color="auto" w:fill="auto"/>
                  <w:vAlign w:val="center"/>
                </w:tcPr>
                <w:p w14:paraId="233579F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347" w:type="pct"/>
                  <w:tcBorders>
                    <w:tl2br w:val="nil"/>
                    <w:tr2bl w:val="nil"/>
                  </w:tcBorders>
                  <w:shd w:val="clear" w:color="auto" w:fill="auto"/>
                  <w:vAlign w:val="center"/>
                </w:tcPr>
                <w:p w14:paraId="3EAF71F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992" w:type="pct"/>
                  <w:tcBorders>
                    <w:tl2br w:val="nil"/>
                    <w:tr2bl w:val="nil"/>
                  </w:tcBorders>
                  <w:shd w:val="clear" w:color="auto" w:fill="auto"/>
                  <w:vAlign w:val="center"/>
                </w:tcPr>
                <w:p w14:paraId="664CD50B">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57.4</w:t>
                  </w:r>
                </w:p>
              </w:tc>
              <w:tc>
                <w:tcPr>
                  <w:tcW w:w="1107" w:type="pct"/>
                  <w:tcBorders>
                    <w:tl2br w:val="nil"/>
                    <w:tr2bl w:val="nil"/>
                  </w:tcBorders>
                  <w:shd w:val="clear" w:color="auto" w:fill="auto"/>
                  <w:vAlign w:val="center"/>
                </w:tcPr>
                <w:p w14:paraId="76278AB9">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70</w:t>
                  </w:r>
                </w:p>
              </w:tc>
              <w:tc>
                <w:tcPr>
                  <w:tcW w:w="578" w:type="pct"/>
                  <w:tcBorders>
                    <w:tl2br w:val="nil"/>
                    <w:tr2bl w:val="nil"/>
                  </w:tcBorders>
                  <w:shd w:val="clear" w:color="auto" w:fill="auto"/>
                  <w:vAlign w:val="center"/>
                </w:tcPr>
                <w:p w14:paraId="6DF33AB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7F67D4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578" w:type="pct"/>
                  <w:tcBorders>
                    <w:tl2br w:val="nil"/>
                    <w:tr2bl w:val="nil"/>
                  </w:tcBorders>
                  <w:shd w:val="clear" w:color="auto" w:fill="auto"/>
                  <w:vAlign w:val="center"/>
                </w:tcPr>
                <w:p w14:paraId="47372F0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北侧</w:t>
                  </w:r>
                </w:p>
              </w:tc>
              <w:tc>
                <w:tcPr>
                  <w:tcW w:w="475" w:type="pct"/>
                  <w:tcBorders>
                    <w:tl2br w:val="nil"/>
                    <w:tr2bl w:val="nil"/>
                  </w:tcBorders>
                  <w:shd w:val="clear" w:color="auto" w:fill="auto"/>
                  <w:vAlign w:val="center"/>
                </w:tcPr>
                <w:p w14:paraId="39DB129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0.4</w:t>
                  </w:r>
                </w:p>
              </w:tc>
              <w:tc>
                <w:tcPr>
                  <w:tcW w:w="504" w:type="pct"/>
                  <w:tcBorders>
                    <w:tl2br w:val="nil"/>
                    <w:tr2bl w:val="nil"/>
                  </w:tcBorders>
                  <w:shd w:val="clear" w:color="auto" w:fill="auto"/>
                  <w:vAlign w:val="center"/>
                </w:tcPr>
                <w:p w14:paraId="0519A51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10.1</w:t>
                  </w:r>
                </w:p>
              </w:tc>
              <w:tc>
                <w:tcPr>
                  <w:tcW w:w="415" w:type="pct"/>
                  <w:tcBorders>
                    <w:tl2br w:val="nil"/>
                    <w:tr2bl w:val="nil"/>
                  </w:tcBorders>
                  <w:shd w:val="clear" w:color="auto" w:fill="auto"/>
                  <w:vAlign w:val="center"/>
                </w:tcPr>
                <w:p w14:paraId="78A1F47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347" w:type="pct"/>
                  <w:tcBorders>
                    <w:tl2br w:val="nil"/>
                    <w:tr2bl w:val="nil"/>
                  </w:tcBorders>
                  <w:shd w:val="clear" w:color="auto" w:fill="auto"/>
                  <w:vAlign w:val="center"/>
                </w:tcPr>
                <w:p w14:paraId="45EA54E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992" w:type="pct"/>
                  <w:tcBorders>
                    <w:tl2br w:val="nil"/>
                    <w:tr2bl w:val="nil"/>
                  </w:tcBorders>
                  <w:shd w:val="clear" w:color="auto" w:fill="auto"/>
                  <w:vAlign w:val="center"/>
                </w:tcPr>
                <w:p w14:paraId="36471A90">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54.4</w:t>
                  </w:r>
                </w:p>
              </w:tc>
              <w:tc>
                <w:tcPr>
                  <w:tcW w:w="1107" w:type="pct"/>
                  <w:tcBorders>
                    <w:tl2br w:val="nil"/>
                    <w:tr2bl w:val="nil"/>
                  </w:tcBorders>
                  <w:shd w:val="clear" w:color="auto" w:fill="auto"/>
                  <w:vAlign w:val="center"/>
                </w:tcPr>
                <w:p w14:paraId="6284904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578" w:type="pct"/>
                  <w:tcBorders>
                    <w:tl2br w:val="nil"/>
                    <w:tr2bl w:val="nil"/>
                  </w:tcBorders>
                  <w:shd w:val="clear" w:color="auto" w:fill="auto"/>
                  <w:vAlign w:val="center"/>
                </w:tcPr>
                <w:p w14:paraId="3798618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bl>
          <w:p w14:paraId="742E5AF0">
            <w:pPr>
              <w:adjustRightInd w:val="0"/>
              <w:snapToGrid w:val="0"/>
              <w:jc w:val="center"/>
              <w:rPr>
                <w:rFonts w:hint="default" w:ascii="Times New Roman" w:hAnsi="Times New Roman" w:eastAsia="宋体" w:cs="Times New Roman"/>
                <w:color w:val="auto"/>
                <w:lang w:val="en-US" w:eastAsia="zh-CN"/>
              </w:rPr>
            </w:pPr>
            <w:r>
              <w:rPr>
                <w:rFonts w:hint="eastAsia" w:cs="Times New Roman"/>
                <w:b/>
                <w:bCs/>
                <w:color w:val="auto"/>
                <w:lang w:val="en-US" w:eastAsia="zh-CN"/>
              </w:rPr>
              <w:t>表4-11 工业企业声环境保护目标噪声预测结果与达标分析表</w:t>
            </w:r>
          </w:p>
          <w:tbl>
            <w:tblPr>
              <w:tblStyle w:val="2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87"/>
              <w:gridCol w:w="1720"/>
              <w:gridCol w:w="1102"/>
              <w:gridCol w:w="1267"/>
              <w:gridCol w:w="1371"/>
              <w:gridCol w:w="1371"/>
              <w:gridCol w:w="1371"/>
              <w:gridCol w:w="1084"/>
            </w:tblGrid>
            <w:tr w14:paraId="2CFD46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0" w:hRule="exact"/>
                <w:jc w:val="center"/>
              </w:trPr>
              <w:tc>
                <w:tcPr>
                  <w:tcW w:w="200" w:type="pct"/>
                  <w:vMerge w:val="restart"/>
                  <w:tcBorders>
                    <w:tl2br w:val="nil"/>
                    <w:tr2bl w:val="nil"/>
                  </w:tcBorders>
                  <w:shd w:val="clear" w:color="auto" w:fill="auto"/>
                  <w:vAlign w:val="center"/>
                </w:tcPr>
                <w:p w14:paraId="31B3E34E">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序号</w:t>
                  </w:r>
                </w:p>
              </w:tc>
              <w:tc>
                <w:tcPr>
                  <w:tcW w:w="888" w:type="pct"/>
                  <w:vMerge w:val="restart"/>
                  <w:tcBorders>
                    <w:tl2br w:val="nil"/>
                    <w:tr2bl w:val="nil"/>
                  </w:tcBorders>
                  <w:shd w:val="clear" w:color="auto" w:fill="auto"/>
                  <w:vAlign w:val="center"/>
                </w:tcPr>
                <w:p w14:paraId="75BDB7ED">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声环境保护目标名称</w:t>
                  </w:r>
                </w:p>
              </w:tc>
              <w:tc>
                <w:tcPr>
                  <w:tcW w:w="569" w:type="pct"/>
                  <w:tcBorders>
                    <w:tl2br w:val="nil"/>
                    <w:tr2bl w:val="nil"/>
                  </w:tcBorders>
                  <w:shd w:val="clear" w:color="auto" w:fill="auto"/>
                  <w:vAlign w:val="center"/>
                </w:tcPr>
                <w:p w14:paraId="1DBBB9C6">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噪声现状值/dB(A)</w:t>
                  </w:r>
                </w:p>
              </w:tc>
              <w:tc>
                <w:tcPr>
                  <w:tcW w:w="654" w:type="pct"/>
                  <w:tcBorders>
                    <w:tl2br w:val="nil"/>
                    <w:tr2bl w:val="nil"/>
                  </w:tcBorders>
                  <w:shd w:val="clear" w:color="auto" w:fill="auto"/>
                  <w:vAlign w:val="center"/>
                </w:tcPr>
                <w:p w14:paraId="13CA1993">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噪声标准/dB(A)</w:t>
                  </w:r>
                </w:p>
              </w:tc>
              <w:tc>
                <w:tcPr>
                  <w:tcW w:w="708" w:type="pct"/>
                  <w:tcBorders>
                    <w:tl2br w:val="nil"/>
                    <w:tr2bl w:val="nil"/>
                  </w:tcBorders>
                  <w:shd w:val="clear" w:color="auto" w:fill="auto"/>
                  <w:vAlign w:val="center"/>
                </w:tcPr>
                <w:p w14:paraId="25FDB2E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噪声贡献值/dB(A)</w:t>
                  </w:r>
                </w:p>
              </w:tc>
              <w:tc>
                <w:tcPr>
                  <w:tcW w:w="708" w:type="pct"/>
                  <w:tcBorders>
                    <w:tl2br w:val="nil"/>
                    <w:tr2bl w:val="nil"/>
                  </w:tcBorders>
                  <w:shd w:val="clear" w:color="auto" w:fill="auto"/>
                  <w:vAlign w:val="center"/>
                </w:tcPr>
                <w:p w14:paraId="134D07C3">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噪声预测值/dB(A)</w:t>
                  </w:r>
                </w:p>
              </w:tc>
              <w:tc>
                <w:tcPr>
                  <w:tcW w:w="708" w:type="pct"/>
                  <w:tcBorders>
                    <w:tl2br w:val="nil"/>
                    <w:tr2bl w:val="nil"/>
                  </w:tcBorders>
                  <w:shd w:val="clear" w:color="auto" w:fill="auto"/>
                  <w:vAlign w:val="center"/>
                </w:tcPr>
                <w:p w14:paraId="50D894D5">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较现状增量/dB(A)</w:t>
                  </w:r>
                </w:p>
              </w:tc>
              <w:tc>
                <w:tcPr>
                  <w:tcW w:w="560" w:type="pct"/>
                  <w:tcBorders>
                    <w:tl2br w:val="nil"/>
                    <w:tr2bl w:val="nil"/>
                  </w:tcBorders>
                  <w:shd w:val="clear" w:color="auto" w:fill="auto"/>
                  <w:vAlign w:val="center"/>
                </w:tcPr>
                <w:p w14:paraId="3FCE3A71">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超标和达标情况</w:t>
                  </w:r>
                </w:p>
              </w:tc>
            </w:tr>
            <w:tr w14:paraId="32A636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200" w:type="pct"/>
                  <w:vMerge w:val="continue"/>
                  <w:tcBorders>
                    <w:tl2br w:val="nil"/>
                    <w:tr2bl w:val="nil"/>
                  </w:tcBorders>
                  <w:shd w:val="clear" w:color="auto" w:fill="auto"/>
                  <w:vAlign w:val="center"/>
                </w:tcPr>
                <w:p w14:paraId="2245CF4D">
                  <w:pPr>
                    <w:jc w:val="center"/>
                    <w:rPr>
                      <w:rFonts w:hint="default" w:ascii="Times New Roman" w:hAnsi="Times New Roman" w:cs="Times New Roman" w:eastAsiaTheme="minorEastAsia"/>
                      <w:color w:val="auto"/>
                      <w:sz w:val="21"/>
                      <w:szCs w:val="21"/>
                    </w:rPr>
                  </w:pPr>
                </w:p>
              </w:tc>
              <w:tc>
                <w:tcPr>
                  <w:tcW w:w="888" w:type="pct"/>
                  <w:vMerge w:val="continue"/>
                  <w:tcBorders>
                    <w:tl2br w:val="nil"/>
                    <w:tr2bl w:val="nil"/>
                  </w:tcBorders>
                  <w:shd w:val="clear" w:color="auto" w:fill="auto"/>
                  <w:vAlign w:val="center"/>
                </w:tcPr>
                <w:p w14:paraId="2BBCD624">
                  <w:pPr>
                    <w:jc w:val="center"/>
                    <w:rPr>
                      <w:rFonts w:hint="default" w:ascii="Times New Roman" w:hAnsi="Times New Roman" w:cs="Times New Roman" w:eastAsiaTheme="minorEastAsia"/>
                      <w:color w:val="auto"/>
                      <w:sz w:val="21"/>
                      <w:szCs w:val="21"/>
                    </w:rPr>
                  </w:pPr>
                </w:p>
              </w:tc>
              <w:tc>
                <w:tcPr>
                  <w:tcW w:w="569" w:type="pct"/>
                  <w:tcBorders>
                    <w:tl2br w:val="nil"/>
                    <w:tr2bl w:val="nil"/>
                  </w:tcBorders>
                  <w:shd w:val="clear" w:color="auto" w:fill="auto"/>
                  <w:vAlign w:val="center"/>
                </w:tcPr>
                <w:p w14:paraId="7B9685E0">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w:t>
                  </w:r>
                </w:p>
              </w:tc>
              <w:tc>
                <w:tcPr>
                  <w:tcW w:w="654" w:type="pct"/>
                  <w:tcBorders>
                    <w:tl2br w:val="nil"/>
                    <w:tr2bl w:val="nil"/>
                  </w:tcBorders>
                  <w:shd w:val="clear" w:color="auto" w:fill="auto"/>
                  <w:vAlign w:val="center"/>
                </w:tcPr>
                <w:p w14:paraId="60541286">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w:t>
                  </w:r>
                </w:p>
              </w:tc>
              <w:tc>
                <w:tcPr>
                  <w:tcW w:w="708" w:type="pct"/>
                  <w:tcBorders>
                    <w:tl2br w:val="nil"/>
                    <w:tr2bl w:val="nil"/>
                  </w:tcBorders>
                  <w:shd w:val="clear" w:color="auto" w:fill="auto"/>
                  <w:vAlign w:val="center"/>
                </w:tcPr>
                <w:p w14:paraId="6152BF36">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w:t>
                  </w:r>
                </w:p>
              </w:tc>
              <w:tc>
                <w:tcPr>
                  <w:tcW w:w="708" w:type="pct"/>
                  <w:tcBorders>
                    <w:tl2br w:val="nil"/>
                    <w:tr2bl w:val="nil"/>
                  </w:tcBorders>
                  <w:shd w:val="clear" w:color="auto" w:fill="auto"/>
                  <w:vAlign w:val="center"/>
                </w:tcPr>
                <w:p w14:paraId="6533510C">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w:t>
                  </w:r>
                </w:p>
              </w:tc>
              <w:tc>
                <w:tcPr>
                  <w:tcW w:w="708" w:type="pct"/>
                  <w:tcBorders>
                    <w:tl2br w:val="nil"/>
                    <w:tr2bl w:val="nil"/>
                  </w:tcBorders>
                  <w:shd w:val="clear" w:color="auto" w:fill="auto"/>
                  <w:vAlign w:val="center"/>
                </w:tcPr>
                <w:p w14:paraId="31376451">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w:t>
                  </w:r>
                </w:p>
              </w:tc>
              <w:tc>
                <w:tcPr>
                  <w:tcW w:w="560" w:type="pct"/>
                  <w:tcBorders>
                    <w:tl2br w:val="nil"/>
                    <w:tr2bl w:val="nil"/>
                  </w:tcBorders>
                  <w:shd w:val="clear" w:color="auto" w:fill="auto"/>
                  <w:vAlign w:val="center"/>
                </w:tcPr>
                <w:p w14:paraId="49FB6987">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昼间</w:t>
                  </w:r>
                </w:p>
              </w:tc>
            </w:tr>
            <w:tr w14:paraId="3BF091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0" w:type="pct"/>
                  <w:tcBorders>
                    <w:tl2br w:val="nil"/>
                    <w:tr2bl w:val="nil"/>
                  </w:tcBorders>
                  <w:shd w:val="clear" w:color="auto" w:fill="auto"/>
                  <w:vAlign w:val="center"/>
                </w:tcPr>
                <w:p w14:paraId="2288DF6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c>
                <w:tcPr>
                  <w:tcW w:w="888" w:type="pct"/>
                  <w:tcBorders>
                    <w:tl2br w:val="nil"/>
                    <w:tr2bl w:val="nil"/>
                  </w:tcBorders>
                  <w:shd w:val="clear" w:color="auto" w:fill="auto"/>
                  <w:vAlign w:val="center"/>
                </w:tcPr>
                <w:p w14:paraId="5D10568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北侧居民楼三楼</w:t>
                  </w:r>
                </w:p>
              </w:tc>
              <w:tc>
                <w:tcPr>
                  <w:tcW w:w="569" w:type="pct"/>
                  <w:tcBorders>
                    <w:tl2br w:val="nil"/>
                    <w:tr2bl w:val="nil"/>
                  </w:tcBorders>
                  <w:shd w:val="clear" w:color="auto" w:fill="auto"/>
                  <w:vAlign w:val="center"/>
                </w:tcPr>
                <w:p w14:paraId="3C83973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42</w:t>
                  </w:r>
                </w:p>
              </w:tc>
              <w:tc>
                <w:tcPr>
                  <w:tcW w:w="654" w:type="pct"/>
                  <w:tcBorders>
                    <w:tl2br w:val="nil"/>
                    <w:tr2bl w:val="nil"/>
                  </w:tcBorders>
                  <w:shd w:val="clear" w:color="auto" w:fill="auto"/>
                  <w:vAlign w:val="center"/>
                </w:tcPr>
                <w:p w14:paraId="0661940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708" w:type="pct"/>
                  <w:tcBorders>
                    <w:tl2br w:val="nil"/>
                    <w:tr2bl w:val="nil"/>
                  </w:tcBorders>
                  <w:shd w:val="clear" w:color="auto" w:fill="auto"/>
                  <w:vAlign w:val="center"/>
                </w:tcPr>
                <w:p w14:paraId="36335357">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47.2</w:t>
                  </w:r>
                </w:p>
              </w:tc>
              <w:tc>
                <w:tcPr>
                  <w:tcW w:w="708" w:type="pct"/>
                  <w:tcBorders>
                    <w:tl2br w:val="nil"/>
                    <w:tr2bl w:val="nil"/>
                  </w:tcBorders>
                  <w:shd w:val="clear" w:color="auto" w:fill="auto"/>
                  <w:vAlign w:val="center"/>
                </w:tcPr>
                <w:p w14:paraId="2C444C78">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48.3</w:t>
                  </w:r>
                </w:p>
              </w:tc>
              <w:tc>
                <w:tcPr>
                  <w:tcW w:w="708" w:type="pct"/>
                  <w:tcBorders>
                    <w:tl2br w:val="nil"/>
                    <w:tr2bl w:val="nil"/>
                  </w:tcBorders>
                  <w:shd w:val="clear" w:color="auto" w:fill="auto"/>
                  <w:vAlign w:val="center"/>
                </w:tcPr>
                <w:p w14:paraId="1733FEF8">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6.3</w:t>
                  </w:r>
                </w:p>
              </w:tc>
              <w:tc>
                <w:tcPr>
                  <w:tcW w:w="560" w:type="pct"/>
                  <w:tcBorders>
                    <w:tl2br w:val="nil"/>
                    <w:tr2bl w:val="nil"/>
                  </w:tcBorders>
                  <w:shd w:val="clear" w:color="auto" w:fill="auto"/>
                  <w:vAlign w:val="center"/>
                </w:tcPr>
                <w:p w14:paraId="6C3F2F3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066EF2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200" w:type="pct"/>
                  <w:tcBorders>
                    <w:tl2br w:val="nil"/>
                    <w:tr2bl w:val="nil"/>
                  </w:tcBorders>
                  <w:shd w:val="clear" w:color="auto" w:fill="auto"/>
                  <w:vAlign w:val="center"/>
                </w:tcPr>
                <w:p w14:paraId="09818A9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w:t>
                  </w:r>
                </w:p>
              </w:tc>
              <w:tc>
                <w:tcPr>
                  <w:tcW w:w="888" w:type="pct"/>
                  <w:tcBorders>
                    <w:tl2br w:val="nil"/>
                    <w:tr2bl w:val="nil"/>
                  </w:tcBorders>
                  <w:shd w:val="clear" w:color="auto" w:fill="auto"/>
                  <w:vAlign w:val="center"/>
                </w:tcPr>
                <w:p w14:paraId="22EEDD8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南侧居民楼四楼</w:t>
                  </w:r>
                </w:p>
              </w:tc>
              <w:tc>
                <w:tcPr>
                  <w:tcW w:w="569" w:type="pct"/>
                  <w:tcBorders>
                    <w:tl2br w:val="nil"/>
                    <w:tr2bl w:val="nil"/>
                  </w:tcBorders>
                  <w:shd w:val="clear" w:color="auto" w:fill="auto"/>
                  <w:vAlign w:val="center"/>
                </w:tcPr>
                <w:p w14:paraId="560A33C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38</w:t>
                  </w:r>
                </w:p>
              </w:tc>
              <w:tc>
                <w:tcPr>
                  <w:tcW w:w="654" w:type="pct"/>
                  <w:tcBorders>
                    <w:tl2br w:val="nil"/>
                    <w:tr2bl w:val="nil"/>
                  </w:tcBorders>
                  <w:shd w:val="clear" w:color="auto" w:fill="auto"/>
                  <w:vAlign w:val="center"/>
                </w:tcPr>
                <w:p w14:paraId="27220AF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708" w:type="pct"/>
                  <w:tcBorders>
                    <w:tl2br w:val="nil"/>
                    <w:tr2bl w:val="nil"/>
                  </w:tcBorders>
                  <w:shd w:val="clear" w:color="auto" w:fill="auto"/>
                  <w:vAlign w:val="center"/>
                </w:tcPr>
                <w:p w14:paraId="4A33548B">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47.7</w:t>
                  </w:r>
                </w:p>
              </w:tc>
              <w:tc>
                <w:tcPr>
                  <w:tcW w:w="708" w:type="pct"/>
                  <w:tcBorders>
                    <w:tl2br w:val="nil"/>
                    <w:tr2bl w:val="nil"/>
                  </w:tcBorders>
                  <w:shd w:val="clear" w:color="auto" w:fill="auto"/>
                  <w:vAlign w:val="center"/>
                </w:tcPr>
                <w:p w14:paraId="2655A48F">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48.1</w:t>
                  </w:r>
                </w:p>
              </w:tc>
              <w:tc>
                <w:tcPr>
                  <w:tcW w:w="708" w:type="pct"/>
                  <w:tcBorders>
                    <w:tl2br w:val="nil"/>
                    <w:tr2bl w:val="nil"/>
                  </w:tcBorders>
                  <w:shd w:val="clear" w:color="auto" w:fill="auto"/>
                  <w:vAlign w:val="center"/>
                </w:tcPr>
                <w:p w14:paraId="47405E7F">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10.1</w:t>
                  </w:r>
                </w:p>
              </w:tc>
              <w:tc>
                <w:tcPr>
                  <w:tcW w:w="560" w:type="pct"/>
                  <w:tcBorders>
                    <w:tl2br w:val="nil"/>
                    <w:tr2bl w:val="nil"/>
                  </w:tcBorders>
                  <w:shd w:val="clear" w:color="auto" w:fill="auto"/>
                  <w:vAlign w:val="center"/>
                </w:tcPr>
                <w:p w14:paraId="408065B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5A411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200" w:type="pct"/>
                  <w:tcBorders>
                    <w:tl2br w:val="nil"/>
                    <w:tr2bl w:val="nil"/>
                  </w:tcBorders>
                  <w:shd w:val="clear" w:color="auto" w:fill="auto"/>
                  <w:vAlign w:val="center"/>
                </w:tcPr>
                <w:p w14:paraId="04F5052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w:t>
                  </w:r>
                </w:p>
              </w:tc>
              <w:tc>
                <w:tcPr>
                  <w:tcW w:w="888" w:type="pct"/>
                  <w:tcBorders>
                    <w:tl2br w:val="nil"/>
                    <w:tr2bl w:val="nil"/>
                  </w:tcBorders>
                  <w:shd w:val="clear" w:color="auto" w:fill="auto"/>
                  <w:vAlign w:val="center"/>
                </w:tcPr>
                <w:p w14:paraId="18728E7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南侧居民楼三楼</w:t>
                  </w:r>
                </w:p>
              </w:tc>
              <w:tc>
                <w:tcPr>
                  <w:tcW w:w="569" w:type="pct"/>
                  <w:tcBorders>
                    <w:tl2br w:val="nil"/>
                    <w:tr2bl w:val="nil"/>
                  </w:tcBorders>
                  <w:shd w:val="clear" w:color="auto" w:fill="auto"/>
                  <w:vAlign w:val="center"/>
                </w:tcPr>
                <w:p w14:paraId="50AAA1C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47</w:t>
                  </w:r>
                </w:p>
              </w:tc>
              <w:tc>
                <w:tcPr>
                  <w:tcW w:w="654" w:type="pct"/>
                  <w:tcBorders>
                    <w:tl2br w:val="nil"/>
                    <w:tr2bl w:val="nil"/>
                  </w:tcBorders>
                  <w:shd w:val="clear" w:color="auto" w:fill="auto"/>
                  <w:vAlign w:val="center"/>
                </w:tcPr>
                <w:p w14:paraId="042E9DB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708" w:type="pct"/>
                  <w:tcBorders>
                    <w:tl2br w:val="nil"/>
                    <w:tr2bl w:val="nil"/>
                  </w:tcBorders>
                  <w:shd w:val="clear" w:color="auto" w:fill="auto"/>
                  <w:vAlign w:val="center"/>
                </w:tcPr>
                <w:p w14:paraId="1AE59C9D">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47.7</w:t>
                  </w:r>
                </w:p>
              </w:tc>
              <w:tc>
                <w:tcPr>
                  <w:tcW w:w="708" w:type="pct"/>
                  <w:tcBorders>
                    <w:tl2br w:val="nil"/>
                    <w:tr2bl w:val="nil"/>
                  </w:tcBorders>
                  <w:shd w:val="clear" w:color="auto" w:fill="auto"/>
                  <w:vAlign w:val="center"/>
                </w:tcPr>
                <w:p w14:paraId="445F9382">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50.4</w:t>
                  </w:r>
                </w:p>
              </w:tc>
              <w:tc>
                <w:tcPr>
                  <w:tcW w:w="708" w:type="pct"/>
                  <w:tcBorders>
                    <w:tl2br w:val="nil"/>
                    <w:tr2bl w:val="nil"/>
                  </w:tcBorders>
                  <w:shd w:val="clear" w:color="auto" w:fill="auto"/>
                  <w:vAlign w:val="center"/>
                </w:tcPr>
                <w:p w14:paraId="6692292F">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3.4</w:t>
                  </w:r>
                </w:p>
              </w:tc>
              <w:tc>
                <w:tcPr>
                  <w:tcW w:w="560" w:type="pct"/>
                  <w:tcBorders>
                    <w:tl2br w:val="nil"/>
                    <w:tr2bl w:val="nil"/>
                  </w:tcBorders>
                  <w:shd w:val="clear" w:color="auto" w:fill="auto"/>
                  <w:vAlign w:val="center"/>
                </w:tcPr>
                <w:p w14:paraId="01795D2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4470FD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0" w:type="pct"/>
                  <w:tcBorders>
                    <w:tl2br w:val="nil"/>
                    <w:tr2bl w:val="nil"/>
                  </w:tcBorders>
                  <w:shd w:val="clear" w:color="auto" w:fill="auto"/>
                  <w:vAlign w:val="center"/>
                </w:tcPr>
                <w:p w14:paraId="74FE00B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w:t>
                  </w:r>
                </w:p>
              </w:tc>
              <w:tc>
                <w:tcPr>
                  <w:tcW w:w="888" w:type="pct"/>
                  <w:tcBorders>
                    <w:tl2br w:val="nil"/>
                    <w:tr2bl w:val="nil"/>
                  </w:tcBorders>
                  <w:shd w:val="clear" w:color="auto" w:fill="auto"/>
                  <w:vAlign w:val="center"/>
                </w:tcPr>
                <w:p w14:paraId="6F21C32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南侧居民楼二楼</w:t>
                  </w:r>
                </w:p>
              </w:tc>
              <w:tc>
                <w:tcPr>
                  <w:tcW w:w="569" w:type="pct"/>
                  <w:tcBorders>
                    <w:tl2br w:val="nil"/>
                    <w:tr2bl w:val="nil"/>
                  </w:tcBorders>
                  <w:shd w:val="clear" w:color="auto" w:fill="auto"/>
                  <w:vAlign w:val="center"/>
                </w:tcPr>
                <w:p w14:paraId="76FD761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48</w:t>
                  </w:r>
                </w:p>
              </w:tc>
              <w:tc>
                <w:tcPr>
                  <w:tcW w:w="654" w:type="pct"/>
                  <w:tcBorders>
                    <w:tl2br w:val="nil"/>
                    <w:tr2bl w:val="nil"/>
                  </w:tcBorders>
                  <w:shd w:val="clear" w:color="auto" w:fill="auto"/>
                  <w:vAlign w:val="center"/>
                </w:tcPr>
                <w:p w14:paraId="17C72EE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708" w:type="pct"/>
                  <w:tcBorders>
                    <w:tl2br w:val="nil"/>
                    <w:tr2bl w:val="nil"/>
                  </w:tcBorders>
                  <w:shd w:val="clear" w:color="auto" w:fill="auto"/>
                  <w:vAlign w:val="center"/>
                </w:tcPr>
                <w:p w14:paraId="254956C4">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46.9</w:t>
                  </w:r>
                </w:p>
              </w:tc>
              <w:tc>
                <w:tcPr>
                  <w:tcW w:w="708" w:type="pct"/>
                  <w:tcBorders>
                    <w:tl2br w:val="nil"/>
                    <w:tr2bl w:val="nil"/>
                  </w:tcBorders>
                  <w:shd w:val="clear" w:color="auto" w:fill="auto"/>
                  <w:vAlign w:val="center"/>
                </w:tcPr>
                <w:p w14:paraId="229D1234">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50.5</w:t>
                  </w:r>
                </w:p>
              </w:tc>
              <w:tc>
                <w:tcPr>
                  <w:tcW w:w="708" w:type="pct"/>
                  <w:tcBorders>
                    <w:tl2br w:val="nil"/>
                    <w:tr2bl w:val="nil"/>
                  </w:tcBorders>
                  <w:shd w:val="clear" w:color="auto" w:fill="auto"/>
                  <w:vAlign w:val="center"/>
                </w:tcPr>
                <w:p w14:paraId="118E5133">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2.5</w:t>
                  </w:r>
                </w:p>
              </w:tc>
              <w:tc>
                <w:tcPr>
                  <w:tcW w:w="560" w:type="pct"/>
                  <w:tcBorders>
                    <w:tl2br w:val="nil"/>
                    <w:tr2bl w:val="nil"/>
                  </w:tcBorders>
                  <w:shd w:val="clear" w:color="auto" w:fill="auto"/>
                  <w:vAlign w:val="center"/>
                </w:tcPr>
                <w:p w14:paraId="42C7171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1916D5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200" w:type="pct"/>
                  <w:tcBorders>
                    <w:tl2br w:val="nil"/>
                    <w:tr2bl w:val="nil"/>
                  </w:tcBorders>
                  <w:shd w:val="clear" w:color="auto" w:fill="auto"/>
                  <w:vAlign w:val="center"/>
                </w:tcPr>
                <w:p w14:paraId="06B68C8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w:t>
                  </w:r>
                </w:p>
              </w:tc>
              <w:tc>
                <w:tcPr>
                  <w:tcW w:w="888" w:type="pct"/>
                  <w:tcBorders>
                    <w:tl2br w:val="nil"/>
                    <w:tr2bl w:val="nil"/>
                  </w:tcBorders>
                  <w:shd w:val="clear" w:color="auto" w:fill="auto"/>
                  <w:vAlign w:val="center"/>
                </w:tcPr>
                <w:p w14:paraId="6D1351F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南侧居民楼一楼</w:t>
                  </w:r>
                </w:p>
              </w:tc>
              <w:tc>
                <w:tcPr>
                  <w:tcW w:w="569" w:type="pct"/>
                  <w:tcBorders>
                    <w:tl2br w:val="nil"/>
                    <w:tr2bl w:val="nil"/>
                  </w:tcBorders>
                  <w:shd w:val="clear" w:color="auto" w:fill="auto"/>
                  <w:vAlign w:val="center"/>
                </w:tcPr>
                <w:p w14:paraId="1B8DBAD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w:t>
                  </w:r>
                </w:p>
              </w:tc>
              <w:tc>
                <w:tcPr>
                  <w:tcW w:w="654" w:type="pct"/>
                  <w:tcBorders>
                    <w:tl2br w:val="nil"/>
                    <w:tr2bl w:val="nil"/>
                  </w:tcBorders>
                  <w:shd w:val="clear" w:color="auto" w:fill="auto"/>
                  <w:vAlign w:val="center"/>
                </w:tcPr>
                <w:p w14:paraId="6E6FDDF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w:t>
                  </w:r>
                </w:p>
              </w:tc>
              <w:tc>
                <w:tcPr>
                  <w:tcW w:w="708" w:type="pct"/>
                  <w:tcBorders>
                    <w:tl2br w:val="nil"/>
                    <w:tr2bl w:val="nil"/>
                  </w:tcBorders>
                  <w:shd w:val="clear" w:color="auto" w:fill="auto"/>
                  <w:vAlign w:val="center"/>
                </w:tcPr>
                <w:p w14:paraId="4E899E20">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46.2</w:t>
                  </w:r>
                </w:p>
              </w:tc>
              <w:tc>
                <w:tcPr>
                  <w:tcW w:w="708" w:type="pct"/>
                  <w:tcBorders>
                    <w:tl2br w:val="nil"/>
                    <w:tr2bl w:val="nil"/>
                  </w:tcBorders>
                  <w:shd w:val="clear" w:color="auto" w:fill="auto"/>
                  <w:vAlign w:val="center"/>
                </w:tcPr>
                <w:p w14:paraId="4D63B41A">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49.1</w:t>
                  </w:r>
                </w:p>
              </w:tc>
              <w:tc>
                <w:tcPr>
                  <w:tcW w:w="708" w:type="pct"/>
                  <w:tcBorders>
                    <w:tl2br w:val="nil"/>
                    <w:tr2bl w:val="nil"/>
                  </w:tcBorders>
                  <w:shd w:val="clear" w:color="auto" w:fill="auto"/>
                  <w:vAlign w:val="center"/>
                </w:tcPr>
                <w:p w14:paraId="0FF3D50D">
                  <w:pPr>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3.1</w:t>
                  </w:r>
                </w:p>
              </w:tc>
              <w:tc>
                <w:tcPr>
                  <w:tcW w:w="560" w:type="pct"/>
                  <w:tcBorders>
                    <w:tl2br w:val="nil"/>
                    <w:tr2bl w:val="nil"/>
                  </w:tcBorders>
                  <w:shd w:val="clear" w:color="auto" w:fill="auto"/>
                  <w:vAlign w:val="center"/>
                </w:tcPr>
                <w:p w14:paraId="7E606F5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bl>
          <w:p w14:paraId="2430AF22">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根据以上预测结果可以看出，主要噪声源通过采取降噪措施以及合理布置产噪设备的位置，项目在正常工况下昼间厂界噪声能够满足《工业企业厂界环境噪声排放标准》（GB12348-2008）</w:t>
            </w:r>
            <w:r>
              <w:rPr>
                <w:rFonts w:hint="eastAsia" w:cs="Times New Roman"/>
                <w:color w:val="auto"/>
                <w:sz w:val="24"/>
                <w:lang w:val="en-US" w:eastAsia="zh-CN"/>
              </w:rPr>
              <w:t>1</w:t>
            </w:r>
            <w:r>
              <w:rPr>
                <w:rFonts w:hint="default" w:ascii="Times New Roman" w:hAnsi="Times New Roman" w:cs="Times New Roman"/>
                <w:color w:val="auto"/>
                <w:sz w:val="24"/>
              </w:rPr>
              <w:t>类</w:t>
            </w:r>
            <w:r>
              <w:rPr>
                <w:rFonts w:hint="eastAsia" w:cs="Times New Roman"/>
                <w:color w:val="auto"/>
                <w:sz w:val="24"/>
                <w:lang w:val="en-US" w:eastAsia="zh-CN"/>
              </w:rPr>
              <w:t>和4类</w:t>
            </w:r>
            <w:r>
              <w:rPr>
                <w:rFonts w:hint="default" w:ascii="Times New Roman" w:hAnsi="Times New Roman" w:cs="Times New Roman"/>
                <w:color w:val="auto"/>
                <w:sz w:val="24"/>
              </w:rPr>
              <w:t>标准要求</w:t>
            </w:r>
            <w:r>
              <w:rPr>
                <w:rFonts w:hint="eastAsia" w:cs="Times New Roman"/>
                <w:color w:val="auto"/>
                <w:sz w:val="24"/>
                <w:lang w:eastAsia="zh-CN"/>
              </w:rPr>
              <w:t>，</w:t>
            </w:r>
            <w:r>
              <w:rPr>
                <w:rFonts w:hint="eastAsia" w:cs="Times New Roman"/>
                <w:color w:val="auto"/>
                <w:sz w:val="24"/>
                <w:lang w:val="en-US" w:eastAsia="zh-CN"/>
              </w:rPr>
              <w:t>声环境保护目标噪声能够满足《声环境质量标准》（GB3096-2008）中1类标准要求</w:t>
            </w:r>
            <w:r>
              <w:rPr>
                <w:rFonts w:hint="default" w:ascii="Times New Roman" w:hAnsi="Times New Roman" w:cs="Times New Roman"/>
                <w:color w:val="auto"/>
                <w:sz w:val="24"/>
              </w:rPr>
              <w:t>。</w:t>
            </w:r>
          </w:p>
          <w:p w14:paraId="7ABB7CA5">
            <w:pPr>
              <w:adjustRightInd w:val="0"/>
              <w:snapToGrid w:val="0"/>
              <w:spacing w:line="360" w:lineRule="auto"/>
              <w:ind w:left="420"/>
              <w:rPr>
                <w:rFonts w:hint="default" w:ascii="Times New Roman" w:hAnsi="Times New Roman" w:cs="Times New Roman"/>
                <w:b/>
                <w:bCs/>
                <w:color w:val="auto"/>
                <w:sz w:val="24"/>
              </w:rPr>
            </w:pPr>
            <w:r>
              <w:rPr>
                <w:rFonts w:hint="default" w:ascii="Times New Roman" w:hAnsi="Times New Roman" w:cs="Times New Roman"/>
                <w:b/>
                <w:bCs/>
                <w:color w:val="auto"/>
                <w:sz w:val="24"/>
              </w:rPr>
              <w:t>4、噪声环境影响保护措施</w:t>
            </w:r>
          </w:p>
          <w:p w14:paraId="3AF24439">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针对噪声特点，为减少项目生产噪声对周边环境的影响，要求企业生产过程中落实以下措施：</w:t>
            </w:r>
          </w:p>
          <w:p w14:paraId="514E354C">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①建设单位</w:t>
            </w:r>
            <w:r>
              <w:rPr>
                <w:rFonts w:hint="default" w:ascii="Times New Roman" w:hAnsi="Times New Roman" w:cs="Times New Roman"/>
                <w:color w:val="auto"/>
                <w:sz w:val="24"/>
                <w:lang w:eastAsia="zh-CN"/>
              </w:rPr>
              <w:t>实验应</w:t>
            </w:r>
            <w:r>
              <w:rPr>
                <w:rFonts w:hint="default" w:ascii="Times New Roman" w:hAnsi="Times New Roman" w:cs="Times New Roman"/>
                <w:color w:val="auto"/>
                <w:sz w:val="24"/>
              </w:rPr>
              <w:t>选用具有国家环保标志的产品。</w:t>
            </w:r>
          </w:p>
          <w:p w14:paraId="2902DAA3">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②引风机与管道、管道与管道连接采用柔性连接材料，转弯处采用弧形弯道，从而有效降低了空气动力噪声。</w:t>
            </w:r>
          </w:p>
          <w:p w14:paraId="6D8A7408">
            <w:pPr>
              <w:adjustRightInd w:val="0"/>
              <w:snapToGrid w:val="0"/>
              <w:spacing w:line="360" w:lineRule="auto"/>
              <w:ind w:firstLine="482" w:firstLineChars="200"/>
              <w:rPr>
                <w:rFonts w:hint="default" w:ascii="Times New Roman" w:hAnsi="Times New Roman" w:cs="Times New Roman"/>
                <w:b/>
                <w:bCs/>
                <w:color w:val="auto"/>
                <w:sz w:val="24"/>
                <w:szCs w:val="32"/>
              </w:rPr>
            </w:pPr>
            <w:r>
              <w:rPr>
                <w:rFonts w:hint="eastAsia" w:cs="Times New Roman"/>
                <w:b/>
                <w:bCs/>
                <w:color w:val="auto"/>
                <w:sz w:val="24"/>
                <w:szCs w:val="32"/>
                <w:lang w:val="en-US" w:eastAsia="zh-CN"/>
              </w:rPr>
              <w:t>5</w:t>
            </w:r>
            <w:r>
              <w:rPr>
                <w:rFonts w:hint="default" w:ascii="Times New Roman" w:hAnsi="Times New Roman" w:cs="Times New Roman"/>
                <w:b/>
                <w:bCs/>
                <w:color w:val="auto"/>
                <w:sz w:val="24"/>
                <w:szCs w:val="32"/>
              </w:rPr>
              <w:t>、环境监测与管理</w:t>
            </w:r>
          </w:p>
          <w:p w14:paraId="7392486B">
            <w:pPr>
              <w:adjustRightInd w:val="0"/>
              <w:snapToGrid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根据《排污单位自行监测技术指南 总则》，本项目噪声排放监测计划</w:t>
            </w:r>
            <w:r>
              <w:rPr>
                <w:rFonts w:hint="eastAsia" w:cs="Times New Roman"/>
                <w:bCs/>
                <w:color w:val="auto"/>
                <w:kern w:val="0"/>
                <w:sz w:val="24"/>
                <w:lang w:val="en-US" w:eastAsia="zh-CN"/>
              </w:rPr>
              <w:t>见表4-12</w:t>
            </w:r>
            <w:r>
              <w:rPr>
                <w:rFonts w:hint="default" w:ascii="Times New Roman" w:hAnsi="Times New Roman" w:cs="Times New Roman"/>
                <w:bCs/>
                <w:color w:val="auto"/>
                <w:kern w:val="0"/>
                <w:sz w:val="24"/>
              </w:rPr>
              <w:t>。</w:t>
            </w:r>
          </w:p>
          <w:p w14:paraId="4DF13844">
            <w:pPr>
              <w:pStyle w:val="54"/>
              <w:adjustRightInd w:val="0"/>
              <w:snapToGrid w:val="0"/>
              <w:rPr>
                <w:rFonts w:hint="default" w:ascii="Times New Roman" w:hAnsi="Times New Roman" w:cs="Times New Roman"/>
                <w:color w:val="auto"/>
              </w:rPr>
            </w:pPr>
            <w:r>
              <w:rPr>
                <w:rFonts w:hint="default" w:ascii="Times New Roman" w:hAnsi="Times New Roman" w:cs="Times New Roman"/>
                <w:color w:val="auto"/>
              </w:rPr>
              <w:t>表4-</w:t>
            </w:r>
            <w:r>
              <w:rPr>
                <w:rFonts w:hint="eastAsia" w:cs="Times New Roman"/>
                <w:color w:val="auto"/>
                <w:lang w:val="en-US" w:eastAsia="zh-CN"/>
              </w:rPr>
              <w:t>12</w:t>
            </w:r>
            <w:r>
              <w:rPr>
                <w:rFonts w:hint="default" w:ascii="Times New Roman" w:hAnsi="Times New Roman" w:cs="Times New Roman"/>
                <w:color w:val="auto"/>
                <w:lang w:val="en-US"/>
              </w:rPr>
              <w:t xml:space="preserve"> </w:t>
            </w:r>
            <w:r>
              <w:rPr>
                <w:rFonts w:hint="default" w:ascii="Times New Roman" w:hAnsi="Times New Roman" w:cs="Times New Roman"/>
                <w:color w:val="auto"/>
              </w:rPr>
              <w:t>本项目噪声自行监测一览表</w:t>
            </w:r>
          </w:p>
          <w:tbl>
            <w:tblPr>
              <w:tblStyle w:val="29"/>
              <w:tblW w:w="5000" w:type="pct"/>
              <w:jc w:val="center"/>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779"/>
              <w:gridCol w:w="1218"/>
              <w:gridCol w:w="2735"/>
              <w:gridCol w:w="832"/>
              <w:gridCol w:w="1849"/>
            </w:tblGrid>
            <w:tr w14:paraId="659FF9F0">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651" w:type="pct"/>
                  <w:tcBorders>
                    <w:tl2br w:val="nil"/>
                    <w:tr2bl w:val="nil"/>
                  </w:tcBorders>
                  <w:vAlign w:val="center"/>
                </w:tcPr>
                <w:p w14:paraId="3A086B3C">
                  <w:pPr>
                    <w:pStyle w:val="58"/>
                    <w:spacing w:after="0" w:line="240" w:lineRule="auto"/>
                    <w:ind w:right="0"/>
                    <w:jc w:val="center"/>
                    <w:rPr>
                      <w:rFonts w:hint="default" w:ascii="Times New Roman" w:hAnsi="Times New Roman" w:cs="Times New Roman"/>
                      <w:b/>
                      <w:bCs/>
                      <w:color w:val="auto"/>
                      <w:sz w:val="21"/>
                      <w:szCs w:val="21"/>
                    </w:rPr>
                  </w:pPr>
                  <w:bookmarkStart w:id="10" w:name="_Hlk68887805"/>
                  <w:r>
                    <w:rPr>
                      <w:rFonts w:hint="default" w:ascii="Times New Roman" w:hAnsi="Times New Roman" w:cs="Times New Roman"/>
                      <w:b/>
                      <w:bCs/>
                      <w:color w:val="auto"/>
                      <w:sz w:val="21"/>
                      <w:szCs w:val="21"/>
                    </w:rPr>
                    <w:t>监测点位</w:t>
                  </w:r>
                </w:p>
              </w:tc>
              <w:tc>
                <w:tcPr>
                  <w:tcW w:w="919" w:type="pct"/>
                  <w:tcBorders>
                    <w:tl2br w:val="nil"/>
                    <w:tr2bl w:val="nil"/>
                  </w:tcBorders>
                  <w:vAlign w:val="center"/>
                </w:tcPr>
                <w:p w14:paraId="7006B12A">
                  <w:pPr>
                    <w:pStyle w:val="58"/>
                    <w:spacing w:after="0" w:line="240" w:lineRule="auto"/>
                    <w:ind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629" w:type="pct"/>
                  <w:tcBorders>
                    <w:tl2br w:val="nil"/>
                    <w:tr2bl w:val="nil"/>
                  </w:tcBorders>
                  <w:vAlign w:val="center"/>
                </w:tcPr>
                <w:p w14:paraId="4BC78654">
                  <w:pPr>
                    <w:pStyle w:val="58"/>
                    <w:spacing w:after="0" w:line="240" w:lineRule="auto"/>
                    <w:ind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监测频次</w:t>
                  </w:r>
                </w:p>
              </w:tc>
              <w:tc>
                <w:tcPr>
                  <w:tcW w:w="1413" w:type="pct"/>
                  <w:tcBorders>
                    <w:tl2br w:val="nil"/>
                    <w:tr2bl w:val="nil"/>
                  </w:tcBorders>
                  <w:vAlign w:val="center"/>
                </w:tcPr>
                <w:p w14:paraId="407917E9">
                  <w:pPr>
                    <w:pStyle w:val="58"/>
                    <w:spacing w:after="0" w:line="240" w:lineRule="auto"/>
                    <w:ind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执行标准</w:t>
                  </w:r>
                </w:p>
              </w:tc>
              <w:tc>
                <w:tcPr>
                  <w:tcW w:w="430" w:type="pct"/>
                  <w:tcBorders>
                    <w:tl2br w:val="nil"/>
                    <w:tr2bl w:val="nil"/>
                  </w:tcBorders>
                  <w:vAlign w:val="center"/>
                </w:tcPr>
                <w:p w14:paraId="009725DB">
                  <w:pPr>
                    <w:pStyle w:val="58"/>
                    <w:spacing w:after="0" w:line="240" w:lineRule="auto"/>
                    <w:ind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级别</w:t>
                  </w:r>
                </w:p>
              </w:tc>
              <w:tc>
                <w:tcPr>
                  <w:tcW w:w="955" w:type="pct"/>
                  <w:tcBorders>
                    <w:tl2br w:val="nil"/>
                    <w:tr2bl w:val="nil"/>
                  </w:tcBorders>
                  <w:vAlign w:val="center"/>
                </w:tcPr>
                <w:p w14:paraId="4193FEBA">
                  <w:pPr>
                    <w:pStyle w:val="58"/>
                    <w:spacing w:after="0" w:line="240" w:lineRule="auto"/>
                    <w:ind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标准限值</w:t>
                  </w:r>
                </w:p>
              </w:tc>
            </w:tr>
            <w:tr w14:paraId="438CCF74">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4" w:hRule="atLeast"/>
                <w:jc w:val="center"/>
              </w:trPr>
              <w:tc>
                <w:tcPr>
                  <w:tcW w:w="651" w:type="pct"/>
                  <w:tcBorders>
                    <w:tl2br w:val="nil"/>
                    <w:tr2bl w:val="nil"/>
                  </w:tcBorders>
                  <w:vAlign w:val="center"/>
                </w:tcPr>
                <w:p w14:paraId="454465B9">
                  <w:pPr>
                    <w:pStyle w:val="58"/>
                    <w:spacing w:after="0" w:line="240" w:lineRule="auto"/>
                    <w:ind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厂界</w:t>
                  </w:r>
                  <w:r>
                    <w:rPr>
                      <w:rFonts w:hint="eastAsia" w:cs="Times New Roman"/>
                      <w:color w:val="auto"/>
                      <w:sz w:val="21"/>
                      <w:szCs w:val="21"/>
                      <w:lang w:val="en-US" w:eastAsia="zh-CN"/>
                    </w:rPr>
                    <w:t>东、南、北</w:t>
                  </w:r>
                </w:p>
              </w:tc>
              <w:tc>
                <w:tcPr>
                  <w:tcW w:w="919" w:type="pct"/>
                  <w:vMerge w:val="restart"/>
                  <w:tcBorders>
                    <w:tl2br w:val="nil"/>
                    <w:tr2bl w:val="nil"/>
                  </w:tcBorders>
                  <w:vAlign w:val="center"/>
                </w:tcPr>
                <w:p w14:paraId="6BFF3582">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629" w:type="pct"/>
                  <w:vMerge w:val="restart"/>
                  <w:tcBorders>
                    <w:tl2br w:val="nil"/>
                    <w:tr2bl w:val="nil"/>
                  </w:tcBorders>
                  <w:vAlign w:val="center"/>
                </w:tcPr>
                <w:p w14:paraId="38B4AB1F">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1次/季度</w:t>
                  </w:r>
                </w:p>
              </w:tc>
              <w:tc>
                <w:tcPr>
                  <w:tcW w:w="1413" w:type="pct"/>
                  <w:vMerge w:val="restart"/>
                  <w:tcBorders>
                    <w:tl2br w:val="nil"/>
                    <w:tr2bl w:val="nil"/>
                  </w:tcBorders>
                  <w:vAlign w:val="center"/>
                </w:tcPr>
                <w:p w14:paraId="06159783">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w:t>
                  </w:r>
                </w:p>
              </w:tc>
              <w:tc>
                <w:tcPr>
                  <w:tcW w:w="430" w:type="pct"/>
                  <w:tcBorders>
                    <w:tl2br w:val="nil"/>
                    <w:tr2bl w:val="nil"/>
                  </w:tcBorders>
                  <w:vAlign w:val="center"/>
                </w:tcPr>
                <w:p w14:paraId="05622880">
                  <w:pPr>
                    <w:pStyle w:val="58"/>
                    <w:spacing w:after="0" w:line="240" w:lineRule="auto"/>
                    <w:ind w:right="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1</w:t>
                  </w:r>
                  <w:r>
                    <w:rPr>
                      <w:rFonts w:hint="default" w:ascii="Times New Roman" w:hAnsi="Times New Roman" w:cs="Times New Roman"/>
                      <w:color w:val="auto"/>
                      <w:sz w:val="21"/>
                      <w:szCs w:val="21"/>
                    </w:rPr>
                    <w:t>类</w:t>
                  </w:r>
                </w:p>
              </w:tc>
              <w:tc>
                <w:tcPr>
                  <w:tcW w:w="955" w:type="pct"/>
                  <w:tcBorders>
                    <w:tl2br w:val="nil"/>
                    <w:tr2bl w:val="nil"/>
                  </w:tcBorders>
                  <w:vAlign w:val="center"/>
                </w:tcPr>
                <w:p w14:paraId="3D501044">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昼间：</w:t>
                  </w:r>
                  <w:r>
                    <w:rPr>
                      <w:rFonts w:hint="eastAsia" w:cs="Times New Roman"/>
                      <w:color w:val="auto"/>
                      <w:sz w:val="21"/>
                      <w:szCs w:val="21"/>
                      <w:lang w:val="en-US" w:eastAsia="zh-CN"/>
                    </w:rPr>
                    <w:t>55</w:t>
                  </w:r>
                  <w:r>
                    <w:rPr>
                      <w:rFonts w:hint="default" w:ascii="Times New Roman" w:hAnsi="Times New Roman" w:cs="Times New Roman"/>
                      <w:color w:val="auto"/>
                      <w:sz w:val="21"/>
                      <w:szCs w:val="21"/>
                    </w:rPr>
                    <w:t>dB（A）</w:t>
                  </w:r>
                </w:p>
              </w:tc>
            </w:tr>
            <w:tr w14:paraId="0899A7F8">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4" w:hRule="atLeast"/>
                <w:jc w:val="center"/>
              </w:trPr>
              <w:tc>
                <w:tcPr>
                  <w:tcW w:w="651" w:type="pct"/>
                  <w:tcBorders>
                    <w:tl2br w:val="nil"/>
                    <w:tr2bl w:val="nil"/>
                  </w:tcBorders>
                  <w:vAlign w:val="center"/>
                </w:tcPr>
                <w:p w14:paraId="733B7E52">
                  <w:pPr>
                    <w:pStyle w:val="58"/>
                    <w:spacing w:after="0" w:line="240" w:lineRule="auto"/>
                    <w:ind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厂界西</w:t>
                  </w:r>
                </w:p>
              </w:tc>
              <w:tc>
                <w:tcPr>
                  <w:tcW w:w="919" w:type="pct"/>
                  <w:vMerge w:val="continue"/>
                  <w:tcBorders>
                    <w:tl2br w:val="nil"/>
                    <w:tr2bl w:val="nil"/>
                  </w:tcBorders>
                  <w:vAlign w:val="center"/>
                </w:tcPr>
                <w:p w14:paraId="5105FB1D">
                  <w:pPr>
                    <w:pStyle w:val="58"/>
                    <w:spacing w:after="0" w:line="240" w:lineRule="auto"/>
                    <w:ind w:right="0"/>
                    <w:jc w:val="center"/>
                    <w:rPr>
                      <w:rFonts w:hint="default" w:ascii="Times New Roman" w:hAnsi="Times New Roman" w:cs="Times New Roman"/>
                      <w:color w:val="auto"/>
                      <w:sz w:val="21"/>
                      <w:szCs w:val="21"/>
                    </w:rPr>
                  </w:pPr>
                </w:p>
              </w:tc>
              <w:tc>
                <w:tcPr>
                  <w:tcW w:w="629" w:type="pct"/>
                  <w:vMerge w:val="continue"/>
                  <w:tcBorders>
                    <w:tl2br w:val="nil"/>
                    <w:tr2bl w:val="nil"/>
                  </w:tcBorders>
                  <w:vAlign w:val="center"/>
                </w:tcPr>
                <w:p w14:paraId="14C7002F">
                  <w:pPr>
                    <w:pStyle w:val="58"/>
                    <w:spacing w:after="0" w:line="240" w:lineRule="auto"/>
                    <w:ind w:right="0"/>
                    <w:jc w:val="center"/>
                    <w:rPr>
                      <w:rFonts w:hint="default" w:ascii="Times New Roman" w:hAnsi="Times New Roman" w:cs="Times New Roman"/>
                      <w:color w:val="auto"/>
                      <w:sz w:val="21"/>
                      <w:szCs w:val="21"/>
                    </w:rPr>
                  </w:pPr>
                </w:p>
              </w:tc>
              <w:tc>
                <w:tcPr>
                  <w:tcW w:w="1413" w:type="pct"/>
                  <w:vMerge w:val="continue"/>
                  <w:tcBorders>
                    <w:tl2br w:val="nil"/>
                    <w:tr2bl w:val="nil"/>
                  </w:tcBorders>
                  <w:vAlign w:val="center"/>
                </w:tcPr>
                <w:p w14:paraId="2EC649E9">
                  <w:pPr>
                    <w:pStyle w:val="58"/>
                    <w:spacing w:after="0" w:line="240" w:lineRule="auto"/>
                    <w:ind w:right="0"/>
                    <w:jc w:val="center"/>
                    <w:rPr>
                      <w:rFonts w:hint="default" w:ascii="Times New Roman" w:hAnsi="Times New Roman" w:cs="Times New Roman"/>
                      <w:color w:val="auto"/>
                      <w:sz w:val="21"/>
                      <w:szCs w:val="21"/>
                    </w:rPr>
                  </w:pPr>
                </w:p>
              </w:tc>
              <w:tc>
                <w:tcPr>
                  <w:tcW w:w="430" w:type="pct"/>
                  <w:tcBorders>
                    <w:tl2br w:val="nil"/>
                    <w:tr2bl w:val="nil"/>
                  </w:tcBorders>
                  <w:vAlign w:val="center"/>
                </w:tcPr>
                <w:p w14:paraId="6E8124D6">
                  <w:pPr>
                    <w:pStyle w:val="58"/>
                    <w:spacing w:after="0" w:line="240" w:lineRule="auto"/>
                    <w:ind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4类</w:t>
                  </w:r>
                </w:p>
              </w:tc>
              <w:tc>
                <w:tcPr>
                  <w:tcW w:w="955" w:type="pct"/>
                  <w:tcBorders>
                    <w:tl2br w:val="nil"/>
                    <w:tr2bl w:val="nil"/>
                  </w:tcBorders>
                  <w:vAlign w:val="center"/>
                </w:tcPr>
                <w:p w14:paraId="1EC82C4A">
                  <w:pPr>
                    <w:pStyle w:val="58"/>
                    <w:spacing w:after="0" w:line="240" w:lineRule="auto"/>
                    <w:ind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昼间：70dB（A）</w:t>
                  </w:r>
                </w:p>
              </w:tc>
            </w:tr>
            <w:tr w14:paraId="795D7CCF">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651" w:type="pct"/>
                  <w:tcBorders>
                    <w:tl2br w:val="nil"/>
                    <w:tr2bl w:val="nil"/>
                  </w:tcBorders>
                  <w:vAlign w:val="center"/>
                </w:tcPr>
                <w:p w14:paraId="28907D6A">
                  <w:pPr>
                    <w:pStyle w:val="58"/>
                    <w:spacing w:after="0" w:line="240" w:lineRule="auto"/>
                    <w:ind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声环境保护目标</w:t>
                  </w:r>
                </w:p>
              </w:tc>
              <w:tc>
                <w:tcPr>
                  <w:tcW w:w="919" w:type="pct"/>
                  <w:tcBorders>
                    <w:tl2br w:val="nil"/>
                    <w:tr2bl w:val="nil"/>
                  </w:tcBorders>
                  <w:vAlign w:val="center"/>
                </w:tcPr>
                <w:p w14:paraId="4BA6B468">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629" w:type="pct"/>
                  <w:tcBorders>
                    <w:tl2br w:val="nil"/>
                    <w:tr2bl w:val="nil"/>
                  </w:tcBorders>
                  <w:vAlign w:val="center"/>
                </w:tcPr>
                <w:p w14:paraId="7852EE5A">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1次/季度</w:t>
                  </w:r>
                </w:p>
              </w:tc>
              <w:tc>
                <w:tcPr>
                  <w:tcW w:w="1413" w:type="pct"/>
                  <w:tcBorders>
                    <w:tl2br w:val="nil"/>
                    <w:tr2bl w:val="nil"/>
                  </w:tcBorders>
                  <w:vAlign w:val="center"/>
                </w:tcPr>
                <w:p w14:paraId="7665CED9">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《声环境质量标准》（GB3096-2008）</w:t>
                  </w:r>
                </w:p>
              </w:tc>
              <w:tc>
                <w:tcPr>
                  <w:tcW w:w="430" w:type="pct"/>
                  <w:tcBorders>
                    <w:tl2br w:val="nil"/>
                    <w:tr2bl w:val="nil"/>
                  </w:tcBorders>
                  <w:vAlign w:val="center"/>
                </w:tcPr>
                <w:p w14:paraId="6E7C27F3">
                  <w:pPr>
                    <w:pStyle w:val="58"/>
                    <w:spacing w:after="0" w:line="240" w:lineRule="auto"/>
                    <w:ind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1类</w:t>
                  </w:r>
                </w:p>
              </w:tc>
              <w:tc>
                <w:tcPr>
                  <w:tcW w:w="955" w:type="pct"/>
                  <w:tcBorders>
                    <w:tl2br w:val="nil"/>
                    <w:tr2bl w:val="nil"/>
                  </w:tcBorders>
                  <w:vAlign w:val="center"/>
                </w:tcPr>
                <w:p w14:paraId="01A8BFC7">
                  <w:pPr>
                    <w:pStyle w:val="58"/>
                    <w:spacing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昼间：</w:t>
                  </w:r>
                  <w:r>
                    <w:rPr>
                      <w:rFonts w:hint="default" w:ascii="Times New Roman" w:hAnsi="Times New Roman" w:cs="Times New Roman"/>
                      <w:color w:val="auto"/>
                      <w:sz w:val="21"/>
                      <w:szCs w:val="21"/>
                      <w:lang w:val="en-US" w:eastAsia="zh-CN"/>
                    </w:rPr>
                    <w:t>55</w:t>
                  </w:r>
                  <w:r>
                    <w:rPr>
                      <w:rFonts w:hint="default" w:ascii="Times New Roman" w:hAnsi="Times New Roman" w:cs="Times New Roman"/>
                      <w:color w:val="auto"/>
                      <w:sz w:val="21"/>
                      <w:szCs w:val="21"/>
                    </w:rPr>
                    <w:t>dB（A）</w:t>
                  </w:r>
                </w:p>
              </w:tc>
            </w:tr>
            <w:bookmarkEnd w:id="10"/>
          </w:tbl>
          <w:p w14:paraId="0BFF6B50">
            <w:pPr>
              <w:pStyle w:val="10"/>
              <w:adjustRightInd w:val="0"/>
              <w:snapToGrid w:val="0"/>
              <w:spacing w:before="120" w:beforeLines="50" w:line="360" w:lineRule="auto"/>
              <w:ind w:left="0" w:right="0" w:firstLine="0"/>
              <w:rPr>
                <w:rFonts w:hint="default" w:ascii="Times New Roman" w:hAnsi="Times New Roman" w:eastAsia="宋体" w:cs="Times New Roman"/>
                <w:bCs/>
                <w:color w:val="auto"/>
                <w:sz w:val="24"/>
                <w:szCs w:val="24"/>
              </w:rPr>
            </w:pPr>
            <w:r>
              <w:rPr>
                <w:rStyle w:val="34"/>
                <w:rFonts w:hint="default" w:ascii="Times New Roman" w:hAnsi="Times New Roman" w:eastAsia="宋体" w:cs="Times New Roman"/>
                <w:b/>
                <w:color w:val="auto"/>
                <w:sz w:val="24"/>
                <w:szCs w:val="24"/>
                <w:u w:val="none"/>
              </w:rPr>
              <w:t>（四）固体废物</w:t>
            </w:r>
          </w:p>
          <w:p w14:paraId="60C48B31">
            <w:pPr>
              <w:adjustRightInd w:val="0"/>
              <w:snapToGrid w:val="0"/>
              <w:spacing w:line="360" w:lineRule="auto"/>
              <w:ind w:firstLine="480"/>
              <w:rPr>
                <w:rFonts w:hint="default" w:ascii="Times New Roman" w:hAnsi="Times New Roman" w:cs="Times New Roman"/>
                <w:b/>
                <w:bCs/>
                <w:color w:val="auto"/>
                <w:sz w:val="24"/>
              </w:rPr>
            </w:pPr>
            <w:r>
              <w:rPr>
                <w:rFonts w:hint="default" w:ascii="Times New Roman" w:hAnsi="Times New Roman" w:cs="Times New Roman"/>
                <w:b/>
                <w:bCs/>
                <w:color w:val="auto"/>
                <w:sz w:val="24"/>
              </w:rPr>
              <w:t>1、固体废物排放量计算</w:t>
            </w:r>
          </w:p>
          <w:p w14:paraId="739145F1">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本项目运营期固体废物主要为员工生活垃圾、一般工业固体废物和危险废物。</w:t>
            </w:r>
          </w:p>
          <w:p w14:paraId="5A366675">
            <w:pPr>
              <w:adjustRightInd w:val="0"/>
              <w:snapToGrid w:val="0"/>
              <w:spacing w:line="360" w:lineRule="auto"/>
              <w:ind w:firstLine="482" w:firstLineChars="200"/>
              <w:rPr>
                <w:rFonts w:hint="eastAsia" w:ascii="Times New Roman" w:hAnsi="Times New Roman" w:eastAsia="宋体" w:cs="Times New Roman"/>
                <w:b/>
                <w:bCs w:val="0"/>
                <w:color w:val="auto"/>
                <w:sz w:val="24"/>
                <w:lang w:eastAsia="zh-CN"/>
              </w:rPr>
            </w:pPr>
            <w:r>
              <w:rPr>
                <w:rFonts w:hint="eastAsia" w:cs="Times New Roman"/>
                <w:b/>
                <w:bCs w:val="0"/>
                <w:color w:val="auto"/>
                <w:sz w:val="24"/>
                <w:lang w:eastAsia="zh-CN"/>
              </w:rPr>
              <w:t>（</w:t>
            </w:r>
            <w:r>
              <w:rPr>
                <w:rFonts w:hint="eastAsia" w:cs="Times New Roman"/>
                <w:b/>
                <w:bCs w:val="0"/>
                <w:color w:val="auto"/>
                <w:sz w:val="24"/>
                <w:lang w:val="en-US" w:eastAsia="zh-CN"/>
              </w:rPr>
              <w:t>1</w:t>
            </w:r>
            <w:r>
              <w:rPr>
                <w:rFonts w:hint="eastAsia" w:cs="Times New Roman"/>
                <w:b/>
                <w:bCs w:val="0"/>
                <w:color w:val="auto"/>
                <w:sz w:val="24"/>
                <w:lang w:eastAsia="zh-CN"/>
              </w:rPr>
              <w:t>）</w:t>
            </w:r>
            <w:r>
              <w:rPr>
                <w:rFonts w:hint="eastAsia" w:cs="Times New Roman"/>
                <w:b/>
                <w:bCs w:val="0"/>
                <w:color w:val="auto"/>
                <w:sz w:val="24"/>
                <w:lang w:val="en-US" w:eastAsia="zh-CN"/>
              </w:rPr>
              <w:t>生活垃圾</w:t>
            </w:r>
          </w:p>
          <w:p w14:paraId="756FC93E">
            <w:pPr>
              <w:adjustRightInd w:val="0"/>
              <w:snapToGrid w:val="0"/>
              <w:spacing w:line="360" w:lineRule="auto"/>
              <w:ind w:firstLine="480" w:firstLineChars="200"/>
              <w:rPr>
                <w:rFonts w:hint="default" w:ascii="Times New Roman" w:hAnsi="Times New Roman" w:cs="Times New Roman"/>
                <w:bCs/>
                <w:color w:val="auto"/>
                <w:sz w:val="24"/>
                <w:lang w:eastAsia="zh-CN"/>
              </w:rPr>
            </w:pPr>
            <w:r>
              <w:rPr>
                <w:rFonts w:hint="default" w:ascii="Times New Roman" w:hAnsi="Times New Roman" w:cs="Times New Roman"/>
                <w:bCs/>
                <w:color w:val="auto"/>
                <w:sz w:val="24"/>
              </w:rPr>
              <w:t>项目</w:t>
            </w:r>
            <w:r>
              <w:rPr>
                <w:rFonts w:hint="default" w:ascii="Times New Roman" w:hAnsi="Times New Roman" w:cs="Times New Roman"/>
                <w:bCs/>
                <w:color w:val="auto"/>
                <w:sz w:val="24"/>
                <w:lang w:eastAsia="zh-CN"/>
              </w:rPr>
              <w:t>拟设置</w:t>
            </w:r>
            <w:r>
              <w:rPr>
                <w:rFonts w:hint="default" w:ascii="Times New Roman" w:hAnsi="Times New Roman" w:cs="Times New Roman"/>
                <w:bCs/>
                <w:color w:val="auto"/>
                <w:sz w:val="24"/>
              </w:rPr>
              <w:t>员工</w:t>
            </w:r>
            <w:r>
              <w:rPr>
                <w:rFonts w:hint="eastAsia" w:cs="Times New Roman"/>
                <w:bCs/>
                <w:color w:val="auto"/>
                <w:sz w:val="24"/>
                <w:lang w:val="en-US" w:eastAsia="zh-CN"/>
              </w:rPr>
              <w:t>15</w:t>
            </w:r>
            <w:r>
              <w:rPr>
                <w:rFonts w:hint="default" w:ascii="Times New Roman" w:hAnsi="Times New Roman" w:cs="Times New Roman"/>
                <w:bCs/>
                <w:color w:val="auto"/>
                <w:sz w:val="24"/>
                <w:lang w:val="en-US" w:eastAsia="zh-CN"/>
              </w:rPr>
              <w:t>人，年工作250天，按</w:t>
            </w:r>
            <w:r>
              <w:rPr>
                <w:rFonts w:hint="default" w:ascii="Times New Roman" w:hAnsi="Times New Roman" w:cs="Times New Roman"/>
                <w:bCs/>
                <w:color w:val="auto"/>
                <w:sz w:val="24"/>
              </w:rPr>
              <w:t>0.5kg/（人•d）计算，则</w:t>
            </w:r>
            <w:r>
              <w:rPr>
                <w:rFonts w:hint="default" w:ascii="Times New Roman" w:hAnsi="Times New Roman" w:cs="Times New Roman"/>
                <w:bCs/>
                <w:color w:val="auto"/>
                <w:sz w:val="24"/>
                <w:lang w:eastAsia="zh-CN"/>
              </w:rPr>
              <w:t>生活垃圾产生量为</w:t>
            </w:r>
            <w:r>
              <w:rPr>
                <w:rFonts w:hint="eastAsia" w:cs="Times New Roman"/>
                <w:bCs/>
                <w:color w:val="auto"/>
                <w:sz w:val="24"/>
                <w:lang w:val="en-US" w:eastAsia="zh-CN"/>
              </w:rPr>
              <w:t>1.875</w:t>
            </w:r>
            <w:r>
              <w:rPr>
                <w:rFonts w:hint="default" w:ascii="Times New Roman" w:hAnsi="Times New Roman" w:cs="Times New Roman"/>
                <w:bCs/>
                <w:color w:val="auto"/>
                <w:sz w:val="24"/>
                <w:lang w:val="en-US" w:eastAsia="zh-CN"/>
              </w:rPr>
              <w:t>t/a</w:t>
            </w:r>
            <w:r>
              <w:rPr>
                <w:rFonts w:hint="default" w:ascii="Times New Roman" w:hAnsi="Times New Roman" w:cs="Times New Roman"/>
                <w:bCs/>
                <w:color w:val="auto"/>
                <w:sz w:val="24"/>
              </w:rPr>
              <w:t>，</w:t>
            </w:r>
            <w:r>
              <w:rPr>
                <w:rFonts w:hint="default" w:ascii="Times New Roman" w:hAnsi="Times New Roman" w:cs="Times New Roman"/>
                <w:bCs/>
                <w:color w:val="auto"/>
                <w:sz w:val="24"/>
                <w:lang w:eastAsia="zh-CN"/>
              </w:rPr>
              <w:t>经垃圾箱（桶）分类收集后，</w:t>
            </w:r>
            <w:r>
              <w:rPr>
                <w:rFonts w:hint="default" w:ascii="Times New Roman" w:hAnsi="Times New Roman" w:cs="Times New Roman"/>
                <w:bCs/>
                <w:color w:val="auto"/>
                <w:sz w:val="24"/>
              </w:rPr>
              <w:t>交由环卫部门</w:t>
            </w:r>
            <w:r>
              <w:rPr>
                <w:rFonts w:hint="default" w:ascii="Times New Roman" w:hAnsi="Times New Roman" w:cs="Times New Roman"/>
                <w:bCs/>
                <w:color w:val="auto"/>
                <w:sz w:val="24"/>
                <w:lang w:eastAsia="zh-CN"/>
              </w:rPr>
              <w:t>统一处置。</w:t>
            </w:r>
          </w:p>
          <w:p w14:paraId="2E655EFD">
            <w:pPr>
              <w:adjustRightInd w:val="0"/>
              <w:snapToGrid w:val="0"/>
              <w:spacing w:line="360" w:lineRule="auto"/>
              <w:ind w:firstLine="482" w:firstLineChars="200"/>
              <w:rPr>
                <w:rFonts w:hint="default" w:ascii="Times New Roman" w:hAnsi="Times New Roman" w:eastAsia="宋体" w:cs="Times New Roman"/>
                <w:b/>
                <w:bCs w:val="0"/>
                <w:color w:val="auto"/>
                <w:sz w:val="24"/>
                <w:lang w:val="en-US" w:eastAsia="zh-CN"/>
              </w:rPr>
            </w:pPr>
            <w:r>
              <w:rPr>
                <w:rFonts w:hint="default" w:ascii="Times New Roman" w:hAnsi="Times New Roman" w:cs="Times New Roman"/>
                <w:b/>
                <w:bCs w:val="0"/>
                <w:color w:val="auto"/>
                <w:sz w:val="24"/>
                <w:lang w:eastAsia="zh-CN"/>
              </w:rPr>
              <w:t>（</w:t>
            </w:r>
            <w:r>
              <w:rPr>
                <w:rFonts w:hint="default" w:ascii="Times New Roman" w:hAnsi="Times New Roman" w:cs="Times New Roman"/>
                <w:b/>
                <w:bCs w:val="0"/>
                <w:color w:val="auto"/>
                <w:sz w:val="24"/>
                <w:lang w:val="en-US" w:eastAsia="zh-CN"/>
              </w:rPr>
              <w:t>2</w:t>
            </w:r>
            <w:r>
              <w:rPr>
                <w:rFonts w:hint="default" w:ascii="Times New Roman" w:hAnsi="Times New Roman" w:cs="Times New Roman"/>
                <w:b/>
                <w:bCs w:val="0"/>
                <w:color w:val="auto"/>
                <w:sz w:val="24"/>
                <w:lang w:eastAsia="zh-CN"/>
              </w:rPr>
              <w:t>）</w:t>
            </w:r>
            <w:r>
              <w:rPr>
                <w:rFonts w:hint="default" w:ascii="Times New Roman" w:hAnsi="Times New Roman" w:cs="Times New Roman"/>
                <w:b/>
                <w:bCs w:val="0"/>
                <w:color w:val="auto"/>
                <w:sz w:val="24"/>
                <w:lang w:val="en-US" w:eastAsia="zh-CN"/>
              </w:rPr>
              <w:t>一般工业固体废物</w:t>
            </w:r>
          </w:p>
          <w:p w14:paraId="52EF810C">
            <w:pPr>
              <w:adjustRightInd w:val="0"/>
              <w:snapToGrid w:val="0"/>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fldChar w:fldCharType="begin"/>
            </w:r>
            <w:r>
              <w:rPr>
                <w:rFonts w:hint="default" w:ascii="Times New Roman" w:hAnsi="Times New Roman" w:cs="Times New Roman"/>
                <w:bCs/>
                <w:color w:val="auto"/>
                <w:sz w:val="24"/>
                <w:szCs w:val="24"/>
                <w:lang w:val="en-US" w:eastAsia="zh-CN"/>
              </w:rPr>
              <w:instrText xml:space="preserve"> = 1 \* GB3 \* MERGEFORMAT </w:instrText>
            </w:r>
            <w:r>
              <w:rPr>
                <w:rFonts w:hint="default" w:ascii="Times New Roman" w:hAnsi="Times New Roman" w:cs="Times New Roman"/>
                <w:bCs/>
                <w:color w:val="auto"/>
                <w:sz w:val="24"/>
                <w:szCs w:val="24"/>
                <w:lang w:val="en-US" w:eastAsia="zh-CN"/>
              </w:rPr>
              <w:fldChar w:fldCharType="separate"/>
            </w:r>
            <w:r>
              <w:rPr>
                <w:rFonts w:hint="default" w:ascii="Times New Roman" w:hAnsi="Times New Roman" w:cs="Times New Roman"/>
                <w:color w:val="auto"/>
                <w:sz w:val="24"/>
                <w:szCs w:val="24"/>
              </w:rPr>
              <w:t>①</w:t>
            </w:r>
            <w:r>
              <w:rPr>
                <w:rFonts w:hint="default" w:ascii="Times New Roman" w:hAnsi="Times New Roman" w:cs="Times New Roman"/>
                <w:bCs/>
                <w:color w:val="auto"/>
                <w:sz w:val="24"/>
                <w:szCs w:val="24"/>
                <w:lang w:val="en-US" w:eastAsia="zh-CN"/>
              </w:rPr>
              <w:fldChar w:fldCharType="end"/>
            </w:r>
            <w:r>
              <w:rPr>
                <w:rFonts w:hint="default" w:ascii="Times New Roman" w:hAnsi="Times New Roman" w:cs="Times New Roman"/>
                <w:bCs/>
                <w:color w:val="auto"/>
                <w:sz w:val="24"/>
                <w:szCs w:val="24"/>
                <w:lang w:val="en-US" w:eastAsia="zh-CN"/>
              </w:rPr>
              <w:t>未被污染的废包装材料</w:t>
            </w:r>
          </w:p>
          <w:p w14:paraId="4545AA45">
            <w:pPr>
              <w:adjustRightInd w:val="0"/>
              <w:snapToGrid w:val="0"/>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项目运营过程中，会有不被污染的纸箱和塑料袋产生，产生量约为</w:t>
            </w:r>
            <w:r>
              <w:rPr>
                <w:rFonts w:hint="eastAsia" w:cs="Times New Roman"/>
                <w:bCs/>
                <w:color w:val="auto"/>
                <w:sz w:val="24"/>
                <w:szCs w:val="24"/>
                <w:lang w:val="en-US" w:eastAsia="zh-CN"/>
              </w:rPr>
              <w:t>1</w:t>
            </w:r>
            <w:r>
              <w:rPr>
                <w:rFonts w:hint="default" w:ascii="Times New Roman" w:hAnsi="Times New Roman" w:cs="Times New Roman"/>
                <w:bCs/>
                <w:color w:val="auto"/>
                <w:sz w:val="24"/>
                <w:szCs w:val="24"/>
                <w:lang w:val="en-US" w:eastAsia="zh-CN"/>
              </w:rPr>
              <w:t>kg/d，项目年工作时间以</w:t>
            </w:r>
            <w:r>
              <w:rPr>
                <w:rFonts w:hint="eastAsia" w:ascii="Times New Roman" w:hAnsi="Times New Roman" w:cs="Times New Roman"/>
                <w:bCs/>
                <w:color w:val="auto"/>
                <w:sz w:val="24"/>
                <w:szCs w:val="24"/>
                <w:lang w:val="en-US" w:eastAsia="zh-CN"/>
              </w:rPr>
              <w:t>280</w:t>
            </w:r>
            <w:r>
              <w:rPr>
                <w:rFonts w:hint="default" w:ascii="Times New Roman" w:hAnsi="Times New Roman" w:cs="Times New Roman"/>
                <w:bCs/>
                <w:color w:val="auto"/>
                <w:sz w:val="24"/>
                <w:szCs w:val="24"/>
                <w:lang w:val="en-US" w:eastAsia="zh-CN"/>
              </w:rPr>
              <w:t>天计，则本项目未被污染的废包装材料年产量为</w:t>
            </w:r>
            <w:r>
              <w:rPr>
                <w:rFonts w:hint="eastAsia" w:ascii="Times New Roman" w:hAnsi="Times New Roman" w:cs="Times New Roman"/>
                <w:bCs/>
                <w:color w:val="auto"/>
                <w:sz w:val="24"/>
                <w:szCs w:val="24"/>
                <w:lang w:val="en-US" w:eastAsia="zh-CN"/>
              </w:rPr>
              <w:t>0.</w:t>
            </w:r>
            <w:r>
              <w:rPr>
                <w:rFonts w:hint="eastAsia" w:cs="Times New Roman"/>
                <w:bCs/>
                <w:color w:val="auto"/>
                <w:sz w:val="24"/>
                <w:szCs w:val="24"/>
                <w:lang w:val="en-US" w:eastAsia="zh-CN"/>
              </w:rPr>
              <w:t>25</w:t>
            </w:r>
            <w:r>
              <w:rPr>
                <w:rFonts w:hint="default" w:ascii="Times New Roman" w:hAnsi="Times New Roman" w:cs="Times New Roman"/>
                <w:bCs/>
                <w:color w:val="auto"/>
                <w:sz w:val="24"/>
                <w:szCs w:val="24"/>
                <w:lang w:val="en-US" w:eastAsia="zh-CN"/>
              </w:rPr>
              <w:t>t/a，分类收集定期外售。</w:t>
            </w:r>
          </w:p>
          <w:p w14:paraId="567DB3B1">
            <w:pPr>
              <w:adjustRightInd w:val="0"/>
              <w:snapToGrid w:val="0"/>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fldChar w:fldCharType="begin"/>
            </w:r>
            <w:r>
              <w:rPr>
                <w:rFonts w:hint="default" w:ascii="Times New Roman" w:hAnsi="Times New Roman" w:cs="Times New Roman"/>
                <w:bCs/>
                <w:color w:val="auto"/>
                <w:sz w:val="24"/>
                <w:szCs w:val="24"/>
                <w:lang w:val="en-US" w:eastAsia="zh-CN"/>
              </w:rPr>
              <w:instrText xml:space="preserve"> = 2 \* GB3 \* MERGEFORMAT </w:instrText>
            </w:r>
            <w:r>
              <w:rPr>
                <w:rFonts w:hint="default" w:ascii="Times New Roman" w:hAnsi="Times New Roman" w:cs="Times New Roman"/>
                <w:bCs/>
                <w:color w:val="auto"/>
                <w:sz w:val="24"/>
                <w:szCs w:val="24"/>
                <w:lang w:val="en-US" w:eastAsia="zh-CN"/>
              </w:rPr>
              <w:fldChar w:fldCharType="separate"/>
            </w:r>
            <w:r>
              <w:rPr>
                <w:rFonts w:hint="default" w:ascii="Times New Roman" w:hAnsi="Times New Roman" w:cs="Times New Roman"/>
                <w:color w:val="auto"/>
                <w:sz w:val="24"/>
                <w:szCs w:val="24"/>
              </w:rPr>
              <w:t>②</w:t>
            </w:r>
            <w:r>
              <w:rPr>
                <w:rFonts w:hint="default" w:ascii="Times New Roman" w:hAnsi="Times New Roman" w:cs="Times New Roman"/>
                <w:bCs/>
                <w:color w:val="auto"/>
                <w:sz w:val="24"/>
                <w:szCs w:val="24"/>
                <w:lang w:val="en-US" w:eastAsia="zh-CN"/>
              </w:rPr>
              <w:fldChar w:fldCharType="end"/>
            </w:r>
            <w:r>
              <w:rPr>
                <w:rFonts w:hint="default" w:ascii="Times New Roman" w:hAnsi="Times New Roman" w:cs="Times New Roman"/>
                <w:bCs/>
                <w:color w:val="auto"/>
                <w:sz w:val="24"/>
                <w:szCs w:val="24"/>
                <w:lang w:val="en-US" w:eastAsia="zh-CN"/>
              </w:rPr>
              <w:t>废滤芯</w:t>
            </w:r>
          </w:p>
          <w:p w14:paraId="7AD7C346">
            <w:pPr>
              <w:adjustRightInd w:val="0"/>
              <w:snapToGrid w:val="0"/>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项目纯水机使用的滤芯约3个月更换一次，废滤芯产生量约为0.01t/次，则年产生量约为0.04t/a，废滤芯由厂家更换后带走处置。</w:t>
            </w:r>
          </w:p>
          <w:p w14:paraId="6B490EB8">
            <w:pPr>
              <w:adjustRightInd w:val="0"/>
              <w:snapToGrid w:val="0"/>
              <w:spacing w:line="360" w:lineRule="auto"/>
              <w:ind w:firstLine="480" w:firstLineChars="200"/>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fldChar w:fldCharType="begin"/>
            </w:r>
            <w:r>
              <w:rPr>
                <w:rFonts w:hint="default" w:ascii="Times New Roman" w:hAnsi="Times New Roman" w:cs="Times New Roman"/>
                <w:bCs/>
                <w:color w:val="auto"/>
                <w:sz w:val="24"/>
                <w:szCs w:val="24"/>
                <w:lang w:val="en-US" w:eastAsia="zh-CN"/>
              </w:rPr>
              <w:instrText xml:space="preserve"> = 3 \* GB3 \* MERGEFORMAT </w:instrText>
            </w:r>
            <w:r>
              <w:rPr>
                <w:rFonts w:hint="default" w:ascii="Times New Roman" w:hAnsi="Times New Roman" w:cs="Times New Roman"/>
                <w:bCs/>
                <w:color w:val="auto"/>
                <w:sz w:val="24"/>
                <w:szCs w:val="24"/>
                <w:lang w:val="en-US" w:eastAsia="zh-CN"/>
              </w:rPr>
              <w:fldChar w:fldCharType="separate"/>
            </w:r>
            <w:r>
              <w:rPr>
                <w:rFonts w:hint="default" w:ascii="Times New Roman" w:hAnsi="Times New Roman" w:cs="Times New Roman"/>
                <w:color w:val="auto"/>
                <w:sz w:val="24"/>
                <w:szCs w:val="24"/>
              </w:rPr>
              <w:t>③</w:t>
            </w:r>
            <w:r>
              <w:rPr>
                <w:rFonts w:hint="default" w:ascii="Times New Roman" w:hAnsi="Times New Roman" w:cs="Times New Roman"/>
                <w:bCs/>
                <w:color w:val="auto"/>
                <w:sz w:val="24"/>
                <w:szCs w:val="24"/>
                <w:lang w:val="en-US" w:eastAsia="zh-CN"/>
              </w:rPr>
              <w:fldChar w:fldCharType="end"/>
            </w:r>
            <w:r>
              <w:rPr>
                <w:rFonts w:hint="default" w:ascii="Times New Roman" w:hAnsi="Times New Roman" w:cs="Times New Roman"/>
                <w:bCs/>
                <w:color w:val="auto"/>
                <w:sz w:val="24"/>
                <w:szCs w:val="24"/>
                <w:lang w:val="en-US" w:eastAsia="zh-CN"/>
              </w:rPr>
              <w:t>灭菌后的废培养基</w:t>
            </w:r>
          </w:p>
          <w:p w14:paraId="64260CBE">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项目微生物实验过程会产生废培养基，产生量约为0.01t/a。废培养基灭菌处理后为一般固废，收集后由环卫部门定期清运。</w:t>
            </w:r>
          </w:p>
          <w:p w14:paraId="7B37988C">
            <w:pPr>
              <w:adjustRightInd w:val="0"/>
              <w:snapToGrid w:val="0"/>
              <w:spacing w:line="360" w:lineRule="auto"/>
              <w:ind w:firstLine="482" w:firstLineChars="200"/>
              <w:rPr>
                <w:rFonts w:hint="default" w:ascii="Times New Roman" w:hAnsi="Times New Roman" w:eastAsia="宋体" w:cs="Times New Roman"/>
                <w:bCs/>
                <w:color w:val="auto"/>
                <w:sz w:val="24"/>
                <w:lang w:val="en-US" w:eastAsia="zh-CN"/>
              </w:rPr>
            </w:pPr>
            <w:r>
              <w:rPr>
                <w:rFonts w:hint="default" w:ascii="Times New Roman" w:hAnsi="Times New Roman" w:cs="Times New Roman"/>
                <w:b/>
                <w:bCs w:val="0"/>
                <w:color w:val="auto"/>
                <w:sz w:val="24"/>
                <w:lang w:eastAsia="zh-CN"/>
              </w:rPr>
              <w:t>（</w:t>
            </w:r>
            <w:r>
              <w:rPr>
                <w:rFonts w:hint="default" w:ascii="Times New Roman" w:hAnsi="Times New Roman" w:cs="Times New Roman"/>
                <w:b/>
                <w:bCs w:val="0"/>
                <w:color w:val="auto"/>
                <w:sz w:val="24"/>
                <w:lang w:val="en-US" w:eastAsia="zh-CN"/>
              </w:rPr>
              <w:t>3</w:t>
            </w:r>
            <w:r>
              <w:rPr>
                <w:rFonts w:hint="default" w:ascii="Times New Roman" w:hAnsi="Times New Roman" w:cs="Times New Roman"/>
                <w:b/>
                <w:bCs w:val="0"/>
                <w:color w:val="auto"/>
                <w:sz w:val="24"/>
                <w:lang w:eastAsia="zh-CN"/>
              </w:rPr>
              <w:t>）</w:t>
            </w:r>
            <w:r>
              <w:rPr>
                <w:rFonts w:hint="default" w:ascii="Times New Roman" w:hAnsi="Times New Roman" w:cs="Times New Roman"/>
                <w:b/>
                <w:bCs w:val="0"/>
                <w:color w:val="auto"/>
                <w:sz w:val="24"/>
                <w:lang w:val="en-US" w:eastAsia="zh-CN"/>
              </w:rPr>
              <w:t>危险废物</w:t>
            </w:r>
          </w:p>
          <w:p w14:paraId="3FC75630">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fldChar w:fldCharType="begin"/>
            </w:r>
            <w:r>
              <w:rPr>
                <w:rFonts w:hint="default" w:ascii="Times New Roman" w:hAnsi="Times New Roman" w:eastAsia="宋体" w:cs="Times New Roman"/>
                <w:bCs/>
                <w:color w:val="auto"/>
                <w:sz w:val="24"/>
                <w:lang w:val="en-US" w:eastAsia="zh-CN"/>
              </w:rPr>
              <w:instrText xml:space="preserve"> = 1 \* GB3 \* MERGEFORMAT </w:instrText>
            </w:r>
            <w:r>
              <w:rPr>
                <w:rFonts w:hint="default" w:ascii="Times New Roman" w:hAnsi="Times New Roman" w:eastAsia="宋体" w:cs="Times New Roman"/>
                <w:bCs/>
                <w:color w:val="auto"/>
                <w:sz w:val="24"/>
                <w:lang w:val="en-US" w:eastAsia="zh-CN"/>
              </w:rPr>
              <w:fldChar w:fldCharType="separate"/>
            </w:r>
            <w:r>
              <w:rPr>
                <w:rFonts w:hint="default" w:ascii="Times New Roman" w:hAnsi="Times New Roman" w:eastAsia="宋体" w:cs="Times New Roman"/>
                <w:bCs/>
                <w:color w:val="auto"/>
                <w:sz w:val="24"/>
                <w:lang w:val="en-US" w:eastAsia="zh-CN"/>
              </w:rPr>
              <w:t>①</w:t>
            </w:r>
            <w:r>
              <w:rPr>
                <w:rFonts w:hint="default" w:ascii="Times New Roman" w:hAnsi="Times New Roman" w:eastAsia="宋体" w:cs="Times New Roman"/>
                <w:bCs/>
                <w:color w:val="auto"/>
                <w:sz w:val="24"/>
                <w:lang w:val="en-US" w:eastAsia="zh-CN"/>
              </w:rPr>
              <w:fldChar w:fldCharType="end"/>
            </w:r>
            <w:r>
              <w:rPr>
                <w:rFonts w:hint="default" w:ascii="Times New Roman" w:hAnsi="Times New Roman" w:cs="Times New Roman"/>
                <w:bCs/>
                <w:color w:val="auto"/>
                <w:sz w:val="24"/>
                <w:lang w:val="en-US" w:eastAsia="zh-CN"/>
              </w:rPr>
              <w:t>实验室废液</w:t>
            </w:r>
          </w:p>
          <w:p w14:paraId="4AF53388">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本项目实验过程会产生实验室废液，收集至实验室废液收集桶内，</w:t>
            </w:r>
            <w:r>
              <w:rPr>
                <w:rFonts w:hint="eastAsia" w:cs="Times New Roman"/>
                <w:bCs/>
                <w:color w:val="auto"/>
                <w:sz w:val="24"/>
                <w:lang w:val="en-US" w:eastAsia="zh-CN"/>
              </w:rPr>
              <w:t>酸碱中和池会产生少量沉淀物，也以实验废液计。</w:t>
            </w:r>
            <w:r>
              <w:rPr>
                <w:rFonts w:hint="eastAsia" w:ascii="Times New Roman" w:hAnsi="Times New Roman" w:cs="Times New Roman"/>
                <w:bCs/>
                <w:color w:val="auto"/>
                <w:sz w:val="24"/>
                <w:lang w:val="en-US" w:eastAsia="zh-CN"/>
              </w:rPr>
              <w:t>根据企业提供资料及水平衡分析</w:t>
            </w:r>
            <w:r>
              <w:rPr>
                <w:rFonts w:hint="eastAsia" w:cs="Times New Roman"/>
                <w:bCs/>
                <w:color w:val="auto"/>
                <w:sz w:val="24"/>
                <w:lang w:val="en-US" w:eastAsia="zh-CN"/>
              </w:rPr>
              <w:t>等</w:t>
            </w:r>
            <w:r>
              <w:rPr>
                <w:rFonts w:hint="eastAsia" w:ascii="Times New Roman" w:hAnsi="Times New Roman" w:cs="Times New Roman"/>
                <w:bCs/>
                <w:color w:val="auto"/>
                <w:sz w:val="24"/>
                <w:lang w:val="en-US" w:eastAsia="zh-CN"/>
              </w:rPr>
              <w:t>，实验</w:t>
            </w:r>
            <w:r>
              <w:rPr>
                <w:rFonts w:hint="eastAsia" w:cs="Times New Roman"/>
                <w:bCs/>
                <w:color w:val="auto"/>
                <w:sz w:val="24"/>
                <w:lang w:val="en-US" w:eastAsia="zh-CN"/>
              </w:rPr>
              <w:t>废液</w:t>
            </w:r>
            <w:r>
              <w:rPr>
                <w:rFonts w:hint="default" w:ascii="Times New Roman" w:hAnsi="Times New Roman" w:eastAsia="宋体" w:cs="Times New Roman"/>
                <w:bCs/>
                <w:color w:val="auto"/>
                <w:sz w:val="24"/>
                <w:lang w:val="en-US" w:eastAsia="zh-CN"/>
              </w:rPr>
              <w:t>产生量约为</w:t>
            </w:r>
            <w:r>
              <w:rPr>
                <w:rFonts w:hint="eastAsia" w:ascii="Times New Roman" w:hAnsi="Times New Roman" w:cs="Times New Roman"/>
                <w:bCs/>
                <w:color w:val="auto"/>
                <w:sz w:val="24"/>
                <w:lang w:val="en-US" w:eastAsia="zh-CN"/>
              </w:rPr>
              <w:t>15.</w:t>
            </w:r>
            <w:r>
              <w:rPr>
                <w:rFonts w:hint="eastAsia" w:cs="Times New Roman"/>
                <w:bCs/>
                <w:color w:val="auto"/>
                <w:sz w:val="24"/>
                <w:lang w:val="en-US" w:eastAsia="zh-CN"/>
              </w:rPr>
              <w:t>2</w:t>
            </w:r>
            <w:r>
              <w:rPr>
                <w:rFonts w:hint="default" w:ascii="Times New Roman" w:hAnsi="Times New Roman" w:eastAsia="宋体" w:cs="Times New Roman"/>
                <w:bCs/>
                <w:color w:val="auto"/>
                <w:sz w:val="24"/>
                <w:lang w:val="en-US" w:eastAsia="zh-CN"/>
              </w:rPr>
              <w:t>t/a</w:t>
            </w:r>
            <w:r>
              <w:rPr>
                <w:rFonts w:hint="eastAsia" w:cs="Times New Roman"/>
                <w:bCs/>
                <w:color w:val="auto"/>
                <w:sz w:val="24"/>
                <w:lang w:val="en-US" w:eastAsia="zh-CN"/>
              </w:rPr>
              <w:t>。</w:t>
            </w:r>
            <w:r>
              <w:rPr>
                <w:rFonts w:hint="default" w:ascii="Times New Roman" w:hAnsi="Times New Roman" w:eastAsia="宋体" w:cs="Times New Roman"/>
                <w:bCs/>
                <w:color w:val="auto"/>
                <w:sz w:val="24"/>
                <w:lang w:val="en-US" w:eastAsia="zh-CN"/>
              </w:rPr>
              <w:t>根据《国家危险废物名录（202</w:t>
            </w:r>
            <w:r>
              <w:rPr>
                <w:rFonts w:hint="eastAsia" w:ascii="Times New Roman" w:hAnsi="Times New Roman" w:cs="Times New Roman"/>
                <w:bCs/>
                <w:color w:val="auto"/>
                <w:sz w:val="24"/>
                <w:lang w:val="en-US" w:eastAsia="zh-CN"/>
              </w:rPr>
              <w:t>5年</w:t>
            </w:r>
            <w:r>
              <w:rPr>
                <w:rFonts w:hint="default" w:ascii="Times New Roman" w:hAnsi="Times New Roman" w:eastAsia="宋体" w:cs="Times New Roman"/>
                <w:bCs/>
                <w:color w:val="auto"/>
                <w:sz w:val="24"/>
                <w:lang w:val="en-US" w:eastAsia="zh-CN"/>
              </w:rPr>
              <w:t>版）》，实验室废液属于危险废物，废物类别为HW49其他废物，废物代码为900-047-49，</w:t>
            </w:r>
            <w:r>
              <w:rPr>
                <w:rFonts w:hint="eastAsia" w:ascii="Times New Roman" w:hAnsi="Times New Roman" w:cs="Times New Roman"/>
                <w:bCs/>
                <w:color w:val="auto"/>
                <w:sz w:val="24"/>
                <w:lang w:val="en-US" w:eastAsia="zh-CN"/>
              </w:rPr>
              <w:t>危废</w:t>
            </w:r>
            <w:r>
              <w:rPr>
                <w:rFonts w:hint="default" w:ascii="Times New Roman" w:hAnsi="Times New Roman" w:eastAsia="宋体" w:cs="Times New Roman"/>
                <w:bCs/>
                <w:color w:val="auto"/>
                <w:sz w:val="24"/>
                <w:lang w:val="en-US" w:eastAsia="zh-CN"/>
              </w:rPr>
              <w:t>贮存库贮存，定期交有资质单位处置。</w:t>
            </w:r>
          </w:p>
          <w:p w14:paraId="3E6BFAC2">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fldChar w:fldCharType="begin"/>
            </w:r>
            <w:r>
              <w:rPr>
                <w:rFonts w:hint="default" w:ascii="Times New Roman" w:hAnsi="Times New Roman" w:eastAsia="宋体" w:cs="Times New Roman"/>
                <w:bCs/>
                <w:color w:val="auto"/>
                <w:sz w:val="24"/>
                <w:lang w:val="en-US" w:eastAsia="zh-CN"/>
              </w:rPr>
              <w:instrText xml:space="preserve"> = 2 \* GB3 \* MERGEFORMAT </w:instrText>
            </w:r>
            <w:r>
              <w:rPr>
                <w:rFonts w:hint="default" w:ascii="Times New Roman" w:hAnsi="Times New Roman" w:eastAsia="宋体" w:cs="Times New Roman"/>
                <w:bCs/>
                <w:color w:val="auto"/>
                <w:sz w:val="24"/>
                <w:lang w:val="en-US" w:eastAsia="zh-CN"/>
              </w:rPr>
              <w:fldChar w:fldCharType="separate"/>
            </w:r>
            <w:r>
              <w:rPr>
                <w:rFonts w:hint="default" w:ascii="Times New Roman" w:hAnsi="Times New Roman" w:eastAsia="宋体" w:cs="Times New Roman"/>
                <w:bCs/>
                <w:color w:val="auto"/>
                <w:sz w:val="24"/>
                <w:lang w:val="en-US" w:eastAsia="zh-CN"/>
              </w:rPr>
              <w:t>②</w:t>
            </w:r>
            <w:r>
              <w:rPr>
                <w:rFonts w:hint="default" w:ascii="Times New Roman" w:hAnsi="Times New Roman" w:eastAsia="宋体" w:cs="Times New Roman"/>
                <w:bCs/>
                <w:color w:val="auto"/>
                <w:sz w:val="24"/>
                <w:lang w:val="en-US" w:eastAsia="zh-CN"/>
              </w:rPr>
              <w:fldChar w:fldCharType="end"/>
            </w:r>
            <w:r>
              <w:rPr>
                <w:rFonts w:hint="default" w:ascii="Times New Roman" w:hAnsi="Times New Roman" w:cs="Times New Roman"/>
                <w:bCs/>
                <w:color w:val="auto"/>
                <w:sz w:val="24"/>
                <w:lang w:val="en-US" w:eastAsia="zh-CN"/>
              </w:rPr>
              <w:t>废样品</w:t>
            </w:r>
          </w:p>
          <w:p w14:paraId="2E984122">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本项目为环境检测实验室，采集的废液态样品，需要做危废处置。根据企业提供资料，其产生量约为0.01t/a，根据《国家危险废物名录（202</w:t>
            </w:r>
            <w:r>
              <w:rPr>
                <w:rFonts w:hint="eastAsia" w:cs="Times New Roman"/>
                <w:bCs/>
                <w:color w:val="auto"/>
                <w:sz w:val="24"/>
                <w:lang w:val="en-US" w:eastAsia="zh-CN"/>
              </w:rPr>
              <w:t>5年</w:t>
            </w:r>
            <w:r>
              <w:rPr>
                <w:rFonts w:hint="default" w:ascii="Times New Roman" w:hAnsi="Times New Roman" w:eastAsia="宋体" w:cs="Times New Roman"/>
                <w:bCs/>
                <w:color w:val="auto"/>
                <w:sz w:val="24"/>
                <w:lang w:val="en-US" w:eastAsia="zh-CN"/>
              </w:rPr>
              <w:t>版）》，该类废物存在一定的环境风险，因此判定为危险废物，废物类别为HW49其他废物，代码为900-047-49，桶装收集，危险废物贮存库贮存，定期交有资质单位处置。</w:t>
            </w:r>
          </w:p>
          <w:p w14:paraId="4909E108">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fldChar w:fldCharType="begin"/>
            </w:r>
            <w:r>
              <w:rPr>
                <w:rFonts w:hint="default" w:ascii="Times New Roman" w:hAnsi="Times New Roman" w:eastAsia="宋体" w:cs="Times New Roman"/>
                <w:bCs/>
                <w:color w:val="auto"/>
                <w:sz w:val="24"/>
                <w:lang w:val="en-US" w:eastAsia="zh-CN"/>
              </w:rPr>
              <w:instrText xml:space="preserve"> = 3 \* GB3 \* MERGEFORMAT </w:instrText>
            </w:r>
            <w:r>
              <w:rPr>
                <w:rFonts w:hint="default" w:ascii="Times New Roman" w:hAnsi="Times New Roman" w:eastAsia="宋体" w:cs="Times New Roman"/>
                <w:bCs/>
                <w:color w:val="auto"/>
                <w:sz w:val="24"/>
                <w:lang w:val="en-US" w:eastAsia="zh-CN"/>
              </w:rPr>
              <w:fldChar w:fldCharType="separate"/>
            </w:r>
            <w:r>
              <w:rPr>
                <w:rFonts w:hint="default" w:ascii="Times New Roman" w:hAnsi="Times New Roman" w:eastAsia="宋体" w:cs="Times New Roman"/>
                <w:bCs/>
                <w:color w:val="auto"/>
                <w:sz w:val="24"/>
                <w:lang w:val="en-US" w:eastAsia="zh-CN"/>
              </w:rPr>
              <w:t>③</w:t>
            </w:r>
            <w:r>
              <w:rPr>
                <w:rFonts w:hint="default" w:ascii="Times New Roman" w:hAnsi="Times New Roman" w:eastAsia="宋体" w:cs="Times New Roman"/>
                <w:bCs/>
                <w:color w:val="auto"/>
                <w:sz w:val="24"/>
                <w:lang w:val="en-US" w:eastAsia="zh-CN"/>
              </w:rPr>
              <w:fldChar w:fldCharType="end"/>
            </w:r>
            <w:r>
              <w:rPr>
                <w:rFonts w:hint="default" w:ascii="Times New Roman" w:hAnsi="Times New Roman" w:cs="Times New Roman"/>
                <w:bCs/>
                <w:color w:val="auto"/>
                <w:sz w:val="24"/>
                <w:lang w:val="en-US" w:eastAsia="zh-CN"/>
              </w:rPr>
              <w:t>沾染危险化学品的包装材料及实验器材</w:t>
            </w:r>
          </w:p>
          <w:p w14:paraId="60921300">
            <w:pPr>
              <w:adjustRightInd w:val="0"/>
              <w:snapToGrid w:val="0"/>
              <w:spacing w:line="360" w:lineRule="auto"/>
              <w:ind w:firstLine="480" w:firstLineChars="20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根据项目实验特点，实验废包装材料和实验器材主要为化学实验过程中沾染危险化学品的废药剂/试剂瓶、试管、废手套等，根据项目实验规模，其产生量约为0.1t/a，根据《国家危险废物名录（202</w:t>
            </w:r>
            <w:r>
              <w:rPr>
                <w:rFonts w:hint="eastAsia" w:cs="Times New Roman"/>
                <w:bCs/>
                <w:color w:val="auto"/>
                <w:sz w:val="24"/>
                <w:lang w:val="en-US" w:eastAsia="zh-CN"/>
              </w:rPr>
              <w:t>5年</w:t>
            </w:r>
            <w:r>
              <w:rPr>
                <w:rFonts w:hint="default" w:ascii="Times New Roman" w:hAnsi="Times New Roman" w:eastAsia="宋体" w:cs="Times New Roman"/>
                <w:bCs/>
                <w:color w:val="auto"/>
                <w:sz w:val="24"/>
                <w:lang w:val="en-US" w:eastAsia="zh-CN"/>
              </w:rPr>
              <w:t>版）》，上述固废为危险废物，废物类别为HW49其他废物，代码为900-047-49，桶装收集，危险废物贮存库贮存，定期交有资质单位处置。</w:t>
            </w:r>
          </w:p>
          <w:p w14:paraId="05ACE0B5">
            <w:pPr>
              <w:adjustRightInd w:val="0"/>
              <w:snapToGrid w:val="0"/>
              <w:spacing w:line="360" w:lineRule="auto"/>
              <w:ind w:firstLine="480" w:firstLineChars="200"/>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fldChar w:fldCharType="begin"/>
            </w:r>
            <w:r>
              <w:rPr>
                <w:rFonts w:hint="default" w:ascii="Times New Roman" w:hAnsi="Times New Roman" w:cs="Times New Roman"/>
                <w:bCs/>
                <w:color w:val="auto"/>
                <w:sz w:val="24"/>
                <w:szCs w:val="24"/>
                <w:lang w:val="en-US" w:eastAsia="zh-CN"/>
              </w:rPr>
              <w:instrText xml:space="preserve"> = 4 \* GB3 \* MERGEFORMAT </w:instrText>
            </w:r>
            <w:r>
              <w:rPr>
                <w:rFonts w:hint="default" w:ascii="Times New Roman" w:hAnsi="Times New Roman" w:cs="Times New Roman"/>
                <w:bCs/>
                <w:color w:val="auto"/>
                <w:sz w:val="24"/>
                <w:szCs w:val="24"/>
                <w:lang w:val="en-US" w:eastAsia="zh-CN"/>
              </w:rPr>
              <w:fldChar w:fldCharType="separate"/>
            </w:r>
            <w:r>
              <w:rPr>
                <w:rFonts w:hint="default" w:ascii="Times New Roman" w:hAnsi="Times New Roman" w:cs="Times New Roman"/>
                <w:color w:val="auto"/>
                <w:sz w:val="24"/>
                <w:szCs w:val="24"/>
              </w:rPr>
              <w:t>④</w:t>
            </w:r>
            <w:r>
              <w:rPr>
                <w:rFonts w:hint="default" w:ascii="Times New Roman" w:hAnsi="Times New Roman" w:cs="Times New Roman"/>
                <w:bCs/>
                <w:color w:val="auto"/>
                <w:sz w:val="24"/>
                <w:szCs w:val="24"/>
                <w:lang w:val="en-US" w:eastAsia="zh-CN"/>
              </w:rPr>
              <w:fldChar w:fldCharType="end"/>
            </w:r>
            <w:r>
              <w:rPr>
                <w:rFonts w:hint="default" w:ascii="Times New Roman" w:hAnsi="Times New Roman" w:cs="Times New Roman"/>
                <w:bCs/>
                <w:color w:val="auto"/>
                <w:sz w:val="24"/>
                <w:szCs w:val="24"/>
                <w:lang w:val="en-US" w:eastAsia="zh-CN"/>
              </w:rPr>
              <w:t>废过滤介质</w:t>
            </w:r>
          </w:p>
          <w:p w14:paraId="7249D57B">
            <w:pPr>
              <w:adjustRightInd w:val="0"/>
              <w:snapToGrid w:val="0"/>
              <w:spacing w:line="360" w:lineRule="auto"/>
              <w:ind w:firstLine="480" w:firstLineChars="200"/>
              <w:rPr>
                <w:rFonts w:hint="eastAsia" w:cs="Times New Roman"/>
                <w:bCs/>
                <w:color w:val="auto"/>
                <w:sz w:val="24"/>
                <w:szCs w:val="24"/>
                <w:lang w:val="en-US" w:eastAsia="zh-CN"/>
              </w:rPr>
            </w:pPr>
            <w:r>
              <w:rPr>
                <w:rFonts w:hint="default" w:ascii="Times New Roman" w:hAnsi="Times New Roman" w:cs="Times New Roman"/>
                <w:bCs/>
                <w:color w:val="auto"/>
                <w:sz w:val="24"/>
                <w:szCs w:val="24"/>
                <w:lang w:val="en-US" w:eastAsia="zh-CN"/>
              </w:rPr>
              <w:t>项目生物安全柜的过滤器中的高效过滤介质，在长时间吸附有机废气等物质后，会导致过滤效率下降，需厂家定期更换过滤介质；空气净化系统过滤介质也需定期更换，废过滤介质产生量约0.05t/a</w:t>
            </w:r>
            <w:r>
              <w:rPr>
                <w:rFonts w:hint="eastAsia" w:cs="Times New Roman"/>
                <w:bCs/>
                <w:color w:val="auto"/>
                <w:sz w:val="24"/>
                <w:szCs w:val="24"/>
                <w:lang w:val="en-US" w:eastAsia="zh-CN"/>
              </w:rPr>
              <w:t>。</w:t>
            </w:r>
            <w:r>
              <w:rPr>
                <w:rFonts w:hint="default" w:ascii="Times New Roman" w:hAnsi="Times New Roman" w:cs="Times New Roman"/>
                <w:bCs/>
                <w:color w:val="auto"/>
                <w:sz w:val="24"/>
                <w:szCs w:val="24"/>
                <w:lang w:val="en-US" w:eastAsia="zh-CN"/>
              </w:rPr>
              <w:t>废过滤介质属于危险废物，类别HW49，代码为900-041-49，暂存于危险废物贮存库，定期交由有资质单位处置。</w:t>
            </w:r>
          </w:p>
          <w:p w14:paraId="47A782BE">
            <w:pPr>
              <w:adjustRightInd w:val="0"/>
              <w:snapToGrid w:val="0"/>
              <w:spacing w:line="360" w:lineRule="auto"/>
              <w:ind w:firstLine="480" w:firstLineChars="200"/>
              <w:rPr>
                <w:rFonts w:hint="default" w:ascii="Times New Roman" w:hAnsi="Times New Roman" w:cs="Times New Roman"/>
                <w:bCs/>
                <w:color w:val="auto"/>
                <w:sz w:val="24"/>
                <w:szCs w:val="24"/>
                <w:highlight w:val="yellow"/>
                <w:lang w:val="en-US" w:eastAsia="zh-CN"/>
              </w:rPr>
            </w:pPr>
            <w:r>
              <w:rPr>
                <w:rFonts w:hint="default" w:ascii="Times New Roman" w:hAnsi="Times New Roman" w:cs="Times New Roman"/>
                <w:bCs/>
                <w:color w:val="auto"/>
                <w:sz w:val="24"/>
                <w:szCs w:val="24"/>
                <w:highlight w:val="none"/>
                <w:lang w:val="en-US" w:eastAsia="zh-CN"/>
              </w:rPr>
              <w:fldChar w:fldCharType="begin"/>
            </w:r>
            <w:r>
              <w:rPr>
                <w:rFonts w:hint="default" w:ascii="Times New Roman" w:hAnsi="Times New Roman" w:cs="Times New Roman"/>
                <w:bCs/>
                <w:color w:val="auto"/>
                <w:sz w:val="24"/>
                <w:szCs w:val="24"/>
                <w:highlight w:val="none"/>
                <w:lang w:val="en-US" w:eastAsia="zh-CN"/>
              </w:rPr>
              <w:instrText xml:space="preserve"> = 5 \* GB3 \* MERGEFORMAT </w:instrText>
            </w:r>
            <w:r>
              <w:rPr>
                <w:rFonts w:hint="default" w:ascii="Times New Roman" w:hAnsi="Times New Roman" w:cs="Times New Roman"/>
                <w:bCs/>
                <w:color w:val="auto"/>
                <w:sz w:val="24"/>
                <w:szCs w:val="24"/>
                <w:highlight w:val="none"/>
                <w:lang w:val="en-US" w:eastAsia="zh-CN"/>
              </w:rPr>
              <w:fldChar w:fldCharType="separate"/>
            </w:r>
            <w:r>
              <w:rPr>
                <w:rFonts w:hint="default" w:ascii="Times New Roman" w:hAnsi="Times New Roman" w:cs="Times New Roman"/>
                <w:color w:val="auto"/>
                <w:sz w:val="24"/>
                <w:szCs w:val="24"/>
                <w:highlight w:val="none"/>
              </w:rPr>
              <w:t>⑤</w:t>
            </w:r>
            <w:r>
              <w:rPr>
                <w:rFonts w:hint="default" w:ascii="Times New Roman" w:hAnsi="Times New Roman" w:cs="Times New Roman"/>
                <w:bCs/>
                <w:color w:val="auto"/>
                <w:sz w:val="24"/>
                <w:szCs w:val="24"/>
                <w:highlight w:val="none"/>
                <w:lang w:val="en-US" w:eastAsia="zh-CN"/>
              </w:rPr>
              <w:fldChar w:fldCharType="end"/>
            </w:r>
            <w:r>
              <w:rPr>
                <w:rFonts w:hint="default" w:ascii="Times New Roman" w:hAnsi="Times New Roman" w:cs="Times New Roman"/>
                <w:bCs/>
                <w:color w:val="auto"/>
                <w:sz w:val="24"/>
                <w:szCs w:val="24"/>
                <w:lang w:val="en-US" w:eastAsia="zh-CN"/>
              </w:rPr>
              <w:t>废活性炭</w:t>
            </w:r>
          </w:p>
          <w:p w14:paraId="287B5159">
            <w:pPr>
              <w:adjustRightInd w:val="0"/>
              <w:snapToGrid w:val="0"/>
              <w:spacing w:line="360" w:lineRule="auto"/>
              <w:ind w:firstLine="480" w:firstLineChars="200"/>
              <w:rPr>
                <w:rFonts w:hint="default" w:ascii="Times New Roman" w:hAnsi="Times New Roman" w:cs="Times New Roman"/>
                <w:bCs/>
                <w:color w:val="auto"/>
                <w:sz w:val="24"/>
              </w:rPr>
            </w:pPr>
            <w:r>
              <w:rPr>
                <w:rFonts w:hint="eastAsia" w:cs="Times New Roman"/>
                <w:bCs/>
                <w:color w:val="auto"/>
                <w:sz w:val="24"/>
                <w:szCs w:val="24"/>
                <w:lang w:val="en-US" w:eastAsia="zh-CN"/>
              </w:rPr>
              <w:t>本项目运营期对酸性废气和有机废气采用SDG碳吸附+活性炭吸附装置进行处理，会产生废活性炭。根据工程分析可知，SDG碳对酸性废气的吸附量为1.593kg/a，</w:t>
            </w:r>
            <w:r>
              <w:rPr>
                <w:rFonts w:hint="default" w:ascii="Times New Roman" w:hAnsi="Times New Roman" w:cs="Times New Roman"/>
                <w:bCs/>
                <w:color w:val="auto"/>
                <w:sz w:val="24"/>
              </w:rPr>
              <w:t>活性炭装置对有机废气的吸附量为</w:t>
            </w:r>
            <w:r>
              <w:rPr>
                <w:rFonts w:hint="eastAsia" w:cs="Times New Roman"/>
                <w:bCs/>
                <w:color w:val="auto"/>
                <w:sz w:val="24"/>
                <w:lang w:val="en-US" w:eastAsia="zh-CN"/>
              </w:rPr>
              <w:t>0.023</w:t>
            </w:r>
            <w:r>
              <w:rPr>
                <w:rFonts w:hint="default" w:ascii="Times New Roman" w:hAnsi="Times New Roman" w:cs="Times New Roman"/>
                <w:bCs/>
                <w:color w:val="auto"/>
                <w:sz w:val="24"/>
              </w:rPr>
              <w:t>kg/a。</w:t>
            </w:r>
            <w:r>
              <w:rPr>
                <w:rFonts w:hint="eastAsia" w:cs="Times New Roman"/>
                <w:bCs/>
                <w:color w:val="auto"/>
                <w:sz w:val="24"/>
                <w:lang w:val="en-US" w:eastAsia="zh-CN"/>
              </w:rPr>
              <w:t>SDG碳对酸性废气吸附量为0.1~0.5kg/kg，本项目以0.1kg（废气）/1kg（SDG碳）计算，则本项目理论上需要SDG碳量为15.93kg/a，根据企业提供资料，SDG碳装填量为50kg，环评建议每年更换一次，则酸性废气治理过程中产生的废活性炭产生量为51.593kg/a。</w:t>
            </w:r>
            <w:r>
              <w:rPr>
                <w:rFonts w:hint="default" w:ascii="Times New Roman" w:hAnsi="Times New Roman" w:cs="Times New Roman"/>
                <w:bCs/>
                <w:color w:val="auto"/>
                <w:sz w:val="24"/>
              </w:rPr>
              <w:t>一般活性炭的吸附能力25kg（废气）/100kg（活性炭）计算，本项目理论上需要活性炭量为</w:t>
            </w:r>
            <w:r>
              <w:rPr>
                <w:rFonts w:hint="eastAsia" w:cs="Times New Roman"/>
                <w:bCs/>
                <w:color w:val="auto"/>
                <w:sz w:val="24"/>
                <w:lang w:val="en-US" w:eastAsia="zh-CN"/>
              </w:rPr>
              <w:t>0.092</w:t>
            </w:r>
            <w:r>
              <w:rPr>
                <w:rFonts w:hint="default" w:ascii="Times New Roman" w:hAnsi="Times New Roman" w:cs="Times New Roman"/>
                <w:bCs/>
                <w:color w:val="auto"/>
                <w:sz w:val="24"/>
              </w:rPr>
              <w:t>kg/a</w:t>
            </w:r>
            <w:r>
              <w:rPr>
                <w:rFonts w:hint="eastAsia" w:cs="Times New Roman"/>
                <w:bCs/>
                <w:color w:val="auto"/>
                <w:sz w:val="24"/>
                <w:lang w:eastAsia="zh-CN"/>
              </w:rPr>
              <w:t>，</w:t>
            </w:r>
            <w:r>
              <w:rPr>
                <w:rFonts w:hint="eastAsia" w:cs="Times New Roman"/>
                <w:bCs/>
                <w:color w:val="auto"/>
                <w:sz w:val="24"/>
                <w:lang w:val="en-US" w:eastAsia="zh-CN"/>
              </w:rPr>
              <w:t>根据企业提供资料，活性炭装填量为55kg，环评建议每年更换一次，则有机废气治理过程中产生的废活性炭产生量为55.023kg/a。</w:t>
            </w:r>
            <w:r>
              <w:rPr>
                <w:rFonts w:hint="default" w:ascii="Times New Roman" w:hAnsi="Times New Roman" w:cs="Times New Roman"/>
                <w:bCs/>
                <w:color w:val="auto"/>
                <w:sz w:val="24"/>
              </w:rPr>
              <w:t>废活性炭为危险废物（HW49其他废物，废物代码为900-039-49，烟气、VOCS治理过程产生的废活性炭。本项目废活性炭在</w:t>
            </w:r>
            <w:r>
              <w:rPr>
                <w:rFonts w:hint="default" w:ascii="Times New Roman" w:hAnsi="Times New Roman" w:cs="Times New Roman"/>
                <w:bCs/>
                <w:color w:val="auto"/>
                <w:sz w:val="24"/>
                <w:lang w:eastAsia="zh-CN"/>
              </w:rPr>
              <w:t>危险废物贮存库</w:t>
            </w:r>
            <w:r>
              <w:rPr>
                <w:rFonts w:hint="default" w:ascii="Times New Roman" w:hAnsi="Times New Roman" w:cs="Times New Roman"/>
                <w:bCs/>
                <w:color w:val="auto"/>
                <w:sz w:val="24"/>
              </w:rPr>
              <w:t>暂存后交有资质单位处置。</w:t>
            </w:r>
          </w:p>
          <w:p w14:paraId="6F1CBA4E">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本项目固体废物产生情况详见下表4-</w:t>
            </w:r>
            <w:r>
              <w:rPr>
                <w:rFonts w:hint="eastAsia" w:cs="Times New Roman"/>
                <w:bCs/>
                <w:color w:val="auto"/>
                <w:sz w:val="24"/>
                <w:lang w:val="en-US" w:eastAsia="zh-CN"/>
              </w:rPr>
              <w:t>13</w:t>
            </w:r>
            <w:r>
              <w:rPr>
                <w:rFonts w:hint="default" w:ascii="Times New Roman" w:hAnsi="Times New Roman" w:cs="Times New Roman"/>
                <w:bCs/>
                <w:color w:val="auto"/>
                <w:sz w:val="24"/>
              </w:rPr>
              <w:t>。</w:t>
            </w:r>
          </w:p>
          <w:p w14:paraId="3C242491">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表4-</w:t>
            </w:r>
            <w:r>
              <w:rPr>
                <w:rFonts w:hint="eastAsia" w:cs="Times New Roman"/>
                <w:b/>
                <w:color w:val="auto"/>
                <w:szCs w:val="21"/>
                <w:lang w:val="en-US" w:eastAsia="zh-CN"/>
              </w:rPr>
              <w:t>13</w:t>
            </w:r>
            <w:r>
              <w:rPr>
                <w:rFonts w:hint="default" w:ascii="Times New Roman" w:hAnsi="Times New Roman" w:cs="Times New Roman"/>
                <w:b/>
                <w:color w:val="auto"/>
                <w:szCs w:val="21"/>
              </w:rPr>
              <w:t xml:space="preserve"> 项目运营期固体废物产生情况一览表</w:t>
            </w:r>
          </w:p>
          <w:tbl>
            <w:tblPr>
              <w:tblStyle w:val="30"/>
              <w:tblW w:w="4975"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0"/>
              <w:gridCol w:w="2129"/>
              <w:gridCol w:w="1290"/>
              <w:gridCol w:w="509"/>
              <w:gridCol w:w="1339"/>
              <w:gridCol w:w="861"/>
              <w:gridCol w:w="711"/>
              <w:gridCol w:w="1021"/>
              <w:gridCol w:w="1505"/>
            </w:tblGrid>
            <w:tr w14:paraId="050DA8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519BAD9C">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序号</w:t>
                  </w:r>
                </w:p>
              </w:tc>
              <w:tc>
                <w:tcPr>
                  <w:tcW w:w="1105" w:type="pct"/>
                  <w:tcBorders>
                    <w:tl2br w:val="nil"/>
                    <w:tr2bl w:val="nil"/>
                  </w:tcBorders>
                  <w:vAlign w:val="center"/>
                </w:tcPr>
                <w:p w14:paraId="5C6018D4">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固体废物名称</w:t>
                  </w:r>
                </w:p>
              </w:tc>
              <w:tc>
                <w:tcPr>
                  <w:tcW w:w="670" w:type="pct"/>
                  <w:tcBorders>
                    <w:tl2br w:val="nil"/>
                    <w:tr2bl w:val="nil"/>
                  </w:tcBorders>
                  <w:vAlign w:val="center"/>
                </w:tcPr>
                <w:p w14:paraId="6DA57114">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产生环节</w:t>
                  </w:r>
                </w:p>
              </w:tc>
              <w:tc>
                <w:tcPr>
                  <w:tcW w:w="264" w:type="pct"/>
                  <w:tcBorders>
                    <w:tl2br w:val="nil"/>
                    <w:tr2bl w:val="nil"/>
                  </w:tcBorders>
                  <w:vAlign w:val="center"/>
                </w:tcPr>
                <w:p w14:paraId="7EEFF3F6">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固废</w:t>
                  </w:r>
                </w:p>
                <w:p w14:paraId="566F338E">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属性</w:t>
                  </w:r>
                </w:p>
              </w:tc>
              <w:tc>
                <w:tcPr>
                  <w:tcW w:w="695" w:type="pct"/>
                  <w:tcBorders>
                    <w:tl2br w:val="nil"/>
                    <w:tr2bl w:val="nil"/>
                  </w:tcBorders>
                  <w:vAlign w:val="center"/>
                </w:tcPr>
                <w:p w14:paraId="0319ACED">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废物类别</w:t>
                  </w:r>
                </w:p>
                <w:p w14:paraId="0B0BA783">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及代码</w:t>
                  </w:r>
                </w:p>
              </w:tc>
              <w:tc>
                <w:tcPr>
                  <w:tcW w:w="447" w:type="pct"/>
                  <w:tcBorders>
                    <w:tl2br w:val="nil"/>
                    <w:tr2bl w:val="nil"/>
                  </w:tcBorders>
                  <w:vAlign w:val="center"/>
                </w:tcPr>
                <w:p w14:paraId="592614E6">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危险</w:t>
                  </w:r>
                </w:p>
                <w:p w14:paraId="24FC90E4">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特性</w:t>
                  </w:r>
                </w:p>
              </w:tc>
              <w:tc>
                <w:tcPr>
                  <w:tcW w:w="369" w:type="pct"/>
                  <w:tcBorders>
                    <w:tl2br w:val="nil"/>
                    <w:tr2bl w:val="nil"/>
                  </w:tcBorders>
                  <w:vAlign w:val="center"/>
                </w:tcPr>
                <w:p w14:paraId="084F411D">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物理</w:t>
                  </w:r>
                </w:p>
                <w:p w14:paraId="6381B78C">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性状</w:t>
                  </w:r>
                </w:p>
              </w:tc>
              <w:tc>
                <w:tcPr>
                  <w:tcW w:w="530" w:type="pct"/>
                  <w:tcBorders>
                    <w:tl2br w:val="nil"/>
                    <w:tr2bl w:val="nil"/>
                  </w:tcBorders>
                  <w:vAlign w:val="center"/>
                </w:tcPr>
                <w:p w14:paraId="026B50AD">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产生量</w:t>
                  </w:r>
                </w:p>
              </w:tc>
              <w:tc>
                <w:tcPr>
                  <w:tcW w:w="781" w:type="pct"/>
                  <w:tcBorders>
                    <w:tl2br w:val="nil"/>
                    <w:tr2bl w:val="nil"/>
                  </w:tcBorders>
                  <w:vAlign w:val="center"/>
                </w:tcPr>
                <w:p w14:paraId="6A02B604">
                  <w:pPr>
                    <w:adjustRightInd w:val="0"/>
                    <w:snapToGrid w:val="0"/>
                    <w:ind w:left="-105" w:leftChars="-50" w:right="-105" w:rightChars="-50"/>
                    <w:jc w:val="center"/>
                    <w:rPr>
                      <w:rFonts w:hint="default" w:ascii="Times New Roman" w:hAnsi="Times New Roman" w:cs="Times New Roman"/>
                      <w:b/>
                      <w:bCs/>
                      <w:color w:val="auto"/>
                      <w:spacing w:val="-1"/>
                      <w:kern w:val="0"/>
                      <w:szCs w:val="21"/>
                    </w:rPr>
                  </w:pPr>
                  <w:r>
                    <w:rPr>
                      <w:rFonts w:hint="default" w:ascii="Times New Roman" w:hAnsi="Times New Roman" w:cs="Times New Roman"/>
                      <w:b/>
                      <w:bCs/>
                      <w:color w:val="auto"/>
                      <w:spacing w:val="-1"/>
                      <w:kern w:val="0"/>
                      <w:szCs w:val="21"/>
                    </w:rPr>
                    <w:t>处置措施</w:t>
                  </w:r>
                </w:p>
              </w:tc>
            </w:tr>
            <w:tr w14:paraId="62281E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77F2CBBB">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1</w:t>
                  </w:r>
                </w:p>
              </w:tc>
              <w:tc>
                <w:tcPr>
                  <w:tcW w:w="1105" w:type="pct"/>
                  <w:tcBorders>
                    <w:tl2br w:val="nil"/>
                    <w:tr2bl w:val="nil"/>
                  </w:tcBorders>
                  <w:vAlign w:val="center"/>
                </w:tcPr>
                <w:p w14:paraId="387ECCEE">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生活垃圾</w:t>
                  </w:r>
                </w:p>
              </w:tc>
              <w:tc>
                <w:tcPr>
                  <w:tcW w:w="670" w:type="pct"/>
                  <w:tcBorders>
                    <w:tl2br w:val="nil"/>
                    <w:tr2bl w:val="nil"/>
                  </w:tcBorders>
                  <w:vAlign w:val="center"/>
                </w:tcPr>
                <w:p w14:paraId="73889402">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办公生活</w:t>
                  </w:r>
                </w:p>
              </w:tc>
              <w:tc>
                <w:tcPr>
                  <w:tcW w:w="264" w:type="pct"/>
                  <w:tcBorders>
                    <w:tl2br w:val="nil"/>
                    <w:tr2bl w:val="nil"/>
                  </w:tcBorders>
                  <w:vAlign w:val="center"/>
                </w:tcPr>
                <w:p w14:paraId="59A310D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w:t>
                  </w:r>
                </w:p>
              </w:tc>
              <w:tc>
                <w:tcPr>
                  <w:tcW w:w="695" w:type="pct"/>
                  <w:tcBorders>
                    <w:tl2br w:val="nil"/>
                    <w:tr2bl w:val="nil"/>
                  </w:tcBorders>
                  <w:vAlign w:val="center"/>
                </w:tcPr>
                <w:p w14:paraId="5FCA6C6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w:t>
                  </w:r>
                </w:p>
              </w:tc>
              <w:tc>
                <w:tcPr>
                  <w:tcW w:w="447" w:type="pct"/>
                  <w:tcBorders>
                    <w:tl2br w:val="nil"/>
                    <w:tr2bl w:val="nil"/>
                  </w:tcBorders>
                  <w:vAlign w:val="center"/>
                </w:tcPr>
                <w:p w14:paraId="73ADE39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w:t>
                  </w:r>
                </w:p>
              </w:tc>
              <w:tc>
                <w:tcPr>
                  <w:tcW w:w="369" w:type="pct"/>
                  <w:tcBorders>
                    <w:tl2br w:val="nil"/>
                    <w:tr2bl w:val="nil"/>
                  </w:tcBorders>
                  <w:vAlign w:val="center"/>
                </w:tcPr>
                <w:p w14:paraId="710103D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固态</w:t>
                  </w:r>
                </w:p>
              </w:tc>
              <w:tc>
                <w:tcPr>
                  <w:tcW w:w="530" w:type="pct"/>
                  <w:tcBorders>
                    <w:tl2br w:val="nil"/>
                    <w:tr2bl w:val="nil"/>
                  </w:tcBorders>
                  <w:vAlign w:val="center"/>
                </w:tcPr>
                <w:p w14:paraId="4EFCAC1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eastAsia" w:ascii="Times New Roman" w:hAnsi="Times New Roman" w:cs="Times New Roman"/>
                      <w:color w:val="auto"/>
                      <w:spacing w:val="-1"/>
                      <w:sz w:val="21"/>
                      <w:szCs w:val="21"/>
                      <w:lang w:val="en-US" w:eastAsia="zh-CN"/>
                    </w:rPr>
                    <w:t>1.875</w:t>
                  </w:r>
                  <w:r>
                    <w:rPr>
                      <w:rFonts w:hint="default" w:ascii="Times New Roman" w:hAnsi="Times New Roman" w:cs="Times New Roman"/>
                      <w:color w:val="auto"/>
                      <w:spacing w:val="-1"/>
                      <w:sz w:val="21"/>
                      <w:szCs w:val="21"/>
                    </w:rPr>
                    <w:t>t/a</w:t>
                  </w:r>
                </w:p>
              </w:tc>
              <w:tc>
                <w:tcPr>
                  <w:tcW w:w="781" w:type="pct"/>
                  <w:tcBorders>
                    <w:tl2br w:val="nil"/>
                    <w:tr2bl w:val="nil"/>
                  </w:tcBorders>
                  <w:vAlign w:val="center"/>
                </w:tcPr>
                <w:p w14:paraId="4E63B51E">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分类收集后交由环卫部门外运处置</w:t>
                  </w:r>
                </w:p>
              </w:tc>
            </w:tr>
            <w:tr w14:paraId="31B4D0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3836906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2</w:t>
                  </w:r>
                </w:p>
              </w:tc>
              <w:tc>
                <w:tcPr>
                  <w:tcW w:w="1105" w:type="pct"/>
                  <w:tcBorders>
                    <w:tl2br w:val="nil"/>
                    <w:tr2bl w:val="nil"/>
                  </w:tcBorders>
                  <w:vAlign w:val="center"/>
                </w:tcPr>
                <w:p w14:paraId="204ED5B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未被污染的废包装</w:t>
                  </w:r>
                </w:p>
                <w:p w14:paraId="0B6A024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材料</w:t>
                  </w:r>
                </w:p>
              </w:tc>
              <w:tc>
                <w:tcPr>
                  <w:tcW w:w="670" w:type="pct"/>
                  <w:tcBorders>
                    <w:tl2br w:val="nil"/>
                    <w:tr2bl w:val="nil"/>
                  </w:tcBorders>
                  <w:vAlign w:val="center"/>
                </w:tcPr>
                <w:p w14:paraId="7CE66975">
                  <w:pPr>
                    <w:pStyle w:val="62"/>
                    <w:kinsoku w:val="0"/>
                    <w:overflowPunct w:val="0"/>
                    <w:adjustRightInd w:val="0"/>
                    <w:snapToGrid w:val="0"/>
                    <w:spacing w:line="240" w:lineRule="auto"/>
                    <w:ind w:firstLine="0"/>
                    <w:contextualSpacing/>
                    <w:jc w:val="center"/>
                    <w:rPr>
                      <w:rFonts w:hint="default" w:ascii="Times New Roman" w:hAnsi="Times New Roman" w:eastAsia="宋体"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物资采购</w:t>
                  </w:r>
                </w:p>
              </w:tc>
              <w:tc>
                <w:tcPr>
                  <w:tcW w:w="264" w:type="pct"/>
                  <w:vMerge w:val="restart"/>
                  <w:tcBorders>
                    <w:tl2br w:val="nil"/>
                    <w:tr2bl w:val="nil"/>
                  </w:tcBorders>
                  <w:vAlign w:val="center"/>
                </w:tcPr>
                <w:p w14:paraId="2E689D86">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一般固废</w:t>
                  </w:r>
                </w:p>
              </w:tc>
              <w:tc>
                <w:tcPr>
                  <w:tcW w:w="695" w:type="pct"/>
                  <w:tcBorders>
                    <w:tl2br w:val="nil"/>
                    <w:tr2bl w:val="nil"/>
                  </w:tcBorders>
                  <w:vAlign w:val="center"/>
                </w:tcPr>
                <w:p w14:paraId="15439C26">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SW17</w:t>
                  </w:r>
                </w:p>
                <w:p w14:paraId="7E6FE66E">
                  <w:pPr>
                    <w:pStyle w:val="62"/>
                    <w:kinsoku w:val="0"/>
                    <w:overflowPunct w:val="0"/>
                    <w:adjustRightInd w:val="0"/>
                    <w:snapToGrid w:val="0"/>
                    <w:spacing w:line="240" w:lineRule="auto"/>
                    <w:ind w:firstLine="0"/>
                    <w:contextualSpacing/>
                    <w:jc w:val="center"/>
                    <w:rPr>
                      <w:rFonts w:hint="default" w:ascii="Times New Roman" w:hAnsi="Times New Roman" w:eastAsia="宋体"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900-099-S17</w:t>
                  </w:r>
                </w:p>
              </w:tc>
              <w:tc>
                <w:tcPr>
                  <w:tcW w:w="447" w:type="pct"/>
                  <w:tcBorders>
                    <w:tl2br w:val="nil"/>
                    <w:tr2bl w:val="nil"/>
                  </w:tcBorders>
                  <w:vAlign w:val="center"/>
                </w:tcPr>
                <w:p w14:paraId="25E8187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w:t>
                  </w:r>
                </w:p>
              </w:tc>
              <w:tc>
                <w:tcPr>
                  <w:tcW w:w="369" w:type="pct"/>
                  <w:tcBorders>
                    <w:tl2br w:val="nil"/>
                    <w:tr2bl w:val="nil"/>
                  </w:tcBorders>
                  <w:vAlign w:val="center"/>
                </w:tcPr>
                <w:p w14:paraId="53FFC661">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固态</w:t>
                  </w:r>
                </w:p>
              </w:tc>
              <w:tc>
                <w:tcPr>
                  <w:tcW w:w="530" w:type="pct"/>
                  <w:tcBorders>
                    <w:tl2br w:val="nil"/>
                    <w:tr2bl w:val="nil"/>
                  </w:tcBorders>
                  <w:vAlign w:val="center"/>
                </w:tcPr>
                <w:p w14:paraId="166A4AB6">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eastAsia" w:ascii="Times New Roman" w:hAnsi="Times New Roman" w:cs="Times New Roman"/>
                      <w:color w:val="auto"/>
                      <w:spacing w:val="-1"/>
                      <w:sz w:val="21"/>
                      <w:szCs w:val="21"/>
                      <w:lang w:val="en-US" w:eastAsia="zh-CN"/>
                    </w:rPr>
                    <w:t>0.25</w:t>
                  </w:r>
                  <w:r>
                    <w:rPr>
                      <w:rFonts w:hint="default" w:ascii="Times New Roman" w:hAnsi="Times New Roman" w:cs="Times New Roman"/>
                      <w:color w:val="auto"/>
                      <w:spacing w:val="-1"/>
                      <w:sz w:val="21"/>
                      <w:szCs w:val="21"/>
                    </w:rPr>
                    <w:t>t/a</w:t>
                  </w:r>
                </w:p>
              </w:tc>
              <w:tc>
                <w:tcPr>
                  <w:tcW w:w="781" w:type="pct"/>
                  <w:tcBorders>
                    <w:tl2br w:val="nil"/>
                    <w:tr2bl w:val="nil"/>
                  </w:tcBorders>
                  <w:vAlign w:val="center"/>
                </w:tcPr>
                <w:p w14:paraId="06C0E8EF">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分类收集定期外售</w:t>
                  </w:r>
                </w:p>
              </w:tc>
            </w:tr>
            <w:tr w14:paraId="43AC27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 w:type="pct"/>
                  <w:tcBorders>
                    <w:tl2br w:val="nil"/>
                    <w:tr2bl w:val="nil"/>
                  </w:tcBorders>
                  <w:vAlign w:val="center"/>
                </w:tcPr>
                <w:p w14:paraId="00BDCFC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3</w:t>
                  </w:r>
                </w:p>
              </w:tc>
              <w:tc>
                <w:tcPr>
                  <w:tcW w:w="1105" w:type="pct"/>
                  <w:tcBorders>
                    <w:tl2br w:val="nil"/>
                    <w:tr2bl w:val="nil"/>
                  </w:tcBorders>
                  <w:vAlign w:val="center"/>
                </w:tcPr>
                <w:p w14:paraId="0CD809A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废滤芯</w:t>
                  </w:r>
                </w:p>
              </w:tc>
              <w:tc>
                <w:tcPr>
                  <w:tcW w:w="670" w:type="pct"/>
                  <w:tcBorders>
                    <w:tl2br w:val="nil"/>
                    <w:tr2bl w:val="nil"/>
                  </w:tcBorders>
                  <w:vAlign w:val="center"/>
                </w:tcPr>
                <w:p w14:paraId="56F77D7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纯水制备</w:t>
                  </w:r>
                </w:p>
              </w:tc>
              <w:tc>
                <w:tcPr>
                  <w:tcW w:w="264" w:type="pct"/>
                  <w:vMerge w:val="continue"/>
                  <w:tcBorders>
                    <w:tl2br w:val="nil"/>
                    <w:tr2bl w:val="nil"/>
                  </w:tcBorders>
                  <w:vAlign w:val="center"/>
                </w:tcPr>
                <w:p w14:paraId="6F957192">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c>
                <w:tcPr>
                  <w:tcW w:w="695" w:type="pct"/>
                  <w:tcBorders>
                    <w:tl2br w:val="nil"/>
                    <w:tr2bl w:val="nil"/>
                  </w:tcBorders>
                  <w:vAlign w:val="center"/>
                </w:tcPr>
                <w:p w14:paraId="171BA5B8">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SW59</w:t>
                  </w:r>
                </w:p>
                <w:p w14:paraId="5332D1B1">
                  <w:pPr>
                    <w:pStyle w:val="62"/>
                    <w:kinsoku w:val="0"/>
                    <w:overflowPunct w:val="0"/>
                    <w:adjustRightInd w:val="0"/>
                    <w:snapToGrid w:val="0"/>
                    <w:spacing w:line="240" w:lineRule="auto"/>
                    <w:ind w:firstLine="0"/>
                    <w:contextualSpacing/>
                    <w:jc w:val="center"/>
                    <w:rPr>
                      <w:rFonts w:hint="default" w:ascii="Times New Roman" w:hAnsi="Times New Roman" w:eastAsia="宋体"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900-099-S59</w:t>
                  </w:r>
                </w:p>
              </w:tc>
              <w:tc>
                <w:tcPr>
                  <w:tcW w:w="447" w:type="pct"/>
                  <w:tcBorders>
                    <w:tl2br w:val="nil"/>
                    <w:tr2bl w:val="nil"/>
                  </w:tcBorders>
                  <w:vAlign w:val="center"/>
                </w:tcPr>
                <w:p w14:paraId="5FA3639E">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w:t>
                  </w:r>
                </w:p>
              </w:tc>
              <w:tc>
                <w:tcPr>
                  <w:tcW w:w="369" w:type="pct"/>
                  <w:tcBorders>
                    <w:tl2br w:val="nil"/>
                    <w:tr2bl w:val="nil"/>
                  </w:tcBorders>
                  <w:vAlign w:val="center"/>
                </w:tcPr>
                <w:p w14:paraId="1A3188F4">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固态</w:t>
                  </w:r>
                </w:p>
              </w:tc>
              <w:tc>
                <w:tcPr>
                  <w:tcW w:w="530" w:type="pct"/>
                  <w:tcBorders>
                    <w:tl2br w:val="nil"/>
                    <w:tr2bl w:val="nil"/>
                  </w:tcBorders>
                  <w:vAlign w:val="center"/>
                </w:tcPr>
                <w:p w14:paraId="795FC956">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0.04t/a</w:t>
                  </w:r>
                </w:p>
              </w:tc>
              <w:tc>
                <w:tcPr>
                  <w:tcW w:w="781" w:type="pct"/>
                  <w:tcBorders>
                    <w:tl2br w:val="nil"/>
                    <w:tr2bl w:val="nil"/>
                  </w:tcBorders>
                  <w:vAlign w:val="center"/>
                </w:tcPr>
                <w:p w14:paraId="6ABBDA22">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厂家</w:t>
                  </w:r>
                  <w:r>
                    <w:rPr>
                      <w:rFonts w:hint="eastAsia" w:ascii="Times New Roman" w:hAnsi="Times New Roman" w:cs="Times New Roman"/>
                      <w:color w:val="auto"/>
                      <w:spacing w:val="-1"/>
                      <w:sz w:val="21"/>
                      <w:szCs w:val="21"/>
                      <w:lang w:val="en-US" w:eastAsia="zh-CN"/>
                    </w:rPr>
                    <w:t>回收</w:t>
                  </w:r>
                  <w:r>
                    <w:rPr>
                      <w:rFonts w:hint="default" w:ascii="Times New Roman" w:hAnsi="Times New Roman" w:cs="Times New Roman"/>
                      <w:color w:val="auto"/>
                      <w:spacing w:val="-1"/>
                      <w:sz w:val="21"/>
                      <w:szCs w:val="21"/>
                    </w:rPr>
                    <w:t>处置</w:t>
                  </w:r>
                </w:p>
              </w:tc>
            </w:tr>
            <w:tr w14:paraId="625156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3E7F3744">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4</w:t>
                  </w:r>
                </w:p>
              </w:tc>
              <w:tc>
                <w:tcPr>
                  <w:tcW w:w="1105" w:type="pct"/>
                  <w:tcBorders>
                    <w:tl2br w:val="nil"/>
                    <w:tr2bl w:val="nil"/>
                  </w:tcBorders>
                  <w:vAlign w:val="center"/>
                </w:tcPr>
                <w:p w14:paraId="3177FF1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灭菌后的废培养基</w:t>
                  </w:r>
                </w:p>
              </w:tc>
              <w:tc>
                <w:tcPr>
                  <w:tcW w:w="670" w:type="pct"/>
                  <w:tcBorders>
                    <w:tl2br w:val="nil"/>
                    <w:tr2bl w:val="nil"/>
                  </w:tcBorders>
                  <w:vAlign w:val="center"/>
                </w:tcPr>
                <w:p w14:paraId="6382424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微生物实验</w:t>
                  </w:r>
                </w:p>
              </w:tc>
              <w:tc>
                <w:tcPr>
                  <w:tcW w:w="264" w:type="pct"/>
                  <w:vMerge w:val="continue"/>
                  <w:tcBorders>
                    <w:tl2br w:val="nil"/>
                    <w:tr2bl w:val="nil"/>
                  </w:tcBorders>
                  <w:vAlign w:val="center"/>
                </w:tcPr>
                <w:p w14:paraId="1735F36B">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c>
                <w:tcPr>
                  <w:tcW w:w="695" w:type="pct"/>
                  <w:tcBorders>
                    <w:tl2br w:val="nil"/>
                    <w:tr2bl w:val="nil"/>
                  </w:tcBorders>
                  <w:vAlign w:val="center"/>
                </w:tcPr>
                <w:p w14:paraId="643D898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lang w:val="en-US" w:eastAsia="zh-CN"/>
                    </w:rPr>
                  </w:pPr>
                  <w:r>
                    <w:rPr>
                      <w:rFonts w:hint="default" w:ascii="Times New Roman" w:hAnsi="Times New Roman" w:cs="Times New Roman"/>
                      <w:color w:val="auto"/>
                      <w:spacing w:val="-1"/>
                      <w:sz w:val="21"/>
                      <w:szCs w:val="21"/>
                      <w:lang w:val="en-US" w:eastAsia="zh-CN"/>
                    </w:rPr>
                    <w:t>SW59</w:t>
                  </w:r>
                </w:p>
                <w:p w14:paraId="487DFC2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lang w:val="en-US" w:eastAsia="zh-CN"/>
                    </w:rPr>
                    <w:t>900-099-S59</w:t>
                  </w:r>
                </w:p>
              </w:tc>
              <w:tc>
                <w:tcPr>
                  <w:tcW w:w="447" w:type="pct"/>
                  <w:tcBorders>
                    <w:tl2br w:val="nil"/>
                    <w:tr2bl w:val="nil"/>
                  </w:tcBorders>
                  <w:vAlign w:val="center"/>
                </w:tcPr>
                <w:p w14:paraId="1263687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w:t>
                  </w:r>
                </w:p>
              </w:tc>
              <w:tc>
                <w:tcPr>
                  <w:tcW w:w="369" w:type="pct"/>
                  <w:tcBorders>
                    <w:tl2br w:val="nil"/>
                    <w:tr2bl w:val="nil"/>
                  </w:tcBorders>
                  <w:vAlign w:val="center"/>
                </w:tcPr>
                <w:p w14:paraId="0AAAB0B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固态</w:t>
                  </w:r>
                </w:p>
              </w:tc>
              <w:tc>
                <w:tcPr>
                  <w:tcW w:w="530" w:type="pct"/>
                  <w:tcBorders>
                    <w:tl2br w:val="nil"/>
                    <w:tr2bl w:val="nil"/>
                  </w:tcBorders>
                  <w:vAlign w:val="center"/>
                </w:tcPr>
                <w:p w14:paraId="514AF58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0.01t/a</w:t>
                  </w:r>
                </w:p>
              </w:tc>
              <w:tc>
                <w:tcPr>
                  <w:tcW w:w="781" w:type="pct"/>
                  <w:tcBorders>
                    <w:tl2br w:val="nil"/>
                    <w:tr2bl w:val="nil"/>
                  </w:tcBorders>
                  <w:vAlign w:val="center"/>
                </w:tcPr>
                <w:p w14:paraId="43BA6F6C">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分类收集后交由环卫部门外运处置</w:t>
                  </w:r>
                </w:p>
              </w:tc>
            </w:tr>
            <w:tr w14:paraId="3C5749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6565E0A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5</w:t>
                  </w:r>
                </w:p>
              </w:tc>
              <w:tc>
                <w:tcPr>
                  <w:tcW w:w="1105" w:type="pct"/>
                  <w:tcBorders>
                    <w:tl2br w:val="nil"/>
                    <w:tr2bl w:val="nil"/>
                  </w:tcBorders>
                  <w:vAlign w:val="center"/>
                </w:tcPr>
                <w:p w14:paraId="10689B5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实验室废液</w:t>
                  </w:r>
                </w:p>
              </w:tc>
              <w:tc>
                <w:tcPr>
                  <w:tcW w:w="670" w:type="pct"/>
                  <w:tcBorders>
                    <w:tl2br w:val="nil"/>
                    <w:tr2bl w:val="nil"/>
                  </w:tcBorders>
                  <w:vAlign w:val="center"/>
                </w:tcPr>
                <w:p w14:paraId="181B702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实验检验</w:t>
                  </w:r>
                </w:p>
              </w:tc>
              <w:tc>
                <w:tcPr>
                  <w:tcW w:w="264" w:type="pct"/>
                  <w:vMerge w:val="restart"/>
                  <w:tcBorders>
                    <w:tl2br w:val="nil"/>
                    <w:tr2bl w:val="nil"/>
                  </w:tcBorders>
                  <w:vAlign w:val="center"/>
                </w:tcPr>
                <w:p w14:paraId="6FAA806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危险废物</w:t>
                  </w:r>
                </w:p>
              </w:tc>
              <w:tc>
                <w:tcPr>
                  <w:tcW w:w="695" w:type="pct"/>
                  <w:tcBorders>
                    <w:tl2br w:val="nil"/>
                    <w:tr2bl w:val="nil"/>
                  </w:tcBorders>
                  <w:vAlign w:val="center"/>
                </w:tcPr>
                <w:p w14:paraId="7B0DC3E4">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HW49 900-047-49</w:t>
                  </w:r>
                </w:p>
              </w:tc>
              <w:tc>
                <w:tcPr>
                  <w:tcW w:w="447" w:type="pct"/>
                  <w:tcBorders>
                    <w:tl2br w:val="nil"/>
                    <w:tr2bl w:val="nil"/>
                  </w:tcBorders>
                  <w:vAlign w:val="center"/>
                </w:tcPr>
                <w:p w14:paraId="5A20EA0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T/C/I/R</w:t>
                  </w:r>
                </w:p>
              </w:tc>
              <w:tc>
                <w:tcPr>
                  <w:tcW w:w="369" w:type="pct"/>
                  <w:tcBorders>
                    <w:tl2br w:val="nil"/>
                    <w:tr2bl w:val="nil"/>
                  </w:tcBorders>
                  <w:vAlign w:val="center"/>
                </w:tcPr>
                <w:p w14:paraId="3BBFE80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液态</w:t>
                  </w:r>
                </w:p>
              </w:tc>
              <w:tc>
                <w:tcPr>
                  <w:tcW w:w="530" w:type="pct"/>
                  <w:tcBorders>
                    <w:tl2br w:val="nil"/>
                    <w:tr2bl w:val="nil"/>
                  </w:tcBorders>
                  <w:vAlign w:val="center"/>
                </w:tcPr>
                <w:p w14:paraId="4C35900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eastAsia" w:ascii="Times New Roman" w:hAnsi="Times New Roman" w:cs="Times New Roman"/>
                      <w:color w:val="auto"/>
                      <w:spacing w:val="-1"/>
                      <w:sz w:val="21"/>
                      <w:szCs w:val="21"/>
                      <w:lang w:val="en-US" w:eastAsia="zh-CN"/>
                    </w:rPr>
                    <w:t>15.2</w:t>
                  </w:r>
                  <w:r>
                    <w:rPr>
                      <w:rFonts w:hint="default" w:ascii="Times New Roman" w:hAnsi="Times New Roman" w:cs="Times New Roman"/>
                      <w:color w:val="auto"/>
                      <w:spacing w:val="-1"/>
                      <w:sz w:val="21"/>
                      <w:szCs w:val="21"/>
                    </w:rPr>
                    <w:t>t/a</w:t>
                  </w:r>
                </w:p>
              </w:tc>
              <w:tc>
                <w:tcPr>
                  <w:tcW w:w="781" w:type="pct"/>
                  <w:vMerge w:val="restart"/>
                  <w:tcBorders>
                    <w:tl2br w:val="nil"/>
                    <w:tr2bl w:val="nil"/>
                  </w:tcBorders>
                  <w:vAlign w:val="center"/>
                </w:tcPr>
                <w:p w14:paraId="3DE2AEC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eastAsia" w:ascii="Times New Roman" w:hAnsi="Times New Roman" w:cs="Times New Roman"/>
                      <w:color w:val="auto"/>
                      <w:spacing w:val="-1"/>
                      <w:sz w:val="21"/>
                      <w:szCs w:val="21"/>
                      <w:lang w:val="en-US" w:eastAsia="zh-CN"/>
                    </w:rPr>
                    <w:t>暂存危废贮存库，</w:t>
                  </w:r>
                  <w:r>
                    <w:rPr>
                      <w:rFonts w:hint="default" w:ascii="Times New Roman" w:hAnsi="Times New Roman" w:cs="Times New Roman"/>
                      <w:color w:val="auto"/>
                      <w:spacing w:val="-1"/>
                      <w:sz w:val="21"/>
                      <w:szCs w:val="21"/>
                    </w:rPr>
                    <w:t>定期委托有资质单位清运处置</w:t>
                  </w:r>
                </w:p>
              </w:tc>
            </w:tr>
            <w:tr w14:paraId="7D4B96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7BA5EBB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6</w:t>
                  </w:r>
                </w:p>
              </w:tc>
              <w:tc>
                <w:tcPr>
                  <w:tcW w:w="1105" w:type="pct"/>
                  <w:tcBorders>
                    <w:tl2br w:val="nil"/>
                    <w:tr2bl w:val="nil"/>
                  </w:tcBorders>
                  <w:vAlign w:val="center"/>
                </w:tcPr>
                <w:p w14:paraId="2750CC82">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废样品</w:t>
                  </w:r>
                </w:p>
              </w:tc>
              <w:tc>
                <w:tcPr>
                  <w:tcW w:w="670" w:type="pct"/>
                  <w:tcBorders>
                    <w:tl2br w:val="nil"/>
                    <w:tr2bl w:val="nil"/>
                  </w:tcBorders>
                  <w:vAlign w:val="center"/>
                </w:tcPr>
                <w:p w14:paraId="61C268F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实验检验</w:t>
                  </w:r>
                </w:p>
              </w:tc>
              <w:tc>
                <w:tcPr>
                  <w:tcW w:w="264" w:type="pct"/>
                  <w:vMerge w:val="continue"/>
                  <w:tcBorders>
                    <w:tl2br w:val="nil"/>
                    <w:tr2bl w:val="nil"/>
                  </w:tcBorders>
                  <w:vAlign w:val="center"/>
                </w:tcPr>
                <w:p w14:paraId="7A41F8D0">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c>
                <w:tcPr>
                  <w:tcW w:w="695" w:type="pct"/>
                  <w:tcBorders>
                    <w:tl2br w:val="nil"/>
                    <w:tr2bl w:val="nil"/>
                  </w:tcBorders>
                  <w:vAlign w:val="center"/>
                </w:tcPr>
                <w:p w14:paraId="4FF33407">
                  <w:pPr>
                    <w:kinsoku w:val="0"/>
                    <w:overflowPunct w:val="0"/>
                    <w:adjustRightInd w:val="0"/>
                    <w:snapToGrid w:val="0"/>
                    <w:contextualSpacing/>
                    <w:jc w:val="center"/>
                    <w:rPr>
                      <w:rFonts w:hint="default" w:ascii="Times New Roman" w:hAnsi="Times New Roman" w:cs="Times New Roman"/>
                      <w:color w:val="auto"/>
                      <w:spacing w:val="-1"/>
                      <w:szCs w:val="21"/>
                    </w:rPr>
                  </w:pPr>
                  <w:r>
                    <w:rPr>
                      <w:rFonts w:hint="default" w:ascii="Times New Roman" w:hAnsi="Times New Roman" w:cs="Times New Roman"/>
                      <w:color w:val="auto"/>
                      <w:spacing w:val="-1"/>
                      <w:szCs w:val="21"/>
                    </w:rPr>
                    <w:t>HW49 900-047-49</w:t>
                  </w:r>
                </w:p>
              </w:tc>
              <w:tc>
                <w:tcPr>
                  <w:tcW w:w="447" w:type="pct"/>
                  <w:tcBorders>
                    <w:tl2br w:val="nil"/>
                    <w:tr2bl w:val="nil"/>
                  </w:tcBorders>
                  <w:vAlign w:val="center"/>
                </w:tcPr>
                <w:p w14:paraId="401FE31C">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T/C/I/R</w:t>
                  </w:r>
                </w:p>
              </w:tc>
              <w:tc>
                <w:tcPr>
                  <w:tcW w:w="369" w:type="pct"/>
                  <w:tcBorders>
                    <w:tl2br w:val="nil"/>
                    <w:tr2bl w:val="nil"/>
                  </w:tcBorders>
                  <w:vAlign w:val="center"/>
                </w:tcPr>
                <w:p w14:paraId="2258789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液态</w:t>
                  </w:r>
                </w:p>
              </w:tc>
              <w:tc>
                <w:tcPr>
                  <w:tcW w:w="530" w:type="pct"/>
                  <w:tcBorders>
                    <w:tl2br w:val="nil"/>
                    <w:tr2bl w:val="nil"/>
                  </w:tcBorders>
                  <w:vAlign w:val="center"/>
                </w:tcPr>
                <w:p w14:paraId="37174DB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0.0</w:t>
                  </w:r>
                  <w:r>
                    <w:rPr>
                      <w:rFonts w:hint="eastAsia" w:ascii="Times New Roman" w:hAnsi="Times New Roman" w:cs="Times New Roman"/>
                      <w:color w:val="auto"/>
                      <w:spacing w:val="-1"/>
                      <w:sz w:val="21"/>
                      <w:szCs w:val="21"/>
                      <w:lang w:val="en-US" w:eastAsia="zh-CN"/>
                    </w:rPr>
                    <w:t>1</w:t>
                  </w:r>
                  <w:r>
                    <w:rPr>
                      <w:rFonts w:hint="default" w:ascii="Times New Roman" w:hAnsi="Times New Roman" w:cs="Times New Roman"/>
                      <w:color w:val="auto"/>
                      <w:spacing w:val="-1"/>
                      <w:sz w:val="21"/>
                      <w:szCs w:val="21"/>
                    </w:rPr>
                    <w:t>t/a</w:t>
                  </w:r>
                </w:p>
              </w:tc>
              <w:tc>
                <w:tcPr>
                  <w:tcW w:w="781" w:type="pct"/>
                  <w:vMerge w:val="continue"/>
                  <w:tcBorders>
                    <w:tl2br w:val="nil"/>
                    <w:tr2bl w:val="nil"/>
                  </w:tcBorders>
                  <w:vAlign w:val="center"/>
                </w:tcPr>
                <w:p w14:paraId="140E226E">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r>
            <w:tr w14:paraId="437A78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57D888DB">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7</w:t>
                  </w:r>
                </w:p>
              </w:tc>
              <w:tc>
                <w:tcPr>
                  <w:tcW w:w="1105" w:type="pct"/>
                  <w:tcBorders>
                    <w:tl2br w:val="nil"/>
                    <w:tr2bl w:val="nil"/>
                  </w:tcBorders>
                  <w:vAlign w:val="center"/>
                </w:tcPr>
                <w:p w14:paraId="29071EC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沾染危险化学品的包装材料及实验器材</w:t>
                  </w:r>
                </w:p>
              </w:tc>
              <w:tc>
                <w:tcPr>
                  <w:tcW w:w="670" w:type="pct"/>
                  <w:tcBorders>
                    <w:tl2br w:val="nil"/>
                    <w:tr2bl w:val="nil"/>
                  </w:tcBorders>
                  <w:vAlign w:val="center"/>
                </w:tcPr>
                <w:p w14:paraId="1134EE12">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实验检验</w:t>
                  </w:r>
                </w:p>
              </w:tc>
              <w:tc>
                <w:tcPr>
                  <w:tcW w:w="264" w:type="pct"/>
                  <w:vMerge w:val="continue"/>
                  <w:tcBorders>
                    <w:tl2br w:val="nil"/>
                    <w:tr2bl w:val="nil"/>
                  </w:tcBorders>
                  <w:vAlign w:val="center"/>
                </w:tcPr>
                <w:p w14:paraId="369DF55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c>
                <w:tcPr>
                  <w:tcW w:w="695" w:type="pct"/>
                  <w:tcBorders>
                    <w:tl2br w:val="nil"/>
                    <w:tr2bl w:val="nil"/>
                  </w:tcBorders>
                  <w:vAlign w:val="center"/>
                </w:tcPr>
                <w:p w14:paraId="64D9EB69">
                  <w:pPr>
                    <w:kinsoku w:val="0"/>
                    <w:overflowPunct w:val="0"/>
                    <w:adjustRightInd w:val="0"/>
                    <w:snapToGrid w:val="0"/>
                    <w:contextualSpacing/>
                    <w:jc w:val="center"/>
                    <w:rPr>
                      <w:rFonts w:hint="default" w:ascii="Times New Roman" w:hAnsi="Times New Roman" w:cs="Times New Roman"/>
                      <w:color w:val="auto"/>
                      <w:spacing w:val="-1"/>
                      <w:szCs w:val="21"/>
                    </w:rPr>
                  </w:pPr>
                  <w:r>
                    <w:rPr>
                      <w:rFonts w:hint="default" w:ascii="Times New Roman" w:hAnsi="Times New Roman" w:cs="Times New Roman"/>
                      <w:color w:val="auto"/>
                      <w:spacing w:val="-1"/>
                      <w:szCs w:val="21"/>
                    </w:rPr>
                    <w:t>HW49 900-047-49</w:t>
                  </w:r>
                </w:p>
              </w:tc>
              <w:tc>
                <w:tcPr>
                  <w:tcW w:w="447" w:type="pct"/>
                  <w:tcBorders>
                    <w:tl2br w:val="nil"/>
                    <w:tr2bl w:val="nil"/>
                  </w:tcBorders>
                  <w:vAlign w:val="center"/>
                </w:tcPr>
                <w:p w14:paraId="17290F10">
                  <w:pPr>
                    <w:kinsoku w:val="0"/>
                    <w:overflowPunct w:val="0"/>
                    <w:adjustRightInd w:val="0"/>
                    <w:snapToGrid w:val="0"/>
                    <w:contextualSpacing/>
                    <w:jc w:val="center"/>
                    <w:rPr>
                      <w:rFonts w:hint="default" w:ascii="Times New Roman" w:hAnsi="Times New Roman" w:cs="Times New Roman"/>
                      <w:color w:val="auto"/>
                      <w:spacing w:val="-1"/>
                      <w:szCs w:val="21"/>
                    </w:rPr>
                  </w:pPr>
                  <w:r>
                    <w:rPr>
                      <w:rFonts w:hint="default" w:ascii="Times New Roman" w:hAnsi="Times New Roman" w:cs="Times New Roman"/>
                      <w:color w:val="auto"/>
                      <w:spacing w:val="-1"/>
                      <w:szCs w:val="21"/>
                    </w:rPr>
                    <w:t>T/C/I/R</w:t>
                  </w:r>
                </w:p>
              </w:tc>
              <w:tc>
                <w:tcPr>
                  <w:tcW w:w="369" w:type="pct"/>
                  <w:tcBorders>
                    <w:tl2br w:val="nil"/>
                    <w:tr2bl w:val="nil"/>
                  </w:tcBorders>
                  <w:vAlign w:val="center"/>
                </w:tcPr>
                <w:p w14:paraId="1D338C3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固态</w:t>
                  </w:r>
                </w:p>
              </w:tc>
              <w:tc>
                <w:tcPr>
                  <w:tcW w:w="530" w:type="pct"/>
                  <w:tcBorders>
                    <w:tl2br w:val="nil"/>
                    <w:tr2bl w:val="nil"/>
                  </w:tcBorders>
                  <w:vAlign w:val="center"/>
                </w:tcPr>
                <w:p w14:paraId="5D96E4AF">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0.1t/a</w:t>
                  </w:r>
                </w:p>
              </w:tc>
              <w:tc>
                <w:tcPr>
                  <w:tcW w:w="781" w:type="pct"/>
                  <w:vMerge w:val="continue"/>
                  <w:tcBorders>
                    <w:tl2br w:val="nil"/>
                    <w:tr2bl w:val="nil"/>
                  </w:tcBorders>
                  <w:vAlign w:val="center"/>
                </w:tcPr>
                <w:p w14:paraId="00CFEB17">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r>
            <w:tr w14:paraId="06DFAB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4C7AC5BE">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8</w:t>
                  </w:r>
                </w:p>
              </w:tc>
              <w:tc>
                <w:tcPr>
                  <w:tcW w:w="1105" w:type="pct"/>
                  <w:tcBorders>
                    <w:tl2br w:val="nil"/>
                    <w:tr2bl w:val="nil"/>
                  </w:tcBorders>
                  <w:vAlign w:val="center"/>
                </w:tcPr>
                <w:p w14:paraId="1D00F61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废过滤介质</w:t>
                  </w:r>
                </w:p>
              </w:tc>
              <w:tc>
                <w:tcPr>
                  <w:tcW w:w="670" w:type="pct"/>
                  <w:tcBorders>
                    <w:tl2br w:val="nil"/>
                    <w:tr2bl w:val="nil"/>
                  </w:tcBorders>
                  <w:vAlign w:val="center"/>
                </w:tcPr>
                <w:p w14:paraId="48ECE788">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lang w:val="en-US"/>
                    </w:rPr>
                  </w:pPr>
                  <w:r>
                    <w:rPr>
                      <w:rFonts w:hint="eastAsia" w:ascii="Times New Roman" w:hAnsi="Times New Roman" w:cs="Times New Roman"/>
                      <w:color w:val="auto"/>
                      <w:spacing w:val="-1"/>
                      <w:sz w:val="21"/>
                      <w:szCs w:val="21"/>
                      <w:lang w:val="en-US" w:eastAsia="zh-CN"/>
                    </w:rPr>
                    <w:t>生物安全柜废气治理</w:t>
                  </w:r>
                </w:p>
              </w:tc>
              <w:tc>
                <w:tcPr>
                  <w:tcW w:w="264" w:type="pct"/>
                  <w:vMerge w:val="continue"/>
                  <w:tcBorders>
                    <w:tl2br w:val="nil"/>
                    <w:tr2bl w:val="nil"/>
                  </w:tcBorders>
                  <w:vAlign w:val="center"/>
                </w:tcPr>
                <w:p w14:paraId="437B21D3">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c>
                <w:tcPr>
                  <w:tcW w:w="695" w:type="pct"/>
                  <w:tcBorders>
                    <w:tl2br w:val="nil"/>
                    <w:tr2bl w:val="nil"/>
                  </w:tcBorders>
                  <w:vAlign w:val="center"/>
                </w:tcPr>
                <w:p w14:paraId="65CD7830">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HW49 900-041-49</w:t>
                  </w:r>
                </w:p>
              </w:tc>
              <w:tc>
                <w:tcPr>
                  <w:tcW w:w="447" w:type="pct"/>
                  <w:tcBorders>
                    <w:tl2br w:val="nil"/>
                    <w:tr2bl w:val="nil"/>
                  </w:tcBorders>
                  <w:vAlign w:val="center"/>
                </w:tcPr>
                <w:p w14:paraId="1688AFCB">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T/In</w:t>
                  </w:r>
                </w:p>
              </w:tc>
              <w:tc>
                <w:tcPr>
                  <w:tcW w:w="369" w:type="pct"/>
                  <w:tcBorders>
                    <w:tl2br w:val="nil"/>
                    <w:tr2bl w:val="nil"/>
                  </w:tcBorders>
                  <w:vAlign w:val="center"/>
                </w:tcPr>
                <w:p w14:paraId="14CCB6DF">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固态</w:t>
                  </w:r>
                </w:p>
              </w:tc>
              <w:tc>
                <w:tcPr>
                  <w:tcW w:w="530" w:type="pct"/>
                  <w:tcBorders>
                    <w:tl2br w:val="nil"/>
                    <w:tr2bl w:val="nil"/>
                  </w:tcBorders>
                  <w:vAlign w:val="center"/>
                </w:tcPr>
                <w:p w14:paraId="0C903E5D">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r>
                    <w:rPr>
                      <w:rFonts w:hint="default" w:ascii="Times New Roman" w:hAnsi="Times New Roman" w:cs="Times New Roman"/>
                      <w:color w:val="auto"/>
                      <w:spacing w:val="-1"/>
                      <w:sz w:val="21"/>
                      <w:szCs w:val="21"/>
                    </w:rPr>
                    <w:t>0.</w:t>
                  </w:r>
                  <w:r>
                    <w:rPr>
                      <w:rFonts w:hint="eastAsia" w:ascii="Times New Roman" w:hAnsi="Times New Roman" w:cs="Times New Roman"/>
                      <w:color w:val="auto"/>
                      <w:spacing w:val="-1"/>
                      <w:sz w:val="21"/>
                      <w:szCs w:val="21"/>
                      <w:lang w:val="en-US" w:eastAsia="zh-CN"/>
                    </w:rPr>
                    <w:t>05</w:t>
                  </w:r>
                  <w:r>
                    <w:rPr>
                      <w:rFonts w:hint="default" w:ascii="Times New Roman" w:hAnsi="Times New Roman" w:cs="Times New Roman"/>
                      <w:color w:val="auto"/>
                      <w:spacing w:val="-1"/>
                      <w:sz w:val="21"/>
                      <w:szCs w:val="21"/>
                    </w:rPr>
                    <w:t>t/a</w:t>
                  </w:r>
                </w:p>
              </w:tc>
              <w:tc>
                <w:tcPr>
                  <w:tcW w:w="781" w:type="pct"/>
                  <w:vMerge w:val="continue"/>
                  <w:tcBorders>
                    <w:tl2br w:val="nil"/>
                    <w:tr2bl w:val="nil"/>
                  </w:tcBorders>
                  <w:vAlign w:val="center"/>
                </w:tcPr>
                <w:p w14:paraId="14B535DA">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r>
            <w:tr w14:paraId="326F5A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 w:type="pct"/>
                  <w:tcBorders>
                    <w:tl2br w:val="nil"/>
                    <w:tr2bl w:val="nil"/>
                  </w:tcBorders>
                  <w:vAlign w:val="center"/>
                </w:tcPr>
                <w:p w14:paraId="6FCC02CF">
                  <w:pPr>
                    <w:pStyle w:val="62"/>
                    <w:kinsoku w:val="0"/>
                    <w:overflowPunct w:val="0"/>
                    <w:adjustRightInd w:val="0"/>
                    <w:snapToGrid w:val="0"/>
                    <w:spacing w:line="240" w:lineRule="auto"/>
                    <w:ind w:firstLine="0"/>
                    <w:contextualSpacing/>
                    <w:jc w:val="center"/>
                    <w:rPr>
                      <w:rFonts w:hint="eastAsia" w:ascii="Times New Roman" w:hAnsi="Times New Roman" w:eastAsia="宋体" w:cs="Times New Roman"/>
                      <w:color w:val="auto"/>
                      <w:spacing w:val="-1"/>
                      <w:sz w:val="21"/>
                      <w:szCs w:val="21"/>
                      <w:lang w:val="en-US" w:eastAsia="zh-CN"/>
                    </w:rPr>
                  </w:pPr>
                  <w:r>
                    <w:rPr>
                      <w:rFonts w:hint="eastAsia" w:ascii="Times New Roman" w:hAnsi="Times New Roman" w:cs="Times New Roman"/>
                      <w:color w:val="auto"/>
                      <w:spacing w:val="-1"/>
                      <w:sz w:val="21"/>
                      <w:szCs w:val="21"/>
                      <w:lang w:val="en-US" w:eastAsia="zh-CN"/>
                    </w:rPr>
                    <w:t>9</w:t>
                  </w:r>
                </w:p>
              </w:tc>
              <w:tc>
                <w:tcPr>
                  <w:tcW w:w="1105" w:type="pct"/>
                  <w:tcBorders>
                    <w:tl2br w:val="nil"/>
                    <w:tr2bl w:val="nil"/>
                  </w:tcBorders>
                  <w:shd w:val="clear" w:color="auto" w:fill="auto"/>
                  <w:vAlign w:val="center"/>
                </w:tcPr>
                <w:p w14:paraId="10FAF11B">
                  <w:pPr>
                    <w:pStyle w:val="62"/>
                    <w:kinsoku w:val="0"/>
                    <w:overflowPunct w:val="0"/>
                    <w:adjustRightInd w:val="0"/>
                    <w:snapToGrid w:val="0"/>
                    <w:spacing w:line="240" w:lineRule="auto"/>
                    <w:ind w:firstLine="0" w:firstLineChars="0"/>
                    <w:contextualSpacing/>
                    <w:jc w:val="center"/>
                    <w:rPr>
                      <w:rFonts w:hint="default" w:ascii="Times New Roman" w:hAnsi="Times New Roman" w:eastAsia="宋体" w:cs="Times New Roman"/>
                      <w:color w:val="auto"/>
                      <w:spacing w:val="-1"/>
                      <w:kern w:val="0"/>
                      <w:sz w:val="21"/>
                      <w:szCs w:val="21"/>
                      <w:lang w:val="en-US" w:eastAsia="zh-CN" w:bidi="ar-SA"/>
                    </w:rPr>
                  </w:pPr>
                  <w:r>
                    <w:rPr>
                      <w:rFonts w:hint="default" w:ascii="Times New Roman" w:hAnsi="Times New Roman" w:cs="Times New Roman"/>
                      <w:color w:val="auto"/>
                      <w:spacing w:val="-1"/>
                      <w:sz w:val="21"/>
                      <w:szCs w:val="21"/>
                    </w:rPr>
                    <w:t>废活性炭</w:t>
                  </w:r>
                </w:p>
              </w:tc>
              <w:tc>
                <w:tcPr>
                  <w:tcW w:w="670" w:type="pct"/>
                  <w:tcBorders>
                    <w:tl2br w:val="nil"/>
                    <w:tr2bl w:val="nil"/>
                  </w:tcBorders>
                  <w:shd w:val="clear" w:color="auto" w:fill="auto"/>
                  <w:vAlign w:val="center"/>
                </w:tcPr>
                <w:p w14:paraId="7715BF22">
                  <w:pPr>
                    <w:pStyle w:val="62"/>
                    <w:kinsoku w:val="0"/>
                    <w:overflowPunct w:val="0"/>
                    <w:adjustRightInd w:val="0"/>
                    <w:snapToGrid w:val="0"/>
                    <w:spacing w:line="240" w:lineRule="auto"/>
                    <w:ind w:firstLine="0" w:firstLineChars="0"/>
                    <w:contextualSpacing/>
                    <w:jc w:val="center"/>
                    <w:rPr>
                      <w:rFonts w:hint="default" w:ascii="Times New Roman" w:hAnsi="Times New Roman" w:eastAsia="宋体" w:cs="Times New Roman"/>
                      <w:color w:val="auto"/>
                      <w:spacing w:val="-1"/>
                      <w:kern w:val="0"/>
                      <w:sz w:val="21"/>
                      <w:szCs w:val="21"/>
                      <w:lang w:val="en-US" w:eastAsia="zh-CN" w:bidi="ar-SA"/>
                    </w:rPr>
                  </w:pPr>
                  <w:r>
                    <w:rPr>
                      <w:rFonts w:hint="default" w:ascii="Times New Roman" w:hAnsi="Times New Roman" w:cs="Times New Roman"/>
                      <w:color w:val="auto"/>
                      <w:spacing w:val="-1"/>
                      <w:sz w:val="21"/>
                      <w:szCs w:val="21"/>
                    </w:rPr>
                    <w:t>废气吸附</w:t>
                  </w:r>
                </w:p>
              </w:tc>
              <w:tc>
                <w:tcPr>
                  <w:tcW w:w="264" w:type="pct"/>
                  <w:vMerge w:val="continue"/>
                  <w:tcBorders>
                    <w:tl2br w:val="nil"/>
                    <w:tr2bl w:val="nil"/>
                  </w:tcBorders>
                  <w:vAlign w:val="center"/>
                </w:tcPr>
                <w:p w14:paraId="4EF80D49">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c>
                <w:tcPr>
                  <w:tcW w:w="695" w:type="pct"/>
                  <w:tcBorders>
                    <w:tl2br w:val="nil"/>
                    <w:tr2bl w:val="nil"/>
                  </w:tcBorders>
                  <w:shd w:val="clear" w:color="auto" w:fill="auto"/>
                  <w:vAlign w:val="center"/>
                </w:tcPr>
                <w:p w14:paraId="0E550AD8">
                  <w:pPr>
                    <w:pStyle w:val="62"/>
                    <w:kinsoku w:val="0"/>
                    <w:overflowPunct w:val="0"/>
                    <w:adjustRightInd w:val="0"/>
                    <w:snapToGrid w:val="0"/>
                    <w:spacing w:line="240" w:lineRule="auto"/>
                    <w:ind w:firstLine="0" w:firstLineChars="0"/>
                    <w:contextualSpacing/>
                    <w:jc w:val="center"/>
                    <w:rPr>
                      <w:rFonts w:hint="default" w:ascii="Times New Roman" w:hAnsi="Times New Roman" w:eastAsia="宋体" w:cs="Times New Roman"/>
                      <w:color w:val="auto"/>
                      <w:spacing w:val="-1"/>
                      <w:kern w:val="0"/>
                      <w:sz w:val="21"/>
                      <w:szCs w:val="21"/>
                      <w:lang w:val="en-US" w:eastAsia="zh-CN" w:bidi="ar-SA"/>
                    </w:rPr>
                  </w:pPr>
                  <w:r>
                    <w:rPr>
                      <w:rFonts w:hint="default" w:ascii="Times New Roman" w:hAnsi="Times New Roman" w:cs="Times New Roman"/>
                      <w:color w:val="auto"/>
                      <w:spacing w:val="-1"/>
                      <w:sz w:val="21"/>
                      <w:szCs w:val="21"/>
                    </w:rPr>
                    <w:t>HW49 900-039-49</w:t>
                  </w:r>
                </w:p>
              </w:tc>
              <w:tc>
                <w:tcPr>
                  <w:tcW w:w="447" w:type="pct"/>
                  <w:tcBorders>
                    <w:tl2br w:val="nil"/>
                    <w:tr2bl w:val="nil"/>
                  </w:tcBorders>
                  <w:shd w:val="clear" w:color="auto" w:fill="auto"/>
                  <w:vAlign w:val="center"/>
                </w:tcPr>
                <w:p w14:paraId="1B9AD62F">
                  <w:pPr>
                    <w:pStyle w:val="62"/>
                    <w:kinsoku w:val="0"/>
                    <w:overflowPunct w:val="0"/>
                    <w:adjustRightInd w:val="0"/>
                    <w:snapToGrid w:val="0"/>
                    <w:spacing w:line="240" w:lineRule="auto"/>
                    <w:ind w:firstLine="0" w:firstLineChars="0"/>
                    <w:contextualSpacing/>
                    <w:jc w:val="center"/>
                    <w:rPr>
                      <w:rFonts w:hint="eastAsia" w:ascii="Times New Roman" w:hAnsi="Times New Roman" w:eastAsia="宋体" w:cs="Times New Roman"/>
                      <w:color w:val="auto"/>
                      <w:spacing w:val="-1"/>
                      <w:kern w:val="0"/>
                      <w:sz w:val="21"/>
                      <w:szCs w:val="21"/>
                      <w:lang w:val="en-US" w:eastAsia="zh-CN" w:bidi="ar-SA"/>
                    </w:rPr>
                  </w:pPr>
                  <w:r>
                    <w:rPr>
                      <w:rFonts w:hint="default" w:ascii="Times New Roman" w:hAnsi="Times New Roman" w:cs="Times New Roman"/>
                      <w:color w:val="auto"/>
                      <w:spacing w:val="-1"/>
                      <w:sz w:val="21"/>
                      <w:szCs w:val="21"/>
                    </w:rPr>
                    <w:t>T/In</w:t>
                  </w:r>
                </w:p>
              </w:tc>
              <w:tc>
                <w:tcPr>
                  <w:tcW w:w="369" w:type="pct"/>
                  <w:tcBorders>
                    <w:tl2br w:val="nil"/>
                    <w:tr2bl w:val="nil"/>
                  </w:tcBorders>
                  <w:shd w:val="clear" w:color="auto" w:fill="auto"/>
                  <w:vAlign w:val="center"/>
                </w:tcPr>
                <w:p w14:paraId="7DA277FD">
                  <w:pPr>
                    <w:pStyle w:val="62"/>
                    <w:kinsoku w:val="0"/>
                    <w:overflowPunct w:val="0"/>
                    <w:adjustRightInd w:val="0"/>
                    <w:snapToGrid w:val="0"/>
                    <w:spacing w:line="240" w:lineRule="auto"/>
                    <w:ind w:firstLine="0" w:firstLineChars="0"/>
                    <w:contextualSpacing/>
                    <w:jc w:val="center"/>
                    <w:rPr>
                      <w:rFonts w:hint="default" w:ascii="Times New Roman" w:hAnsi="Times New Roman" w:eastAsia="宋体" w:cs="Times New Roman"/>
                      <w:color w:val="auto"/>
                      <w:spacing w:val="-1"/>
                      <w:kern w:val="0"/>
                      <w:sz w:val="21"/>
                      <w:szCs w:val="21"/>
                      <w:lang w:val="en-US" w:eastAsia="zh-CN" w:bidi="ar-SA"/>
                    </w:rPr>
                  </w:pPr>
                  <w:r>
                    <w:rPr>
                      <w:rFonts w:hint="default" w:ascii="Times New Roman" w:hAnsi="Times New Roman" w:cs="Times New Roman"/>
                      <w:color w:val="auto"/>
                      <w:spacing w:val="-1"/>
                      <w:sz w:val="21"/>
                      <w:szCs w:val="21"/>
                    </w:rPr>
                    <w:t>固态</w:t>
                  </w:r>
                </w:p>
              </w:tc>
              <w:tc>
                <w:tcPr>
                  <w:tcW w:w="530" w:type="pct"/>
                  <w:tcBorders>
                    <w:tl2br w:val="nil"/>
                    <w:tr2bl w:val="nil"/>
                  </w:tcBorders>
                  <w:shd w:val="clear" w:color="auto" w:fill="auto"/>
                  <w:vAlign w:val="center"/>
                </w:tcPr>
                <w:p w14:paraId="3020BF43">
                  <w:pPr>
                    <w:pStyle w:val="62"/>
                    <w:kinsoku w:val="0"/>
                    <w:overflowPunct w:val="0"/>
                    <w:adjustRightInd w:val="0"/>
                    <w:snapToGrid w:val="0"/>
                    <w:spacing w:line="240" w:lineRule="auto"/>
                    <w:ind w:firstLine="0" w:firstLineChars="0"/>
                    <w:contextualSpacing/>
                    <w:jc w:val="center"/>
                    <w:rPr>
                      <w:rFonts w:hint="default" w:ascii="Times New Roman" w:hAnsi="Times New Roman" w:eastAsia="宋体" w:cs="Times New Roman"/>
                      <w:color w:val="auto"/>
                      <w:spacing w:val="-1"/>
                      <w:kern w:val="0"/>
                      <w:sz w:val="21"/>
                      <w:szCs w:val="21"/>
                      <w:lang w:val="en-US" w:eastAsia="zh-CN" w:bidi="ar-SA"/>
                    </w:rPr>
                  </w:pPr>
                  <w:r>
                    <w:rPr>
                      <w:rFonts w:hint="eastAsia" w:ascii="Times New Roman" w:hAnsi="Times New Roman" w:cs="Times New Roman"/>
                      <w:color w:val="auto"/>
                      <w:spacing w:val="-1"/>
                      <w:sz w:val="21"/>
                      <w:szCs w:val="21"/>
                      <w:lang w:val="en-US" w:eastAsia="zh-CN"/>
                    </w:rPr>
                    <w:t>0.107</w:t>
                  </w:r>
                  <w:r>
                    <w:rPr>
                      <w:rFonts w:hint="default" w:ascii="Times New Roman" w:hAnsi="Times New Roman" w:cs="Times New Roman"/>
                      <w:color w:val="auto"/>
                      <w:spacing w:val="-1"/>
                      <w:sz w:val="21"/>
                      <w:szCs w:val="21"/>
                    </w:rPr>
                    <w:t>t/a</w:t>
                  </w:r>
                </w:p>
              </w:tc>
              <w:tc>
                <w:tcPr>
                  <w:tcW w:w="781" w:type="pct"/>
                  <w:vMerge w:val="continue"/>
                  <w:tcBorders>
                    <w:tl2br w:val="nil"/>
                    <w:tr2bl w:val="nil"/>
                  </w:tcBorders>
                  <w:vAlign w:val="center"/>
                </w:tcPr>
                <w:p w14:paraId="42BBED1C">
                  <w:pPr>
                    <w:pStyle w:val="62"/>
                    <w:kinsoku w:val="0"/>
                    <w:overflowPunct w:val="0"/>
                    <w:adjustRightInd w:val="0"/>
                    <w:snapToGrid w:val="0"/>
                    <w:spacing w:line="240" w:lineRule="auto"/>
                    <w:ind w:firstLine="0"/>
                    <w:contextualSpacing/>
                    <w:jc w:val="center"/>
                    <w:rPr>
                      <w:rFonts w:hint="default" w:ascii="Times New Roman" w:hAnsi="Times New Roman" w:cs="Times New Roman"/>
                      <w:color w:val="auto"/>
                      <w:spacing w:val="-1"/>
                      <w:sz w:val="21"/>
                      <w:szCs w:val="21"/>
                    </w:rPr>
                  </w:pPr>
                </w:p>
              </w:tc>
            </w:tr>
          </w:tbl>
          <w:p w14:paraId="452AC9BF">
            <w:pPr>
              <w:adjustRightInd w:val="0"/>
              <w:snapToGrid w:val="0"/>
              <w:spacing w:line="360" w:lineRule="auto"/>
              <w:ind w:firstLine="480"/>
              <w:rPr>
                <w:rFonts w:hint="default" w:ascii="Times New Roman" w:hAnsi="Times New Roman" w:cs="Times New Roman"/>
                <w:b/>
                <w:bCs/>
                <w:color w:val="auto"/>
                <w:sz w:val="24"/>
              </w:rPr>
            </w:pPr>
            <w:r>
              <w:rPr>
                <w:rFonts w:hint="default" w:ascii="Times New Roman" w:hAnsi="Times New Roman" w:cs="Times New Roman"/>
                <w:b/>
                <w:bCs/>
                <w:color w:val="auto"/>
                <w:sz w:val="24"/>
              </w:rPr>
              <w:t>2、固体废物环境保护措施</w:t>
            </w:r>
          </w:p>
          <w:p w14:paraId="158A8905">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环评要求：对固体废物的处置应满足“减量化、资源化和无害化”的基本原则，处置率达100%，最大限度降低对周边环境造成影响。</w:t>
            </w:r>
          </w:p>
          <w:p w14:paraId="7EB7361E">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 w:val="0"/>
                <w:bCs w:val="0"/>
                <w:color w:val="auto"/>
                <w:sz w:val="24"/>
              </w:rPr>
              <w:t>（1）生活垃圾：</w:t>
            </w:r>
            <w:r>
              <w:rPr>
                <w:rFonts w:hint="default" w:ascii="Times New Roman" w:hAnsi="Times New Roman" w:cs="Times New Roman"/>
                <w:color w:val="auto"/>
                <w:sz w:val="24"/>
              </w:rPr>
              <w:t>应对生活垃圾进行分类收集，分为：可回收物、有害垃圾、其他垃圾。分类收集后由环卫部门定期清运。</w:t>
            </w:r>
          </w:p>
          <w:p w14:paraId="55A40AAB">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 w:val="0"/>
                <w:bCs w:val="0"/>
                <w:color w:val="auto"/>
                <w:sz w:val="24"/>
              </w:rPr>
              <w:t>（2）一般固体废物：</w:t>
            </w:r>
            <w:r>
              <w:rPr>
                <w:rFonts w:hint="default" w:ascii="Times New Roman" w:hAnsi="Times New Roman" w:cs="Times New Roman"/>
                <w:color w:val="auto"/>
                <w:sz w:val="24"/>
              </w:rPr>
              <w:t>一般工业固体废物参照执行《一般工业固体废物贮存和填埋污染控制标准》（GB18599-2020）有关规定。符合国家对固体废物处置的“减量化、资源化和无害化”的基本原则，处置率达100%，对周围环境的影响较小。</w:t>
            </w:r>
          </w:p>
          <w:p w14:paraId="113A2002">
            <w:pPr>
              <w:adjustRightInd w:val="0"/>
              <w:snapToGrid w:val="0"/>
              <w:spacing w:line="360" w:lineRule="auto"/>
              <w:ind w:firstLine="480" w:firstLineChars="200"/>
              <w:rPr>
                <w:rFonts w:hint="default" w:ascii="Times New Roman" w:hAnsi="Times New Roman" w:cs="Times New Roman"/>
                <w:b w:val="0"/>
                <w:bCs w:val="0"/>
                <w:color w:val="auto"/>
                <w:sz w:val="24"/>
              </w:rPr>
            </w:pPr>
            <w:r>
              <w:rPr>
                <w:rFonts w:hint="default" w:ascii="Times New Roman" w:hAnsi="Times New Roman" w:cs="Times New Roman"/>
                <w:b w:val="0"/>
                <w:bCs w:val="0"/>
                <w:color w:val="auto"/>
                <w:sz w:val="24"/>
              </w:rPr>
              <w:t>（3）危险废物</w:t>
            </w:r>
          </w:p>
          <w:p w14:paraId="7DEAB70D">
            <w:pPr>
              <w:adjustRightInd w:val="0"/>
              <w:snapToGrid w:val="0"/>
              <w:spacing w:line="348"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本项目在实验区中部设危险废物贮存库1个，建筑面积约为10m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，在地面拟敷设2mm厚防渗防腐蚀涂料层，其防渗性能应满足《危险废物贮存污染控制标准》（GB 18597-20</w:t>
            </w:r>
            <w:r>
              <w:rPr>
                <w:rFonts w:hint="default" w:ascii="Times New Roman" w:hAnsi="Times New Roman" w:cs="Times New Roman"/>
                <w:color w:val="auto"/>
                <w:sz w:val="24"/>
                <w:lang w:val="en-US" w:eastAsia="zh-CN"/>
              </w:rPr>
              <w:t>23</w:t>
            </w:r>
            <w:r>
              <w:rPr>
                <w:rFonts w:hint="default" w:ascii="Times New Roman" w:hAnsi="Times New Roman" w:cs="Times New Roman"/>
                <w:color w:val="auto"/>
                <w:sz w:val="24"/>
              </w:rPr>
              <w:t>）中规定。</w:t>
            </w:r>
            <w:r>
              <w:rPr>
                <w:rFonts w:hint="eastAsia" w:cs="Times New Roman"/>
                <w:color w:val="auto"/>
                <w:sz w:val="24"/>
                <w:lang w:val="en-US" w:eastAsia="zh-CN"/>
              </w:rPr>
              <w:t>环评</w:t>
            </w:r>
            <w:r>
              <w:rPr>
                <w:rFonts w:hint="default" w:ascii="Times New Roman" w:hAnsi="Times New Roman" w:cs="Times New Roman"/>
                <w:color w:val="auto"/>
                <w:sz w:val="24"/>
              </w:rPr>
              <w:t>要求</w:t>
            </w:r>
            <w:r>
              <w:rPr>
                <w:rFonts w:hint="eastAsia" w:cs="Times New Roman"/>
                <w:color w:val="auto"/>
                <w:sz w:val="24"/>
                <w:lang w:val="en-US" w:eastAsia="zh-CN"/>
              </w:rPr>
              <w:t>运营期</w:t>
            </w:r>
            <w:r>
              <w:rPr>
                <w:rFonts w:hint="eastAsia" w:cs="Times New Roman"/>
                <w:color w:val="auto"/>
                <w:sz w:val="24"/>
                <w:lang w:eastAsia="zh-CN"/>
              </w:rPr>
              <w:t>与有资质单位签订危险废物处置合同，严格执行危险废物转移联单管理制度</w:t>
            </w:r>
            <w:r>
              <w:rPr>
                <w:rFonts w:hint="default" w:ascii="Times New Roman" w:hAnsi="Times New Roman" w:cs="Times New Roman"/>
                <w:color w:val="auto"/>
                <w:sz w:val="24"/>
              </w:rPr>
              <w:t>。</w:t>
            </w:r>
          </w:p>
          <w:p w14:paraId="307D751F">
            <w:pPr>
              <w:adjustRightInd w:val="0"/>
              <w:snapToGrid w:val="0"/>
              <w:spacing w:line="360" w:lineRule="auto"/>
              <w:ind w:firstLine="482" w:firstLineChars="200"/>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贮存设施污染控制要求：</w:t>
            </w:r>
          </w:p>
          <w:p w14:paraId="5802E26E">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①贮存设施或贮存分区内地面、墙面裙脚、堵截泄漏的围堰、接触危险废物的隔板和墙体等应采用坚固的材料建造，表面无裂缝；</w:t>
            </w:r>
          </w:p>
          <w:p w14:paraId="01B56A56">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②贮存设施地面与裙脚应采取表面防渗措施；表面防渗材料应与所接触的物料或污染物相容，可采用抗渗混凝土、高密度聚乙烯膜、钠基膨润土防水毯或其他防渗性能等效的材料。</w:t>
            </w:r>
          </w:p>
          <w:p w14:paraId="27BD0696">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③贮存的危险废物直接接触地面的，还应进行基础防渗，防渗层为至少1 m 厚黏土层（渗透系数不大于10</w:t>
            </w:r>
            <w:r>
              <w:rPr>
                <w:rFonts w:hint="default" w:ascii="Times New Roman" w:hAnsi="Times New Roman" w:cs="Times New Roman"/>
                <w:color w:val="auto"/>
                <w:sz w:val="24"/>
                <w:szCs w:val="32"/>
                <w:vertAlign w:val="superscript"/>
              </w:rPr>
              <w:t>-7</w:t>
            </w:r>
            <w:r>
              <w:rPr>
                <w:rFonts w:hint="default" w:ascii="Times New Roman" w:hAnsi="Times New Roman" w:cs="Times New Roman"/>
                <w:color w:val="auto"/>
                <w:sz w:val="24"/>
                <w:szCs w:val="32"/>
              </w:rPr>
              <w:t>cm/s），或至少2mm厚高密度聚乙烯膜等人工防渗材料（渗透系数不大于10</w:t>
            </w:r>
            <w:r>
              <w:rPr>
                <w:rFonts w:hint="default" w:ascii="Times New Roman" w:hAnsi="Times New Roman" w:cs="Times New Roman"/>
                <w:color w:val="auto"/>
                <w:sz w:val="24"/>
                <w:szCs w:val="32"/>
                <w:vertAlign w:val="superscript"/>
              </w:rPr>
              <w:t>-10</w:t>
            </w:r>
            <w:r>
              <w:rPr>
                <w:rFonts w:hint="default" w:ascii="Times New Roman" w:hAnsi="Times New Roman" w:cs="Times New Roman"/>
                <w:color w:val="auto"/>
                <w:sz w:val="24"/>
                <w:szCs w:val="32"/>
              </w:rPr>
              <w:t>cm/s），或其他防渗性能等效的材料。</w:t>
            </w:r>
          </w:p>
          <w:p w14:paraId="19B27BD1">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④同一贮存设施宜采用相同的防渗、防腐工艺（包括防渗、防腐结构或材料），防渗、防腐材料应覆盖所有可能与废物及其渗滤液、渗漏液等接触的构筑物表面；采用不同防渗、防腐工艺应分别建设贮存分区。</w:t>
            </w:r>
          </w:p>
          <w:p w14:paraId="6F44CACD">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⑤贮存设施应采取技术和管理措施防止无关人员进入。</w:t>
            </w:r>
          </w:p>
          <w:p w14:paraId="3D251E6C">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⑥贮存库内不同贮存分区之间应采取隔离措施。隔离措施可根据危险废物特性采用过道、隔板或隔墙等方式；</w:t>
            </w:r>
          </w:p>
          <w:p w14:paraId="540CEA21">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⑦在贮存库内或通过贮存分区方式贮存液态危险废物的，应具有液体泄漏堵截设施，堵截设施最小容积不应低于对应贮存区域最大液态废物容器容积或液态废物总储量1/10（二者取较大者）。</w:t>
            </w:r>
          </w:p>
          <w:p w14:paraId="0E7EC61D">
            <w:pPr>
              <w:adjustRightInd w:val="0"/>
              <w:snapToGrid w:val="0"/>
              <w:spacing w:line="360" w:lineRule="auto"/>
              <w:ind w:firstLine="482" w:firstLineChars="200"/>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容器和包装物的污染控制要求：</w:t>
            </w:r>
          </w:p>
          <w:p w14:paraId="3082FD02">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①容器和包装物材质、内衬应与盛装的危险废物相容。</w:t>
            </w:r>
          </w:p>
          <w:p w14:paraId="2C311197">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②针对不同类别、形态、物理化学性质的危险废物，其容器和包装物应满足相应的防渗、防漏、防腐和强度等要求。</w:t>
            </w:r>
          </w:p>
          <w:p w14:paraId="717C9BDA">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③硬质容器和包装物及其支护结构堆叠码放时不应有明显变形，无破损泄漏。</w:t>
            </w:r>
          </w:p>
          <w:p w14:paraId="5473FDC5">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④柔性容器和包装物堆叠码放时应封口严密，无破损泄漏。</w:t>
            </w:r>
          </w:p>
          <w:p w14:paraId="00DB46E9">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⑤使用容器盛装液态、半固态危险废物时，容器内部应留有适当的空间，以适应因温度变化等可能引发的收缩和膨胀，防止其导致容器渗漏或永久变形。</w:t>
            </w:r>
          </w:p>
          <w:p w14:paraId="773C1209">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⑥容器和包装物外表面应保持清洁。</w:t>
            </w:r>
          </w:p>
          <w:p w14:paraId="568CE8B8">
            <w:pPr>
              <w:adjustRightInd w:val="0"/>
              <w:snapToGrid w:val="0"/>
              <w:spacing w:line="360" w:lineRule="auto"/>
              <w:ind w:firstLine="482" w:firstLineChars="200"/>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贮存设施运行环境管理要求：</w:t>
            </w:r>
          </w:p>
          <w:p w14:paraId="76C8AD30">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①危险废物存入贮存设施前应对危险废物类别和特性与危险废物标签等危险废物识别标志的一致性进行核验，不一致的或类别、特性不明的不应存入。</w:t>
            </w:r>
          </w:p>
          <w:p w14:paraId="0BA8FC2F">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②应定期检查危险废物的贮存状况，及时清理贮存设施地面，更换破损泄漏的危险废物贮存容器和包装物，保证堆存危险废物的防雨、防风、防扬尘等设施功能完好。</w:t>
            </w:r>
          </w:p>
          <w:p w14:paraId="6CDF405B">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③作业设备及车辆等结束作业离开贮存设施时，应对其残留的危险废物进行清理，清理的废物或清洗废水应收集处理。</w:t>
            </w:r>
          </w:p>
          <w:p w14:paraId="4BB4E67C">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④贮存设施运行期间，应按国家有关标准和规定建立危险废物管理台账并保存。</w:t>
            </w:r>
          </w:p>
          <w:p w14:paraId="75FAED99">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⑤贮存设施所有者或运营者应建立贮存设施环境管理制度、管理人员岗位职责制度、设施运行操作制度、人员岗位培训制度等。</w:t>
            </w:r>
          </w:p>
          <w:p w14:paraId="3679FC85">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⑥贮存设施所有者或运营者应依据国家土壤和地下水污染防治的有关规定，结合贮存设施特点建立土壤和地下水污染隐患排查制度，并定期开展隐患排查；发现隐患应及时采取措施消除隐患，并建立档案。</w:t>
            </w:r>
          </w:p>
          <w:p w14:paraId="00D95090">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⑦贮存设施所有者或运营者应建立贮存设施全部档案，包括设计、施工、验收、运行、监测和环境应急等，应按国家有关档案管理的法律法规进行整理和归档。</w:t>
            </w:r>
          </w:p>
          <w:p w14:paraId="2BF45A6A">
            <w:pPr>
              <w:adjustRightInd w:val="0"/>
              <w:snapToGrid w:val="0"/>
              <w:spacing w:line="360" w:lineRule="auto"/>
              <w:ind w:firstLine="482" w:firstLineChars="200"/>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危险废物标识管理：</w:t>
            </w:r>
          </w:p>
          <w:p w14:paraId="583D4D87">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危险废物贮存设施必须按《环境保护图形标志-固体废物贮存（处置）场》（GB 15562.2-1995）及其2023年修改单的要求、《危险废物识别标志设置技术规范》（HJ 1276-2022）中的规定，规范立标设置环保标识牌。</w:t>
            </w:r>
          </w:p>
          <w:p w14:paraId="42D42226">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综上所述，本项目产生的固体废弃物经上述处理处置后，处理处置率达100％，符合国家固体废弃物处理处置政策，对环境产生影响较小，处理处置措施可行。</w:t>
            </w:r>
          </w:p>
          <w:p w14:paraId="5F2EF5C0">
            <w:pPr>
              <w:adjustRightInd w:val="0"/>
              <w:snapToGrid w:val="0"/>
              <w:spacing w:line="360" w:lineRule="auto"/>
              <w:rPr>
                <w:rFonts w:hint="default" w:ascii="Times New Roman" w:hAnsi="Times New Roman" w:cs="Times New Roman"/>
                <w:b/>
                <w:bCs/>
                <w:color w:val="auto"/>
                <w:sz w:val="24"/>
              </w:rPr>
            </w:pPr>
            <w:r>
              <w:rPr>
                <w:rFonts w:hint="default" w:ascii="Times New Roman" w:hAnsi="Times New Roman" w:cs="Times New Roman"/>
                <w:b/>
                <w:bCs/>
                <w:color w:val="auto"/>
                <w:sz w:val="24"/>
              </w:rPr>
              <w:t>（五）土壤和地下水环境影响分析</w:t>
            </w:r>
          </w:p>
          <w:p w14:paraId="5D6F9AEA">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w:t>
            </w:r>
            <w:r>
              <w:rPr>
                <w:rFonts w:hint="eastAsia" w:cs="Times New Roman"/>
                <w:color w:val="auto"/>
                <w:sz w:val="24"/>
                <w:lang w:val="en-US" w:eastAsia="zh-CN"/>
              </w:rPr>
              <w:t>正常运营时，整个生产运营活动均位于3F，酸碱中和池及危废贮存库所在区域均进行了防渗防腐处理，</w:t>
            </w:r>
            <w:r>
              <w:rPr>
                <w:rFonts w:hint="default" w:ascii="Times New Roman" w:hAnsi="Times New Roman" w:cs="Times New Roman"/>
                <w:color w:val="auto"/>
                <w:sz w:val="24"/>
              </w:rPr>
              <w:t>有效避免了可能造成的污染。</w:t>
            </w:r>
            <w:r>
              <w:rPr>
                <w:rFonts w:hint="eastAsia" w:cs="Times New Roman"/>
                <w:color w:val="auto"/>
                <w:sz w:val="24"/>
                <w:lang w:val="en-US" w:eastAsia="zh-CN"/>
              </w:rPr>
              <w:t>因此</w:t>
            </w:r>
            <w:r>
              <w:rPr>
                <w:rFonts w:hint="default" w:ascii="Times New Roman" w:hAnsi="Times New Roman" w:cs="Times New Roman"/>
                <w:color w:val="auto"/>
                <w:sz w:val="24"/>
              </w:rPr>
              <w:t>，在采取危险废物贮存库地面防腐、污水管道等定期检查维护等措施后，项目建设对区域土壤和地下水环境影响较小。</w:t>
            </w:r>
          </w:p>
          <w:p w14:paraId="1D96FB6C">
            <w:pPr>
              <w:adjustRightInd w:val="0"/>
              <w:snapToGrid w:val="0"/>
              <w:spacing w:line="360" w:lineRule="auto"/>
              <w:rPr>
                <w:rFonts w:hint="default" w:ascii="Times New Roman" w:hAnsi="Times New Roman" w:cs="Times New Roman"/>
                <w:b/>
                <w:bCs/>
                <w:color w:val="auto"/>
                <w:sz w:val="24"/>
              </w:rPr>
            </w:pPr>
            <w:r>
              <w:rPr>
                <w:rFonts w:hint="default" w:ascii="Times New Roman" w:hAnsi="Times New Roman" w:cs="Times New Roman"/>
                <w:b/>
                <w:bCs/>
                <w:color w:val="auto"/>
                <w:sz w:val="24"/>
              </w:rPr>
              <w:t>（六）环境风险影响分析</w:t>
            </w:r>
          </w:p>
          <w:p w14:paraId="44380DBD">
            <w:pPr>
              <w:pStyle w:val="28"/>
              <w:adjustRightInd w:val="0"/>
              <w:snapToGrid w:val="0"/>
              <w:spacing w:after="0" w:line="360" w:lineRule="auto"/>
              <w:ind w:left="0" w:leftChars="0" w:firstLine="480"/>
              <w:rPr>
                <w:rFonts w:hint="default" w:ascii="Times New Roman" w:hAnsi="Times New Roman" w:cs="Times New Roman"/>
                <w:color w:val="auto"/>
                <w:szCs w:val="24"/>
                <w:lang w:val="zh-CN"/>
              </w:rPr>
            </w:pPr>
            <w:r>
              <w:rPr>
                <w:rFonts w:hint="default" w:ascii="Times New Roman" w:hAnsi="Times New Roman" w:cs="Times New Roman"/>
                <w:color w:val="auto"/>
                <w:szCs w:val="24"/>
                <w:lang w:val="zh-CN"/>
              </w:rPr>
              <w:t>按照《建设项目环境风险评价技术导则》（HJ/T169-2018）的要求，环境风险评价应以突发性事故导致的危险物质环境急性损害防控为目标，对建设项目的环境风险进行分析、预测和评估，提出环境风险预防、控制、减缓措施，明确环境风险监控及应急要求，为建设项目环境风险防控提供科学依据。</w:t>
            </w:r>
          </w:p>
          <w:p w14:paraId="3573EBA5">
            <w:pPr>
              <w:pStyle w:val="28"/>
              <w:adjustRightInd w:val="0"/>
              <w:snapToGrid w:val="0"/>
              <w:spacing w:after="0" w:line="360" w:lineRule="auto"/>
              <w:ind w:left="0" w:leftChars="0" w:firstLine="482"/>
              <w:rPr>
                <w:rFonts w:hint="default" w:ascii="Times New Roman" w:hAnsi="Times New Roman" w:cs="Times New Roman"/>
                <w:b/>
                <w:bCs/>
                <w:color w:val="auto"/>
                <w:szCs w:val="24"/>
              </w:rPr>
            </w:pPr>
            <w:r>
              <w:rPr>
                <w:rFonts w:hint="default" w:ascii="Times New Roman" w:hAnsi="Times New Roman" w:cs="Times New Roman"/>
                <w:b/>
                <w:bCs/>
                <w:color w:val="auto"/>
                <w:szCs w:val="24"/>
              </w:rPr>
              <w:t>1、风险源调查</w:t>
            </w:r>
          </w:p>
          <w:p w14:paraId="6B512968">
            <w:pPr>
              <w:adjustRightInd w:val="0"/>
              <w:snapToGrid w:val="0"/>
              <w:spacing w:line="348"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sz w:val="24"/>
              </w:rPr>
              <w:t>本项目风险物质为用于实验的各类实验试剂，根据</w:t>
            </w:r>
            <w:r>
              <w:rPr>
                <w:rFonts w:hint="default" w:ascii="Times New Roman" w:hAnsi="Times New Roman" w:cs="Times New Roman"/>
                <w:color w:val="auto"/>
                <w:kern w:val="0"/>
                <w:sz w:val="24"/>
              </w:rPr>
              <w:t>《建设项目环境风险评价技术导则》（HJ69-2018）</w:t>
            </w:r>
            <w:r>
              <w:rPr>
                <w:rFonts w:hint="default" w:ascii="Times New Roman" w:hAnsi="Times New Roman" w:cs="Times New Roman"/>
                <w:bCs/>
                <w:color w:val="auto"/>
                <w:sz w:val="24"/>
              </w:rPr>
              <w:t>附录B，</w:t>
            </w:r>
            <w:r>
              <w:rPr>
                <w:rFonts w:hint="default" w:ascii="Times New Roman" w:hAnsi="Times New Roman" w:cs="Times New Roman"/>
                <w:bCs/>
                <w:color w:val="auto"/>
                <w:kern w:val="0"/>
                <w:sz w:val="24"/>
              </w:rPr>
              <w:t>计算所涉及的每种危险物质在厂界内的最大存在总量与其在附录B对应的临界量比值Q。</w:t>
            </w:r>
          </w:p>
          <w:p w14:paraId="23AE67BB">
            <w:pPr>
              <w:adjustRightInd w:val="0"/>
              <w:snapToGrid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当只涉及一种危险物质时，计算该物质的总量与其临界量比值，即为Q；</w:t>
            </w:r>
          </w:p>
          <w:p w14:paraId="74CE289A">
            <w:pPr>
              <w:adjustRightInd w:val="0"/>
              <w:snapToGrid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当存在多种危险物质时，则按下式计算物质总量与其临界量比值（Q）：</w:t>
            </w:r>
          </w:p>
          <w:p w14:paraId="23F89A94">
            <w:pPr>
              <w:adjustRightInd w:val="0"/>
              <w:snapToGrid w:val="0"/>
              <w:spacing w:line="360" w:lineRule="auto"/>
              <w:ind w:firstLine="480" w:firstLineChars="200"/>
              <w:jc w:val="center"/>
              <w:rPr>
                <w:rFonts w:hint="default" w:ascii="Times New Roman" w:hAnsi="Times New Roman" w:cs="Times New Roman"/>
                <w:bCs/>
                <w:color w:val="auto"/>
                <w:kern w:val="0"/>
                <w:sz w:val="24"/>
              </w:rPr>
            </w:pPr>
            <w:r>
              <w:rPr>
                <w:rFonts w:hint="default" w:ascii="Times New Roman" w:hAnsi="Times New Roman" w:cs="Times New Roman"/>
                <w:bCs/>
                <w:color w:val="auto"/>
                <w:kern w:val="0"/>
                <w:position w:val="-30"/>
                <w:sz w:val="24"/>
              </w:rPr>
              <w:object>
                <v:shape id="_x0000_i1077" o:spt="75" type="#_x0000_t75" style="height:33.75pt;width:98.2pt;" o:ole="t" filled="f" o:preferrelative="t" stroked="f" coordsize="21600,21600">
                  <v:path/>
                  <v:fill on="f" focussize="0,0"/>
                  <v:stroke on="f" joinstyle="miter"/>
                  <v:imagedata r:id="rId105" o:title=""/>
                  <o:lock v:ext="edit" aspectratio="t"/>
                  <w10:wrap type="none"/>
                  <w10:anchorlock/>
                </v:shape>
                <o:OLEObject Type="Embed" ProgID="Equation.3" ShapeID="_x0000_i1077" DrawAspect="Content" ObjectID="_1468075777" r:id="rId104">
                  <o:LockedField>false</o:LockedField>
                </o:OLEObject>
              </w:object>
            </w:r>
          </w:p>
          <w:p w14:paraId="134ED258">
            <w:pPr>
              <w:adjustRightInd w:val="0"/>
              <w:snapToGrid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式中：q</w:t>
            </w:r>
            <w:r>
              <w:rPr>
                <w:rFonts w:hint="default" w:ascii="Times New Roman" w:hAnsi="Times New Roman" w:cs="Times New Roman"/>
                <w:bCs/>
                <w:color w:val="auto"/>
                <w:kern w:val="0"/>
                <w:sz w:val="24"/>
                <w:vertAlign w:val="subscript"/>
              </w:rPr>
              <w:t>1</w:t>
            </w:r>
            <w:r>
              <w:rPr>
                <w:rFonts w:hint="default" w:ascii="Times New Roman" w:hAnsi="Times New Roman" w:cs="Times New Roman"/>
                <w:bCs/>
                <w:color w:val="auto"/>
                <w:kern w:val="0"/>
                <w:sz w:val="24"/>
              </w:rPr>
              <w:t>，q</w:t>
            </w:r>
            <w:r>
              <w:rPr>
                <w:rFonts w:hint="default" w:ascii="Times New Roman" w:hAnsi="Times New Roman" w:cs="Times New Roman"/>
                <w:bCs/>
                <w:color w:val="auto"/>
                <w:kern w:val="0"/>
                <w:sz w:val="24"/>
                <w:vertAlign w:val="subscript"/>
              </w:rPr>
              <w:t>2，</w:t>
            </w:r>
            <w:r>
              <w:rPr>
                <w:rFonts w:hint="default" w:ascii="Times New Roman" w:hAnsi="Times New Roman" w:cs="Times New Roman"/>
                <w:bCs/>
                <w:color w:val="auto"/>
                <w:kern w:val="0"/>
                <w:sz w:val="24"/>
              </w:rPr>
              <w:t>…，q</w:t>
            </w:r>
            <w:r>
              <w:rPr>
                <w:rFonts w:hint="default" w:ascii="Times New Roman" w:hAnsi="Times New Roman" w:cs="Times New Roman"/>
                <w:bCs/>
                <w:color w:val="auto"/>
                <w:kern w:val="0"/>
                <w:sz w:val="24"/>
                <w:vertAlign w:val="subscript"/>
              </w:rPr>
              <w:t>n</w:t>
            </w:r>
            <w:r>
              <w:rPr>
                <w:rFonts w:hint="default" w:ascii="Times New Roman" w:hAnsi="Times New Roman" w:cs="Times New Roman"/>
                <w:bCs/>
                <w:color w:val="auto"/>
                <w:kern w:val="0"/>
                <w:sz w:val="24"/>
              </w:rPr>
              <w:t>——每种危险物质的最大存在总量，t；</w:t>
            </w:r>
          </w:p>
          <w:p w14:paraId="51E844BF">
            <w:pPr>
              <w:adjustRightInd w:val="0"/>
              <w:snapToGrid w:val="0"/>
              <w:spacing w:line="360" w:lineRule="auto"/>
              <w:ind w:firstLine="1200" w:firstLineChars="5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Q</w:t>
            </w:r>
            <w:r>
              <w:rPr>
                <w:rFonts w:hint="default" w:ascii="Times New Roman" w:hAnsi="Times New Roman" w:cs="Times New Roman"/>
                <w:bCs/>
                <w:color w:val="auto"/>
                <w:kern w:val="0"/>
                <w:sz w:val="24"/>
                <w:vertAlign w:val="subscript"/>
              </w:rPr>
              <w:t>1</w:t>
            </w:r>
            <w:r>
              <w:rPr>
                <w:rFonts w:hint="default" w:ascii="Times New Roman" w:hAnsi="Times New Roman" w:cs="Times New Roman"/>
                <w:bCs/>
                <w:color w:val="auto"/>
                <w:kern w:val="0"/>
                <w:sz w:val="24"/>
              </w:rPr>
              <w:t>，Q</w:t>
            </w:r>
            <w:r>
              <w:rPr>
                <w:rFonts w:hint="default" w:ascii="Times New Roman" w:hAnsi="Times New Roman" w:cs="Times New Roman"/>
                <w:bCs/>
                <w:color w:val="auto"/>
                <w:kern w:val="0"/>
                <w:sz w:val="24"/>
                <w:vertAlign w:val="subscript"/>
              </w:rPr>
              <w:t>2，</w:t>
            </w:r>
            <w:r>
              <w:rPr>
                <w:rFonts w:hint="default" w:ascii="Times New Roman" w:hAnsi="Times New Roman" w:cs="Times New Roman"/>
                <w:bCs/>
                <w:color w:val="auto"/>
                <w:kern w:val="0"/>
                <w:sz w:val="24"/>
              </w:rPr>
              <w:t>…，Q</w:t>
            </w:r>
            <w:r>
              <w:rPr>
                <w:rFonts w:hint="default" w:ascii="Times New Roman" w:hAnsi="Times New Roman" w:cs="Times New Roman"/>
                <w:bCs/>
                <w:color w:val="auto"/>
                <w:kern w:val="0"/>
                <w:sz w:val="24"/>
                <w:vertAlign w:val="subscript"/>
              </w:rPr>
              <w:t>n</w:t>
            </w:r>
            <w:r>
              <w:rPr>
                <w:rFonts w:hint="default" w:ascii="Times New Roman" w:hAnsi="Times New Roman" w:cs="Times New Roman"/>
                <w:bCs/>
                <w:color w:val="auto"/>
                <w:kern w:val="0"/>
                <w:sz w:val="24"/>
              </w:rPr>
              <w:t>——每种危险物质的临界量，t；</w:t>
            </w:r>
          </w:p>
          <w:p w14:paraId="56A237DD">
            <w:pPr>
              <w:adjustRightInd w:val="0"/>
              <w:snapToGrid w:val="0"/>
              <w:spacing w:line="360" w:lineRule="auto"/>
              <w:ind w:firstLine="1200" w:firstLineChars="5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当Q＜1时，该项目风险潜势为Ⅰ。</w:t>
            </w:r>
          </w:p>
          <w:p w14:paraId="28460961">
            <w:pPr>
              <w:adjustRightInd w:val="0"/>
              <w:snapToGrid w:val="0"/>
              <w:spacing w:line="360" w:lineRule="auto"/>
              <w:ind w:firstLine="1200" w:firstLineChars="5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当Q≧1时，将Q值划分为：（1）1≦Q&lt;10；（2）10≦Q&lt;100；（3）Q≧100。</w:t>
            </w:r>
          </w:p>
          <w:p w14:paraId="21E29DE4">
            <w:pPr>
              <w:pStyle w:val="68"/>
              <w:adjustRightInd w:val="0"/>
              <w:snapToGrid w:val="0"/>
              <w:spacing w:line="360" w:lineRule="auto"/>
              <w:ind w:firstLine="480" w:firstLineChars="200"/>
              <w:jc w:val="both"/>
              <w:rPr>
                <w:rFonts w:hint="default" w:ascii="Times New Roman" w:hAnsi="Times New Roman" w:cs="Times New Roman"/>
                <w:b/>
                <w:bCs/>
                <w:color w:val="auto"/>
                <w:kern w:val="0"/>
                <w:sz w:val="24"/>
                <w:szCs w:val="24"/>
              </w:rPr>
            </w:pPr>
            <w:r>
              <w:rPr>
                <w:rFonts w:hint="default" w:ascii="Times New Roman" w:hAnsi="Times New Roman" w:cs="Times New Roman"/>
                <w:color w:val="auto"/>
                <w:kern w:val="0"/>
                <w:sz w:val="24"/>
                <w:szCs w:val="24"/>
              </w:rPr>
              <w:t>参考《建设项目环境风险评价技术导则》（HJ69-2018）附录B以及《危险化学品重大危险源辨识》（GB</w:t>
            </w:r>
            <w:r>
              <w:rPr>
                <w:rFonts w:hint="eastAsia" w:cs="Times New Roman"/>
                <w:color w:val="auto"/>
                <w:kern w:val="0"/>
                <w:sz w:val="24"/>
                <w:szCs w:val="24"/>
                <w:lang w:val="en-US" w:eastAsia="zh-CN"/>
              </w:rPr>
              <w:t>1</w:t>
            </w:r>
            <w:r>
              <w:rPr>
                <w:rFonts w:hint="default" w:ascii="Times New Roman" w:hAnsi="Times New Roman" w:cs="Times New Roman"/>
                <w:color w:val="auto"/>
                <w:kern w:val="0"/>
                <w:sz w:val="24"/>
                <w:szCs w:val="24"/>
              </w:rPr>
              <w:t>8218-2018），本项目使用的重点关注危险物质及Q值计算见表4-</w:t>
            </w:r>
            <w:r>
              <w:rPr>
                <w:rFonts w:hint="eastAsia" w:cs="Times New Roman"/>
                <w:color w:val="auto"/>
                <w:kern w:val="0"/>
                <w:sz w:val="24"/>
                <w:szCs w:val="24"/>
                <w:lang w:val="en-US" w:eastAsia="zh-CN"/>
              </w:rPr>
              <w:t>14</w:t>
            </w:r>
            <w:r>
              <w:rPr>
                <w:rFonts w:hint="default" w:ascii="Times New Roman" w:hAnsi="Times New Roman" w:cs="Times New Roman"/>
                <w:color w:val="auto"/>
                <w:kern w:val="0"/>
                <w:sz w:val="24"/>
                <w:szCs w:val="24"/>
              </w:rPr>
              <w:t>：</w:t>
            </w:r>
          </w:p>
          <w:p w14:paraId="0DCFEA87">
            <w:pPr>
              <w:pStyle w:val="68"/>
              <w:adjustRightInd w:val="0"/>
              <w:snapToGrid w:val="0"/>
              <w:spacing w:line="240" w:lineRule="auto"/>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表4-</w:t>
            </w:r>
            <w:r>
              <w:rPr>
                <w:rFonts w:hint="eastAsia" w:cs="Times New Roman"/>
                <w:b/>
                <w:bCs/>
                <w:color w:val="auto"/>
                <w:kern w:val="0"/>
                <w:szCs w:val="21"/>
                <w:highlight w:val="none"/>
                <w:lang w:val="en-US" w:eastAsia="zh-CN"/>
              </w:rPr>
              <w:t>14</w:t>
            </w:r>
            <w:r>
              <w:rPr>
                <w:rFonts w:hint="default" w:ascii="Times New Roman" w:hAnsi="Times New Roman" w:cs="Times New Roman"/>
                <w:b/>
                <w:bCs/>
                <w:color w:val="auto"/>
                <w:kern w:val="0"/>
                <w:szCs w:val="21"/>
                <w:highlight w:val="none"/>
              </w:rPr>
              <w:t xml:space="preserve"> 项目环境风险物质统计表</w:t>
            </w:r>
          </w:p>
          <w:tbl>
            <w:tblPr>
              <w:tblStyle w:val="29"/>
              <w:tblW w:w="4996"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08"/>
              <w:gridCol w:w="1884"/>
              <w:gridCol w:w="1388"/>
              <w:gridCol w:w="1779"/>
              <w:gridCol w:w="1253"/>
              <w:gridCol w:w="1251"/>
              <w:gridCol w:w="1304"/>
            </w:tblGrid>
            <w:tr w14:paraId="7CADBCC9">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PrEx>
              <w:trPr>
                <w:trHeight w:val="0" w:hRule="atLeast"/>
                <w:jc w:val="center"/>
              </w:trPr>
              <w:tc>
                <w:tcPr>
                  <w:tcW w:w="417" w:type="pct"/>
                  <w:vAlign w:val="center"/>
                </w:tcPr>
                <w:p w14:paraId="7C650772">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b/>
                      <w:bCs/>
                      <w:color w:val="auto"/>
                      <w:kern w:val="0"/>
                      <w:szCs w:val="21"/>
                      <w:lang w:bidi="ar"/>
                    </w:rPr>
                    <w:t>序号</w:t>
                  </w:r>
                </w:p>
              </w:tc>
              <w:tc>
                <w:tcPr>
                  <w:tcW w:w="974" w:type="pct"/>
                  <w:vAlign w:val="center"/>
                </w:tcPr>
                <w:p w14:paraId="4ADB886A">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b/>
                      <w:bCs/>
                      <w:color w:val="auto"/>
                      <w:kern w:val="0"/>
                      <w:szCs w:val="21"/>
                      <w:lang w:bidi="ar"/>
                    </w:rPr>
                    <w:t>风险物质名称</w:t>
                  </w:r>
                </w:p>
              </w:tc>
              <w:tc>
                <w:tcPr>
                  <w:tcW w:w="717" w:type="pct"/>
                  <w:vAlign w:val="center"/>
                </w:tcPr>
                <w:p w14:paraId="630D28D7">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b/>
                      <w:bCs/>
                      <w:color w:val="auto"/>
                      <w:kern w:val="0"/>
                      <w:szCs w:val="21"/>
                      <w:lang w:bidi="ar"/>
                    </w:rPr>
                    <w:t>CAS号</w:t>
                  </w:r>
                </w:p>
              </w:tc>
              <w:tc>
                <w:tcPr>
                  <w:tcW w:w="920" w:type="pct"/>
                  <w:vAlign w:val="center"/>
                </w:tcPr>
                <w:p w14:paraId="0AE4B43F">
                  <w:pPr>
                    <w:widowControl/>
                    <w:jc w:val="center"/>
                    <w:textAlignment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b/>
                      <w:bCs/>
                      <w:color w:val="auto"/>
                      <w:kern w:val="0"/>
                      <w:szCs w:val="21"/>
                      <w:lang w:bidi="ar"/>
                    </w:rPr>
                    <w:t>最大储存量/</w:t>
                  </w:r>
                  <w:r>
                    <w:rPr>
                      <w:rFonts w:hint="eastAsia" w:cs="Times New Roman"/>
                      <w:b/>
                      <w:bCs/>
                      <w:color w:val="auto"/>
                      <w:kern w:val="0"/>
                      <w:szCs w:val="21"/>
                      <w:lang w:val="en-US" w:eastAsia="zh-CN" w:bidi="ar"/>
                    </w:rPr>
                    <w:t>瓶</w:t>
                  </w:r>
                </w:p>
              </w:tc>
              <w:tc>
                <w:tcPr>
                  <w:tcW w:w="648" w:type="pct"/>
                  <w:vAlign w:val="center"/>
                </w:tcPr>
                <w:p w14:paraId="2A11C4DC">
                  <w:pPr>
                    <w:widowControl/>
                    <w:jc w:val="center"/>
                    <w:textAlignment w:val="center"/>
                    <w:rPr>
                      <w:rFonts w:hint="default" w:ascii="Times New Roman" w:hAnsi="Times New Roman" w:eastAsia="宋体" w:cs="Times New Roman"/>
                      <w:b/>
                      <w:bCs/>
                      <w:color w:val="auto"/>
                      <w:kern w:val="0"/>
                      <w:szCs w:val="21"/>
                      <w:lang w:val="en-US" w:eastAsia="zh-CN" w:bidi="ar"/>
                    </w:rPr>
                  </w:pPr>
                  <w:r>
                    <w:rPr>
                      <w:rFonts w:hint="eastAsia" w:cs="Times New Roman"/>
                      <w:b/>
                      <w:bCs/>
                      <w:color w:val="auto"/>
                      <w:kern w:val="0"/>
                      <w:szCs w:val="21"/>
                      <w:lang w:val="en-US" w:eastAsia="zh-CN" w:bidi="ar"/>
                    </w:rPr>
                    <w:t>折算量/t</w:t>
                  </w:r>
                </w:p>
              </w:tc>
              <w:tc>
                <w:tcPr>
                  <w:tcW w:w="647" w:type="pct"/>
                  <w:vAlign w:val="center"/>
                </w:tcPr>
                <w:p w14:paraId="71124580">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b/>
                      <w:bCs/>
                      <w:color w:val="auto"/>
                      <w:kern w:val="0"/>
                      <w:szCs w:val="21"/>
                      <w:lang w:bidi="ar"/>
                    </w:rPr>
                    <w:t>临界量/t</w:t>
                  </w:r>
                </w:p>
              </w:tc>
              <w:tc>
                <w:tcPr>
                  <w:tcW w:w="674" w:type="pct"/>
                  <w:vAlign w:val="center"/>
                </w:tcPr>
                <w:p w14:paraId="65014480">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b/>
                      <w:bCs/>
                      <w:color w:val="auto"/>
                      <w:kern w:val="0"/>
                      <w:szCs w:val="21"/>
                      <w:lang w:bidi="ar"/>
                    </w:rPr>
                    <w:t>Q</w:t>
                  </w:r>
                </w:p>
              </w:tc>
            </w:tr>
            <w:tr w14:paraId="03A401EE">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30306681">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1</w:t>
                  </w:r>
                </w:p>
              </w:tc>
              <w:tc>
                <w:tcPr>
                  <w:tcW w:w="974" w:type="pct"/>
                  <w:vAlign w:val="center"/>
                </w:tcPr>
                <w:p w14:paraId="4BD92387">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eastAsia" w:cs="Times New Roman"/>
                      <w:i w:val="0"/>
                      <w:iCs w:val="0"/>
                      <w:color w:val="auto"/>
                      <w:kern w:val="0"/>
                      <w:sz w:val="21"/>
                      <w:szCs w:val="21"/>
                      <w:highlight w:val="none"/>
                      <w:u w:val="none"/>
                      <w:lang w:val="en-US" w:eastAsia="zh-CN" w:bidi="ar"/>
                    </w:rPr>
                    <w:t>98%</w:t>
                  </w:r>
                  <w:r>
                    <w:rPr>
                      <w:rFonts w:hint="eastAsia" w:ascii="Times New Roman" w:hAnsi="Times New Roman" w:cs="Times New Roman"/>
                      <w:i w:val="0"/>
                      <w:iCs w:val="0"/>
                      <w:color w:val="auto"/>
                      <w:kern w:val="0"/>
                      <w:sz w:val="21"/>
                      <w:szCs w:val="21"/>
                      <w:highlight w:val="none"/>
                      <w:u w:val="none"/>
                      <w:lang w:val="en-US" w:eastAsia="zh-CN" w:bidi="ar"/>
                    </w:rPr>
                    <w:t>硫酸</w:t>
                  </w:r>
                </w:p>
              </w:tc>
              <w:tc>
                <w:tcPr>
                  <w:tcW w:w="717" w:type="pct"/>
                  <w:vAlign w:val="center"/>
                </w:tcPr>
                <w:p w14:paraId="6434C284">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7664-93-9</w:t>
                  </w:r>
                </w:p>
              </w:tc>
              <w:tc>
                <w:tcPr>
                  <w:tcW w:w="920" w:type="pct"/>
                  <w:vAlign w:val="center"/>
                </w:tcPr>
                <w:p w14:paraId="57171EF0">
                  <w:pPr>
                    <w:widowControl/>
                    <w:jc w:val="center"/>
                    <w:textAlignment w:val="bottom"/>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5</w:t>
                  </w:r>
                </w:p>
              </w:tc>
              <w:tc>
                <w:tcPr>
                  <w:tcW w:w="648" w:type="pct"/>
                  <w:vAlign w:val="center"/>
                </w:tcPr>
                <w:p w14:paraId="136255DB">
                  <w:pPr>
                    <w:keepNext w:val="0"/>
                    <w:keepLines w:val="0"/>
                    <w:widowControl/>
                    <w:suppressLineNumbers w:val="0"/>
                    <w:jc w:val="center"/>
                    <w:textAlignment w:val="bottom"/>
                    <w:rPr>
                      <w:rFonts w:hint="eastAsia"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0.0044835</w:t>
                  </w:r>
                </w:p>
              </w:tc>
              <w:tc>
                <w:tcPr>
                  <w:tcW w:w="647" w:type="pct"/>
                  <w:vAlign w:val="center"/>
                </w:tcPr>
                <w:p w14:paraId="11809DAC">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10</w:t>
                  </w:r>
                </w:p>
              </w:tc>
              <w:tc>
                <w:tcPr>
                  <w:tcW w:w="674" w:type="pct"/>
                  <w:vAlign w:val="center"/>
                </w:tcPr>
                <w:p w14:paraId="0E2D8716">
                  <w:pPr>
                    <w:keepNext w:val="0"/>
                    <w:keepLines w:val="0"/>
                    <w:widowControl/>
                    <w:suppressLineNumbers w:val="0"/>
                    <w:jc w:val="center"/>
                    <w:textAlignment w:val="bottom"/>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0.00044835</w:t>
                  </w:r>
                </w:p>
              </w:tc>
            </w:tr>
            <w:tr w14:paraId="736444F0">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45EABE02">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2</w:t>
                  </w:r>
                </w:p>
              </w:tc>
              <w:tc>
                <w:tcPr>
                  <w:tcW w:w="974" w:type="pct"/>
                  <w:vAlign w:val="center"/>
                </w:tcPr>
                <w:p w14:paraId="5988358E">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eastAsia" w:cs="Times New Roman"/>
                      <w:i w:val="0"/>
                      <w:iCs w:val="0"/>
                      <w:color w:val="auto"/>
                      <w:kern w:val="0"/>
                      <w:sz w:val="21"/>
                      <w:szCs w:val="21"/>
                      <w:highlight w:val="none"/>
                      <w:u w:val="none"/>
                      <w:lang w:val="en-US" w:eastAsia="zh-CN" w:bidi="ar"/>
                    </w:rPr>
                    <w:t>65%~68%</w:t>
                  </w:r>
                  <w:r>
                    <w:rPr>
                      <w:rFonts w:hint="eastAsia" w:ascii="Times New Roman" w:hAnsi="Times New Roman" w:cs="Times New Roman"/>
                      <w:i w:val="0"/>
                      <w:iCs w:val="0"/>
                      <w:color w:val="auto"/>
                      <w:kern w:val="0"/>
                      <w:sz w:val="21"/>
                      <w:szCs w:val="21"/>
                      <w:highlight w:val="none"/>
                      <w:u w:val="none"/>
                      <w:lang w:val="en-US" w:eastAsia="zh-CN" w:bidi="ar"/>
                    </w:rPr>
                    <w:t>硝酸</w:t>
                  </w:r>
                </w:p>
              </w:tc>
              <w:tc>
                <w:tcPr>
                  <w:tcW w:w="717" w:type="pct"/>
                  <w:vAlign w:val="center"/>
                </w:tcPr>
                <w:p w14:paraId="597B78D4">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7697-37-2</w:t>
                  </w:r>
                </w:p>
              </w:tc>
              <w:tc>
                <w:tcPr>
                  <w:tcW w:w="920" w:type="pct"/>
                  <w:vAlign w:val="center"/>
                </w:tcPr>
                <w:p w14:paraId="70D73A99">
                  <w:pPr>
                    <w:widowControl/>
                    <w:jc w:val="center"/>
                    <w:textAlignment w:val="bottom"/>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5</w:t>
                  </w:r>
                </w:p>
              </w:tc>
              <w:tc>
                <w:tcPr>
                  <w:tcW w:w="648" w:type="pct"/>
                  <w:vAlign w:val="center"/>
                </w:tcPr>
                <w:p w14:paraId="1B694D4D">
                  <w:pPr>
                    <w:keepNext w:val="0"/>
                    <w:keepLines w:val="0"/>
                    <w:widowControl/>
                    <w:suppressLineNumbers w:val="0"/>
                    <w:jc w:val="center"/>
                    <w:textAlignment w:val="center"/>
                    <w:rPr>
                      <w:rFonts w:hint="eastAsia"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0.00255</w:t>
                  </w:r>
                </w:p>
              </w:tc>
              <w:tc>
                <w:tcPr>
                  <w:tcW w:w="647" w:type="pct"/>
                  <w:vAlign w:val="center"/>
                </w:tcPr>
                <w:p w14:paraId="1073FC5C">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7.5</w:t>
                  </w:r>
                </w:p>
              </w:tc>
              <w:tc>
                <w:tcPr>
                  <w:tcW w:w="674" w:type="pct"/>
                  <w:vAlign w:val="center"/>
                </w:tcPr>
                <w:p w14:paraId="4CA51004">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0.00034</w:t>
                  </w:r>
                </w:p>
              </w:tc>
            </w:tr>
            <w:tr w14:paraId="2AEF1E25">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68B5A312">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3</w:t>
                  </w:r>
                </w:p>
              </w:tc>
              <w:tc>
                <w:tcPr>
                  <w:tcW w:w="974" w:type="pct"/>
                  <w:vAlign w:val="center"/>
                </w:tcPr>
                <w:p w14:paraId="1B3DDB5C">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eastAsia" w:cs="Times New Roman"/>
                      <w:i w:val="0"/>
                      <w:iCs w:val="0"/>
                      <w:color w:val="auto"/>
                      <w:kern w:val="0"/>
                      <w:sz w:val="21"/>
                      <w:szCs w:val="21"/>
                      <w:highlight w:val="none"/>
                      <w:u w:val="none"/>
                      <w:lang w:val="en-US" w:eastAsia="zh-CN" w:bidi="ar"/>
                    </w:rPr>
                    <w:t>35%~38%</w:t>
                  </w:r>
                  <w:r>
                    <w:rPr>
                      <w:rFonts w:hint="eastAsia" w:ascii="Times New Roman" w:hAnsi="Times New Roman" w:cs="Times New Roman"/>
                      <w:i w:val="0"/>
                      <w:iCs w:val="0"/>
                      <w:color w:val="auto"/>
                      <w:kern w:val="0"/>
                      <w:sz w:val="21"/>
                      <w:szCs w:val="21"/>
                      <w:highlight w:val="none"/>
                      <w:u w:val="none"/>
                      <w:lang w:val="en-US" w:eastAsia="zh-CN" w:bidi="ar"/>
                    </w:rPr>
                    <w:t>盐酸</w:t>
                  </w:r>
                </w:p>
              </w:tc>
              <w:tc>
                <w:tcPr>
                  <w:tcW w:w="717" w:type="pct"/>
                  <w:vAlign w:val="center"/>
                </w:tcPr>
                <w:p w14:paraId="2F150887">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7647-01-0</w:t>
                  </w:r>
                </w:p>
              </w:tc>
              <w:tc>
                <w:tcPr>
                  <w:tcW w:w="920" w:type="pct"/>
                  <w:vAlign w:val="center"/>
                </w:tcPr>
                <w:p w14:paraId="54F4EE0C">
                  <w:pPr>
                    <w:widowControl/>
                    <w:jc w:val="center"/>
                    <w:textAlignment w:val="bottom"/>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5</w:t>
                  </w:r>
                </w:p>
              </w:tc>
              <w:tc>
                <w:tcPr>
                  <w:tcW w:w="648" w:type="pct"/>
                  <w:vAlign w:val="center"/>
                </w:tcPr>
                <w:p w14:paraId="33A7C3E0">
                  <w:pPr>
                    <w:keepNext w:val="0"/>
                    <w:keepLines w:val="0"/>
                    <w:widowControl/>
                    <w:suppressLineNumbers w:val="0"/>
                    <w:jc w:val="center"/>
                    <w:textAlignment w:val="bottom"/>
                    <w:rPr>
                      <w:rFonts w:hint="eastAsia"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0.00114</w:t>
                  </w:r>
                </w:p>
              </w:tc>
              <w:tc>
                <w:tcPr>
                  <w:tcW w:w="647" w:type="pct"/>
                  <w:vAlign w:val="center"/>
                </w:tcPr>
                <w:p w14:paraId="350A0DF8">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7.5</w:t>
                  </w:r>
                </w:p>
              </w:tc>
              <w:tc>
                <w:tcPr>
                  <w:tcW w:w="674" w:type="pct"/>
                  <w:vAlign w:val="center"/>
                </w:tcPr>
                <w:p w14:paraId="5DC6B3DD">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0.000152</w:t>
                  </w:r>
                </w:p>
              </w:tc>
            </w:tr>
            <w:tr w14:paraId="076D2B2A">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19E5DA0D">
                  <w:pPr>
                    <w:widowControl/>
                    <w:jc w:val="center"/>
                    <w:textAlignment w:val="center"/>
                    <w:rPr>
                      <w:rFonts w:hint="eastAsia"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4</w:t>
                  </w:r>
                </w:p>
              </w:tc>
              <w:tc>
                <w:tcPr>
                  <w:tcW w:w="974" w:type="pct"/>
                  <w:vAlign w:val="center"/>
                </w:tcPr>
                <w:p w14:paraId="21EAE2D7">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eastAsia" w:ascii="宋体" w:hAnsi="宋体" w:eastAsia="宋体" w:cs="宋体"/>
                      <w:i w:val="0"/>
                      <w:iCs w:val="0"/>
                      <w:color w:val="auto"/>
                      <w:kern w:val="0"/>
                      <w:sz w:val="21"/>
                      <w:szCs w:val="21"/>
                      <w:u w:val="none"/>
                      <w:lang w:val="en-US" w:eastAsia="zh-CN" w:bidi="ar"/>
                    </w:rPr>
                    <w:t>氨标准贮备液</w:t>
                  </w:r>
                </w:p>
              </w:tc>
              <w:tc>
                <w:tcPr>
                  <w:tcW w:w="717" w:type="pct"/>
                  <w:vAlign w:val="center"/>
                </w:tcPr>
                <w:p w14:paraId="4B0D1BD6">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1336-21-6</w:t>
                  </w:r>
                </w:p>
              </w:tc>
              <w:tc>
                <w:tcPr>
                  <w:tcW w:w="920" w:type="pct"/>
                  <w:vAlign w:val="center"/>
                </w:tcPr>
                <w:p w14:paraId="50F1B064">
                  <w:pPr>
                    <w:widowControl/>
                    <w:jc w:val="center"/>
                    <w:textAlignment w:val="bottom"/>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3</w:t>
                  </w:r>
                </w:p>
              </w:tc>
              <w:tc>
                <w:tcPr>
                  <w:tcW w:w="648" w:type="pct"/>
                  <w:vAlign w:val="center"/>
                </w:tcPr>
                <w:p w14:paraId="5487D488">
                  <w:pPr>
                    <w:keepNext w:val="0"/>
                    <w:keepLines w:val="0"/>
                    <w:widowControl/>
                    <w:suppressLineNumbers w:val="0"/>
                    <w:jc w:val="center"/>
                    <w:textAlignment w:val="bottom"/>
                    <w:rPr>
                      <w:rFonts w:hint="eastAsia"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0.0000015</w:t>
                  </w:r>
                </w:p>
              </w:tc>
              <w:tc>
                <w:tcPr>
                  <w:tcW w:w="647" w:type="pct"/>
                  <w:vAlign w:val="center"/>
                </w:tcPr>
                <w:p w14:paraId="6322CBBB">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10</w:t>
                  </w:r>
                </w:p>
              </w:tc>
              <w:tc>
                <w:tcPr>
                  <w:tcW w:w="674" w:type="pct"/>
                  <w:vAlign w:val="center"/>
                </w:tcPr>
                <w:p w14:paraId="48EEACEF">
                  <w:pPr>
                    <w:keepNext w:val="0"/>
                    <w:keepLines w:val="0"/>
                    <w:widowControl/>
                    <w:suppressLineNumbers w:val="0"/>
                    <w:jc w:val="center"/>
                    <w:textAlignment w:val="bottom"/>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0.00000015</w:t>
                  </w:r>
                </w:p>
              </w:tc>
            </w:tr>
            <w:tr w14:paraId="5DB7D52A">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271655E3">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cs="Times New Roman"/>
                      <w:color w:val="auto"/>
                      <w:kern w:val="0"/>
                      <w:szCs w:val="21"/>
                      <w:lang w:val="en-US" w:eastAsia="zh-CN" w:bidi="ar"/>
                    </w:rPr>
                    <w:t>5</w:t>
                  </w:r>
                </w:p>
              </w:tc>
              <w:tc>
                <w:tcPr>
                  <w:tcW w:w="974" w:type="pct"/>
                  <w:vAlign w:val="center"/>
                </w:tcPr>
                <w:p w14:paraId="1EE9BE7B">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eastAsia" w:ascii="宋体" w:hAnsi="宋体" w:eastAsia="宋体" w:cs="宋体"/>
                      <w:i w:val="0"/>
                      <w:iCs w:val="0"/>
                      <w:color w:val="auto"/>
                      <w:kern w:val="0"/>
                      <w:sz w:val="21"/>
                      <w:szCs w:val="21"/>
                      <w:u w:val="none"/>
                      <w:lang w:val="en-US" w:eastAsia="zh-CN" w:bidi="ar"/>
                    </w:rPr>
                    <w:t>无水乙醇</w:t>
                  </w:r>
                </w:p>
              </w:tc>
              <w:tc>
                <w:tcPr>
                  <w:tcW w:w="717" w:type="pct"/>
                  <w:vAlign w:val="center"/>
                </w:tcPr>
                <w:p w14:paraId="083D466F">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64-17-5</w:t>
                  </w:r>
                </w:p>
              </w:tc>
              <w:tc>
                <w:tcPr>
                  <w:tcW w:w="920" w:type="pct"/>
                  <w:vAlign w:val="center"/>
                </w:tcPr>
                <w:p w14:paraId="31C3CA52">
                  <w:pPr>
                    <w:widowControl/>
                    <w:jc w:val="center"/>
                    <w:textAlignment w:val="bottom"/>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3</w:t>
                  </w:r>
                </w:p>
              </w:tc>
              <w:tc>
                <w:tcPr>
                  <w:tcW w:w="648" w:type="pct"/>
                  <w:vAlign w:val="center"/>
                </w:tcPr>
                <w:p w14:paraId="30106AB5">
                  <w:pPr>
                    <w:keepNext w:val="0"/>
                    <w:keepLines w:val="0"/>
                    <w:widowControl/>
                    <w:suppressLineNumbers w:val="0"/>
                    <w:jc w:val="center"/>
                    <w:textAlignment w:val="bottom"/>
                    <w:rPr>
                      <w:rFonts w:hint="default"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cs="Times New Roman"/>
                      <w:i w:val="0"/>
                      <w:iCs w:val="0"/>
                      <w:color w:val="auto"/>
                      <w:kern w:val="0"/>
                      <w:sz w:val="21"/>
                      <w:szCs w:val="21"/>
                      <w:u w:val="none"/>
                      <w:lang w:val="en-US" w:eastAsia="zh-CN" w:bidi="ar"/>
                    </w:rPr>
                    <w:t>1185</w:t>
                  </w:r>
                </w:p>
              </w:tc>
              <w:tc>
                <w:tcPr>
                  <w:tcW w:w="647" w:type="pct"/>
                  <w:vAlign w:val="center"/>
                </w:tcPr>
                <w:p w14:paraId="00F89E53">
                  <w:pPr>
                    <w:keepNext w:val="0"/>
                    <w:keepLines w:val="0"/>
                    <w:widowControl/>
                    <w:suppressLineNumbers w:val="0"/>
                    <w:jc w:val="center"/>
                    <w:textAlignment w:val="bottom"/>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674" w:type="pct"/>
                  <w:vAlign w:val="center"/>
                </w:tcPr>
                <w:p w14:paraId="5CDE783E">
                  <w:pPr>
                    <w:keepNext w:val="0"/>
                    <w:keepLines w:val="0"/>
                    <w:widowControl/>
                    <w:suppressLineNumbers w:val="0"/>
                    <w:jc w:val="center"/>
                    <w:textAlignment w:val="bottom"/>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0.00000</w:t>
                  </w:r>
                  <w:r>
                    <w:rPr>
                      <w:rFonts w:hint="eastAsia" w:cs="Times New Roman"/>
                      <w:i w:val="0"/>
                      <w:iCs w:val="0"/>
                      <w:color w:val="auto"/>
                      <w:kern w:val="0"/>
                      <w:sz w:val="21"/>
                      <w:szCs w:val="21"/>
                      <w:u w:val="none"/>
                      <w:lang w:val="en-US" w:eastAsia="zh-CN" w:bidi="ar"/>
                    </w:rPr>
                    <w:t>237</w:t>
                  </w:r>
                </w:p>
              </w:tc>
            </w:tr>
            <w:tr w14:paraId="05AF37E0">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260F9B38">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cs="Times New Roman"/>
                      <w:color w:val="auto"/>
                      <w:kern w:val="0"/>
                      <w:szCs w:val="21"/>
                      <w:lang w:val="en-US" w:eastAsia="zh-CN" w:bidi="ar"/>
                    </w:rPr>
                    <w:t>6</w:t>
                  </w:r>
                </w:p>
              </w:tc>
              <w:tc>
                <w:tcPr>
                  <w:tcW w:w="974" w:type="pct"/>
                  <w:vAlign w:val="center"/>
                </w:tcPr>
                <w:p w14:paraId="3FC28850">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eastAsia" w:ascii="宋体" w:hAnsi="宋体" w:eastAsia="宋体" w:cs="宋体"/>
                      <w:i w:val="0"/>
                      <w:iCs w:val="0"/>
                      <w:color w:val="auto"/>
                      <w:kern w:val="0"/>
                      <w:sz w:val="21"/>
                      <w:szCs w:val="21"/>
                      <w:u w:val="none"/>
                      <w:lang w:val="en-US" w:eastAsia="zh-CN" w:bidi="ar"/>
                    </w:rPr>
                    <w:t>次氯酸钠</w:t>
                  </w:r>
                </w:p>
              </w:tc>
              <w:tc>
                <w:tcPr>
                  <w:tcW w:w="717" w:type="pct"/>
                  <w:vAlign w:val="center"/>
                </w:tcPr>
                <w:p w14:paraId="24F43E27">
                  <w:pPr>
                    <w:keepNext w:val="0"/>
                    <w:keepLines w:val="0"/>
                    <w:widowControl/>
                    <w:suppressLineNumbers w:val="0"/>
                    <w:jc w:val="center"/>
                    <w:textAlignment w:val="center"/>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7681-52-9</w:t>
                  </w:r>
                </w:p>
              </w:tc>
              <w:tc>
                <w:tcPr>
                  <w:tcW w:w="920" w:type="pct"/>
                  <w:vAlign w:val="center"/>
                </w:tcPr>
                <w:p w14:paraId="490136E2">
                  <w:pPr>
                    <w:widowControl/>
                    <w:jc w:val="center"/>
                    <w:textAlignment w:val="bottom"/>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1</w:t>
                  </w:r>
                </w:p>
              </w:tc>
              <w:tc>
                <w:tcPr>
                  <w:tcW w:w="648" w:type="pct"/>
                  <w:vAlign w:val="center"/>
                </w:tcPr>
                <w:p w14:paraId="3B6D8B00">
                  <w:pPr>
                    <w:keepNext w:val="0"/>
                    <w:keepLines w:val="0"/>
                    <w:widowControl/>
                    <w:suppressLineNumbers w:val="0"/>
                    <w:jc w:val="center"/>
                    <w:textAlignment w:val="bottom"/>
                    <w:rPr>
                      <w:rFonts w:hint="eastAsia"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47" w:type="pct"/>
                  <w:vAlign w:val="center"/>
                </w:tcPr>
                <w:p w14:paraId="6B80CC15">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5</w:t>
                  </w:r>
                </w:p>
              </w:tc>
              <w:tc>
                <w:tcPr>
                  <w:tcW w:w="674" w:type="pct"/>
                  <w:vAlign w:val="center"/>
                </w:tcPr>
                <w:p w14:paraId="47223099">
                  <w:pPr>
                    <w:keepNext w:val="0"/>
                    <w:keepLines w:val="0"/>
                    <w:widowControl/>
                    <w:suppressLineNumbers w:val="0"/>
                    <w:jc w:val="center"/>
                    <w:textAlignment w:val="bottom"/>
                    <w:rPr>
                      <w:rFonts w:hint="default" w:ascii="Times New Roman" w:hAnsi="Times New Roman"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0.0001</w:t>
                  </w:r>
                </w:p>
              </w:tc>
            </w:tr>
            <w:tr w14:paraId="5F0E3FBB">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35C31A5C">
                  <w:pPr>
                    <w:widowControl/>
                    <w:jc w:val="center"/>
                    <w:textAlignment w:val="center"/>
                    <w:rPr>
                      <w:rFonts w:hint="default" w:cs="Times New Roman"/>
                      <w:color w:val="auto"/>
                      <w:kern w:val="0"/>
                      <w:szCs w:val="21"/>
                      <w:lang w:val="en-US" w:eastAsia="zh-CN" w:bidi="ar"/>
                    </w:rPr>
                  </w:pPr>
                  <w:r>
                    <w:rPr>
                      <w:rFonts w:hint="eastAsia" w:cs="Times New Roman"/>
                      <w:color w:val="auto"/>
                      <w:kern w:val="0"/>
                      <w:szCs w:val="21"/>
                      <w:lang w:val="en-US" w:eastAsia="zh-CN" w:bidi="ar"/>
                    </w:rPr>
                    <w:t>7</w:t>
                  </w:r>
                </w:p>
              </w:tc>
              <w:tc>
                <w:tcPr>
                  <w:tcW w:w="974" w:type="pct"/>
                  <w:vAlign w:val="center"/>
                </w:tcPr>
                <w:p w14:paraId="1A61B434">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eastAsia" w:ascii="宋体" w:hAnsi="宋体" w:eastAsia="宋体" w:cs="宋体"/>
                      <w:i w:val="0"/>
                      <w:iCs w:val="0"/>
                      <w:color w:val="auto"/>
                      <w:kern w:val="0"/>
                      <w:sz w:val="21"/>
                      <w:szCs w:val="21"/>
                      <w:u w:val="none"/>
                      <w:lang w:val="en-US" w:eastAsia="zh-CN" w:bidi="ar"/>
                    </w:rPr>
                    <w:t>次氯酸钠溶液</w:t>
                  </w:r>
                </w:p>
              </w:tc>
              <w:tc>
                <w:tcPr>
                  <w:tcW w:w="717" w:type="pct"/>
                  <w:vAlign w:val="center"/>
                </w:tcPr>
                <w:p w14:paraId="11BF1F1C">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7681-52-9</w:t>
                  </w:r>
                </w:p>
              </w:tc>
              <w:tc>
                <w:tcPr>
                  <w:tcW w:w="920" w:type="pct"/>
                  <w:vAlign w:val="center"/>
                </w:tcPr>
                <w:p w14:paraId="5C5C6DF7">
                  <w:pPr>
                    <w:widowControl/>
                    <w:jc w:val="center"/>
                    <w:textAlignment w:val="bottom"/>
                    <w:rPr>
                      <w:rFonts w:hint="default" w:cs="Times New Roman"/>
                      <w:color w:val="auto"/>
                      <w:kern w:val="0"/>
                      <w:szCs w:val="21"/>
                      <w:lang w:val="en-US" w:eastAsia="zh-CN"/>
                    </w:rPr>
                  </w:pPr>
                  <w:r>
                    <w:rPr>
                      <w:rFonts w:hint="eastAsia" w:cs="Times New Roman"/>
                      <w:color w:val="auto"/>
                      <w:kern w:val="0"/>
                      <w:szCs w:val="21"/>
                      <w:lang w:val="en-US" w:eastAsia="zh-CN"/>
                    </w:rPr>
                    <w:t>2</w:t>
                  </w:r>
                </w:p>
              </w:tc>
              <w:tc>
                <w:tcPr>
                  <w:tcW w:w="648" w:type="pct"/>
                  <w:vAlign w:val="center"/>
                </w:tcPr>
                <w:p w14:paraId="6F6F6451">
                  <w:pPr>
                    <w:keepNext w:val="0"/>
                    <w:keepLines w:val="0"/>
                    <w:widowControl/>
                    <w:suppressLineNumbers w:val="0"/>
                    <w:jc w:val="center"/>
                    <w:textAlignment w:val="center"/>
                    <w:rPr>
                      <w:rFonts w:hint="default"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w:t>
                  </w:r>
                  <w:r>
                    <w:rPr>
                      <w:rFonts w:hint="default" w:ascii="Arial" w:hAnsi="Arial" w:eastAsia="宋体" w:cs="Arial"/>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10</w:t>
                  </w:r>
                  <w:r>
                    <w:rPr>
                      <w:rFonts w:hint="eastAsia" w:cs="Times New Roman"/>
                      <w:i w:val="0"/>
                      <w:iCs w:val="0"/>
                      <w:color w:val="auto"/>
                      <w:kern w:val="0"/>
                      <w:sz w:val="21"/>
                      <w:szCs w:val="21"/>
                      <w:u w:val="none"/>
                      <w:vertAlign w:val="superscript"/>
                      <w:lang w:val="en-US" w:eastAsia="zh-CN" w:bidi="ar"/>
                    </w:rPr>
                    <w:t>-7</w:t>
                  </w:r>
                </w:p>
              </w:tc>
              <w:tc>
                <w:tcPr>
                  <w:tcW w:w="647" w:type="pct"/>
                  <w:vAlign w:val="center"/>
                </w:tcPr>
                <w:p w14:paraId="0AAE6AF1">
                  <w:pPr>
                    <w:keepNext w:val="0"/>
                    <w:keepLines w:val="0"/>
                    <w:widowControl/>
                    <w:suppressLineNumbers w:val="0"/>
                    <w:jc w:val="center"/>
                    <w:textAlignment w:val="bottom"/>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5</w:t>
                  </w:r>
                </w:p>
              </w:tc>
              <w:tc>
                <w:tcPr>
                  <w:tcW w:w="674" w:type="pct"/>
                  <w:vAlign w:val="center"/>
                </w:tcPr>
                <w:p w14:paraId="6E8630D6">
                  <w:pPr>
                    <w:keepNext w:val="0"/>
                    <w:keepLines w:val="0"/>
                    <w:widowControl/>
                    <w:suppressLineNumbers w:val="0"/>
                    <w:jc w:val="center"/>
                    <w:textAlignment w:val="bottom"/>
                    <w:rPr>
                      <w:rFonts w:hint="eastAsia" w:cs="Times New Roman"/>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7.4×10</w:t>
                  </w:r>
                  <w:r>
                    <w:rPr>
                      <w:rFonts w:hint="default" w:ascii="Times New Roman" w:hAnsi="Times New Roman" w:eastAsia="宋体" w:cs="Times New Roman"/>
                      <w:i w:val="0"/>
                      <w:iCs w:val="0"/>
                      <w:color w:val="auto"/>
                      <w:kern w:val="0"/>
                      <w:sz w:val="21"/>
                      <w:szCs w:val="21"/>
                      <w:u w:val="none"/>
                      <w:vertAlign w:val="superscript"/>
                      <w:lang w:val="en-US" w:eastAsia="zh-CN" w:bidi="ar"/>
                    </w:rPr>
                    <w:t>-</w:t>
                  </w:r>
                  <w:r>
                    <w:rPr>
                      <w:rFonts w:hint="eastAsia" w:cs="Times New Roman"/>
                      <w:i w:val="0"/>
                      <w:iCs w:val="0"/>
                      <w:color w:val="auto"/>
                      <w:kern w:val="0"/>
                      <w:sz w:val="21"/>
                      <w:szCs w:val="21"/>
                      <w:u w:val="none"/>
                      <w:vertAlign w:val="superscript"/>
                      <w:lang w:val="en-US" w:eastAsia="zh-CN" w:bidi="ar"/>
                    </w:rPr>
                    <w:t>8</w:t>
                  </w:r>
                </w:p>
              </w:tc>
            </w:tr>
            <w:tr w14:paraId="29492CCA">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17" w:type="pct"/>
                  <w:vAlign w:val="center"/>
                </w:tcPr>
                <w:p w14:paraId="0797AB3B">
                  <w:pPr>
                    <w:widowControl/>
                    <w:jc w:val="center"/>
                    <w:textAlignment w:val="center"/>
                    <w:rPr>
                      <w:rFonts w:hint="default" w:cs="Times New Roman"/>
                      <w:color w:val="auto"/>
                      <w:kern w:val="0"/>
                      <w:szCs w:val="21"/>
                      <w:lang w:val="en-US" w:eastAsia="zh-CN" w:bidi="ar"/>
                    </w:rPr>
                  </w:pPr>
                  <w:r>
                    <w:rPr>
                      <w:rFonts w:hint="eastAsia" w:cs="Times New Roman"/>
                      <w:color w:val="auto"/>
                      <w:kern w:val="0"/>
                      <w:szCs w:val="21"/>
                      <w:lang w:val="en-US" w:eastAsia="zh-CN" w:bidi="ar"/>
                    </w:rPr>
                    <w:t>8</w:t>
                  </w:r>
                </w:p>
              </w:tc>
              <w:tc>
                <w:tcPr>
                  <w:tcW w:w="974" w:type="pct"/>
                  <w:vAlign w:val="center"/>
                </w:tcPr>
                <w:p w14:paraId="77D17D78">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eastAsia" w:ascii="宋体" w:hAnsi="宋体" w:eastAsia="宋体" w:cs="宋体"/>
                      <w:i w:val="0"/>
                      <w:iCs w:val="0"/>
                      <w:color w:val="auto"/>
                      <w:kern w:val="0"/>
                      <w:sz w:val="21"/>
                      <w:szCs w:val="21"/>
                      <w:u w:val="none"/>
                      <w:lang w:val="en-US" w:eastAsia="zh-CN" w:bidi="ar"/>
                    </w:rPr>
                    <w:t>实验废液</w:t>
                  </w:r>
                </w:p>
              </w:tc>
              <w:tc>
                <w:tcPr>
                  <w:tcW w:w="717" w:type="pct"/>
                  <w:vAlign w:val="center"/>
                </w:tcPr>
                <w:p w14:paraId="1FC9BD33">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cs="Times New Roman"/>
                      <w:color w:val="auto"/>
                      <w:kern w:val="0"/>
                      <w:szCs w:val="21"/>
                      <w:lang w:val="en-US" w:eastAsia="zh-CN" w:bidi="ar"/>
                    </w:rPr>
                    <w:t>/</w:t>
                  </w:r>
                </w:p>
              </w:tc>
              <w:tc>
                <w:tcPr>
                  <w:tcW w:w="920" w:type="pct"/>
                  <w:vAlign w:val="center"/>
                </w:tcPr>
                <w:p w14:paraId="0FD27038">
                  <w:pPr>
                    <w:widowControl/>
                    <w:jc w:val="center"/>
                    <w:textAlignment w:val="bottom"/>
                    <w:rPr>
                      <w:rFonts w:hint="default" w:cs="Times New Roman"/>
                      <w:color w:val="auto"/>
                      <w:kern w:val="0"/>
                      <w:szCs w:val="21"/>
                      <w:lang w:val="en-US" w:eastAsia="zh-CN"/>
                    </w:rPr>
                  </w:pPr>
                  <w:r>
                    <w:rPr>
                      <w:rFonts w:hint="eastAsia" w:cs="Times New Roman"/>
                      <w:color w:val="auto"/>
                      <w:kern w:val="0"/>
                      <w:szCs w:val="21"/>
                      <w:lang w:val="en-US" w:eastAsia="zh-CN"/>
                    </w:rPr>
                    <w:t>/</w:t>
                  </w:r>
                </w:p>
              </w:tc>
              <w:tc>
                <w:tcPr>
                  <w:tcW w:w="648" w:type="pct"/>
                  <w:vAlign w:val="center"/>
                </w:tcPr>
                <w:p w14:paraId="1F1D352E">
                  <w:pPr>
                    <w:keepNext w:val="0"/>
                    <w:keepLines w:val="0"/>
                    <w:widowControl/>
                    <w:suppressLineNumbers w:val="0"/>
                    <w:jc w:val="center"/>
                    <w:textAlignment w:val="center"/>
                    <w:rPr>
                      <w:rFonts w:hint="eastAsia"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15.</w:t>
                  </w:r>
                  <w:r>
                    <w:rPr>
                      <w:rFonts w:hint="eastAsia" w:cs="Times New Roman"/>
                      <w:i w:val="0"/>
                      <w:iCs w:val="0"/>
                      <w:color w:val="auto"/>
                      <w:kern w:val="0"/>
                      <w:sz w:val="21"/>
                      <w:szCs w:val="21"/>
                      <w:u w:val="none"/>
                      <w:lang w:val="en-US" w:eastAsia="zh-CN" w:bidi="ar"/>
                    </w:rPr>
                    <w:t>2</w:t>
                  </w:r>
                </w:p>
              </w:tc>
              <w:tc>
                <w:tcPr>
                  <w:tcW w:w="647" w:type="pct"/>
                  <w:vAlign w:val="center"/>
                </w:tcPr>
                <w:p w14:paraId="72E7E34D">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674" w:type="pct"/>
                  <w:vAlign w:val="center"/>
                </w:tcPr>
                <w:p w14:paraId="290868ED">
                  <w:pPr>
                    <w:keepNext w:val="0"/>
                    <w:keepLines w:val="0"/>
                    <w:widowControl/>
                    <w:suppressLineNumbers w:val="0"/>
                    <w:jc w:val="center"/>
                    <w:textAlignment w:val="bottom"/>
                    <w:rPr>
                      <w:rFonts w:hint="eastAsia" w:cs="Times New Roman"/>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w:t>
                  </w:r>
                  <w:r>
                    <w:rPr>
                      <w:rFonts w:hint="eastAsia" w:cs="Times New Roman"/>
                      <w:i w:val="0"/>
                      <w:iCs w:val="0"/>
                      <w:color w:val="auto"/>
                      <w:kern w:val="0"/>
                      <w:sz w:val="21"/>
                      <w:szCs w:val="21"/>
                      <w:u w:val="none"/>
                      <w:lang w:val="en-US" w:eastAsia="zh-CN" w:bidi="ar"/>
                    </w:rPr>
                    <w:t>2</w:t>
                  </w:r>
                </w:p>
              </w:tc>
            </w:tr>
            <w:tr w14:paraId="0F5D4F30">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4325" w:type="pct"/>
                  <w:gridSpan w:val="6"/>
                  <w:vAlign w:val="center"/>
                </w:tcPr>
                <w:p w14:paraId="4D8C96E0">
                  <w:pPr>
                    <w:pStyle w:val="68"/>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合计</w:t>
                  </w:r>
                </w:p>
              </w:tc>
              <w:tc>
                <w:tcPr>
                  <w:tcW w:w="674" w:type="pct"/>
                  <w:vAlign w:val="center"/>
                </w:tcPr>
                <w:p w14:paraId="0AF26019">
                  <w:pPr>
                    <w:keepNext w:val="0"/>
                    <w:keepLines w:val="0"/>
                    <w:widowControl/>
                    <w:suppressLineNumbers w:val="0"/>
                    <w:jc w:val="center"/>
                    <w:textAlignment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r>
                    <w:rPr>
                      <w:rFonts w:hint="eastAsia" w:cs="Times New Roman"/>
                      <w:i w:val="0"/>
                      <w:iCs w:val="0"/>
                      <w:color w:val="auto"/>
                      <w:kern w:val="0"/>
                      <w:sz w:val="21"/>
                      <w:szCs w:val="21"/>
                      <w:u w:val="none"/>
                      <w:lang w:val="en-US" w:eastAsia="zh-CN" w:bidi="ar"/>
                    </w:rPr>
                    <w:t>30</w:t>
                  </w:r>
                </w:p>
              </w:tc>
            </w:tr>
          </w:tbl>
          <w:p w14:paraId="09B3AF72">
            <w:pPr>
              <w:pStyle w:val="28"/>
              <w:adjustRightInd w:val="0"/>
              <w:snapToGrid w:val="0"/>
              <w:spacing w:after="0" w:line="360" w:lineRule="auto"/>
              <w:ind w:left="0" w:leftChars="0" w:firstLine="480"/>
              <w:rPr>
                <w:rFonts w:hint="default" w:ascii="Times New Roman" w:hAnsi="Times New Roman" w:cs="Times New Roman"/>
                <w:color w:val="auto"/>
                <w:szCs w:val="24"/>
              </w:rPr>
            </w:pPr>
            <w:r>
              <w:rPr>
                <w:rFonts w:hint="default" w:ascii="Times New Roman" w:hAnsi="Times New Roman" w:cs="Times New Roman"/>
                <w:bCs/>
                <w:color w:val="auto"/>
              </w:rPr>
              <w:t>由上表可知，本项目所用的危险物质数量与临界量比值（Q）</w:t>
            </w:r>
            <w:r>
              <w:rPr>
                <w:rFonts w:hint="eastAsia" w:cs="Times New Roman"/>
                <w:color w:val="auto"/>
                <w:lang w:val="en-US" w:eastAsia="zh-CN" w:bidi="ar"/>
              </w:rPr>
              <w:t>0.1530</w:t>
            </w:r>
            <w:r>
              <w:rPr>
                <w:rFonts w:hint="default" w:ascii="Times New Roman" w:hAnsi="Times New Roman" w:cs="Times New Roman"/>
                <w:bCs/>
                <w:color w:val="auto"/>
              </w:rPr>
              <w:t>＜1，因此本项目的风险潜势为I，仅需要进行简单分析。</w:t>
            </w:r>
          </w:p>
          <w:p w14:paraId="4D5E5512">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2、环境风险分析</w:t>
            </w:r>
          </w:p>
          <w:p w14:paraId="3E07BC0E">
            <w:pPr>
              <w:adjustRightInd w:val="0"/>
              <w:snapToGrid w:val="0"/>
              <w:spacing w:line="360" w:lineRule="auto"/>
              <w:ind w:firstLine="480" w:firstLineChars="200"/>
              <w:rPr>
                <w:rFonts w:hint="default" w:ascii="Times New Roman" w:hAnsi="Times New Roman" w:cs="Times New Roman"/>
                <w:bCs/>
                <w:color w:val="auto"/>
                <w:kern w:val="0"/>
                <w:sz w:val="24"/>
                <w:lang w:eastAsia="zh-CN"/>
              </w:rPr>
            </w:pPr>
            <w:r>
              <w:rPr>
                <w:rFonts w:hint="default" w:ascii="Times New Roman" w:hAnsi="Times New Roman" w:cs="Times New Roman"/>
                <w:bCs/>
                <w:color w:val="auto"/>
                <w:kern w:val="0"/>
                <w:sz w:val="24"/>
                <w:lang w:eastAsia="zh-CN"/>
              </w:rPr>
              <w:t>本项目可能发生的风险为危险化学品泄漏风险</w:t>
            </w:r>
            <w:r>
              <w:rPr>
                <w:rFonts w:hint="eastAsia" w:cs="Times New Roman"/>
                <w:bCs/>
                <w:color w:val="auto"/>
                <w:kern w:val="0"/>
                <w:sz w:val="24"/>
                <w:lang w:val="en-US" w:eastAsia="zh-CN"/>
              </w:rPr>
              <w:t>等</w:t>
            </w:r>
            <w:r>
              <w:rPr>
                <w:rFonts w:hint="default" w:ascii="Times New Roman" w:hAnsi="Times New Roman" w:cs="Times New Roman"/>
                <w:bCs/>
                <w:color w:val="auto"/>
                <w:kern w:val="0"/>
                <w:sz w:val="24"/>
                <w:lang w:eastAsia="zh-CN"/>
              </w:rPr>
              <w:t>。根据本项目工艺流程及厂区总平面布置图，可能存在危险性的单元为试剂</w:t>
            </w:r>
            <w:r>
              <w:rPr>
                <w:rFonts w:hint="eastAsia" w:cs="Times New Roman"/>
                <w:bCs/>
                <w:color w:val="auto"/>
                <w:kern w:val="0"/>
                <w:sz w:val="24"/>
                <w:lang w:val="en-US" w:eastAsia="zh-CN"/>
              </w:rPr>
              <w:t>间</w:t>
            </w:r>
            <w:r>
              <w:rPr>
                <w:rFonts w:hint="default" w:ascii="Times New Roman" w:hAnsi="Times New Roman" w:cs="Times New Roman"/>
                <w:bCs/>
                <w:color w:val="auto"/>
                <w:kern w:val="0"/>
                <w:sz w:val="24"/>
                <w:lang w:eastAsia="zh-CN"/>
              </w:rPr>
              <w:t>、危废贮存库等。本项目环境风险识别表见表</w:t>
            </w:r>
            <w:r>
              <w:rPr>
                <w:rFonts w:hint="eastAsia" w:cs="Times New Roman"/>
                <w:bCs/>
                <w:color w:val="auto"/>
                <w:kern w:val="0"/>
                <w:sz w:val="24"/>
                <w:lang w:val="en-US" w:eastAsia="zh-CN"/>
              </w:rPr>
              <w:t>4-15</w:t>
            </w:r>
            <w:r>
              <w:rPr>
                <w:rFonts w:hint="default" w:ascii="Times New Roman" w:hAnsi="Times New Roman" w:cs="Times New Roman"/>
                <w:bCs/>
                <w:color w:val="auto"/>
                <w:kern w:val="0"/>
                <w:sz w:val="24"/>
                <w:lang w:eastAsia="zh-CN"/>
              </w:rPr>
              <w:t>。</w:t>
            </w:r>
          </w:p>
          <w:p w14:paraId="4FE7A0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表</w:t>
            </w:r>
            <w:r>
              <w:rPr>
                <w:rFonts w:hint="default" w:ascii="Times New Roman" w:hAnsi="Times New Roman" w:cs="Times New Roman"/>
                <w:b/>
                <w:bCs w:val="0"/>
                <w:color w:val="auto"/>
                <w:kern w:val="0"/>
                <w:sz w:val="21"/>
                <w:szCs w:val="21"/>
                <w:lang w:val="en-US" w:eastAsia="zh-CN"/>
              </w:rPr>
              <w:t>4-1</w:t>
            </w:r>
            <w:r>
              <w:rPr>
                <w:rFonts w:hint="eastAsia" w:cs="Times New Roman"/>
                <w:b/>
                <w:bCs w:val="0"/>
                <w:color w:val="auto"/>
                <w:kern w:val="0"/>
                <w:sz w:val="21"/>
                <w:szCs w:val="21"/>
                <w:lang w:val="en-US" w:eastAsia="zh-CN"/>
              </w:rPr>
              <w:t xml:space="preserve">5 </w:t>
            </w:r>
            <w:r>
              <w:rPr>
                <w:rFonts w:hint="default" w:ascii="Times New Roman" w:hAnsi="Times New Roman" w:cs="Times New Roman"/>
                <w:b/>
                <w:bCs w:val="0"/>
                <w:color w:val="auto"/>
                <w:kern w:val="0"/>
                <w:sz w:val="21"/>
                <w:szCs w:val="21"/>
              </w:rPr>
              <w:t>环境风险源识别表</w:t>
            </w:r>
          </w:p>
          <w:tbl>
            <w:tblPr>
              <w:tblStyle w:val="29"/>
              <w:tblW w:w="4996"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2185"/>
              <w:gridCol w:w="2135"/>
              <w:gridCol w:w="2481"/>
              <w:gridCol w:w="1682"/>
            </w:tblGrid>
            <w:tr w14:paraId="3C368CC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340" w:hRule="atLeast"/>
                <w:jc w:val="center"/>
              </w:trPr>
              <w:tc>
                <w:tcPr>
                  <w:tcW w:w="611" w:type="pct"/>
                  <w:tcBorders>
                    <w:tl2br w:val="nil"/>
                    <w:tr2bl w:val="nil"/>
                  </w:tcBorders>
                  <w:noWrap w:val="0"/>
                  <w:vAlign w:val="center"/>
                </w:tcPr>
                <w:p w14:paraId="6DE5B1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序号</w:t>
                  </w:r>
                </w:p>
              </w:tc>
              <w:tc>
                <w:tcPr>
                  <w:tcW w:w="1130" w:type="pct"/>
                  <w:tcBorders>
                    <w:tl2br w:val="nil"/>
                    <w:tr2bl w:val="nil"/>
                  </w:tcBorders>
                  <w:noWrap w:val="0"/>
                  <w:vAlign w:val="center"/>
                </w:tcPr>
                <w:p w14:paraId="623B85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风险源</w:t>
                  </w:r>
                </w:p>
              </w:tc>
              <w:tc>
                <w:tcPr>
                  <w:tcW w:w="1104" w:type="pct"/>
                  <w:tcBorders>
                    <w:tl2br w:val="nil"/>
                    <w:tr2bl w:val="nil"/>
                  </w:tcBorders>
                  <w:noWrap w:val="0"/>
                  <w:vAlign w:val="center"/>
                </w:tcPr>
                <w:p w14:paraId="40CD43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主要危险物质</w:t>
                  </w:r>
                </w:p>
              </w:tc>
              <w:tc>
                <w:tcPr>
                  <w:tcW w:w="1283" w:type="pct"/>
                  <w:tcBorders>
                    <w:tl2br w:val="nil"/>
                    <w:tr2bl w:val="nil"/>
                  </w:tcBorders>
                  <w:noWrap w:val="0"/>
                  <w:vAlign w:val="center"/>
                </w:tcPr>
                <w:p w14:paraId="29501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环境风险类型</w:t>
                  </w:r>
                </w:p>
              </w:tc>
              <w:tc>
                <w:tcPr>
                  <w:tcW w:w="870" w:type="pct"/>
                  <w:tcBorders>
                    <w:tl2br w:val="nil"/>
                    <w:tr2bl w:val="nil"/>
                  </w:tcBorders>
                  <w:noWrap w:val="0"/>
                  <w:vAlign w:val="center"/>
                </w:tcPr>
                <w:p w14:paraId="38694E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val="0"/>
                      <w:color w:val="auto"/>
                      <w:kern w:val="0"/>
                      <w:sz w:val="21"/>
                      <w:szCs w:val="21"/>
                    </w:rPr>
                  </w:pPr>
                  <w:r>
                    <w:rPr>
                      <w:rFonts w:hint="default" w:ascii="Times New Roman" w:hAnsi="Times New Roman" w:cs="Times New Roman"/>
                      <w:b/>
                      <w:bCs w:val="0"/>
                      <w:color w:val="auto"/>
                      <w:kern w:val="0"/>
                      <w:sz w:val="21"/>
                      <w:szCs w:val="21"/>
                    </w:rPr>
                    <w:t>环境影响途径</w:t>
                  </w:r>
                </w:p>
              </w:tc>
            </w:tr>
            <w:tr w14:paraId="1288A9C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1" w:type="pct"/>
                  <w:tcBorders>
                    <w:tl2br w:val="nil"/>
                    <w:tr2bl w:val="nil"/>
                  </w:tcBorders>
                  <w:noWrap w:val="0"/>
                  <w:vAlign w:val="center"/>
                </w:tcPr>
                <w:p w14:paraId="71F4E2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1</w:t>
                  </w:r>
                </w:p>
              </w:tc>
              <w:tc>
                <w:tcPr>
                  <w:tcW w:w="1130" w:type="pct"/>
                  <w:tcBorders>
                    <w:tl2br w:val="nil"/>
                    <w:tr2bl w:val="nil"/>
                  </w:tcBorders>
                  <w:noWrap w:val="0"/>
                  <w:vAlign w:val="center"/>
                </w:tcPr>
                <w:p w14:paraId="779FD9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lang w:eastAsia="zh-CN"/>
                    </w:rPr>
                  </w:pPr>
                  <w:r>
                    <w:rPr>
                      <w:rFonts w:hint="default" w:ascii="Times New Roman" w:hAnsi="Times New Roman" w:cs="Times New Roman"/>
                      <w:bCs/>
                      <w:color w:val="auto"/>
                      <w:kern w:val="0"/>
                      <w:sz w:val="21"/>
                      <w:szCs w:val="21"/>
                      <w:lang w:eastAsia="zh-CN"/>
                    </w:rPr>
                    <w:t>试剂室</w:t>
                  </w:r>
                </w:p>
              </w:tc>
              <w:tc>
                <w:tcPr>
                  <w:tcW w:w="1104" w:type="pct"/>
                  <w:tcBorders>
                    <w:tl2br w:val="nil"/>
                    <w:tr2bl w:val="nil"/>
                  </w:tcBorders>
                  <w:noWrap w:val="0"/>
                  <w:vAlign w:val="center"/>
                </w:tcPr>
                <w:p w14:paraId="3252A3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lang w:eastAsia="zh-CN"/>
                    </w:rPr>
                  </w:pPr>
                  <w:r>
                    <w:rPr>
                      <w:rFonts w:hint="default" w:ascii="Times New Roman" w:hAnsi="Times New Roman" w:cs="Times New Roman"/>
                      <w:bCs/>
                      <w:color w:val="auto"/>
                      <w:kern w:val="0"/>
                      <w:sz w:val="21"/>
                      <w:szCs w:val="21"/>
                    </w:rPr>
                    <w:t>盐酸</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硫酸</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乙醇</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rPr>
                    <w:t>氨水</w:t>
                  </w:r>
                  <w:r>
                    <w:rPr>
                      <w:rFonts w:hint="default" w:ascii="Times New Roman" w:hAnsi="Times New Roman" w:cs="Times New Roman"/>
                      <w:bCs/>
                      <w:color w:val="auto"/>
                      <w:kern w:val="0"/>
                      <w:sz w:val="21"/>
                      <w:szCs w:val="21"/>
                      <w:lang w:eastAsia="zh-CN"/>
                    </w:rPr>
                    <w:t>、</w:t>
                  </w:r>
                  <w:r>
                    <w:rPr>
                      <w:rFonts w:hint="eastAsia" w:cs="Times New Roman"/>
                      <w:bCs/>
                      <w:color w:val="auto"/>
                      <w:kern w:val="0"/>
                      <w:sz w:val="21"/>
                      <w:szCs w:val="21"/>
                      <w:lang w:val="en-US" w:eastAsia="zh-CN"/>
                    </w:rPr>
                    <w:t>次氯酸钠</w:t>
                  </w:r>
                  <w:r>
                    <w:rPr>
                      <w:rFonts w:hint="default" w:ascii="Times New Roman" w:hAnsi="Times New Roman" w:cs="Times New Roman"/>
                      <w:bCs/>
                      <w:color w:val="auto"/>
                      <w:kern w:val="0"/>
                      <w:sz w:val="21"/>
                      <w:szCs w:val="21"/>
                      <w:lang w:eastAsia="zh-CN"/>
                    </w:rPr>
                    <w:t>等</w:t>
                  </w:r>
                </w:p>
              </w:tc>
              <w:tc>
                <w:tcPr>
                  <w:tcW w:w="1283" w:type="pct"/>
                  <w:tcBorders>
                    <w:tl2br w:val="nil"/>
                    <w:tr2bl w:val="nil"/>
                  </w:tcBorders>
                  <w:noWrap w:val="0"/>
                  <w:vAlign w:val="center"/>
                </w:tcPr>
                <w:p w14:paraId="66268B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泄漏、火灾</w:t>
                  </w:r>
                </w:p>
              </w:tc>
              <w:tc>
                <w:tcPr>
                  <w:tcW w:w="870" w:type="pct"/>
                  <w:vMerge w:val="restart"/>
                  <w:tcBorders>
                    <w:tl2br w:val="nil"/>
                    <w:tr2bl w:val="nil"/>
                  </w:tcBorders>
                  <w:noWrap w:val="0"/>
                  <w:vAlign w:val="center"/>
                </w:tcPr>
                <w:p w14:paraId="11966E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大气、土壤、地表水</w:t>
                  </w:r>
                </w:p>
              </w:tc>
            </w:tr>
            <w:tr w14:paraId="72BBEB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1" w:type="pct"/>
                  <w:tcBorders>
                    <w:tl2br w:val="nil"/>
                    <w:tr2bl w:val="nil"/>
                  </w:tcBorders>
                  <w:noWrap w:val="0"/>
                  <w:vAlign w:val="center"/>
                </w:tcPr>
                <w:p w14:paraId="45E474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lang w:eastAsia="zh-CN"/>
                    </w:rPr>
                  </w:pPr>
                  <w:r>
                    <w:rPr>
                      <w:rFonts w:hint="default" w:ascii="Times New Roman" w:hAnsi="Times New Roman" w:cs="Times New Roman"/>
                      <w:bCs/>
                      <w:color w:val="auto"/>
                      <w:kern w:val="0"/>
                      <w:sz w:val="21"/>
                      <w:szCs w:val="21"/>
                      <w:lang w:val="en-US" w:eastAsia="zh-CN"/>
                    </w:rPr>
                    <w:t>2</w:t>
                  </w:r>
                </w:p>
              </w:tc>
              <w:tc>
                <w:tcPr>
                  <w:tcW w:w="1130" w:type="pct"/>
                  <w:tcBorders>
                    <w:tl2br w:val="nil"/>
                    <w:tr2bl w:val="nil"/>
                  </w:tcBorders>
                  <w:noWrap w:val="0"/>
                  <w:vAlign w:val="center"/>
                </w:tcPr>
                <w:p w14:paraId="79F203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highlight w:val="none"/>
                      <w:lang w:eastAsia="zh-CN"/>
                    </w:rPr>
                  </w:pPr>
                  <w:r>
                    <w:rPr>
                      <w:rFonts w:hint="default" w:ascii="Times New Roman" w:hAnsi="Times New Roman" w:cs="Times New Roman"/>
                      <w:bCs/>
                      <w:color w:val="auto"/>
                      <w:kern w:val="0"/>
                      <w:sz w:val="21"/>
                      <w:szCs w:val="21"/>
                      <w:highlight w:val="none"/>
                      <w:lang w:eastAsia="zh-CN"/>
                    </w:rPr>
                    <w:t>危废贮存库</w:t>
                  </w:r>
                </w:p>
              </w:tc>
              <w:tc>
                <w:tcPr>
                  <w:tcW w:w="1104" w:type="pct"/>
                  <w:tcBorders>
                    <w:tl2br w:val="nil"/>
                    <w:tr2bl w:val="nil"/>
                  </w:tcBorders>
                  <w:noWrap w:val="0"/>
                  <w:vAlign w:val="center"/>
                </w:tcPr>
                <w:p w14:paraId="3361B1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highlight w:val="none"/>
                    </w:rPr>
                  </w:pPr>
                  <w:r>
                    <w:rPr>
                      <w:rFonts w:hint="default" w:ascii="Times New Roman" w:hAnsi="Times New Roman" w:cs="Times New Roman"/>
                      <w:bCs/>
                      <w:color w:val="auto"/>
                      <w:kern w:val="0"/>
                      <w:sz w:val="21"/>
                      <w:szCs w:val="21"/>
                      <w:highlight w:val="none"/>
                    </w:rPr>
                    <w:t>危险废物</w:t>
                  </w:r>
                </w:p>
              </w:tc>
              <w:tc>
                <w:tcPr>
                  <w:tcW w:w="1283" w:type="pct"/>
                  <w:tcBorders>
                    <w:tl2br w:val="nil"/>
                    <w:tr2bl w:val="nil"/>
                  </w:tcBorders>
                  <w:noWrap w:val="0"/>
                  <w:vAlign w:val="center"/>
                </w:tcPr>
                <w:p w14:paraId="19057F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highlight w:val="none"/>
                    </w:rPr>
                  </w:pPr>
                  <w:r>
                    <w:rPr>
                      <w:rFonts w:hint="default" w:ascii="Times New Roman" w:hAnsi="Times New Roman" w:cs="Times New Roman"/>
                      <w:bCs/>
                      <w:color w:val="auto"/>
                      <w:kern w:val="0"/>
                      <w:sz w:val="21"/>
                      <w:szCs w:val="21"/>
                      <w:highlight w:val="none"/>
                    </w:rPr>
                    <w:t>泄漏</w:t>
                  </w:r>
                </w:p>
              </w:tc>
              <w:tc>
                <w:tcPr>
                  <w:tcW w:w="870" w:type="pct"/>
                  <w:vMerge w:val="continue"/>
                  <w:tcBorders>
                    <w:tl2br w:val="nil"/>
                    <w:tr2bl w:val="nil"/>
                  </w:tcBorders>
                  <w:noWrap w:val="0"/>
                  <w:vAlign w:val="center"/>
                </w:tcPr>
                <w:p w14:paraId="60F859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kern w:val="0"/>
                      <w:sz w:val="21"/>
                      <w:szCs w:val="21"/>
                    </w:rPr>
                  </w:pPr>
                </w:p>
              </w:tc>
            </w:tr>
          </w:tbl>
          <w:p w14:paraId="4EA4209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lang w:eastAsia="zh-CN"/>
              </w:rPr>
            </w:pPr>
            <w:r>
              <w:rPr>
                <w:rFonts w:hint="default" w:ascii="Times New Roman" w:hAnsi="Times New Roman" w:cs="Times New Roman"/>
                <w:bCs/>
                <w:color w:val="auto"/>
                <w:kern w:val="0"/>
                <w:sz w:val="24"/>
                <w:lang w:eastAsia="zh-CN"/>
              </w:rPr>
              <w:t>本项目环保设备设专人管理，环境风险物质储存量均较少，泄漏事故状态下，风险物质可控制在储存区域内，且储存区域均进行了地面硬化及相应的防渗处理，在规范使用、谨慎操作情况下，环境风险可接受。</w:t>
            </w:r>
          </w:p>
          <w:p w14:paraId="1BE2561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val="0"/>
                <w:color w:val="auto"/>
                <w:kern w:val="0"/>
                <w:sz w:val="24"/>
                <w:lang w:val="en-US" w:eastAsia="zh-CN"/>
              </w:rPr>
            </w:pPr>
            <w:r>
              <w:rPr>
                <w:rFonts w:hint="eastAsia" w:cs="Times New Roman"/>
                <w:b/>
                <w:bCs w:val="0"/>
                <w:color w:val="auto"/>
                <w:kern w:val="0"/>
                <w:sz w:val="24"/>
                <w:lang w:val="en-US" w:eastAsia="zh-CN"/>
              </w:rPr>
              <w:t>3、环境风险防范措施</w:t>
            </w:r>
          </w:p>
          <w:p w14:paraId="5EB83B9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根据本项目风险物质的存储和使用情况，本项目风险事故主要为泄漏和火灾，且因操作问题，事故最易发生的区域</w:t>
            </w:r>
            <w:r>
              <w:rPr>
                <w:rFonts w:hint="default" w:ascii="Times New Roman" w:hAnsi="Times New Roman" w:cs="Times New Roman"/>
                <w:bCs/>
                <w:color w:val="auto"/>
                <w:kern w:val="0"/>
                <w:sz w:val="24"/>
                <w:lang w:eastAsia="zh-CN"/>
              </w:rPr>
              <w:t>为试剂室和危废贮存库</w:t>
            </w:r>
            <w:r>
              <w:rPr>
                <w:rFonts w:hint="default" w:ascii="Times New Roman" w:hAnsi="Times New Roman" w:cs="Times New Roman"/>
                <w:bCs/>
                <w:color w:val="auto"/>
                <w:kern w:val="0"/>
                <w:sz w:val="24"/>
              </w:rPr>
              <w:t>，因此根据项目特点，</w:t>
            </w:r>
            <w:r>
              <w:rPr>
                <w:rFonts w:hint="default" w:ascii="Times New Roman" w:hAnsi="Times New Roman" w:cs="Times New Roman"/>
                <w:bCs/>
                <w:color w:val="auto"/>
                <w:kern w:val="0"/>
                <w:sz w:val="24"/>
                <w:lang w:eastAsia="zh-CN"/>
              </w:rPr>
              <w:t>建设单位应</w:t>
            </w:r>
            <w:r>
              <w:rPr>
                <w:rFonts w:hint="default" w:ascii="Times New Roman" w:hAnsi="Times New Roman" w:cs="Times New Roman"/>
                <w:bCs/>
                <w:color w:val="auto"/>
                <w:kern w:val="0"/>
                <w:sz w:val="24"/>
              </w:rPr>
              <w:t>采取以下风险防范措施：</w:t>
            </w:r>
          </w:p>
          <w:p w14:paraId="094B4F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（1）试剂存储采取的风险预防措施</w:t>
            </w:r>
          </w:p>
          <w:p w14:paraId="0BC8181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①设立专门的试剂存储区，消防灭火设施委托有资质的单位进行设计。在储存时应严格遵守《常用化学危险品贮存通则》中的相关规</w:t>
            </w:r>
            <w:r>
              <w:rPr>
                <w:rFonts w:hint="eastAsia" w:cs="Times New Roman"/>
                <w:bCs/>
                <w:color w:val="auto"/>
                <w:kern w:val="0"/>
                <w:sz w:val="24"/>
                <w:lang w:eastAsia="zh-CN"/>
              </w:rPr>
              <w:t>定和</w:t>
            </w:r>
            <w:r>
              <w:rPr>
                <w:rFonts w:hint="default" w:ascii="Times New Roman" w:hAnsi="Times New Roman" w:cs="Times New Roman"/>
                <w:bCs/>
                <w:color w:val="auto"/>
                <w:kern w:val="0"/>
                <w:sz w:val="24"/>
              </w:rPr>
              <w:t>设计要求，不同试剂应分区存储，且不同试剂存储区之间以及各建筑物之间的距离和防火等级应满足《建筑设计防火规范》中的各项规定，以达到安全</w:t>
            </w:r>
            <w:r>
              <w:rPr>
                <w:rFonts w:hint="eastAsia" w:cs="Times New Roman"/>
                <w:bCs/>
                <w:color w:val="auto"/>
                <w:kern w:val="0"/>
                <w:sz w:val="24"/>
                <w:lang w:val="en-US" w:eastAsia="zh-CN"/>
              </w:rPr>
              <w:t>运行</w:t>
            </w:r>
            <w:r>
              <w:rPr>
                <w:rFonts w:hint="default" w:ascii="Times New Roman" w:hAnsi="Times New Roman" w:cs="Times New Roman"/>
                <w:bCs/>
                <w:color w:val="auto"/>
                <w:kern w:val="0"/>
                <w:sz w:val="24"/>
              </w:rPr>
              <w:t>、消防的安全距离和安全措施的要求。</w:t>
            </w:r>
          </w:p>
          <w:p w14:paraId="7065991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②进出试剂间，尤其是接触易燃液体时，应进行去静电措施；同时实验室穿戴的实验服应为不易带静电服饰。</w:t>
            </w:r>
          </w:p>
          <w:p w14:paraId="14062FD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③试剂间以及试剂的使用、归还应建立严格的规章制度和使用登记制度。</w:t>
            </w:r>
          </w:p>
          <w:p w14:paraId="4656C30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④实验区应设置严格的操作规程，在醒目位置设置不同试剂泄漏、火灾的应急处置措施，并定期进行培训。</w:t>
            </w:r>
          </w:p>
          <w:p w14:paraId="7794C5E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（2）试剂泄漏、火灾风险预防措施</w:t>
            </w:r>
          </w:p>
          <w:p w14:paraId="20A7369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试剂泄漏事故发生后，应严格按照操作规程，针对不同的泄漏试剂采取不同的收集处置措施（酸性试剂采用碱中和处理后，再进行收集等），收集后的试剂应按照危险废物进行贮存和处置，禁止混入实验室排水系统或作为一般固废处置。乙醇等易燃液体发生火灾后，应采用厚湿布覆盖火灾区域或干粉灭火装置进行灭火，严禁使用水进行灭火。</w:t>
            </w:r>
          </w:p>
          <w:p w14:paraId="23A7F6F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lang w:eastAsia="zh-CN"/>
              </w:rPr>
            </w:pPr>
            <w:r>
              <w:rPr>
                <w:rFonts w:hint="default" w:ascii="Times New Roman" w:hAnsi="Times New Roman" w:cs="Times New Roman"/>
                <w:bCs/>
                <w:color w:val="auto"/>
                <w:kern w:val="0"/>
                <w:sz w:val="24"/>
                <w:lang w:eastAsia="zh-CN"/>
              </w:rPr>
              <w:t>（</w:t>
            </w:r>
            <w:r>
              <w:rPr>
                <w:rFonts w:hint="default" w:ascii="Times New Roman" w:hAnsi="Times New Roman" w:cs="Times New Roman"/>
                <w:bCs/>
                <w:color w:val="auto"/>
                <w:kern w:val="0"/>
                <w:sz w:val="24"/>
                <w:lang w:val="en-US" w:eastAsia="zh-CN"/>
              </w:rPr>
              <w:t>3</w:t>
            </w:r>
            <w:r>
              <w:rPr>
                <w:rFonts w:hint="default" w:ascii="Times New Roman" w:hAnsi="Times New Roman" w:cs="Times New Roman"/>
                <w:bCs/>
                <w:color w:val="auto"/>
                <w:kern w:val="0"/>
                <w:sz w:val="24"/>
                <w:lang w:eastAsia="zh-CN"/>
              </w:rPr>
              <w:t>）危废贮存库危险废物泄漏采取的风险防范措施</w:t>
            </w:r>
          </w:p>
          <w:p w14:paraId="4B094BC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lang w:val="en-US" w:eastAsia="zh-CN"/>
              </w:rPr>
              <w:t>危废贮存库泄漏主要为实验废液的泄漏，实验废液存储在托盘内，少量泄漏物质被托盘收集，大量泄漏采用搭建临时围堰、及时转移至废液专用收集桶等措施降低影响。</w:t>
            </w:r>
          </w:p>
          <w:p w14:paraId="69A321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w:t>
            </w:r>
            <w:r>
              <w:rPr>
                <w:rFonts w:hint="default" w:ascii="Times New Roman" w:hAnsi="Times New Roman" w:cs="Times New Roman"/>
                <w:bCs/>
                <w:color w:val="auto"/>
                <w:kern w:val="0"/>
                <w:sz w:val="24"/>
                <w:lang w:val="en-US" w:eastAsia="zh-CN"/>
              </w:rPr>
              <w:t>4</w:t>
            </w:r>
            <w:r>
              <w:rPr>
                <w:rFonts w:hint="default" w:ascii="Times New Roman" w:hAnsi="Times New Roman" w:cs="Times New Roman"/>
                <w:bCs/>
                <w:color w:val="auto"/>
                <w:kern w:val="0"/>
                <w:sz w:val="24"/>
              </w:rPr>
              <w:t>）环境风险管理措施</w:t>
            </w:r>
          </w:p>
          <w:p w14:paraId="36DBFC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①建立健全安全规程，对储存酸、强碱、乙醇等试剂区域设置明显的标识及警示牌；</w:t>
            </w:r>
          </w:p>
          <w:p w14:paraId="53F630E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②严格</w:t>
            </w:r>
            <w:r>
              <w:rPr>
                <w:rFonts w:hint="eastAsia" w:cs="Times New Roman"/>
                <w:bCs/>
                <w:color w:val="auto"/>
                <w:kern w:val="0"/>
                <w:sz w:val="24"/>
                <w:lang w:eastAsia="zh-CN"/>
              </w:rPr>
              <w:t>按照</w:t>
            </w:r>
            <w:r>
              <w:rPr>
                <w:rFonts w:hint="default" w:ascii="Times New Roman" w:hAnsi="Times New Roman" w:cs="Times New Roman"/>
                <w:bCs/>
                <w:color w:val="auto"/>
                <w:kern w:val="0"/>
                <w:sz w:val="24"/>
              </w:rPr>
              <w:t>《危险化学品安全管理条例》的要求，定期组织对</w:t>
            </w:r>
            <w:r>
              <w:rPr>
                <w:rFonts w:hint="default" w:ascii="Times New Roman" w:hAnsi="Times New Roman" w:cs="Times New Roman"/>
                <w:bCs/>
                <w:color w:val="auto"/>
                <w:kern w:val="0"/>
                <w:sz w:val="24"/>
                <w:lang w:eastAsia="zh-CN"/>
              </w:rPr>
              <w:t>各类</w:t>
            </w:r>
            <w:r>
              <w:rPr>
                <w:rFonts w:hint="default" w:ascii="Times New Roman" w:hAnsi="Times New Roman" w:cs="Times New Roman"/>
                <w:bCs/>
                <w:color w:val="auto"/>
                <w:kern w:val="0"/>
                <w:sz w:val="24"/>
              </w:rPr>
              <w:t>试剂的使用以及紧急事故发生时处理方法的培训，制定安全操作规程。</w:t>
            </w:r>
          </w:p>
          <w:p w14:paraId="6FDBE1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项目在采取上述措施后，可有效降低事故发生概率，减缓事故可能造成的影响，因此本评价认为建设单位在严格落实可能存在环境风险的试剂存储和使用安全管理要求的情况下，其环境风险在可接受水平内。</w:t>
            </w:r>
          </w:p>
          <w:p w14:paraId="7F31A95B">
            <w:pPr>
              <w:adjustRightInd w:val="0"/>
              <w:snapToGrid w:val="0"/>
              <w:spacing w:line="460" w:lineRule="exact"/>
              <w:ind w:firstLine="480" w:firstLineChars="200"/>
              <w:rPr>
                <w:rFonts w:hint="default" w:ascii="Times New Roman" w:hAnsi="Times New Roman" w:cs="Times New Roman"/>
                <w:bCs/>
                <w:color w:val="auto"/>
                <w:kern w:val="0"/>
                <w:sz w:val="24"/>
              </w:rPr>
            </w:pPr>
          </w:p>
          <w:p w14:paraId="4E62D92A">
            <w:pPr>
              <w:adjustRightInd w:val="0"/>
              <w:snapToGrid w:val="0"/>
              <w:spacing w:line="460" w:lineRule="exact"/>
              <w:ind w:firstLine="480" w:firstLineChars="200"/>
              <w:rPr>
                <w:rFonts w:hint="default" w:ascii="Times New Roman" w:hAnsi="Times New Roman" w:cs="Times New Roman"/>
                <w:bCs/>
                <w:color w:val="auto"/>
                <w:kern w:val="0"/>
                <w:sz w:val="24"/>
              </w:rPr>
            </w:pPr>
          </w:p>
          <w:p w14:paraId="5C7BCE92">
            <w:pPr>
              <w:adjustRightInd w:val="0"/>
              <w:snapToGrid w:val="0"/>
              <w:spacing w:line="460" w:lineRule="exact"/>
              <w:ind w:firstLine="480" w:firstLineChars="200"/>
              <w:rPr>
                <w:rFonts w:hint="default" w:ascii="Times New Roman" w:hAnsi="Times New Roman" w:cs="Times New Roman"/>
                <w:bCs/>
                <w:color w:val="auto"/>
                <w:kern w:val="0"/>
                <w:sz w:val="24"/>
              </w:rPr>
            </w:pPr>
          </w:p>
          <w:p w14:paraId="6346BD36">
            <w:pPr>
              <w:adjustRightInd w:val="0"/>
              <w:snapToGrid w:val="0"/>
              <w:spacing w:line="460" w:lineRule="exact"/>
              <w:ind w:firstLine="480" w:firstLineChars="200"/>
              <w:rPr>
                <w:rFonts w:hint="default" w:ascii="Times New Roman" w:hAnsi="Times New Roman" w:cs="Times New Roman"/>
                <w:bCs/>
                <w:color w:val="auto"/>
                <w:kern w:val="0"/>
                <w:sz w:val="24"/>
              </w:rPr>
            </w:pPr>
          </w:p>
          <w:p w14:paraId="5004D010">
            <w:pPr>
              <w:adjustRightInd w:val="0"/>
              <w:snapToGrid w:val="0"/>
              <w:spacing w:line="460" w:lineRule="exact"/>
              <w:ind w:firstLine="480" w:firstLineChars="200"/>
              <w:rPr>
                <w:rFonts w:hint="default" w:ascii="Times New Roman" w:hAnsi="Times New Roman" w:cs="Times New Roman"/>
                <w:bCs/>
                <w:color w:val="auto"/>
                <w:kern w:val="0"/>
                <w:sz w:val="24"/>
              </w:rPr>
            </w:pPr>
          </w:p>
          <w:p w14:paraId="5FB4DD31">
            <w:pPr>
              <w:adjustRightInd w:val="0"/>
              <w:snapToGrid w:val="0"/>
              <w:spacing w:line="460" w:lineRule="exact"/>
              <w:ind w:firstLine="480" w:firstLineChars="200"/>
              <w:rPr>
                <w:rFonts w:hint="default" w:ascii="Times New Roman" w:hAnsi="Times New Roman" w:cs="Times New Roman"/>
                <w:bCs/>
                <w:color w:val="auto"/>
                <w:kern w:val="0"/>
                <w:sz w:val="24"/>
              </w:rPr>
            </w:pPr>
          </w:p>
          <w:p w14:paraId="1BE8C6C3">
            <w:pPr>
              <w:adjustRightInd w:val="0"/>
              <w:snapToGrid w:val="0"/>
              <w:spacing w:line="460" w:lineRule="exact"/>
              <w:ind w:firstLine="480" w:firstLineChars="200"/>
              <w:rPr>
                <w:rFonts w:hint="default" w:ascii="Times New Roman" w:hAnsi="Times New Roman" w:cs="Times New Roman"/>
                <w:bCs/>
                <w:color w:val="auto"/>
                <w:kern w:val="0"/>
                <w:sz w:val="24"/>
              </w:rPr>
            </w:pPr>
          </w:p>
          <w:p w14:paraId="5A2B7DFA">
            <w:pPr>
              <w:adjustRightInd w:val="0"/>
              <w:snapToGrid w:val="0"/>
              <w:spacing w:line="460" w:lineRule="exact"/>
              <w:ind w:firstLine="480" w:firstLineChars="200"/>
              <w:rPr>
                <w:rFonts w:hint="default" w:ascii="Times New Roman" w:hAnsi="Times New Roman" w:cs="Times New Roman"/>
                <w:bCs/>
                <w:color w:val="auto"/>
                <w:kern w:val="0"/>
                <w:sz w:val="24"/>
              </w:rPr>
            </w:pPr>
          </w:p>
          <w:p w14:paraId="3C0C7A29">
            <w:pPr>
              <w:adjustRightInd w:val="0"/>
              <w:snapToGrid w:val="0"/>
              <w:spacing w:line="460" w:lineRule="exact"/>
              <w:ind w:firstLine="480" w:firstLineChars="200"/>
              <w:rPr>
                <w:rFonts w:hint="default" w:ascii="Times New Roman" w:hAnsi="Times New Roman" w:cs="Times New Roman"/>
                <w:bCs/>
                <w:color w:val="auto"/>
                <w:kern w:val="0"/>
                <w:sz w:val="24"/>
              </w:rPr>
            </w:pPr>
          </w:p>
          <w:p w14:paraId="2CF2981D">
            <w:pPr>
              <w:adjustRightInd w:val="0"/>
              <w:snapToGrid w:val="0"/>
              <w:spacing w:line="460" w:lineRule="exact"/>
              <w:ind w:firstLine="480" w:firstLineChars="200"/>
              <w:rPr>
                <w:rFonts w:hint="default" w:ascii="Times New Roman" w:hAnsi="Times New Roman" w:cs="Times New Roman"/>
                <w:bCs/>
                <w:color w:val="auto"/>
                <w:kern w:val="0"/>
                <w:sz w:val="24"/>
              </w:rPr>
            </w:pPr>
          </w:p>
          <w:p w14:paraId="00302AE8">
            <w:pPr>
              <w:adjustRightInd w:val="0"/>
              <w:snapToGrid w:val="0"/>
              <w:spacing w:line="460" w:lineRule="exact"/>
              <w:ind w:firstLine="480" w:firstLineChars="200"/>
              <w:rPr>
                <w:rFonts w:hint="default" w:ascii="Times New Roman" w:hAnsi="Times New Roman" w:cs="Times New Roman"/>
                <w:bCs/>
                <w:color w:val="auto"/>
                <w:kern w:val="0"/>
                <w:sz w:val="24"/>
              </w:rPr>
            </w:pPr>
          </w:p>
          <w:p w14:paraId="709FC42E">
            <w:pPr>
              <w:adjustRightInd w:val="0"/>
              <w:snapToGrid w:val="0"/>
              <w:spacing w:line="460" w:lineRule="exact"/>
              <w:ind w:firstLine="480" w:firstLineChars="200"/>
              <w:rPr>
                <w:rFonts w:hint="default" w:ascii="Times New Roman" w:hAnsi="Times New Roman" w:cs="Times New Roman"/>
                <w:bCs/>
                <w:color w:val="auto"/>
                <w:kern w:val="0"/>
                <w:sz w:val="24"/>
              </w:rPr>
            </w:pPr>
          </w:p>
          <w:p w14:paraId="460F9897">
            <w:pPr>
              <w:adjustRightInd w:val="0"/>
              <w:snapToGrid w:val="0"/>
              <w:spacing w:line="460" w:lineRule="exact"/>
              <w:ind w:firstLine="480" w:firstLineChars="200"/>
              <w:rPr>
                <w:rFonts w:hint="default" w:ascii="Times New Roman" w:hAnsi="Times New Roman" w:cs="Times New Roman"/>
                <w:bCs/>
                <w:color w:val="auto"/>
                <w:kern w:val="0"/>
                <w:sz w:val="24"/>
              </w:rPr>
            </w:pPr>
          </w:p>
          <w:p w14:paraId="1133060E">
            <w:pPr>
              <w:adjustRightInd w:val="0"/>
              <w:snapToGrid w:val="0"/>
              <w:spacing w:line="460" w:lineRule="exact"/>
              <w:ind w:firstLine="480" w:firstLineChars="200"/>
              <w:rPr>
                <w:rFonts w:hint="default" w:ascii="Times New Roman" w:hAnsi="Times New Roman" w:cs="Times New Roman"/>
                <w:bCs/>
                <w:color w:val="auto"/>
                <w:kern w:val="0"/>
                <w:sz w:val="24"/>
              </w:rPr>
            </w:pPr>
          </w:p>
          <w:p w14:paraId="2AABFF9B">
            <w:pPr>
              <w:adjustRightInd w:val="0"/>
              <w:snapToGrid w:val="0"/>
              <w:spacing w:line="460" w:lineRule="exact"/>
              <w:ind w:firstLine="480" w:firstLineChars="200"/>
              <w:rPr>
                <w:rFonts w:hint="default" w:ascii="Times New Roman" w:hAnsi="Times New Roman" w:cs="Times New Roman"/>
                <w:bCs/>
                <w:color w:val="auto"/>
                <w:kern w:val="0"/>
                <w:sz w:val="24"/>
              </w:rPr>
            </w:pPr>
          </w:p>
          <w:p w14:paraId="3A67D62A">
            <w:pPr>
              <w:adjustRightInd w:val="0"/>
              <w:snapToGrid w:val="0"/>
              <w:spacing w:line="460" w:lineRule="exact"/>
              <w:ind w:firstLine="480" w:firstLineChars="200"/>
              <w:rPr>
                <w:rFonts w:hint="default" w:ascii="Times New Roman" w:hAnsi="Times New Roman" w:cs="Times New Roman"/>
                <w:bCs/>
                <w:color w:val="auto"/>
                <w:kern w:val="0"/>
                <w:sz w:val="24"/>
              </w:rPr>
            </w:pPr>
          </w:p>
          <w:p w14:paraId="0CCA1665">
            <w:pPr>
              <w:adjustRightInd w:val="0"/>
              <w:snapToGrid w:val="0"/>
              <w:spacing w:line="460" w:lineRule="exact"/>
              <w:ind w:firstLine="480" w:firstLineChars="200"/>
              <w:rPr>
                <w:rFonts w:hint="default" w:ascii="Times New Roman" w:hAnsi="Times New Roman" w:cs="Times New Roman"/>
                <w:bCs/>
                <w:color w:val="auto"/>
                <w:kern w:val="0"/>
                <w:sz w:val="24"/>
              </w:rPr>
            </w:pPr>
          </w:p>
          <w:p w14:paraId="771EDD04">
            <w:pPr>
              <w:adjustRightInd w:val="0"/>
              <w:snapToGrid w:val="0"/>
              <w:spacing w:line="460" w:lineRule="exact"/>
              <w:ind w:firstLine="420" w:firstLineChars="200"/>
              <w:rPr>
                <w:rFonts w:hint="eastAsia" w:ascii="Times New Roman" w:hAnsi="Times New Roman" w:eastAsia="宋体" w:cs="Times New Roman"/>
                <w:color w:val="auto"/>
                <w:lang w:val="en-US" w:eastAsia="zh-CN"/>
              </w:rPr>
            </w:pPr>
          </w:p>
        </w:tc>
      </w:tr>
    </w:tbl>
    <w:p w14:paraId="27D4F155">
      <w:pPr>
        <w:adjustRightInd w:val="0"/>
        <w:snapToGrid w:val="0"/>
        <w:jc w:val="center"/>
        <w:rPr>
          <w:rFonts w:hint="default" w:ascii="Times New Roman" w:hAnsi="Times New Roman" w:cs="Times New Roman"/>
          <w:b/>
          <w:bCs/>
          <w:color w:val="auto"/>
          <w:kern w:val="0"/>
          <w:sz w:val="24"/>
        </w:rPr>
        <w:sectPr>
          <w:pgSz w:w="11907" w:h="16840"/>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p w14:paraId="2F3B1EA0">
      <w:pPr>
        <w:pStyle w:val="25"/>
        <w:spacing w:before="0" w:beforeAutospacing="0"/>
        <w:jc w:val="center"/>
        <w:outlineLvl w:val="0"/>
        <w:rPr>
          <w:rFonts w:hint="default" w:ascii="Times New Roman" w:hAnsi="Times New Roman" w:eastAsia="黑体" w:cs="Times New Roman"/>
          <w:snapToGrid w:val="0"/>
          <w:color w:val="auto"/>
          <w:sz w:val="30"/>
          <w:szCs w:val="30"/>
        </w:rPr>
      </w:pPr>
      <w:bookmarkStart w:id="11" w:name="_Toc22619"/>
      <w:r>
        <w:rPr>
          <w:rFonts w:hint="default" w:ascii="Times New Roman" w:hAnsi="Times New Roman" w:eastAsia="黑体" w:cs="Times New Roman"/>
          <w:snapToGrid w:val="0"/>
          <w:color w:val="auto"/>
          <w:sz w:val="30"/>
          <w:szCs w:val="30"/>
        </w:rPr>
        <w:t>五、</w:t>
      </w:r>
      <w:bookmarkStart w:id="12" w:name="_Hlk54167917"/>
      <w:r>
        <w:rPr>
          <w:rFonts w:hint="default" w:ascii="Times New Roman" w:hAnsi="Times New Roman" w:eastAsia="黑体" w:cs="Times New Roman"/>
          <w:snapToGrid w:val="0"/>
          <w:color w:val="auto"/>
          <w:sz w:val="30"/>
          <w:szCs w:val="30"/>
        </w:rPr>
        <w:t>环境保护措施监督检查清单</w:t>
      </w:r>
      <w:bookmarkEnd w:id="11"/>
      <w:bookmarkEnd w:id="12"/>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1784"/>
        <w:gridCol w:w="1516"/>
        <w:gridCol w:w="2434"/>
        <w:gridCol w:w="2730"/>
      </w:tblGrid>
      <w:tr w14:paraId="1FB9B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1" w:type="pct"/>
            <w:tcBorders>
              <w:tl2br w:val="single" w:color="auto" w:sz="4" w:space="0"/>
            </w:tcBorders>
            <w:vAlign w:val="center"/>
          </w:tcPr>
          <w:p w14:paraId="0A12A4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内容</w:t>
            </w:r>
          </w:p>
          <w:p w14:paraId="08364F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要素</w:t>
            </w:r>
          </w:p>
        </w:tc>
        <w:tc>
          <w:tcPr>
            <w:tcW w:w="895" w:type="pct"/>
            <w:vAlign w:val="center"/>
          </w:tcPr>
          <w:p w14:paraId="269F60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排放口(编号、</w:t>
            </w:r>
          </w:p>
          <w:p w14:paraId="4B424A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名称)/污染源</w:t>
            </w:r>
          </w:p>
        </w:tc>
        <w:tc>
          <w:tcPr>
            <w:tcW w:w="760" w:type="pct"/>
            <w:vAlign w:val="center"/>
          </w:tcPr>
          <w:p w14:paraId="52B3FA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污染物项目</w:t>
            </w:r>
          </w:p>
        </w:tc>
        <w:tc>
          <w:tcPr>
            <w:tcW w:w="1221" w:type="pct"/>
            <w:vAlign w:val="center"/>
          </w:tcPr>
          <w:p w14:paraId="5DA5F4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环境保护措施</w:t>
            </w:r>
          </w:p>
        </w:tc>
        <w:tc>
          <w:tcPr>
            <w:tcW w:w="1370" w:type="pct"/>
            <w:vAlign w:val="center"/>
          </w:tcPr>
          <w:p w14:paraId="42AA70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执行标准</w:t>
            </w:r>
          </w:p>
        </w:tc>
      </w:tr>
      <w:tr w14:paraId="146F47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2" w:hRule="atLeast"/>
          <w:jc w:val="center"/>
        </w:trPr>
        <w:tc>
          <w:tcPr>
            <w:tcW w:w="751" w:type="pct"/>
            <w:vMerge w:val="restart"/>
            <w:vAlign w:val="center"/>
          </w:tcPr>
          <w:p w14:paraId="3268F4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大气环境</w:t>
            </w:r>
          </w:p>
        </w:tc>
        <w:tc>
          <w:tcPr>
            <w:tcW w:w="895" w:type="pct"/>
            <w:vMerge w:val="restart"/>
            <w:vAlign w:val="center"/>
          </w:tcPr>
          <w:p w14:paraId="7F878B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4"/>
                <w:lang w:eastAsia="zh-CN"/>
              </w:rPr>
            </w:pPr>
            <w:r>
              <w:rPr>
                <w:rFonts w:hint="default" w:ascii="Times New Roman" w:hAnsi="Times New Roman" w:cs="Times New Roman"/>
                <w:bCs/>
                <w:color w:val="auto"/>
                <w:sz w:val="24"/>
              </w:rPr>
              <w:t>酸碱废气</w:t>
            </w:r>
            <w:r>
              <w:rPr>
                <w:rFonts w:hint="eastAsia" w:cs="Times New Roman"/>
                <w:bCs/>
                <w:color w:val="auto"/>
                <w:sz w:val="24"/>
                <w:lang w:eastAsia="zh-CN"/>
              </w:rPr>
              <w:t>（</w:t>
            </w:r>
            <w:r>
              <w:rPr>
                <w:rFonts w:hint="eastAsia" w:cs="Times New Roman"/>
                <w:bCs/>
                <w:color w:val="auto"/>
                <w:sz w:val="24"/>
                <w:lang w:val="en-US" w:eastAsia="zh-CN"/>
              </w:rPr>
              <w:t>无组织排放</w:t>
            </w:r>
            <w:r>
              <w:rPr>
                <w:rFonts w:hint="eastAsia" w:cs="Times New Roman"/>
                <w:bCs/>
                <w:color w:val="auto"/>
                <w:sz w:val="24"/>
                <w:lang w:eastAsia="zh-CN"/>
              </w:rPr>
              <w:t>）</w:t>
            </w:r>
          </w:p>
        </w:tc>
        <w:tc>
          <w:tcPr>
            <w:tcW w:w="760" w:type="pct"/>
            <w:vAlign w:val="center"/>
          </w:tcPr>
          <w:p w14:paraId="0DFA8C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酸雾</w:t>
            </w:r>
          </w:p>
        </w:tc>
        <w:tc>
          <w:tcPr>
            <w:tcW w:w="1221" w:type="pct"/>
            <w:vMerge w:val="restart"/>
            <w:vAlign w:val="center"/>
          </w:tcPr>
          <w:p w14:paraId="5FE77E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4"/>
                <w:lang w:val="en-US" w:eastAsia="zh-CN"/>
              </w:rPr>
            </w:pPr>
            <w:r>
              <w:rPr>
                <w:rFonts w:hint="eastAsia" w:cs="Times New Roman"/>
                <w:bCs/>
                <w:color w:val="auto"/>
                <w:sz w:val="24"/>
                <w:lang w:val="en-US" w:eastAsia="zh-CN"/>
              </w:rPr>
              <w:t>通风橱+SDG碳吸附+活性炭吸附+排风口无组织排放</w:t>
            </w:r>
          </w:p>
        </w:tc>
        <w:tc>
          <w:tcPr>
            <w:tcW w:w="1370" w:type="pct"/>
            <w:vAlign w:val="center"/>
          </w:tcPr>
          <w:p w14:paraId="4EFE7F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《大气污染物综合排放标准》（GB16297-1996）表2无组织排放监控浓度限值。</w:t>
            </w:r>
          </w:p>
        </w:tc>
      </w:tr>
      <w:tr w14:paraId="0BD9BE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751" w:type="pct"/>
            <w:vMerge w:val="continue"/>
            <w:vAlign w:val="center"/>
          </w:tcPr>
          <w:p w14:paraId="0C26C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p>
        </w:tc>
        <w:tc>
          <w:tcPr>
            <w:tcW w:w="895" w:type="pct"/>
            <w:vMerge w:val="continue"/>
            <w:vAlign w:val="center"/>
          </w:tcPr>
          <w:p w14:paraId="47E3CB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p>
        </w:tc>
        <w:tc>
          <w:tcPr>
            <w:tcW w:w="760" w:type="pct"/>
            <w:vAlign w:val="center"/>
          </w:tcPr>
          <w:p w14:paraId="0912EE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氨（氨气）</w:t>
            </w:r>
          </w:p>
        </w:tc>
        <w:tc>
          <w:tcPr>
            <w:tcW w:w="1221" w:type="pct"/>
            <w:vMerge w:val="continue"/>
            <w:vAlign w:val="center"/>
          </w:tcPr>
          <w:p w14:paraId="3650E5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lang w:val="en-GB"/>
              </w:rPr>
            </w:pPr>
          </w:p>
        </w:tc>
        <w:tc>
          <w:tcPr>
            <w:tcW w:w="1370" w:type="pct"/>
            <w:vAlign w:val="center"/>
          </w:tcPr>
          <w:p w14:paraId="587497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《恶臭污染物排放标准》（GB14554-93）表1恶臭污染物厂界标准值</w:t>
            </w:r>
          </w:p>
        </w:tc>
      </w:tr>
      <w:tr w14:paraId="5BC2F2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51" w:hRule="atLeast"/>
          <w:jc w:val="center"/>
        </w:trPr>
        <w:tc>
          <w:tcPr>
            <w:tcW w:w="751" w:type="pct"/>
            <w:vMerge w:val="continue"/>
            <w:vAlign w:val="center"/>
          </w:tcPr>
          <w:p w14:paraId="3B690E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p>
        </w:tc>
        <w:tc>
          <w:tcPr>
            <w:tcW w:w="895" w:type="pct"/>
            <w:vAlign w:val="center"/>
          </w:tcPr>
          <w:p w14:paraId="485DB2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4"/>
                <w:lang w:eastAsia="zh-CN"/>
              </w:rPr>
            </w:pPr>
            <w:r>
              <w:rPr>
                <w:rFonts w:hint="default" w:ascii="Times New Roman" w:hAnsi="Times New Roman" w:cs="Times New Roman"/>
                <w:bCs/>
                <w:color w:val="auto"/>
                <w:sz w:val="24"/>
              </w:rPr>
              <w:t>有机废气</w:t>
            </w:r>
            <w:r>
              <w:rPr>
                <w:rFonts w:hint="eastAsia" w:cs="Times New Roman"/>
                <w:bCs/>
                <w:color w:val="auto"/>
                <w:sz w:val="24"/>
                <w:lang w:eastAsia="zh-CN"/>
              </w:rPr>
              <w:t>（</w:t>
            </w:r>
            <w:r>
              <w:rPr>
                <w:rFonts w:hint="eastAsia" w:cs="Times New Roman"/>
                <w:bCs/>
                <w:color w:val="auto"/>
                <w:sz w:val="24"/>
                <w:lang w:val="en-US" w:eastAsia="zh-CN"/>
              </w:rPr>
              <w:t>无组织排放</w:t>
            </w:r>
            <w:r>
              <w:rPr>
                <w:rFonts w:hint="eastAsia" w:cs="Times New Roman"/>
                <w:bCs/>
                <w:color w:val="auto"/>
                <w:sz w:val="24"/>
                <w:lang w:eastAsia="zh-CN"/>
              </w:rPr>
              <w:t>）</w:t>
            </w:r>
          </w:p>
        </w:tc>
        <w:tc>
          <w:tcPr>
            <w:tcW w:w="760" w:type="pct"/>
            <w:vAlign w:val="center"/>
          </w:tcPr>
          <w:p w14:paraId="4D8DBB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4"/>
                <w:lang w:eastAsia="zh-CN"/>
              </w:rPr>
            </w:pPr>
            <w:r>
              <w:rPr>
                <w:rFonts w:hint="eastAsia" w:cs="Times New Roman"/>
                <w:bCs/>
                <w:color w:val="auto"/>
                <w:sz w:val="24"/>
                <w:lang w:val="en-US" w:eastAsia="zh-CN"/>
              </w:rPr>
              <w:t>非甲烷总烃</w:t>
            </w:r>
          </w:p>
        </w:tc>
        <w:tc>
          <w:tcPr>
            <w:tcW w:w="1221" w:type="pct"/>
            <w:vMerge w:val="continue"/>
            <w:vAlign w:val="center"/>
          </w:tcPr>
          <w:p w14:paraId="516923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p>
        </w:tc>
        <w:tc>
          <w:tcPr>
            <w:tcW w:w="1370" w:type="pct"/>
            <w:vAlign w:val="center"/>
          </w:tcPr>
          <w:p w14:paraId="499106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4"/>
                <w:lang w:val="en-US" w:eastAsia="zh-CN"/>
              </w:rPr>
            </w:pPr>
            <w:r>
              <w:rPr>
                <w:rFonts w:hint="default" w:ascii="Times New Roman" w:hAnsi="Times New Roman" w:cs="Times New Roman"/>
                <w:bCs/>
                <w:color w:val="auto"/>
                <w:sz w:val="24"/>
              </w:rPr>
              <w:t>《大气污染物综合排放标准》（GB16297-1996）表2无组织排放监控浓度限值</w:t>
            </w:r>
            <w:r>
              <w:rPr>
                <w:rFonts w:hint="eastAsia" w:cs="Times New Roman"/>
                <w:bCs/>
                <w:color w:val="auto"/>
                <w:sz w:val="24"/>
                <w:lang w:val="en-US" w:eastAsia="zh-CN"/>
              </w:rPr>
              <w:t>和《挥发性有机物无组织排放控制标准》（GB 37822-2019）厂区内排放标准值</w:t>
            </w:r>
          </w:p>
        </w:tc>
      </w:tr>
      <w:tr w14:paraId="4AE96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751" w:type="pct"/>
            <w:vMerge w:val="continue"/>
            <w:vAlign w:val="center"/>
          </w:tcPr>
          <w:p w14:paraId="60E31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p>
        </w:tc>
        <w:tc>
          <w:tcPr>
            <w:tcW w:w="895" w:type="pct"/>
            <w:vAlign w:val="center"/>
          </w:tcPr>
          <w:p w14:paraId="01FB50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4"/>
                <w:lang w:eastAsia="zh-CN"/>
              </w:rPr>
            </w:pPr>
            <w:r>
              <w:rPr>
                <w:rFonts w:hint="default" w:ascii="Times New Roman" w:hAnsi="Times New Roman" w:cs="Times New Roman"/>
                <w:bCs/>
                <w:color w:val="auto"/>
                <w:sz w:val="24"/>
              </w:rPr>
              <w:t>含菌废气</w:t>
            </w:r>
            <w:r>
              <w:rPr>
                <w:rFonts w:hint="eastAsia" w:cs="Times New Roman"/>
                <w:bCs/>
                <w:color w:val="auto"/>
                <w:sz w:val="24"/>
                <w:lang w:eastAsia="zh-CN"/>
              </w:rPr>
              <w:t>（</w:t>
            </w:r>
            <w:r>
              <w:rPr>
                <w:rFonts w:hint="eastAsia" w:cs="Times New Roman"/>
                <w:bCs/>
                <w:color w:val="auto"/>
                <w:sz w:val="24"/>
                <w:lang w:val="en-US" w:eastAsia="zh-CN"/>
              </w:rPr>
              <w:t>无组织排放</w:t>
            </w:r>
            <w:r>
              <w:rPr>
                <w:rFonts w:hint="eastAsia" w:cs="Times New Roman"/>
                <w:bCs/>
                <w:color w:val="auto"/>
                <w:sz w:val="24"/>
                <w:lang w:eastAsia="zh-CN"/>
              </w:rPr>
              <w:t>）</w:t>
            </w:r>
          </w:p>
        </w:tc>
        <w:tc>
          <w:tcPr>
            <w:tcW w:w="760" w:type="pct"/>
            <w:vAlign w:val="center"/>
          </w:tcPr>
          <w:p w14:paraId="213978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w:t>
            </w:r>
          </w:p>
        </w:tc>
        <w:tc>
          <w:tcPr>
            <w:tcW w:w="1221" w:type="pct"/>
            <w:vAlign w:val="center"/>
          </w:tcPr>
          <w:p w14:paraId="34CDD8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安全柜自带高效过滤装置</w:t>
            </w:r>
          </w:p>
        </w:tc>
        <w:tc>
          <w:tcPr>
            <w:tcW w:w="1370" w:type="pct"/>
            <w:vAlign w:val="center"/>
          </w:tcPr>
          <w:p w14:paraId="57FE1E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w:t>
            </w:r>
          </w:p>
        </w:tc>
      </w:tr>
      <w:tr w14:paraId="10EE8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1" w:hRule="atLeast"/>
          <w:jc w:val="center"/>
        </w:trPr>
        <w:tc>
          <w:tcPr>
            <w:tcW w:w="751" w:type="pct"/>
            <w:vMerge w:val="restart"/>
            <w:vAlign w:val="center"/>
          </w:tcPr>
          <w:p w14:paraId="7852AB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地表水环境</w:t>
            </w:r>
          </w:p>
        </w:tc>
        <w:tc>
          <w:tcPr>
            <w:tcW w:w="895" w:type="pct"/>
            <w:vAlign w:val="center"/>
          </w:tcPr>
          <w:p w14:paraId="1697DE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实验室废水（实验器材清洗废水、</w:t>
            </w:r>
            <w:r>
              <w:rPr>
                <w:rFonts w:hint="eastAsia" w:cs="Times New Roman"/>
                <w:color w:val="auto"/>
                <w:sz w:val="24"/>
                <w:lang w:val="en-US" w:eastAsia="zh-CN"/>
              </w:rPr>
              <w:t>实验室的清洁</w:t>
            </w:r>
            <w:r>
              <w:rPr>
                <w:rFonts w:hint="default" w:ascii="Times New Roman" w:hAnsi="Times New Roman" w:cs="Times New Roman"/>
                <w:color w:val="auto"/>
                <w:sz w:val="24"/>
              </w:rPr>
              <w:t>废水）</w:t>
            </w:r>
          </w:p>
        </w:tc>
        <w:tc>
          <w:tcPr>
            <w:tcW w:w="760" w:type="pct"/>
            <w:vAlign w:val="center"/>
          </w:tcPr>
          <w:p w14:paraId="5B363A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pH值、COD、BOD</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w:t>
            </w:r>
            <w:r>
              <w:rPr>
                <w:rFonts w:hint="eastAsia" w:cs="Times New Roman"/>
                <w:color w:val="auto"/>
                <w:sz w:val="24"/>
                <w:lang w:eastAsia="zh-CN"/>
              </w:rPr>
              <w:t>、</w:t>
            </w:r>
            <w:r>
              <w:rPr>
                <w:rFonts w:hint="eastAsia" w:cs="Times New Roman"/>
                <w:color w:val="auto"/>
                <w:sz w:val="24"/>
                <w:lang w:val="en-US" w:eastAsia="zh-CN"/>
              </w:rPr>
              <w:t>SS</w:t>
            </w:r>
          </w:p>
        </w:tc>
        <w:tc>
          <w:tcPr>
            <w:tcW w:w="1221" w:type="pct"/>
            <w:vAlign w:val="center"/>
          </w:tcPr>
          <w:p w14:paraId="4A6D61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酸碱中和池，处理后的废水排入化粪池，最终经市政污水管网进入西安市第一污水处理厂处理。</w:t>
            </w:r>
          </w:p>
        </w:tc>
        <w:tc>
          <w:tcPr>
            <w:tcW w:w="1370" w:type="pct"/>
            <w:vMerge w:val="restart"/>
            <w:vAlign w:val="center"/>
          </w:tcPr>
          <w:p w14:paraId="6154E5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lang w:val="zh-TW"/>
              </w:rPr>
            </w:pPr>
            <w:r>
              <w:rPr>
                <w:rFonts w:hint="default" w:ascii="Times New Roman" w:hAnsi="Times New Roman" w:cs="Times New Roman"/>
                <w:color w:val="auto"/>
                <w:sz w:val="24"/>
              </w:rPr>
              <w:t>《污水综合排放标准》（GB8978-1996）表4中三级排放标准和《污水排入城镇下水道水质标准》（GB/T 31962-2015）</w:t>
            </w:r>
            <w:r>
              <w:rPr>
                <w:rFonts w:hint="eastAsia" w:cs="Times New Roman"/>
                <w:color w:val="auto"/>
                <w:sz w:val="24"/>
                <w:lang w:eastAsia="zh-CN"/>
              </w:rPr>
              <w:t>A级</w:t>
            </w:r>
            <w:r>
              <w:rPr>
                <w:rFonts w:hint="default" w:ascii="Times New Roman" w:hAnsi="Times New Roman" w:cs="Times New Roman"/>
                <w:color w:val="auto"/>
                <w:sz w:val="24"/>
              </w:rPr>
              <w:t>标准。</w:t>
            </w:r>
          </w:p>
        </w:tc>
      </w:tr>
      <w:tr w14:paraId="60BB4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751" w:type="pct"/>
            <w:vMerge w:val="continue"/>
            <w:vAlign w:val="center"/>
          </w:tcPr>
          <w:p w14:paraId="29B47F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p>
        </w:tc>
        <w:tc>
          <w:tcPr>
            <w:tcW w:w="895" w:type="pct"/>
            <w:vAlign w:val="center"/>
          </w:tcPr>
          <w:p w14:paraId="0C9195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生活污水</w:t>
            </w:r>
            <w:r>
              <w:rPr>
                <w:rFonts w:hint="eastAsia" w:cs="Times New Roman"/>
                <w:color w:val="auto"/>
                <w:sz w:val="24"/>
                <w:lang w:eastAsia="zh-CN"/>
              </w:rPr>
              <w:t>、</w:t>
            </w:r>
            <w:r>
              <w:rPr>
                <w:rFonts w:hint="eastAsia" w:cs="Times New Roman"/>
                <w:color w:val="auto"/>
                <w:sz w:val="24"/>
                <w:lang w:val="en-US" w:eastAsia="zh-CN"/>
              </w:rPr>
              <w:t>纯水制备浓水</w:t>
            </w:r>
          </w:p>
        </w:tc>
        <w:tc>
          <w:tcPr>
            <w:tcW w:w="760" w:type="pct"/>
            <w:vAlign w:val="center"/>
          </w:tcPr>
          <w:p w14:paraId="481342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pH、</w:t>
            </w:r>
            <w:r>
              <w:rPr>
                <w:rFonts w:hint="default" w:ascii="Times New Roman" w:hAnsi="Times New Roman" w:cs="Times New Roman"/>
                <w:color w:val="auto"/>
                <w:sz w:val="24"/>
              </w:rPr>
              <w:t>SS、COD、BOD</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w:t>
            </w:r>
            <w:r>
              <w:rPr>
                <w:rFonts w:hint="eastAsia" w:cs="Times New Roman"/>
                <w:color w:val="auto"/>
                <w:sz w:val="24"/>
                <w:lang w:val="en-US" w:eastAsia="zh-CN"/>
              </w:rPr>
              <w:t>NH</w:t>
            </w:r>
            <w:r>
              <w:rPr>
                <w:rFonts w:hint="eastAsia" w:cs="Times New Roman"/>
                <w:color w:val="auto"/>
                <w:sz w:val="24"/>
                <w:vertAlign w:val="subscript"/>
                <w:lang w:val="en-US" w:eastAsia="zh-CN"/>
              </w:rPr>
              <w:t>3</w:t>
            </w:r>
            <w:r>
              <w:rPr>
                <w:rFonts w:hint="eastAsia" w:cs="Times New Roman"/>
                <w:color w:val="auto"/>
                <w:sz w:val="24"/>
                <w:lang w:val="en-US" w:eastAsia="zh-CN"/>
              </w:rPr>
              <w:t>-N、TP、TN</w:t>
            </w:r>
          </w:p>
        </w:tc>
        <w:tc>
          <w:tcPr>
            <w:tcW w:w="1221" w:type="pct"/>
            <w:vAlign w:val="center"/>
          </w:tcPr>
          <w:p w14:paraId="25E6FF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排入化粪池，最终经市政污水管网进入西安市第一污水处理厂处理。</w:t>
            </w:r>
          </w:p>
        </w:tc>
        <w:tc>
          <w:tcPr>
            <w:tcW w:w="1370" w:type="pct"/>
            <w:vMerge w:val="continue"/>
            <w:vAlign w:val="center"/>
          </w:tcPr>
          <w:p w14:paraId="29D162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rPr>
            </w:pPr>
          </w:p>
        </w:tc>
      </w:tr>
      <w:tr w14:paraId="1297FF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2" w:hRule="atLeast"/>
          <w:jc w:val="center"/>
        </w:trPr>
        <w:tc>
          <w:tcPr>
            <w:tcW w:w="751" w:type="pct"/>
            <w:vAlign w:val="center"/>
          </w:tcPr>
          <w:p w14:paraId="0B11B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声环境</w:t>
            </w:r>
          </w:p>
        </w:tc>
        <w:tc>
          <w:tcPr>
            <w:tcW w:w="895" w:type="pct"/>
            <w:vAlign w:val="center"/>
          </w:tcPr>
          <w:p w14:paraId="41135C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设备噪声</w:t>
            </w:r>
          </w:p>
        </w:tc>
        <w:tc>
          <w:tcPr>
            <w:tcW w:w="760" w:type="pct"/>
            <w:vAlign w:val="center"/>
          </w:tcPr>
          <w:p w14:paraId="1ECD9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噪声</w:t>
            </w:r>
          </w:p>
        </w:tc>
        <w:tc>
          <w:tcPr>
            <w:tcW w:w="1221" w:type="pct"/>
            <w:vAlign w:val="center"/>
          </w:tcPr>
          <w:p w14:paraId="50806C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厂房隔声、设备基础减振</w:t>
            </w:r>
          </w:p>
        </w:tc>
        <w:tc>
          <w:tcPr>
            <w:tcW w:w="1370" w:type="pct"/>
            <w:vAlign w:val="center"/>
          </w:tcPr>
          <w:p w14:paraId="69E1B2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bCs/>
                <w:color w:val="auto"/>
                <w:sz w:val="24"/>
              </w:rPr>
              <w:t>厂界满足</w:t>
            </w:r>
            <w:r>
              <w:rPr>
                <w:rFonts w:hint="default" w:ascii="Times New Roman" w:hAnsi="Times New Roman" w:cs="Times New Roman"/>
                <w:color w:val="auto"/>
                <w:sz w:val="24"/>
              </w:rPr>
              <w:t>《工业企业厂界环境噪声排放标准》（GB12348-2008）中</w:t>
            </w:r>
            <w:r>
              <w:rPr>
                <w:rFonts w:hint="eastAsia" w:cs="Times New Roman"/>
                <w:color w:val="auto"/>
                <w:sz w:val="24"/>
                <w:lang w:val="en-US" w:eastAsia="zh-CN"/>
              </w:rPr>
              <w:t>1</w:t>
            </w:r>
            <w:r>
              <w:rPr>
                <w:rFonts w:hint="default" w:ascii="Times New Roman" w:hAnsi="Times New Roman" w:cs="Times New Roman"/>
                <w:color w:val="auto"/>
                <w:sz w:val="24"/>
              </w:rPr>
              <w:t>类</w:t>
            </w:r>
            <w:r>
              <w:rPr>
                <w:rFonts w:hint="eastAsia" w:cs="Times New Roman"/>
                <w:color w:val="auto"/>
                <w:sz w:val="24"/>
                <w:lang w:val="en-US" w:eastAsia="zh-CN"/>
              </w:rPr>
              <w:t>和4类</w:t>
            </w:r>
            <w:r>
              <w:rPr>
                <w:rFonts w:hint="default" w:ascii="Times New Roman" w:hAnsi="Times New Roman" w:cs="Times New Roman"/>
                <w:color w:val="auto"/>
                <w:sz w:val="24"/>
              </w:rPr>
              <w:t>标准</w:t>
            </w:r>
            <w:r>
              <w:rPr>
                <w:rFonts w:hint="eastAsia" w:cs="Times New Roman"/>
                <w:color w:val="auto"/>
                <w:sz w:val="24"/>
                <w:lang w:eastAsia="zh-CN"/>
              </w:rPr>
              <w:t>；</w:t>
            </w:r>
            <w:r>
              <w:rPr>
                <w:rFonts w:hint="eastAsia" w:cs="Times New Roman"/>
                <w:color w:val="auto"/>
                <w:sz w:val="24"/>
                <w:lang w:val="en-US" w:eastAsia="zh-CN"/>
              </w:rPr>
              <w:t>声环境保护目标满足《声环境质量标准》（GB 3096-2008）中1类标准。</w:t>
            </w:r>
          </w:p>
        </w:tc>
      </w:tr>
      <w:tr w14:paraId="14D3B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751" w:type="pct"/>
            <w:vAlign w:val="center"/>
          </w:tcPr>
          <w:p w14:paraId="6C22B6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固体废物</w:t>
            </w:r>
          </w:p>
        </w:tc>
        <w:tc>
          <w:tcPr>
            <w:tcW w:w="4248" w:type="pct"/>
            <w:gridSpan w:val="4"/>
            <w:vAlign w:val="center"/>
          </w:tcPr>
          <w:p w14:paraId="67F0A6D8">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cs="Times New Roman" w:eastAsiaTheme="minorEastAsia"/>
                <w:color w:val="auto"/>
                <w:kern w:val="21"/>
                <w:sz w:val="24"/>
              </w:rPr>
            </w:pPr>
            <w:r>
              <w:rPr>
                <w:rFonts w:hint="default" w:ascii="Times New Roman" w:hAnsi="Times New Roman" w:cs="Times New Roman" w:eastAsiaTheme="minorEastAsia"/>
                <w:color w:val="auto"/>
                <w:kern w:val="21"/>
                <w:sz w:val="24"/>
              </w:rPr>
              <w:t>①生活垃圾应进行分类收集，由环卫部门定期清运。</w:t>
            </w:r>
          </w:p>
          <w:p w14:paraId="471D3202">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cs="Times New Roman" w:eastAsiaTheme="minorEastAsia"/>
                <w:color w:val="auto"/>
                <w:kern w:val="21"/>
                <w:sz w:val="24"/>
              </w:rPr>
            </w:pPr>
            <w:r>
              <w:rPr>
                <w:rFonts w:hint="default" w:ascii="Times New Roman" w:hAnsi="Times New Roman" w:cs="Times New Roman" w:eastAsiaTheme="minorEastAsia"/>
                <w:color w:val="auto"/>
                <w:kern w:val="21"/>
                <w:sz w:val="24"/>
              </w:rPr>
              <w:t>②一般</w:t>
            </w:r>
            <w:r>
              <w:rPr>
                <w:rFonts w:hint="eastAsia" w:cs="Times New Roman" w:eastAsiaTheme="minorEastAsia"/>
                <w:color w:val="auto"/>
                <w:kern w:val="21"/>
                <w:sz w:val="24"/>
                <w:lang w:val="en-US" w:eastAsia="zh-CN"/>
              </w:rPr>
              <w:t>工业</w:t>
            </w:r>
            <w:r>
              <w:rPr>
                <w:rFonts w:hint="default" w:ascii="Times New Roman" w:hAnsi="Times New Roman" w:cs="Times New Roman" w:eastAsiaTheme="minorEastAsia"/>
                <w:color w:val="auto"/>
                <w:kern w:val="21"/>
                <w:sz w:val="24"/>
              </w:rPr>
              <w:t>固体废物的处置应执行《一般工业固体废物贮存和填埋污染控制标准》（GB 18599-2020）的相关规定。</w:t>
            </w:r>
          </w:p>
          <w:p w14:paraId="4614537D">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cs="Times New Roman"/>
                <w:color w:val="auto"/>
                <w:sz w:val="40"/>
                <w:szCs w:val="40"/>
              </w:rPr>
            </w:pPr>
            <w:r>
              <w:rPr>
                <w:rFonts w:hint="default" w:ascii="Times New Roman" w:hAnsi="Times New Roman" w:cs="Times New Roman" w:eastAsiaTheme="minorEastAsia"/>
                <w:color w:val="auto"/>
                <w:kern w:val="21"/>
                <w:sz w:val="24"/>
              </w:rPr>
              <w:t>③危险废物</w:t>
            </w:r>
            <w:r>
              <w:rPr>
                <w:rFonts w:hint="default" w:ascii="Times New Roman" w:hAnsi="Times New Roman" w:cs="Times New Roman" w:eastAsiaTheme="minorEastAsia"/>
                <w:bCs/>
                <w:color w:val="auto"/>
                <w:kern w:val="21"/>
                <w:sz w:val="24"/>
              </w:rPr>
              <w:t>设危险废物贮存库</w:t>
            </w:r>
            <w:r>
              <w:rPr>
                <w:rFonts w:hint="eastAsia" w:cs="Times New Roman" w:eastAsiaTheme="minorEastAsia"/>
                <w:bCs/>
                <w:color w:val="auto"/>
                <w:kern w:val="21"/>
                <w:sz w:val="24"/>
                <w:lang w:val="en-US" w:eastAsia="zh-CN"/>
              </w:rPr>
              <w:t>暂存</w:t>
            </w:r>
            <w:r>
              <w:rPr>
                <w:rFonts w:hint="default" w:ascii="Times New Roman" w:hAnsi="Times New Roman" w:cs="Times New Roman" w:eastAsiaTheme="minorEastAsia"/>
                <w:bCs/>
                <w:color w:val="auto"/>
                <w:kern w:val="21"/>
                <w:sz w:val="24"/>
              </w:rPr>
              <w:t>，定期交由有资质单位外运处置。</w:t>
            </w:r>
            <w:r>
              <w:rPr>
                <w:rFonts w:hint="eastAsia" w:cs="Times New Roman" w:eastAsiaTheme="minorEastAsia"/>
                <w:bCs/>
                <w:color w:val="auto"/>
                <w:kern w:val="21"/>
                <w:sz w:val="24"/>
                <w:lang w:val="en-US" w:eastAsia="zh-CN"/>
              </w:rPr>
              <w:t>危险废物的处置执行《危险废物贮存污染控制标准》（GB 18597-2023）的相关规定</w:t>
            </w:r>
            <w:r>
              <w:rPr>
                <w:rFonts w:hint="default" w:ascii="Times New Roman" w:hAnsi="Times New Roman" w:cs="Times New Roman" w:eastAsiaTheme="minorEastAsia"/>
                <w:bCs/>
                <w:color w:val="auto"/>
                <w:kern w:val="21"/>
                <w:sz w:val="24"/>
              </w:rPr>
              <w:t>。</w:t>
            </w:r>
          </w:p>
        </w:tc>
      </w:tr>
      <w:tr w14:paraId="447738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39" w:hRule="atLeast"/>
          <w:jc w:val="center"/>
        </w:trPr>
        <w:tc>
          <w:tcPr>
            <w:tcW w:w="751" w:type="pct"/>
            <w:vAlign w:val="center"/>
          </w:tcPr>
          <w:p w14:paraId="47A74E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土壤及地下水污染防治措施</w:t>
            </w:r>
          </w:p>
        </w:tc>
        <w:tc>
          <w:tcPr>
            <w:tcW w:w="4248" w:type="pct"/>
            <w:gridSpan w:val="4"/>
            <w:vAlign w:val="center"/>
          </w:tcPr>
          <w:p w14:paraId="78753B77">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cs="Times New Roman"/>
                <w:color w:val="auto"/>
                <w:sz w:val="40"/>
                <w:szCs w:val="40"/>
              </w:rPr>
            </w:pPr>
            <w:r>
              <w:rPr>
                <w:rFonts w:hint="default" w:ascii="Times New Roman" w:hAnsi="Times New Roman" w:cs="Times New Roman"/>
                <w:bCs/>
                <w:color w:val="auto"/>
                <w:kern w:val="21"/>
                <w:sz w:val="24"/>
              </w:rPr>
              <w:t>环评建议企业加强</w:t>
            </w:r>
            <w:r>
              <w:rPr>
                <w:rFonts w:hint="default" w:ascii="Times New Roman" w:hAnsi="Times New Roman" w:cs="Times New Roman" w:eastAsiaTheme="minorEastAsia"/>
                <w:color w:val="auto"/>
                <w:sz w:val="24"/>
              </w:rPr>
              <w:t>防治结合、预防为主的环境保护措施，加强废气、废水治理设施及危险废物的日常管理工作，建立和完善环境管理体系，确保各污染物达标排放，减轻项目运营期对土壤和地下水环境产生的影响。</w:t>
            </w:r>
          </w:p>
        </w:tc>
      </w:tr>
      <w:tr w14:paraId="16559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3" w:hRule="atLeast"/>
          <w:jc w:val="center"/>
        </w:trPr>
        <w:tc>
          <w:tcPr>
            <w:tcW w:w="751" w:type="pct"/>
            <w:vAlign w:val="center"/>
          </w:tcPr>
          <w:p w14:paraId="2CC2FC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pacing w:val="-8"/>
                <w:sz w:val="24"/>
              </w:rPr>
            </w:pPr>
            <w:r>
              <w:rPr>
                <w:rFonts w:hint="default" w:ascii="Times New Roman" w:hAnsi="Times New Roman" w:cs="Times New Roman"/>
                <w:b/>
                <w:bCs/>
                <w:color w:val="auto"/>
                <w:spacing w:val="-8"/>
                <w:sz w:val="24"/>
              </w:rPr>
              <w:t>环境风险</w:t>
            </w:r>
          </w:p>
          <w:p w14:paraId="4F5DC0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pacing w:val="-8"/>
                <w:sz w:val="24"/>
              </w:rPr>
            </w:pPr>
            <w:r>
              <w:rPr>
                <w:rFonts w:hint="default" w:ascii="Times New Roman" w:hAnsi="Times New Roman" w:cs="Times New Roman"/>
                <w:b/>
                <w:bCs/>
                <w:color w:val="auto"/>
                <w:spacing w:val="-8"/>
                <w:sz w:val="24"/>
              </w:rPr>
              <w:t>防范措施</w:t>
            </w:r>
          </w:p>
        </w:tc>
        <w:tc>
          <w:tcPr>
            <w:tcW w:w="4248" w:type="pct"/>
            <w:gridSpan w:val="4"/>
            <w:vAlign w:val="center"/>
          </w:tcPr>
          <w:p w14:paraId="5FFD5FEB">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24"/>
                <w:lang w:eastAsia="zh-CN"/>
              </w:rPr>
              <w:t>项目应采用对化学试剂、危险废物分区存放，并应有明显的界限，同时配备泄漏应急处置物质，认真做好废气治理设备的保养，定期维护、保修工作等风险防范措施。</w:t>
            </w:r>
          </w:p>
        </w:tc>
      </w:tr>
      <w:tr w14:paraId="387525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48" w:hRule="atLeast"/>
          <w:jc w:val="center"/>
        </w:trPr>
        <w:tc>
          <w:tcPr>
            <w:tcW w:w="751" w:type="pct"/>
            <w:vAlign w:val="center"/>
          </w:tcPr>
          <w:p w14:paraId="6BBF11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pacing w:val="-8"/>
                <w:sz w:val="24"/>
              </w:rPr>
            </w:pPr>
            <w:r>
              <w:rPr>
                <w:rFonts w:hint="default" w:ascii="Times New Roman" w:hAnsi="Times New Roman" w:cs="Times New Roman"/>
                <w:b/>
                <w:bCs/>
                <w:color w:val="auto"/>
                <w:spacing w:val="-8"/>
                <w:sz w:val="24"/>
              </w:rPr>
              <w:t>其他环境</w:t>
            </w:r>
          </w:p>
          <w:p w14:paraId="1C1B4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pacing w:val="-8"/>
                <w:sz w:val="24"/>
              </w:rPr>
            </w:pPr>
            <w:r>
              <w:rPr>
                <w:rFonts w:hint="default" w:ascii="Times New Roman" w:hAnsi="Times New Roman" w:cs="Times New Roman"/>
                <w:b/>
                <w:bCs/>
                <w:color w:val="auto"/>
                <w:spacing w:val="-8"/>
                <w:sz w:val="24"/>
              </w:rPr>
              <w:t>管理要求</w:t>
            </w:r>
          </w:p>
        </w:tc>
        <w:tc>
          <w:tcPr>
            <w:tcW w:w="4248" w:type="pct"/>
            <w:gridSpan w:val="4"/>
            <w:vAlign w:val="center"/>
          </w:tcPr>
          <w:p w14:paraId="33974A2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1、环境管理</w:t>
            </w:r>
          </w:p>
          <w:p w14:paraId="15A63924">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设置专门负责环保工作的人员，建立环保档案，环境管理具体内容如下：</w:t>
            </w:r>
          </w:p>
          <w:p w14:paraId="36C85355">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（1）严格执行国家环境保护有关政策和法规；</w:t>
            </w:r>
          </w:p>
          <w:p w14:paraId="0AE5FDE4">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（2）严格执行建设项目“三同时”制度，监督项目环保“三同时”落实情况；</w:t>
            </w:r>
          </w:p>
          <w:p w14:paraId="4D74566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（3）建立环境管理制度，设置专职环保人员，负责日常环保安全，定期检查环保管理和环境监测工作；</w:t>
            </w:r>
          </w:p>
          <w:p w14:paraId="449B8203">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（4）拟定环保工作计划，配合完成环境保护责任目标；</w:t>
            </w:r>
          </w:p>
          <w:p w14:paraId="6DA986ED">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（5）建立污染突</w:t>
            </w:r>
            <w:r>
              <w:rPr>
                <w:rFonts w:hint="eastAsia" w:cs="Times New Roman"/>
                <w:color w:val="auto"/>
                <w:sz w:val="24"/>
                <w:lang w:val="en-US" w:eastAsia="zh-CN"/>
              </w:rPr>
              <w:t>发</w:t>
            </w:r>
            <w:r>
              <w:rPr>
                <w:rFonts w:hint="default" w:ascii="Times New Roman" w:hAnsi="Times New Roman" w:eastAsia="宋体" w:cs="Times New Roman"/>
                <w:color w:val="auto"/>
                <w:sz w:val="24"/>
                <w:lang w:val="en-US" w:eastAsia="zh-CN"/>
              </w:rPr>
              <w:t>事故分类分级档案和处理制度；</w:t>
            </w:r>
          </w:p>
          <w:p w14:paraId="388EF62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2、项目建成后应根据管理要求完成以下工作：</w:t>
            </w:r>
          </w:p>
          <w:p w14:paraId="12F25244">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（1）项目建成后，应按要求完成竣工环境保护验收工作；</w:t>
            </w:r>
          </w:p>
          <w:p w14:paraId="62AF60C0">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rPr>
                <w:rFonts w:hint="default" w:ascii="Times New Roman" w:hAnsi="Times New Roman" w:cs="Times New Roman"/>
                <w:color w:val="auto"/>
                <w:sz w:val="24"/>
              </w:rPr>
            </w:pPr>
            <w:r>
              <w:rPr>
                <w:rFonts w:hint="default" w:ascii="Times New Roman" w:hAnsi="Times New Roman" w:eastAsia="宋体" w:cs="Times New Roman"/>
                <w:color w:val="auto"/>
                <w:sz w:val="24"/>
                <w:lang w:val="en-US" w:eastAsia="zh-CN"/>
              </w:rPr>
              <w:t>（2）制定监测计划，并定期进行排污单位环境自行监测。</w:t>
            </w:r>
          </w:p>
        </w:tc>
      </w:tr>
    </w:tbl>
    <w:p w14:paraId="0123F71A">
      <w:pPr>
        <w:pStyle w:val="25"/>
        <w:spacing w:before="0" w:beforeAutospacing="0"/>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cs="Times New Roman"/>
          <w:snapToGrid w:val="0"/>
          <w:color w:val="auto"/>
        </w:rPr>
        <w:br w:type="page"/>
      </w:r>
      <w:bookmarkStart w:id="13" w:name="_Toc7014"/>
      <w:r>
        <w:rPr>
          <w:rFonts w:hint="default" w:ascii="Times New Roman" w:hAnsi="Times New Roman" w:eastAsia="黑体" w:cs="Times New Roman"/>
          <w:snapToGrid w:val="0"/>
          <w:color w:val="auto"/>
          <w:sz w:val="30"/>
          <w:szCs w:val="30"/>
        </w:rPr>
        <w:t>六、结论</w:t>
      </w:r>
      <w:bookmarkEnd w:id="13"/>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14:paraId="2A84E7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22" w:hRule="atLeast"/>
          <w:jc w:val="center"/>
        </w:trPr>
        <w:tc>
          <w:tcPr>
            <w:tcW w:w="5000" w:type="pct"/>
          </w:tcPr>
          <w:p w14:paraId="5BCB5FE9">
            <w:pPr>
              <w:spacing w:line="360" w:lineRule="auto"/>
              <w:ind w:firstLine="480" w:firstLineChars="200"/>
              <w:rPr>
                <w:rFonts w:hint="default" w:ascii="Times New Roman" w:hAnsi="Times New Roman" w:cs="Times New Roman"/>
                <w:color w:val="auto"/>
                <w:sz w:val="24"/>
              </w:rPr>
            </w:pPr>
          </w:p>
          <w:p w14:paraId="242B41B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eastAsia="zh-CN"/>
              </w:rPr>
              <w:t>从环境保护的角度分析，建设项目环境影响可行。</w:t>
            </w:r>
          </w:p>
        </w:tc>
      </w:tr>
    </w:tbl>
    <w:p w14:paraId="47A42BDD">
      <w:pPr>
        <w:pStyle w:val="25"/>
        <w:adjustRightInd w:val="0"/>
        <w:snapToGrid w:val="0"/>
        <w:spacing w:before="0" w:beforeAutospacing="0" w:after="0" w:afterAutospacing="0" w:line="648" w:lineRule="auto"/>
        <w:outlineLvl w:val="0"/>
        <w:rPr>
          <w:rFonts w:hint="default" w:ascii="Times New Roman" w:hAnsi="Times New Roman" w:eastAsia="黑体" w:cs="Times New Roman"/>
          <w:snapToGrid w:val="0"/>
          <w:color w:val="auto"/>
          <w:sz w:val="32"/>
          <w:szCs w:val="32"/>
        </w:rPr>
        <w:sectPr>
          <w:footerReference r:id="rId7" w:type="default"/>
          <w:pgSz w:w="11906" w:h="16838"/>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p w14:paraId="0033AAAF">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firstLine="640"/>
        <w:textAlignment w:val="auto"/>
        <w:outlineLvl w:val="0"/>
        <w:rPr>
          <w:rFonts w:hint="default" w:ascii="黑体" w:hAnsi="黑体" w:eastAsia="黑体"/>
          <w:snapToGrid w:val="0"/>
          <w:color w:val="auto"/>
          <w:spacing w:val="0"/>
          <w:sz w:val="32"/>
          <w:szCs w:val="32"/>
        </w:rPr>
      </w:pPr>
      <w:bookmarkStart w:id="14" w:name="_Toc15457"/>
      <w:r>
        <w:rPr>
          <w:rFonts w:hint="default" w:ascii="黑体" w:hAnsi="黑体" w:eastAsia="黑体"/>
          <w:snapToGrid w:val="0"/>
          <w:color w:val="auto"/>
          <w:spacing w:val="0"/>
          <w:sz w:val="32"/>
          <w:szCs w:val="32"/>
        </w:rPr>
        <w:t>附表</w:t>
      </w:r>
      <w:bookmarkEnd w:id="14"/>
    </w:p>
    <w:p w14:paraId="5927B68B">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firstLine="0"/>
        <w:jc w:val="center"/>
        <w:textAlignment w:val="auto"/>
        <w:outlineLvl w:val="0"/>
        <w:rPr>
          <w:rFonts w:hint="default" w:ascii="方正小标宋_GBK" w:hAnsi="黑体" w:eastAsia="方正小标宋_GBK"/>
          <w:snapToGrid w:val="0"/>
          <w:color w:val="auto"/>
          <w:spacing w:val="0"/>
          <w:sz w:val="38"/>
          <w:szCs w:val="38"/>
        </w:rPr>
      </w:pPr>
      <w:bookmarkStart w:id="15" w:name="_Toc20880"/>
      <w:r>
        <w:rPr>
          <w:rFonts w:hint="default" w:ascii="方正小标宋_GBK" w:hAnsi="黑体" w:eastAsia="方正小标宋_GBK"/>
          <w:snapToGrid w:val="0"/>
          <w:color w:val="auto"/>
          <w:spacing w:val="0"/>
          <w:sz w:val="38"/>
          <w:szCs w:val="38"/>
        </w:rPr>
        <w:t>建设项目污染物排放量汇总表</w:t>
      </w:r>
      <w:bookmarkEnd w:id="15"/>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3"/>
        <w:gridCol w:w="1936"/>
        <w:gridCol w:w="1581"/>
        <w:gridCol w:w="944"/>
        <w:gridCol w:w="1581"/>
        <w:gridCol w:w="2009"/>
        <w:gridCol w:w="1368"/>
        <w:gridCol w:w="2232"/>
        <w:gridCol w:w="1380"/>
      </w:tblGrid>
      <w:tr w14:paraId="6D3BF0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tcBorders>
              <w:tl2br w:val="single" w:color="auto" w:sz="4" w:space="0"/>
            </w:tcBorders>
            <w:tcMar>
              <w:left w:w="28" w:type="dxa"/>
              <w:right w:w="28" w:type="dxa"/>
            </w:tcMar>
            <w:vAlign w:val="center"/>
          </w:tcPr>
          <w:p w14:paraId="6392CA76">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项目</w:t>
            </w:r>
          </w:p>
          <w:p w14:paraId="116E0289">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分类</w:t>
            </w:r>
          </w:p>
        </w:tc>
        <w:tc>
          <w:tcPr>
            <w:tcW w:w="0" w:type="auto"/>
            <w:tcMar>
              <w:left w:w="28" w:type="dxa"/>
              <w:right w:w="28" w:type="dxa"/>
            </w:tcMar>
            <w:vAlign w:val="center"/>
          </w:tcPr>
          <w:p w14:paraId="44640A4D">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污染物名称</w:t>
            </w:r>
          </w:p>
        </w:tc>
        <w:tc>
          <w:tcPr>
            <w:tcW w:w="0" w:type="auto"/>
            <w:tcMar>
              <w:left w:w="28" w:type="dxa"/>
              <w:right w:w="28" w:type="dxa"/>
            </w:tcMar>
            <w:vAlign w:val="center"/>
          </w:tcPr>
          <w:p w14:paraId="14AAD99E">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现有工程排放量（固体废物产生量）</w:t>
            </w:r>
            <w:r>
              <w:rPr>
                <w:rFonts w:hint="default" w:ascii="Times New Roman" w:hAnsi="Times New Roman" w:eastAsia="宋体" w:cs="Times New Roman"/>
                <w:b w:val="0"/>
                <w:bCs w:val="0"/>
                <w:snapToGrid w:val="0"/>
                <w:color w:val="auto"/>
                <w:spacing w:val="-6"/>
                <w:kern w:val="21"/>
                <w:sz w:val="21"/>
                <w:szCs w:val="21"/>
              </w:rPr>
              <w:fldChar w:fldCharType="begin"/>
            </w:r>
            <w:r>
              <w:rPr>
                <w:rFonts w:hint="default" w:ascii="Times New Roman" w:hAnsi="Times New Roman" w:eastAsia="宋体" w:cs="Times New Roman"/>
                <w:b w:val="0"/>
                <w:bCs w:val="0"/>
                <w:snapToGrid w:val="0"/>
                <w:color w:val="auto"/>
                <w:spacing w:val="-6"/>
                <w:kern w:val="21"/>
                <w:sz w:val="21"/>
                <w:szCs w:val="21"/>
              </w:rPr>
              <w:instrText xml:space="preserve"> = 1 \* GB3 \* MERGEFORMAT </w:instrText>
            </w:r>
            <w:r>
              <w:rPr>
                <w:rFonts w:hint="default" w:ascii="Times New Roman" w:hAnsi="Times New Roman" w:eastAsia="宋体" w:cs="Times New Roman"/>
                <w:b w:val="0"/>
                <w:bCs w:val="0"/>
                <w:snapToGrid w:val="0"/>
                <w:color w:val="auto"/>
                <w:spacing w:val="-6"/>
                <w:kern w:val="21"/>
                <w:sz w:val="21"/>
                <w:szCs w:val="21"/>
              </w:rPr>
              <w:fldChar w:fldCharType="separate"/>
            </w:r>
            <w:r>
              <w:rPr>
                <w:rFonts w:hint="default" w:ascii="Times New Roman" w:hAnsi="Times New Roman" w:eastAsia="宋体" w:cs="Times New Roman"/>
                <w:b w:val="0"/>
                <w:bCs w:val="0"/>
                <w:color w:val="auto"/>
                <w:kern w:val="2"/>
                <w:sz w:val="21"/>
                <w:szCs w:val="21"/>
              </w:rPr>
              <w:t>①</w:t>
            </w:r>
            <w:r>
              <w:rPr>
                <w:rFonts w:hint="default" w:ascii="Times New Roman" w:hAnsi="Times New Roman" w:eastAsia="宋体" w:cs="Times New Roman"/>
                <w:b w:val="0"/>
                <w:bCs w:val="0"/>
                <w:snapToGrid w:val="0"/>
                <w:color w:val="auto"/>
                <w:spacing w:val="-6"/>
                <w:kern w:val="21"/>
                <w:sz w:val="21"/>
                <w:szCs w:val="21"/>
              </w:rPr>
              <w:fldChar w:fldCharType="end"/>
            </w:r>
          </w:p>
        </w:tc>
        <w:tc>
          <w:tcPr>
            <w:tcW w:w="0" w:type="auto"/>
            <w:tcMar>
              <w:left w:w="28" w:type="dxa"/>
              <w:right w:w="28" w:type="dxa"/>
            </w:tcMar>
            <w:vAlign w:val="center"/>
          </w:tcPr>
          <w:p w14:paraId="238846D2">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现有工程许可排放量</w:t>
            </w:r>
            <w:r>
              <w:rPr>
                <w:rFonts w:hint="default" w:ascii="Times New Roman" w:hAnsi="Times New Roman" w:eastAsia="宋体" w:cs="Times New Roman"/>
                <w:b w:val="0"/>
                <w:bCs w:val="0"/>
                <w:snapToGrid w:val="0"/>
                <w:color w:val="auto"/>
                <w:spacing w:val="-6"/>
                <w:kern w:val="21"/>
                <w:sz w:val="21"/>
                <w:szCs w:val="21"/>
              </w:rPr>
              <w:fldChar w:fldCharType="begin"/>
            </w:r>
            <w:r>
              <w:rPr>
                <w:rFonts w:hint="default" w:ascii="Times New Roman" w:hAnsi="Times New Roman" w:eastAsia="宋体" w:cs="Times New Roman"/>
                <w:b w:val="0"/>
                <w:bCs w:val="0"/>
                <w:snapToGrid w:val="0"/>
                <w:color w:val="auto"/>
                <w:spacing w:val="-6"/>
                <w:kern w:val="21"/>
                <w:sz w:val="21"/>
                <w:szCs w:val="21"/>
              </w:rPr>
              <w:instrText xml:space="preserve"> = 2 \* GB3 \* MERGEFORMAT </w:instrText>
            </w:r>
            <w:r>
              <w:rPr>
                <w:rFonts w:hint="default" w:ascii="Times New Roman" w:hAnsi="Times New Roman" w:eastAsia="宋体" w:cs="Times New Roman"/>
                <w:b w:val="0"/>
                <w:bCs w:val="0"/>
                <w:snapToGrid w:val="0"/>
                <w:color w:val="auto"/>
                <w:spacing w:val="-6"/>
                <w:kern w:val="21"/>
                <w:sz w:val="21"/>
                <w:szCs w:val="21"/>
              </w:rPr>
              <w:fldChar w:fldCharType="separate"/>
            </w:r>
            <w:r>
              <w:rPr>
                <w:rFonts w:hint="default" w:ascii="Times New Roman" w:hAnsi="Times New Roman" w:eastAsia="宋体" w:cs="Times New Roman"/>
                <w:b w:val="0"/>
                <w:bCs w:val="0"/>
                <w:snapToGrid w:val="0"/>
                <w:color w:val="auto"/>
                <w:spacing w:val="-6"/>
                <w:kern w:val="21"/>
                <w:sz w:val="21"/>
                <w:szCs w:val="21"/>
              </w:rPr>
              <w:t>②</w:t>
            </w:r>
            <w:r>
              <w:rPr>
                <w:rFonts w:hint="default" w:ascii="Times New Roman" w:hAnsi="Times New Roman" w:eastAsia="宋体" w:cs="Times New Roman"/>
                <w:b w:val="0"/>
                <w:bCs w:val="0"/>
                <w:snapToGrid w:val="0"/>
                <w:color w:val="auto"/>
                <w:spacing w:val="-6"/>
                <w:kern w:val="21"/>
                <w:sz w:val="21"/>
                <w:szCs w:val="21"/>
              </w:rPr>
              <w:fldChar w:fldCharType="end"/>
            </w:r>
          </w:p>
        </w:tc>
        <w:tc>
          <w:tcPr>
            <w:tcW w:w="0" w:type="auto"/>
            <w:tcMar>
              <w:left w:w="28" w:type="dxa"/>
              <w:right w:w="28" w:type="dxa"/>
            </w:tcMar>
            <w:vAlign w:val="center"/>
          </w:tcPr>
          <w:p w14:paraId="485B16CD">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在建工程排放量（固体废物产生量）</w:t>
            </w:r>
            <w:r>
              <w:rPr>
                <w:rFonts w:hint="default" w:ascii="Times New Roman" w:hAnsi="Times New Roman" w:eastAsia="宋体" w:cs="Times New Roman"/>
                <w:b w:val="0"/>
                <w:bCs w:val="0"/>
                <w:snapToGrid w:val="0"/>
                <w:color w:val="auto"/>
                <w:spacing w:val="-6"/>
                <w:kern w:val="21"/>
                <w:sz w:val="21"/>
                <w:szCs w:val="21"/>
              </w:rPr>
              <w:fldChar w:fldCharType="begin"/>
            </w:r>
            <w:r>
              <w:rPr>
                <w:rFonts w:hint="default" w:ascii="Times New Roman" w:hAnsi="Times New Roman" w:eastAsia="宋体" w:cs="Times New Roman"/>
                <w:b w:val="0"/>
                <w:bCs w:val="0"/>
                <w:snapToGrid w:val="0"/>
                <w:color w:val="auto"/>
                <w:spacing w:val="-6"/>
                <w:kern w:val="21"/>
                <w:sz w:val="21"/>
                <w:szCs w:val="21"/>
              </w:rPr>
              <w:instrText xml:space="preserve"> = 3 \* GB3 \* MERGEFORMAT </w:instrText>
            </w:r>
            <w:r>
              <w:rPr>
                <w:rFonts w:hint="default" w:ascii="Times New Roman" w:hAnsi="Times New Roman" w:eastAsia="宋体" w:cs="Times New Roman"/>
                <w:b w:val="0"/>
                <w:bCs w:val="0"/>
                <w:snapToGrid w:val="0"/>
                <w:color w:val="auto"/>
                <w:spacing w:val="-6"/>
                <w:kern w:val="21"/>
                <w:sz w:val="21"/>
                <w:szCs w:val="21"/>
              </w:rPr>
              <w:fldChar w:fldCharType="separate"/>
            </w:r>
            <w:r>
              <w:rPr>
                <w:rFonts w:hint="default" w:ascii="Times New Roman" w:hAnsi="Times New Roman" w:eastAsia="宋体" w:cs="Times New Roman"/>
                <w:b w:val="0"/>
                <w:bCs w:val="0"/>
                <w:color w:val="auto"/>
                <w:kern w:val="2"/>
                <w:sz w:val="21"/>
                <w:szCs w:val="21"/>
              </w:rPr>
              <w:t>③</w:t>
            </w:r>
            <w:r>
              <w:rPr>
                <w:rFonts w:hint="default" w:ascii="Times New Roman" w:hAnsi="Times New Roman" w:eastAsia="宋体" w:cs="Times New Roman"/>
                <w:b w:val="0"/>
                <w:bCs w:val="0"/>
                <w:snapToGrid w:val="0"/>
                <w:color w:val="auto"/>
                <w:spacing w:val="-6"/>
                <w:kern w:val="21"/>
                <w:sz w:val="21"/>
                <w:szCs w:val="21"/>
              </w:rPr>
              <w:fldChar w:fldCharType="end"/>
            </w:r>
          </w:p>
        </w:tc>
        <w:tc>
          <w:tcPr>
            <w:tcW w:w="0" w:type="auto"/>
            <w:tcMar>
              <w:left w:w="28" w:type="dxa"/>
              <w:right w:w="28" w:type="dxa"/>
            </w:tcMar>
            <w:vAlign w:val="center"/>
          </w:tcPr>
          <w:p w14:paraId="69B4663C">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本项目排放量（固体废物产生量）</w:t>
            </w:r>
            <w:r>
              <w:rPr>
                <w:rFonts w:hint="default" w:ascii="Times New Roman" w:hAnsi="Times New Roman" w:eastAsia="宋体" w:cs="Times New Roman"/>
                <w:b w:val="0"/>
                <w:bCs w:val="0"/>
                <w:snapToGrid w:val="0"/>
                <w:color w:val="auto"/>
                <w:spacing w:val="-6"/>
                <w:kern w:val="21"/>
                <w:sz w:val="21"/>
                <w:szCs w:val="21"/>
              </w:rPr>
              <w:fldChar w:fldCharType="begin"/>
            </w:r>
            <w:r>
              <w:rPr>
                <w:rFonts w:hint="default" w:ascii="Times New Roman" w:hAnsi="Times New Roman" w:eastAsia="宋体" w:cs="Times New Roman"/>
                <w:b w:val="0"/>
                <w:bCs w:val="0"/>
                <w:snapToGrid w:val="0"/>
                <w:color w:val="auto"/>
                <w:spacing w:val="-6"/>
                <w:kern w:val="21"/>
                <w:sz w:val="21"/>
                <w:szCs w:val="21"/>
              </w:rPr>
              <w:instrText xml:space="preserve"> = 4 \* GB3 \* MERGEFORMAT </w:instrText>
            </w:r>
            <w:r>
              <w:rPr>
                <w:rFonts w:hint="default" w:ascii="Times New Roman" w:hAnsi="Times New Roman" w:eastAsia="宋体" w:cs="Times New Roman"/>
                <w:b w:val="0"/>
                <w:bCs w:val="0"/>
                <w:snapToGrid w:val="0"/>
                <w:color w:val="auto"/>
                <w:spacing w:val="-6"/>
                <w:kern w:val="21"/>
                <w:sz w:val="21"/>
                <w:szCs w:val="21"/>
              </w:rPr>
              <w:fldChar w:fldCharType="separate"/>
            </w:r>
            <w:r>
              <w:rPr>
                <w:rFonts w:hint="default" w:ascii="Times New Roman" w:hAnsi="Times New Roman" w:eastAsia="宋体" w:cs="Times New Roman"/>
                <w:b w:val="0"/>
                <w:bCs w:val="0"/>
                <w:color w:val="auto"/>
                <w:kern w:val="2"/>
                <w:sz w:val="21"/>
                <w:szCs w:val="21"/>
              </w:rPr>
              <w:t>④</w:t>
            </w:r>
            <w:r>
              <w:rPr>
                <w:rFonts w:hint="default" w:ascii="Times New Roman" w:hAnsi="Times New Roman" w:eastAsia="宋体" w:cs="Times New Roman"/>
                <w:b w:val="0"/>
                <w:bCs w:val="0"/>
                <w:snapToGrid w:val="0"/>
                <w:color w:val="auto"/>
                <w:spacing w:val="-6"/>
                <w:kern w:val="21"/>
                <w:sz w:val="21"/>
                <w:szCs w:val="21"/>
              </w:rPr>
              <w:fldChar w:fldCharType="end"/>
            </w:r>
          </w:p>
        </w:tc>
        <w:tc>
          <w:tcPr>
            <w:tcW w:w="0" w:type="auto"/>
            <w:tcMar>
              <w:left w:w="28" w:type="dxa"/>
              <w:right w:w="28" w:type="dxa"/>
            </w:tcMar>
            <w:vAlign w:val="center"/>
          </w:tcPr>
          <w:p w14:paraId="48C2EE07">
            <w:pPr>
              <w:pStyle w:val="52"/>
              <w:spacing w:beforeLines="0" w:afterLines="0" w:line="240" w:lineRule="auto"/>
              <w:rPr>
                <w:rFonts w:hint="default" w:ascii="Times New Roman" w:hAnsi="Times New Roman" w:eastAsia="宋体" w:cs="Times New Roman"/>
                <w:b w:val="0"/>
                <w:bCs w:val="0"/>
                <w:snapToGrid w:val="0"/>
                <w:color w:val="auto"/>
                <w:spacing w:val="-16"/>
                <w:kern w:val="21"/>
                <w:sz w:val="21"/>
                <w:szCs w:val="21"/>
              </w:rPr>
            </w:pPr>
            <w:r>
              <w:rPr>
                <w:rFonts w:hint="default" w:ascii="Times New Roman" w:hAnsi="Times New Roman" w:eastAsia="宋体" w:cs="Times New Roman"/>
                <w:b w:val="0"/>
                <w:bCs w:val="0"/>
                <w:snapToGrid w:val="0"/>
                <w:color w:val="auto"/>
                <w:spacing w:val="-16"/>
                <w:kern w:val="21"/>
                <w:sz w:val="21"/>
                <w:szCs w:val="21"/>
              </w:rPr>
              <w:t>以新带老削减量（新建项目不填）</w:t>
            </w:r>
            <w:r>
              <w:rPr>
                <w:rFonts w:hint="default" w:ascii="Times New Roman" w:hAnsi="Times New Roman" w:eastAsia="宋体" w:cs="Times New Roman"/>
                <w:b w:val="0"/>
                <w:bCs w:val="0"/>
                <w:snapToGrid w:val="0"/>
                <w:color w:val="auto"/>
                <w:spacing w:val="-16"/>
                <w:kern w:val="21"/>
                <w:sz w:val="21"/>
                <w:szCs w:val="21"/>
              </w:rPr>
              <w:fldChar w:fldCharType="begin"/>
            </w:r>
            <w:r>
              <w:rPr>
                <w:rFonts w:hint="default" w:ascii="Times New Roman" w:hAnsi="Times New Roman" w:eastAsia="宋体" w:cs="Times New Roman"/>
                <w:b w:val="0"/>
                <w:bCs w:val="0"/>
                <w:snapToGrid w:val="0"/>
                <w:color w:val="auto"/>
                <w:spacing w:val="-16"/>
                <w:kern w:val="21"/>
                <w:sz w:val="21"/>
                <w:szCs w:val="21"/>
              </w:rPr>
              <w:instrText xml:space="preserve"> = 5 \* GB3 \* MERGEFORMAT </w:instrText>
            </w:r>
            <w:r>
              <w:rPr>
                <w:rFonts w:hint="default" w:ascii="Times New Roman" w:hAnsi="Times New Roman" w:eastAsia="宋体" w:cs="Times New Roman"/>
                <w:b w:val="0"/>
                <w:bCs w:val="0"/>
                <w:snapToGrid w:val="0"/>
                <w:color w:val="auto"/>
                <w:spacing w:val="-16"/>
                <w:kern w:val="21"/>
                <w:sz w:val="21"/>
                <w:szCs w:val="21"/>
              </w:rPr>
              <w:fldChar w:fldCharType="separate"/>
            </w:r>
            <w:r>
              <w:rPr>
                <w:rFonts w:hint="default" w:ascii="Times New Roman" w:hAnsi="Times New Roman" w:eastAsia="宋体" w:cs="Times New Roman"/>
                <w:b w:val="0"/>
                <w:bCs w:val="0"/>
                <w:color w:val="auto"/>
                <w:kern w:val="2"/>
                <w:sz w:val="21"/>
                <w:szCs w:val="21"/>
              </w:rPr>
              <w:t>⑤</w:t>
            </w:r>
            <w:r>
              <w:rPr>
                <w:rFonts w:hint="default" w:ascii="Times New Roman" w:hAnsi="Times New Roman" w:eastAsia="宋体" w:cs="Times New Roman"/>
                <w:b w:val="0"/>
                <w:bCs w:val="0"/>
                <w:snapToGrid w:val="0"/>
                <w:color w:val="auto"/>
                <w:spacing w:val="-16"/>
                <w:kern w:val="21"/>
                <w:sz w:val="21"/>
                <w:szCs w:val="21"/>
              </w:rPr>
              <w:fldChar w:fldCharType="end"/>
            </w:r>
          </w:p>
        </w:tc>
        <w:tc>
          <w:tcPr>
            <w:tcW w:w="0" w:type="auto"/>
            <w:tcMar>
              <w:left w:w="28" w:type="dxa"/>
              <w:right w:w="28" w:type="dxa"/>
            </w:tcMar>
            <w:vAlign w:val="center"/>
          </w:tcPr>
          <w:p w14:paraId="1CCF849C">
            <w:pPr>
              <w:pStyle w:val="52"/>
              <w:spacing w:beforeLines="0" w:afterLines="0" w:line="240" w:lineRule="auto"/>
              <w:rPr>
                <w:rFonts w:hint="default" w:ascii="Times New Roman" w:hAnsi="Times New Roman" w:eastAsia="宋体" w:cs="Times New Roman"/>
                <w:b w:val="0"/>
                <w:bCs w:val="0"/>
                <w:snapToGrid w:val="0"/>
                <w:color w:val="auto"/>
                <w:spacing w:val="-16"/>
                <w:kern w:val="21"/>
                <w:sz w:val="21"/>
                <w:szCs w:val="21"/>
              </w:rPr>
            </w:pPr>
            <w:r>
              <w:rPr>
                <w:rFonts w:hint="default" w:ascii="Times New Roman" w:hAnsi="Times New Roman" w:eastAsia="宋体" w:cs="Times New Roman"/>
                <w:b w:val="0"/>
                <w:bCs w:val="0"/>
                <w:snapToGrid w:val="0"/>
                <w:color w:val="auto"/>
                <w:spacing w:val="-16"/>
                <w:kern w:val="21"/>
                <w:sz w:val="21"/>
                <w:szCs w:val="21"/>
              </w:rPr>
              <w:t>本项目建成后全厂排放量（固体废物产生量）</w:t>
            </w:r>
            <w:r>
              <w:rPr>
                <w:rFonts w:hint="default" w:ascii="Times New Roman" w:hAnsi="Times New Roman" w:eastAsia="宋体" w:cs="Times New Roman"/>
                <w:b w:val="0"/>
                <w:bCs w:val="0"/>
                <w:snapToGrid w:val="0"/>
                <w:color w:val="auto"/>
                <w:spacing w:val="-16"/>
                <w:kern w:val="21"/>
                <w:sz w:val="21"/>
                <w:szCs w:val="21"/>
              </w:rPr>
              <w:fldChar w:fldCharType="begin"/>
            </w:r>
            <w:r>
              <w:rPr>
                <w:rFonts w:hint="default" w:ascii="Times New Roman" w:hAnsi="Times New Roman" w:eastAsia="宋体" w:cs="Times New Roman"/>
                <w:b w:val="0"/>
                <w:bCs w:val="0"/>
                <w:snapToGrid w:val="0"/>
                <w:color w:val="auto"/>
                <w:spacing w:val="-16"/>
                <w:kern w:val="21"/>
                <w:sz w:val="21"/>
                <w:szCs w:val="21"/>
              </w:rPr>
              <w:instrText xml:space="preserve"> = 6 \* GB3 \* MERGEFORMAT </w:instrText>
            </w:r>
            <w:r>
              <w:rPr>
                <w:rFonts w:hint="default" w:ascii="Times New Roman" w:hAnsi="Times New Roman" w:eastAsia="宋体" w:cs="Times New Roman"/>
                <w:b w:val="0"/>
                <w:bCs w:val="0"/>
                <w:snapToGrid w:val="0"/>
                <w:color w:val="auto"/>
                <w:spacing w:val="-16"/>
                <w:kern w:val="21"/>
                <w:sz w:val="21"/>
                <w:szCs w:val="21"/>
              </w:rPr>
              <w:fldChar w:fldCharType="separate"/>
            </w:r>
            <w:r>
              <w:rPr>
                <w:rFonts w:hint="default" w:ascii="Times New Roman" w:hAnsi="Times New Roman" w:eastAsia="宋体" w:cs="Times New Roman"/>
                <w:b w:val="0"/>
                <w:bCs w:val="0"/>
                <w:color w:val="auto"/>
                <w:kern w:val="2"/>
                <w:sz w:val="21"/>
                <w:szCs w:val="21"/>
              </w:rPr>
              <w:t>⑥</w:t>
            </w:r>
            <w:r>
              <w:rPr>
                <w:rFonts w:hint="default" w:ascii="Times New Roman" w:hAnsi="Times New Roman" w:eastAsia="宋体" w:cs="Times New Roman"/>
                <w:b w:val="0"/>
                <w:bCs w:val="0"/>
                <w:snapToGrid w:val="0"/>
                <w:color w:val="auto"/>
                <w:spacing w:val="-16"/>
                <w:kern w:val="21"/>
                <w:sz w:val="21"/>
                <w:szCs w:val="21"/>
              </w:rPr>
              <w:fldChar w:fldCharType="end"/>
            </w:r>
          </w:p>
        </w:tc>
        <w:tc>
          <w:tcPr>
            <w:tcW w:w="0" w:type="auto"/>
            <w:tcMar>
              <w:left w:w="28" w:type="dxa"/>
              <w:right w:w="28" w:type="dxa"/>
            </w:tcMar>
            <w:vAlign w:val="center"/>
          </w:tcPr>
          <w:p w14:paraId="261776F9">
            <w:pPr>
              <w:pStyle w:val="52"/>
              <w:spacing w:beforeLines="0" w:afterLines="0" w:line="240" w:lineRule="auto"/>
              <w:rPr>
                <w:rFonts w:hint="default" w:ascii="Times New Roman" w:hAnsi="Times New Roman" w:eastAsia="宋体" w:cs="Times New Roman"/>
                <w:b w:val="0"/>
                <w:bCs w:val="0"/>
                <w:snapToGrid w:val="0"/>
                <w:color w:val="auto"/>
                <w:spacing w:val="-6"/>
                <w:kern w:val="21"/>
                <w:sz w:val="21"/>
                <w:szCs w:val="21"/>
              </w:rPr>
            </w:pPr>
            <w:r>
              <w:rPr>
                <w:rFonts w:hint="default" w:ascii="Times New Roman" w:hAnsi="Times New Roman" w:eastAsia="宋体" w:cs="Times New Roman"/>
                <w:b w:val="0"/>
                <w:bCs w:val="0"/>
                <w:snapToGrid w:val="0"/>
                <w:color w:val="auto"/>
                <w:spacing w:val="-6"/>
                <w:kern w:val="21"/>
                <w:sz w:val="21"/>
                <w:szCs w:val="21"/>
              </w:rPr>
              <w:t>变化量</w:t>
            </w:r>
            <w:r>
              <w:rPr>
                <w:rFonts w:hint="default" w:ascii="Times New Roman" w:hAnsi="Times New Roman" w:eastAsia="宋体" w:cs="Times New Roman"/>
                <w:b w:val="0"/>
                <w:bCs w:val="0"/>
                <w:snapToGrid w:val="0"/>
                <w:color w:val="auto"/>
                <w:spacing w:val="-6"/>
                <w:kern w:val="21"/>
                <w:sz w:val="21"/>
                <w:szCs w:val="21"/>
              </w:rPr>
              <w:fldChar w:fldCharType="begin"/>
            </w:r>
            <w:r>
              <w:rPr>
                <w:rFonts w:hint="default" w:ascii="Times New Roman" w:hAnsi="Times New Roman" w:eastAsia="宋体" w:cs="Times New Roman"/>
                <w:b w:val="0"/>
                <w:bCs w:val="0"/>
                <w:snapToGrid w:val="0"/>
                <w:color w:val="auto"/>
                <w:spacing w:val="-6"/>
                <w:kern w:val="21"/>
                <w:sz w:val="21"/>
                <w:szCs w:val="21"/>
              </w:rPr>
              <w:instrText xml:space="preserve"> = 7 \* GB3 \* MERGEFORMAT </w:instrText>
            </w:r>
            <w:r>
              <w:rPr>
                <w:rFonts w:hint="default" w:ascii="Times New Roman" w:hAnsi="Times New Roman" w:eastAsia="宋体" w:cs="Times New Roman"/>
                <w:b w:val="0"/>
                <w:bCs w:val="0"/>
                <w:snapToGrid w:val="0"/>
                <w:color w:val="auto"/>
                <w:spacing w:val="-6"/>
                <w:kern w:val="21"/>
                <w:sz w:val="21"/>
                <w:szCs w:val="21"/>
              </w:rPr>
              <w:fldChar w:fldCharType="separate"/>
            </w:r>
            <w:r>
              <w:rPr>
                <w:rFonts w:hint="default" w:ascii="Times New Roman" w:hAnsi="Times New Roman" w:eastAsia="宋体" w:cs="Times New Roman"/>
                <w:b w:val="0"/>
                <w:bCs w:val="0"/>
                <w:color w:val="auto"/>
                <w:kern w:val="2"/>
                <w:sz w:val="21"/>
                <w:szCs w:val="21"/>
              </w:rPr>
              <w:t>⑦</w:t>
            </w:r>
            <w:r>
              <w:rPr>
                <w:rFonts w:hint="default" w:ascii="Times New Roman" w:hAnsi="Times New Roman" w:eastAsia="宋体" w:cs="Times New Roman"/>
                <w:b w:val="0"/>
                <w:bCs w:val="0"/>
                <w:snapToGrid w:val="0"/>
                <w:color w:val="auto"/>
                <w:spacing w:val="-6"/>
                <w:kern w:val="21"/>
                <w:sz w:val="21"/>
                <w:szCs w:val="21"/>
              </w:rPr>
              <w:fldChar w:fldCharType="end"/>
            </w:r>
          </w:p>
        </w:tc>
      </w:tr>
      <w:tr w14:paraId="3CDAD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restart"/>
            <w:vAlign w:val="center"/>
          </w:tcPr>
          <w:p w14:paraId="2F7F46AB">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废气</w:t>
            </w:r>
          </w:p>
        </w:tc>
        <w:tc>
          <w:tcPr>
            <w:tcW w:w="0" w:type="auto"/>
            <w:shd w:val="clear" w:color="auto" w:fill="auto"/>
            <w:vAlign w:val="center"/>
          </w:tcPr>
          <w:p w14:paraId="261A43F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非甲烷总烃</w:t>
            </w:r>
          </w:p>
        </w:tc>
        <w:tc>
          <w:tcPr>
            <w:tcW w:w="0" w:type="auto"/>
            <w:vAlign w:val="center"/>
          </w:tcPr>
          <w:p w14:paraId="58AD4672">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A7471B6">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03B14FB">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shd w:val="clear" w:color="auto" w:fill="auto"/>
            <w:vAlign w:val="center"/>
          </w:tcPr>
          <w:p w14:paraId="65A0AE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1068</w:t>
            </w:r>
            <w:r>
              <w:rPr>
                <w:rFonts w:hint="eastAsia" w:ascii="Times New Roman" w:hAnsi="Times New Roman" w:cs="Times New Roman"/>
                <w:color w:val="auto"/>
                <w:sz w:val="21"/>
                <w:szCs w:val="21"/>
                <w:lang w:val="en-US" w:eastAsia="zh-CN"/>
              </w:rPr>
              <w:t>kg/a</w:t>
            </w:r>
          </w:p>
        </w:tc>
        <w:tc>
          <w:tcPr>
            <w:tcW w:w="0" w:type="auto"/>
            <w:vAlign w:val="center"/>
          </w:tcPr>
          <w:p w14:paraId="60425D39">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2232" w:type="dxa"/>
            <w:shd w:val="clear" w:color="auto" w:fill="auto"/>
            <w:vAlign w:val="center"/>
          </w:tcPr>
          <w:p w14:paraId="6CFF437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1068</w:t>
            </w:r>
            <w:r>
              <w:rPr>
                <w:rFonts w:hint="eastAsia" w:ascii="Times New Roman" w:hAnsi="Times New Roman" w:cs="Times New Roman"/>
                <w:color w:val="auto"/>
                <w:sz w:val="21"/>
                <w:szCs w:val="21"/>
                <w:lang w:val="en-US" w:eastAsia="zh-CN"/>
              </w:rPr>
              <w:t>kg/a</w:t>
            </w:r>
          </w:p>
        </w:tc>
        <w:tc>
          <w:tcPr>
            <w:tcW w:w="1380" w:type="dxa"/>
            <w:shd w:val="clear" w:color="auto" w:fill="auto"/>
            <w:vAlign w:val="center"/>
          </w:tcPr>
          <w:p w14:paraId="17CD5FA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1068</w:t>
            </w:r>
            <w:r>
              <w:rPr>
                <w:rFonts w:hint="eastAsia" w:ascii="Times New Roman" w:hAnsi="Times New Roman" w:cs="Times New Roman"/>
                <w:color w:val="auto"/>
                <w:sz w:val="21"/>
                <w:szCs w:val="21"/>
                <w:lang w:val="en-US" w:eastAsia="zh-CN"/>
              </w:rPr>
              <w:t>kg/a</w:t>
            </w:r>
          </w:p>
        </w:tc>
      </w:tr>
      <w:tr w14:paraId="74B0D8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70BF1D3A">
            <w:pPr>
              <w:jc w:val="center"/>
              <w:rPr>
                <w:color w:val="auto"/>
              </w:rPr>
            </w:pPr>
          </w:p>
        </w:tc>
        <w:tc>
          <w:tcPr>
            <w:tcW w:w="0" w:type="auto"/>
            <w:shd w:val="clear" w:color="auto" w:fill="auto"/>
            <w:vAlign w:val="center"/>
          </w:tcPr>
          <w:p w14:paraId="7B3720D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硫酸雾</w:t>
            </w:r>
          </w:p>
        </w:tc>
        <w:tc>
          <w:tcPr>
            <w:tcW w:w="0" w:type="auto"/>
            <w:vAlign w:val="center"/>
          </w:tcPr>
          <w:p w14:paraId="558E9DDD">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CC73C3F">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F4DC292">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shd w:val="clear" w:color="auto" w:fill="auto"/>
            <w:vAlign w:val="center"/>
          </w:tcPr>
          <w:p w14:paraId="1D98926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0.725</w:t>
            </w:r>
            <w:r>
              <w:rPr>
                <w:rFonts w:hint="eastAsia" w:ascii="Times New Roman" w:hAnsi="Times New Roman" w:cs="Times New Roman"/>
                <w:color w:val="auto"/>
                <w:sz w:val="21"/>
                <w:szCs w:val="21"/>
                <w:lang w:val="en-US" w:eastAsia="zh-CN"/>
              </w:rPr>
              <w:t>kg/a</w:t>
            </w:r>
          </w:p>
        </w:tc>
        <w:tc>
          <w:tcPr>
            <w:tcW w:w="0" w:type="auto"/>
            <w:vAlign w:val="center"/>
          </w:tcPr>
          <w:p w14:paraId="2341213B">
            <w:pPr>
              <w:jc w:val="center"/>
              <w:rPr>
                <w:rFonts w:hint="default" w:ascii="Times New Roman" w:hAnsi="Times New Roman" w:eastAsia="宋体" w:cs="Times New Roman"/>
                <w:b w:val="0"/>
                <w:bCs w:val="0"/>
                <w:snapToGrid w:val="0"/>
                <w:color w:val="auto"/>
                <w:kern w:val="21"/>
                <w:sz w:val="21"/>
                <w:szCs w:val="21"/>
                <w:lang w:val="en-US" w:eastAsia="zh-CN"/>
              </w:rPr>
            </w:pPr>
            <w:r>
              <w:rPr>
                <w:rFonts w:hint="eastAsia" w:ascii="Times New Roman" w:hAnsi="Times New Roman" w:eastAsia="宋体" w:cs="Times New Roman"/>
                <w:b w:val="0"/>
                <w:bCs w:val="0"/>
                <w:snapToGrid w:val="0"/>
                <w:color w:val="auto"/>
                <w:kern w:val="21"/>
                <w:sz w:val="21"/>
                <w:szCs w:val="21"/>
                <w:lang w:val="en-US" w:eastAsia="zh-CN"/>
              </w:rPr>
              <w:t>/</w:t>
            </w:r>
          </w:p>
        </w:tc>
        <w:tc>
          <w:tcPr>
            <w:tcW w:w="2232" w:type="dxa"/>
            <w:shd w:val="clear" w:color="auto" w:fill="auto"/>
            <w:vAlign w:val="center"/>
          </w:tcPr>
          <w:p w14:paraId="11408B1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0.725</w:t>
            </w:r>
            <w:r>
              <w:rPr>
                <w:rFonts w:hint="eastAsia" w:ascii="Times New Roman" w:hAnsi="Times New Roman" w:cs="Times New Roman"/>
                <w:color w:val="auto"/>
                <w:sz w:val="21"/>
                <w:szCs w:val="21"/>
                <w:lang w:val="en-US" w:eastAsia="zh-CN"/>
              </w:rPr>
              <w:t>kg/a</w:t>
            </w:r>
          </w:p>
        </w:tc>
        <w:tc>
          <w:tcPr>
            <w:tcW w:w="1380" w:type="dxa"/>
            <w:shd w:val="clear" w:color="auto" w:fill="auto"/>
            <w:vAlign w:val="center"/>
          </w:tcPr>
          <w:p w14:paraId="52C69EC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+0.725</w:t>
            </w:r>
            <w:r>
              <w:rPr>
                <w:rFonts w:hint="eastAsia" w:ascii="Times New Roman" w:hAnsi="Times New Roman" w:cs="Times New Roman"/>
                <w:color w:val="auto"/>
                <w:sz w:val="21"/>
                <w:szCs w:val="21"/>
                <w:lang w:val="en-US" w:eastAsia="zh-CN"/>
              </w:rPr>
              <w:t>kg/a</w:t>
            </w:r>
          </w:p>
        </w:tc>
      </w:tr>
      <w:tr w14:paraId="727E34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55AED7F8">
            <w:pPr>
              <w:jc w:val="center"/>
              <w:rPr>
                <w:rFonts w:hint="default" w:ascii="Times New Roman" w:hAnsi="Times New Roman" w:eastAsia="宋体" w:cs="Times New Roman"/>
                <w:b w:val="0"/>
                <w:bCs w:val="0"/>
                <w:snapToGrid w:val="0"/>
                <w:color w:val="auto"/>
                <w:kern w:val="21"/>
                <w:sz w:val="21"/>
                <w:szCs w:val="21"/>
              </w:rPr>
            </w:pPr>
          </w:p>
        </w:tc>
        <w:tc>
          <w:tcPr>
            <w:tcW w:w="0" w:type="auto"/>
            <w:shd w:val="clear" w:color="auto" w:fill="auto"/>
            <w:vAlign w:val="center"/>
          </w:tcPr>
          <w:p w14:paraId="406A9B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氯化氢</w:t>
            </w:r>
          </w:p>
        </w:tc>
        <w:tc>
          <w:tcPr>
            <w:tcW w:w="0" w:type="auto"/>
            <w:vAlign w:val="center"/>
          </w:tcPr>
          <w:p w14:paraId="2DFDB4BC">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3924D7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004B9E6">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shd w:val="clear" w:color="auto" w:fill="auto"/>
            <w:vAlign w:val="center"/>
          </w:tcPr>
          <w:p w14:paraId="639668C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311</w:t>
            </w:r>
            <w:r>
              <w:rPr>
                <w:rFonts w:hint="eastAsia" w:ascii="Times New Roman" w:hAnsi="Times New Roman" w:cs="Times New Roman"/>
                <w:color w:val="auto"/>
                <w:sz w:val="21"/>
                <w:szCs w:val="21"/>
                <w:lang w:val="en-US" w:eastAsia="zh-CN"/>
              </w:rPr>
              <w:t>kg/a</w:t>
            </w:r>
          </w:p>
        </w:tc>
        <w:tc>
          <w:tcPr>
            <w:tcW w:w="0" w:type="auto"/>
            <w:vAlign w:val="center"/>
          </w:tcPr>
          <w:p w14:paraId="62B1A439">
            <w:pPr>
              <w:jc w:val="center"/>
              <w:rPr>
                <w:rFonts w:hint="eastAsia" w:ascii="Times New Roman" w:hAnsi="Times New Roman" w:eastAsia="宋体" w:cs="Times New Roman"/>
                <w:b w:val="0"/>
                <w:bCs w:val="0"/>
                <w:snapToGrid w:val="0"/>
                <w:color w:val="auto"/>
                <w:kern w:val="21"/>
                <w:sz w:val="21"/>
                <w:szCs w:val="21"/>
                <w:lang w:val="en-US" w:eastAsia="zh-CN"/>
              </w:rPr>
            </w:pPr>
            <w:r>
              <w:rPr>
                <w:rFonts w:hint="eastAsia" w:ascii="Times New Roman" w:hAnsi="Times New Roman" w:eastAsia="宋体" w:cs="Times New Roman"/>
                <w:b w:val="0"/>
                <w:bCs w:val="0"/>
                <w:snapToGrid w:val="0"/>
                <w:color w:val="auto"/>
                <w:kern w:val="21"/>
                <w:sz w:val="21"/>
                <w:szCs w:val="21"/>
                <w:lang w:val="en-US" w:eastAsia="zh-CN"/>
              </w:rPr>
              <w:t>/</w:t>
            </w:r>
          </w:p>
        </w:tc>
        <w:tc>
          <w:tcPr>
            <w:tcW w:w="2232" w:type="dxa"/>
            <w:shd w:val="clear" w:color="auto" w:fill="auto"/>
            <w:vAlign w:val="center"/>
          </w:tcPr>
          <w:p w14:paraId="2BE4DAC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311</w:t>
            </w:r>
            <w:r>
              <w:rPr>
                <w:rFonts w:hint="eastAsia" w:ascii="Times New Roman" w:hAnsi="Times New Roman" w:cs="Times New Roman"/>
                <w:color w:val="auto"/>
                <w:sz w:val="21"/>
                <w:szCs w:val="21"/>
                <w:lang w:val="en-US" w:eastAsia="zh-CN"/>
              </w:rPr>
              <w:t>kg/a</w:t>
            </w:r>
          </w:p>
        </w:tc>
        <w:tc>
          <w:tcPr>
            <w:tcW w:w="1380" w:type="dxa"/>
            <w:shd w:val="clear" w:color="auto" w:fill="auto"/>
            <w:vAlign w:val="center"/>
          </w:tcPr>
          <w:p w14:paraId="765E26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311</w:t>
            </w:r>
            <w:r>
              <w:rPr>
                <w:rFonts w:hint="eastAsia" w:ascii="Times New Roman" w:hAnsi="Times New Roman" w:cs="Times New Roman"/>
                <w:color w:val="auto"/>
                <w:sz w:val="21"/>
                <w:szCs w:val="21"/>
                <w:lang w:val="en-US" w:eastAsia="zh-CN"/>
              </w:rPr>
              <w:t>kg/a</w:t>
            </w:r>
          </w:p>
        </w:tc>
      </w:tr>
      <w:tr w14:paraId="3B9F3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337D2A9E">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shd w:val="clear" w:color="auto" w:fill="auto"/>
            <w:vAlign w:val="center"/>
          </w:tcPr>
          <w:p w14:paraId="0C8AD36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氮氧化物</w:t>
            </w:r>
          </w:p>
        </w:tc>
        <w:tc>
          <w:tcPr>
            <w:tcW w:w="0" w:type="auto"/>
            <w:vAlign w:val="center"/>
          </w:tcPr>
          <w:p w14:paraId="44DCFF8B">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D444B43">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0084C63">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shd w:val="clear" w:color="auto" w:fill="auto"/>
            <w:vAlign w:val="center"/>
          </w:tcPr>
          <w:p w14:paraId="096766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322</w:t>
            </w:r>
            <w:r>
              <w:rPr>
                <w:rFonts w:hint="eastAsia" w:ascii="Times New Roman" w:hAnsi="Times New Roman" w:cs="Times New Roman"/>
                <w:color w:val="auto"/>
                <w:sz w:val="21"/>
                <w:szCs w:val="21"/>
                <w:lang w:val="en-US" w:eastAsia="zh-CN"/>
              </w:rPr>
              <w:t>kg/a</w:t>
            </w:r>
          </w:p>
        </w:tc>
        <w:tc>
          <w:tcPr>
            <w:tcW w:w="0" w:type="auto"/>
            <w:vAlign w:val="center"/>
          </w:tcPr>
          <w:p w14:paraId="5ECD81CD">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2232" w:type="dxa"/>
            <w:shd w:val="clear" w:color="auto" w:fill="auto"/>
            <w:vAlign w:val="center"/>
          </w:tcPr>
          <w:p w14:paraId="0CF974C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322</w:t>
            </w:r>
            <w:r>
              <w:rPr>
                <w:rFonts w:hint="eastAsia" w:ascii="Times New Roman" w:hAnsi="Times New Roman" w:cs="Times New Roman"/>
                <w:color w:val="auto"/>
                <w:sz w:val="21"/>
                <w:szCs w:val="21"/>
                <w:lang w:val="en-US" w:eastAsia="zh-CN"/>
              </w:rPr>
              <w:t>kg/a</w:t>
            </w:r>
          </w:p>
        </w:tc>
        <w:tc>
          <w:tcPr>
            <w:tcW w:w="1380" w:type="dxa"/>
            <w:shd w:val="clear" w:color="auto" w:fill="auto"/>
            <w:vAlign w:val="center"/>
          </w:tcPr>
          <w:p w14:paraId="5901F84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0.</w:t>
            </w:r>
            <w:r>
              <w:rPr>
                <w:rFonts w:hint="eastAsia" w:cs="Times New Roman"/>
                <w:color w:val="auto"/>
                <w:sz w:val="21"/>
                <w:szCs w:val="21"/>
                <w:lang w:val="en-US" w:eastAsia="zh-CN"/>
              </w:rPr>
              <w:t>322</w:t>
            </w:r>
            <w:r>
              <w:rPr>
                <w:rFonts w:hint="eastAsia" w:ascii="Times New Roman" w:hAnsi="Times New Roman" w:cs="Times New Roman"/>
                <w:color w:val="auto"/>
                <w:sz w:val="21"/>
                <w:szCs w:val="21"/>
                <w:lang w:val="en-US" w:eastAsia="zh-CN"/>
              </w:rPr>
              <w:t>kg/a</w:t>
            </w:r>
          </w:p>
        </w:tc>
      </w:tr>
      <w:tr w14:paraId="0DCC4A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65B5C6F6">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shd w:val="clear" w:color="auto" w:fill="auto"/>
            <w:vAlign w:val="center"/>
          </w:tcPr>
          <w:p w14:paraId="2B8FD63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氨</w:t>
            </w:r>
          </w:p>
        </w:tc>
        <w:tc>
          <w:tcPr>
            <w:tcW w:w="0" w:type="auto"/>
            <w:vAlign w:val="center"/>
          </w:tcPr>
          <w:p w14:paraId="481AB255">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43384E5B">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222CCFA">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shd w:val="clear" w:color="auto" w:fill="auto"/>
            <w:vAlign w:val="center"/>
          </w:tcPr>
          <w:p w14:paraId="6C1E7D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0.00045kg/a</w:t>
            </w:r>
          </w:p>
        </w:tc>
        <w:tc>
          <w:tcPr>
            <w:tcW w:w="0" w:type="auto"/>
            <w:vAlign w:val="center"/>
          </w:tcPr>
          <w:p w14:paraId="68BF441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shd w:val="clear" w:color="auto" w:fill="auto"/>
            <w:vAlign w:val="center"/>
          </w:tcPr>
          <w:p w14:paraId="0CA44A3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0.00045kg/a</w:t>
            </w:r>
          </w:p>
        </w:tc>
        <w:tc>
          <w:tcPr>
            <w:tcW w:w="0" w:type="auto"/>
            <w:shd w:val="clear" w:color="auto" w:fill="auto"/>
            <w:vAlign w:val="center"/>
          </w:tcPr>
          <w:p w14:paraId="15C0501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+0.00045kg/a</w:t>
            </w:r>
          </w:p>
        </w:tc>
      </w:tr>
      <w:tr w14:paraId="17712D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restart"/>
            <w:vAlign w:val="center"/>
          </w:tcPr>
          <w:p w14:paraId="7143D4E8">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废水</w:t>
            </w:r>
          </w:p>
        </w:tc>
        <w:tc>
          <w:tcPr>
            <w:tcW w:w="0" w:type="auto"/>
            <w:vAlign w:val="center"/>
          </w:tcPr>
          <w:p w14:paraId="524BC616">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废水量</w:t>
            </w:r>
          </w:p>
        </w:tc>
        <w:tc>
          <w:tcPr>
            <w:tcW w:w="0" w:type="auto"/>
            <w:vAlign w:val="center"/>
          </w:tcPr>
          <w:p w14:paraId="3FFB12EF">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E12259B">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939696D">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A8E4453">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eastAsia" w:ascii="Times New Roman" w:cs="Times New Roman"/>
                <w:b w:val="0"/>
                <w:bCs w:val="0"/>
                <w:color w:val="auto"/>
                <w:sz w:val="21"/>
                <w:szCs w:val="21"/>
                <w:lang w:val="en-US" w:eastAsia="zh-CN"/>
              </w:rPr>
              <w:t>144.33</w:t>
            </w:r>
            <w:r>
              <w:rPr>
                <w:rFonts w:hint="default" w:ascii="Times New Roman" w:hAnsi="Times New Roman" w:eastAsia="宋体" w:cs="Times New Roman"/>
                <w:b w:val="0"/>
                <w:bCs w:val="0"/>
                <w:color w:val="auto"/>
                <w:sz w:val="21"/>
                <w:szCs w:val="21"/>
              </w:rPr>
              <w:t>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/a</w:t>
            </w:r>
          </w:p>
        </w:tc>
        <w:tc>
          <w:tcPr>
            <w:tcW w:w="0" w:type="auto"/>
            <w:vAlign w:val="center"/>
          </w:tcPr>
          <w:p w14:paraId="6EE01A29">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6589A52">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eastAsia" w:ascii="Times New Roman" w:cs="Times New Roman"/>
                <w:b w:val="0"/>
                <w:bCs w:val="0"/>
                <w:color w:val="auto"/>
                <w:sz w:val="21"/>
                <w:szCs w:val="21"/>
                <w:lang w:val="en-US" w:eastAsia="zh-CN"/>
              </w:rPr>
              <w:t>144.33</w:t>
            </w:r>
            <w:r>
              <w:rPr>
                <w:rFonts w:hint="default" w:ascii="Times New Roman" w:hAnsi="Times New Roman" w:eastAsia="宋体" w:cs="Times New Roman"/>
                <w:b w:val="0"/>
                <w:bCs w:val="0"/>
                <w:color w:val="auto"/>
                <w:sz w:val="21"/>
                <w:szCs w:val="21"/>
              </w:rPr>
              <w:t>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/a</w:t>
            </w:r>
          </w:p>
        </w:tc>
        <w:tc>
          <w:tcPr>
            <w:tcW w:w="0" w:type="auto"/>
            <w:vAlign w:val="center"/>
          </w:tcPr>
          <w:p w14:paraId="30250658">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color w:val="auto"/>
                <w:sz w:val="21"/>
                <w:szCs w:val="21"/>
              </w:rPr>
              <w:t>+</w:t>
            </w:r>
            <w:r>
              <w:rPr>
                <w:rFonts w:hint="eastAsia" w:ascii="Times New Roman" w:cs="Times New Roman"/>
                <w:b w:val="0"/>
                <w:bCs w:val="0"/>
                <w:color w:val="auto"/>
                <w:sz w:val="21"/>
                <w:szCs w:val="21"/>
                <w:lang w:val="en-US" w:eastAsia="zh-CN"/>
              </w:rPr>
              <w:t>144.33</w:t>
            </w:r>
            <w:r>
              <w:rPr>
                <w:rFonts w:hint="default" w:ascii="Times New Roman" w:hAnsi="Times New Roman" w:eastAsia="宋体" w:cs="Times New Roman"/>
                <w:b w:val="0"/>
                <w:bCs w:val="0"/>
                <w:color w:val="auto"/>
                <w:sz w:val="21"/>
                <w:szCs w:val="21"/>
              </w:rPr>
              <w:t>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/a</w:t>
            </w:r>
          </w:p>
        </w:tc>
      </w:tr>
      <w:tr w14:paraId="00218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6BED0396">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7EAF8660">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COD</w:t>
            </w:r>
          </w:p>
        </w:tc>
        <w:tc>
          <w:tcPr>
            <w:tcW w:w="0" w:type="auto"/>
            <w:vAlign w:val="center"/>
          </w:tcPr>
          <w:p w14:paraId="2EC31EDE">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E83E63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523B55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5F04030">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lang w:val="en-US" w:eastAsia="zh-CN"/>
              </w:rPr>
              <w:t>0.0</w:t>
            </w:r>
            <w:r>
              <w:rPr>
                <w:rFonts w:hint="eastAsia" w:ascii="Times New Roman" w:cs="Times New Roman"/>
                <w:b w:val="0"/>
                <w:bCs w:val="0"/>
                <w:snapToGrid w:val="0"/>
                <w:color w:val="auto"/>
                <w:kern w:val="21"/>
                <w:sz w:val="21"/>
                <w:szCs w:val="21"/>
                <w:lang w:val="en-US" w:eastAsia="zh-CN"/>
              </w:rPr>
              <w:t>546</w:t>
            </w:r>
            <w:r>
              <w:rPr>
                <w:rFonts w:hint="default" w:ascii="Times New Roman" w:hAnsi="Times New Roman" w:eastAsia="宋体" w:cs="Times New Roman"/>
                <w:b w:val="0"/>
                <w:bCs w:val="0"/>
                <w:snapToGrid w:val="0"/>
                <w:color w:val="auto"/>
                <w:kern w:val="21"/>
                <w:sz w:val="21"/>
                <w:szCs w:val="21"/>
              </w:rPr>
              <w:t>t/a</w:t>
            </w:r>
          </w:p>
        </w:tc>
        <w:tc>
          <w:tcPr>
            <w:tcW w:w="0" w:type="auto"/>
            <w:vAlign w:val="center"/>
          </w:tcPr>
          <w:p w14:paraId="1CDB683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839429F">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lang w:val="en-US" w:eastAsia="zh-CN"/>
              </w:rPr>
              <w:t>0.0</w:t>
            </w:r>
            <w:r>
              <w:rPr>
                <w:rFonts w:hint="eastAsia" w:ascii="Times New Roman" w:cs="Times New Roman"/>
                <w:b w:val="0"/>
                <w:bCs w:val="0"/>
                <w:snapToGrid w:val="0"/>
                <w:color w:val="auto"/>
                <w:kern w:val="21"/>
                <w:sz w:val="21"/>
                <w:szCs w:val="21"/>
                <w:lang w:val="en-US" w:eastAsia="zh-CN"/>
              </w:rPr>
              <w:t>546</w:t>
            </w:r>
            <w:r>
              <w:rPr>
                <w:rFonts w:hint="default" w:ascii="Times New Roman" w:hAnsi="Times New Roman" w:eastAsia="宋体" w:cs="Times New Roman"/>
                <w:b w:val="0"/>
                <w:bCs w:val="0"/>
                <w:snapToGrid w:val="0"/>
                <w:color w:val="auto"/>
                <w:kern w:val="21"/>
                <w:sz w:val="21"/>
                <w:szCs w:val="21"/>
              </w:rPr>
              <w:t>t/a</w:t>
            </w:r>
          </w:p>
        </w:tc>
        <w:tc>
          <w:tcPr>
            <w:tcW w:w="0" w:type="auto"/>
            <w:vAlign w:val="center"/>
          </w:tcPr>
          <w:p w14:paraId="37BD9C4A">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snapToGrid w:val="0"/>
                <w:color w:val="auto"/>
                <w:kern w:val="21"/>
                <w:sz w:val="21"/>
                <w:szCs w:val="21"/>
                <w:lang w:val="en-US" w:eastAsia="zh-CN"/>
              </w:rPr>
              <w:t>+</w:t>
            </w:r>
            <w:r>
              <w:rPr>
                <w:rFonts w:hint="default" w:ascii="Times New Roman" w:hAnsi="Times New Roman" w:eastAsia="宋体" w:cs="Times New Roman"/>
                <w:b w:val="0"/>
                <w:bCs w:val="0"/>
                <w:snapToGrid w:val="0"/>
                <w:color w:val="auto"/>
                <w:kern w:val="21"/>
                <w:sz w:val="21"/>
                <w:szCs w:val="21"/>
                <w:lang w:val="en-US" w:eastAsia="zh-CN"/>
              </w:rPr>
              <w:t>0.0</w:t>
            </w:r>
            <w:r>
              <w:rPr>
                <w:rFonts w:hint="eastAsia" w:ascii="Times New Roman" w:cs="Times New Roman"/>
                <w:b w:val="0"/>
                <w:bCs w:val="0"/>
                <w:snapToGrid w:val="0"/>
                <w:color w:val="auto"/>
                <w:kern w:val="21"/>
                <w:sz w:val="21"/>
                <w:szCs w:val="21"/>
                <w:lang w:val="en-US" w:eastAsia="zh-CN"/>
              </w:rPr>
              <w:t>546</w:t>
            </w:r>
            <w:r>
              <w:rPr>
                <w:rFonts w:hint="default" w:ascii="Times New Roman" w:hAnsi="Times New Roman" w:eastAsia="宋体" w:cs="Times New Roman"/>
                <w:b w:val="0"/>
                <w:bCs w:val="0"/>
                <w:snapToGrid w:val="0"/>
                <w:color w:val="auto"/>
                <w:kern w:val="21"/>
                <w:sz w:val="21"/>
                <w:szCs w:val="21"/>
              </w:rPr>
              <w:t>t/a</w:t>
            </w:r>
          </w:p>
        </w:tc>
      </w:tr>
      <w:tr w14:paraId="03A211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20D7614D">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01BC82FF">
            <w:pPr>
              <w:pStyle w:val="37"/>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BOD</w:t>
            </w:r>
            <w:r>
              <w:rPr>
                <w:rFonts w:hint="default" w:ascii="Times New Roman" w:hAnsi="Times New Roman" w:eastAsia="宋体" w:cs="Times New Roman"/>
                <w:b w:val="0"/>
                <w:bCs w:val="0"/>
                <w:snapToGrid w:val="0"/>
                <w:color w:val="auto"/>
                <w:kern w:val="21"/>
                <w:sz w:val="21"/>
                <w:szCs w:val="21"/>
                <w:vertAlign w:val="subscript"/>
              </w:rPr>
              <w:t>5</w:t>
            </w:r>
          </w:p>
        </w:tc>
        <w:tc>
          <w:tcPr>
            <w:tcW w:w="0" w:type="auto"/>
            <w:vAlign w:val="center"/>
          </w:tcPr>
          <w:p w14:paraId="37FA1F1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187A6E1">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C19B0F9">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0A712E1">
            <w:pPr>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snapToGrid w:val="0"/>
                <w:color w:val="auto"/>
                <w:kern w:val="21"/>
                <w:sz w:val="21"/>
                <w:szCs w:val="21"/>
                <w:lang w:val="en-US" w:eastAsia="zh-CN"/>
              </w:rPr>
              <w:t>0.0</w:t>
            </w:r>
            <w:r>
              <w:rPr>
                <w:rFonts w:hint="eastAsia" w:cs="Times New Roman"/>
                <w:b w:val="0"/>
                <w:bCs w:val="0"/>
                <w:snapToGrid w:val="0"/>
                <w:color w:val="auto"/>
                <w:kern w:val="21"/>
                <w:sz w:val="21"/>
                <w:szCs w:val="21"/>
                <w:lang w:val="en-US" w:eastAsia="zh-CN"/>
              </w:rPr>
              <w:t>314t</w:t>
            </w:r>
            <w:r>
              <w:rPr>
                <w:rFonts w:hint="default" w:ascii="Times New Roman" w:hAnsi="Times New Roman" w:eastAsia="宋体" w:cs="Times New Roman"/>
                <w:b w:val="0"/>
                <w:bCs w:val="0"/>
                <w:snapToGrid w:val="0"/>
                <w:color w:val="auto"/>
                <w:kern w:val="21"/>
                <w:sz w:val="21"/>
                <w:szCs w:val="21"/>
              </w:rPr>
              <w:t>/a</w:t>
            </w:r>
          </w:p>
        </w:tc>
        <w:tc>
          <w:tcPr>
            <w:tcW w:w="0" w:type="auto"/>
            <w:vAlign w:val="center"/>
          </w:tcPr>
          <w:p w14:paraId="448C1416">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4CEB5B5F">
            <w:pPr>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snapToGrid w:val="0"/>
                <w:color w:val="auto"/>
                <w:kern w:val="21"/>
                <w:sz w:val="21"/>
                <w:szCs w:val="21"/>
                <w:lang w:val="en-US" w:eastAsia="zh-CN"/>
              </w:rPr>
              <w:t>0.0</w:t>
            </w:r>
            <w:r>
              <w:rPr>
                <w:rFonts w:hint="eastAsia" w:cs="Times New Roman"/>
                <w:b w:val="0"/>
                <w:bCs w:val="0"/>
                <w:snapToGrid w:val="0"/>
                <w:color w:val="auto"/>
                <w:kern w:val="21"/>
                <w:sz w:val="21"/>
                <w:szCs w:val="21"/>
                <w:lang w:val="en-US" w:eastAsia="zh-CN"/>
              </w:rPr>
              <w:t>314t</w:t>
            </w:r>
            <w:r>
              <w:rPr>
                <w:rFonts w:hint="default" w:ascii="Times New Roman" w:hAnsi="Times New Roman" w:eastAsia="宋体" w:cs="Times New Roman"/>
                <w:b w:val="0"/>
                <w:bCs w:val="0"/>
                <w:snapToGrid w:val="0"/>
                <w:color w:val="auto"/>
                <w:kern w:val="21"/>
                <w:sz w:val="21"/>
                <w:szCs w:val="21"/>
              </w:rPr>
              <w:t>/a</w:t>
            </w:r>
          </w:p>
        </w:tc>
        <w:tc>
          <w:tcPr>
            <w:tcW w:w="0" w:type="auto"/>
            <w:vAlign w:val="center"/>
          </w:tcPr>
          <w:p w14:paraId="7C1D1B02">
            <w:pPr>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snapToGrid w:val="0"/>
                <w:color w:val="auto"/>
                <w:kern w:val="21"/>
                <w:sz w:val="21"/>
                <w:szCs w:val="21"/>
                <w:lang w:val="en-US" w:eastAsia="zh-CN"/>
              </w:rPr>
              <w:t>+0.0</w:t>
            </w:r>
            <w:r>
              <w:rPr>
                <w:rFonts w:hint="eastAsia" w:cs="Times New Roman"/>
                <w:b w:val="0"/>
                <w:bCs w:val="0"/>
                <w:snapToGrid w:val="0"/>
                <w:color w:val="auto"/>
                <w:kern w:val="21"/>
                <w:sz w:val="21"/>
                <w:szCs w:val="21"/>
                <w:lang w:val="en-US" w:eastAsia="zh-CN"/>
              </w:rPr>
              <w:t>314t</w:t>
            </w:r>
            <w:r>
              <w:rPr>
                <w:rFonts w:hint="default" w:ascii="Times New Roman" w:hAnsi="Times New Roman" w:eastAsia="宋体" w:cs="Times New Roman"/>
                <w:b w:val="0"/>
                <w:bCs w:val="0"/>
                <w:snapToGrid w:val="0"/>
                <w:color w:val="auto"/>
                <w:kern w:val="21"/>
                <w:sz w:val="21"/>
                <w:szCs w:val="21"/>
              </w:rPr>
              <w:t>/a</w:t>
            </w:r>
          </w:p>
        </w:tc>
      </w:tr>
      <w:tr w14:paraId="22644B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7B7B3DA0">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41F80A60">
            <w:pPr>
              <w:pStyle w:val="37"/>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NH</w:t>
            </w:r>
            <w:r>
              <w:rPr>
                <w:rFonts w:hint="default" w:ascii="Times New Roman" w:hAnsi="Times New Roman" w:eastAsia="宋体" w:cs="Times New Roman"/>
                <w:b w:val="0"/>
                <w:bCs w:val="0"/>
                <w:snapToGrid w:val="0"/>
                <w:color w:val="auto"/>
                <w:kern w:val="21"/>
                <w:sz w:val="21"/>
                <w:szCs w:val="21"/>
                <w:vertAlign w:val="subscript"/>
              </w:rPr>
              <w:t>3</w:t>
            </w:r>
            <w:r>
              <w:rPr>
                <w:rFonts w:hint="default" w:ascii="Times New Roman" w:hAnsi="Times New Roman" w:eastAsia="宋体" w:cs="Times New Roman"/>
                <w:b w:val="0"/>
                <w:bCs w:val="0"/>
                <w:snapToGrid w:val="0"/>
                <w:color w:val="auto"/>
                <w:kern w:val="21"/>
                <w:sz w:val="21"/>
                <w:szCs w:val="21"/>
              </w:rPr>
              <w:t>-N</w:t>
            </w:r>
          </w:p>
        </w:tc>
        <w:tc>
          <w:tcPr>
            <w:tcW w:w="0" w:type="auto"/>
            <w:vAlign w:val="center"/>
          </w:tcPr>
          <w:p w14:paraId="63B2EA67">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1D74FFA">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C240C81">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E006CCF">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0.00</w:t>
            </w:r>
            <w:r>
              <w:rPr>
                <w:rFonts w:hint="eastAsia" w:cs="Times New Roman"/>
                <w:b w:val="0"/>
                <w:bCs w:val="0"/>
                <w:snapToGrid w:val="0"/>
                <w:color w:val="auto"/>
                <w:kern w:val="21"/>
                <w:sz w:val="21"/>
                <w:szCs w:val="21"/>
                <w:lang w:val="en-US" w:eastAsia="zh-CN"/>
              </w:rPr>
              <w:t>45</w:t>
            </w:r>
            <w:r>
              <w:rPr>
                <w:rFonts w:hint="default" w:ascii="Times New Roman" w:hAnsi="Times New Roman" w:eastAsia="宋体" w:cs="Times New Roman"/>
                <w:b w:val="0"/>
                <w:bCs w:val="0"/>
                <w:snapToGrid w:val="0"/>
                <w:color w:val="auto"/>
                <w:kern w:val="21"/>
                <w:sz w:val="21"/>
                <w:szCs w:val="21"/>
              </w:rPr>
              <w:t>t/a</w:t>
            </w:r>
          </w:p>
        </w:tc>
        <w:tc>
          <w:tcPr>
            <w:tcW w:w="0" w:type="auto"/>
            <w:vAlign w:val="center"/>
          </w:tcPr>
          <w:p w14:paraId="615B00A9">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B354DD3">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0.00</w:t>
            </w:r>
            <w:r>
              <w:rPr>
                <w:rFonts w:hint="default" w:ascii="Times New Roman" w:hAnsi="Times New Roman" w:eastAsia="宋体" w:cs="Times New Roman"/>
                <w:b w:val="0"/>
                <w:bCs w:val="0"/>
                <w:snapToGrid w:val="0"/>
                <w:color w:val="auto"/>
                <w:kern w:val="21"/>
                <w:sz w:val="21"/>
                <w:szCs w:val="21"/>
                <w:lang w:val="en-US" w:eastAsia="zh-CN"/>
              </w:rPr>
              <w:t>45</w:t>
            </w:r>
            <w:r>
              <w:rPr>
                <w:rFonts w:hint="default" w:ascii="Times New Roman" w:hAnsi="Times New Roman" w:eastAsia="宋体" w:cs="Times New Roman"/>
                <w:b w:val="0"/>
                <w:bCs w:val="0"/>
                <w:snapToGrid w:val="0"/>
                <w:color w:val="auto"/>
                <w:kern w:val="21"/>
                <w:sz w:val="21"/>
                <w:szCs w:val="21"/>
              </w:rPr>
              <w:t>t/a</w:t>
            </w:r>
          </w:p>
        </w:tc>
        <w:tc>
          <w:tcPr>
            <w:tcW w:w="0" w:type="auto"/>
            <w:vAlign w:val="center"/>
          </w:tcPr>
          <w:p w14:paraId="46F79036">
            <w:pPr>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snapToGrid w:val="0"/>
                <w:color w:val="auto"/>
                <w:kern w:val="21"/>
                <w:sz w:val="21"/>
                <w:szCs w:val="21"/>
                <w:lang w:val="en-US" w:eastAsia="zh-CN"/>
              </w:rPr>
              <w:t>+</w:t>
            </w:r>
            <w:r>
              <w:rPr>
                <w:rFonts w:hint="default" w:ascii="Times New Roman" w:hAnsi="Times New Roman" w:eastAsia="宋体" w:cs="Times New Roman"/>
                <w:b w:val="0"/>
                <w:bCs w:val="0"/>
                <w:snapToGrid w:val="0"/>
                <w:color w:val="auto"/>
                <w:kern w:val="21"/>
                <w:sz w:val="21"/>
                <w:szCs w:val="21"/>
              </w:rPr>
              <w:t>0.00</w:t>
            </w:r>
            <w:r>
              <w:rPr>
                <w:rFonts w:hint="default" w:ascii="Times New Roman" w:hAnsi="Times New Roman" w:eastAsia="宋体" w:cs="Times New Roman"/>
                <w:b w:val="0"/>
                <w:bCs w:val="0"/>
                <w:snapToGrid w:val="0"/>
                <w:color w:val="auto"/>
                <w:kern w:val="21"/>
                <w:sz w:val="21"/>
                <w:szCs w:val="21"/>
                <w:lang w:val="en-US" w:eastAsia="zh-CN"/>
              </w:rPr>
              <w:t>45</w:t>
            </w:r>
            <w:r>
              <w:rPr>
                <w:rFonts w:hint="default" w:ascii="Times New Roman" w:hAnsi="Times New Roman" w:eastAsia="宋体" w:cs="Times New Roman"/>
                <w:b w:val="0"/>
                <w:bCs w:val="0"/>
                <w:snapToGrid w:val="0"/>
                <w:color w:val="auto"/>
                <w:kern w:val="21"/>
                <w:sz w:val="21"/>
                <w:szCs w:val="21"/>
              </w:rPr>
              <w:t>t/a</w:t>
            </w:r>
          </w:p>
        </w:tc>
      </w:tr>
      <w:tr w14:paraId="0318FC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7CB125D8">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3305C016">
            <w:pPr>
              <w:pStyle w:val="37"/>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SS</w:t>
            </w:r>
          </w:p>
        </w:tc>
        <w:tc>
          <w:tcPr>
            <w:tcW w:w="0" w:type="auto"/>
            <w:vAlign w:val="center"/>
          </w:tcPr>
          <w:p w14:paraId="7EA6E621">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3D76D8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A91E9D3">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AC42150">
            <w:pPr>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snapToGrid w:val="0"/>
                <w:color w:val="auto"/>
                <w:kern w:val="21"/>
                <w:sz w:val="21"/>
                <w:szCs w:val="21"/>
                <w:lang w:val="en-US" w:eastAsia="zh-CN"/>
              </w:rPr>
              <w:t>0.0</w:t>
            </w:r>
            <w:r>
              <w:rPr>
                <w:rFonts w:hint="eastAsia" w:cs="Times New Roman"/>
                <w:b w:val="0"/>
                <w:bCs w:val="0"/>
                <w:snapToGrid w:val="0"/>
                <w:color w:val="auto"/>
                <w:kern w:val="21"/>
                <w:sz w:val="21"/>
                <w:szCs w:val="21"/>
                <w:lang w:val="en-US" w:eastAsia="zh-CN"/>
              </w:rPr>
              <w:t>299</w:t>
            </w:r>
            <w:r>
              <w:rPr>
                <w:rFonts w:hint="default" w:ascii="Times New Roman" w:hAnsi="Times New Roman" w:eastAsia="宋体" w:cs="Times New Roman"/>
                <w:b w:val="0"/>
                <w:bCs w:val="0"/>
                <w:snapToGrid w:val="0"/>
                <w:color w:val="auto"/>
                <w:kern w:val="21"/>
                <w:sz w:val="21"/>
                <w:szCs w:val="21"/>
              </w:rPr>
              <w:t>t/a</w:t>
            </w:r>
          </w:p>
        </w:tc>
        <w:tc>
          <w:tcPr>
            <w:tcW w:w="0" w:type="auto"/>
            <w:vAlign w:val="center"/>
          </w:tcPr>
          <w:p w14:paraId="413ED5DA">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29ED33B">
            <w:pPr>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snapToGrid w:val="0"/>
                <w:color w:val="auto"/>
                <w:kern w:val="21"/>
                <w:sz w:val="21"/>
                <w:szCs w:val="21"/>
                <w:lang w:val="en-US" w:eastAsia="zh-CN"/>
              </w:rPr>
              <w:t>0.0299t/a</w:t>
            </w:r>
          </w:p>
        </w:tc>
        <w:tc>
          <w:tcPr>
            <w:tcW w:w="0" w:type="auto"/>
            <w:vAlign w:val="center"/>
          </w:tcPr>
          <w:p w14:paraId="421A3967">
            <w:pPr>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snapToGrid w:val="0"/>
                <w:color w:val="auto"/>
                <w:kern w:val="21"/>
                <w:sz w:val="21"/>
                <w:szCs w:val="21"/>
                <w:lang w:val="en-US" w:eastAsia="zh-CN"/>
              </w:rPr>
              <w:t>+</w:t>
            </w:r>
            <w:r>
              <w:rPr>
                <w:rFonts w:hint="default" w:ascii="Times New Roman" w:hAnsi="Times New Roman" w:eastAsia="宋体" w:cs="Times New Roman"/>
                <w:b w:val="0"/>
                <w:bCs w:val="0"/>
                <w:snapToGrid w:val="0"/>
                <w:color w:val="auto"/>
                <w:kern w:val="21"/>
                <w:sz w:val="21"/>
                <w:szCs w:val="21"/>
                <w:lang w:val="en-US" w:eastAsia="zh-CN"/>
              </w:rPr>
              <w:t>0.0299t/a</w:t>
            </w:r>
          </w:p>
        </w:tc>
      </w:tr>
      <w:tr w14:paraId="34AD2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56DA1C8D">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1E8127F6">
            <w:pPr>
              <w:pStyle w:val="37"/>
              <w:jc w:val="center"/>
              <w:rPr>
                <w:rFonts w:hint="eastAsia" w:ascii="Times New Roman" w:hAnsi="Times New Roman" w:eastAsia="宋体" w:cs="Times New Roman"/>
                <w:b w:val="0"/>
                <w:bCs w:val="0"/>
                <w:snapToGrid w:val="0"/>
                <w:color w:val="auto"/>
                <w:kern w:val="21"/>
                <w:sz w:val="21"/>
                <w:szCs w:val="21"/>
                <w:lang w:val="en-US" w:eastAsia="zh-CN"/>
              </w:rPr>
            </w:pPr>
            <w:r>
              <w:rPr>
                <w:rFonts w:hint="eastAsia" w:ascii="Times New Roman" w:hAnsi="Times New Roman" w:eastAsia="宋体" w:cs="Times New Roman"/>
                <w:b w:val="0"/>
                <w:bCs w:val="0"/>
                <w:snapToGrid w:val="0"/>
                <w:color w:val="auto"/>
                <w:kern w:val="21"/>
                <w:sz w:val="21"/>
                <w:szCs w:val="21"/>
                <w:lang w:val="en-US" w:eastAsia="zh-CN"/>
              </w:rPr>
              <w:t>TP</w:t>
            </w:r>
          </w:p>
        </w:tc>
        <w:tc>
          <w:tcPr>
            <w:tcW w:w="0" w:type="auto"/>
            <w:vAlign w:val="center"/>
          </w:tcPr>
          <w:p w14:paraId="7425B03E">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D95CE83">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ADEE260">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48DEC04">
            <w:pPr>
              <w:jc w:val="center"/>
              <w:rPr>
                <w:rFonts w:hint="default" w:ascii="Times New Roman" w:hAnsi="Times New Roman" w:eastAsia="宋体" w:cs="Times New Roman"/>
                <w:b w:val="0"/>
                <w:bCs w:val="0"/>
                <w:snapToGrid w:val="0"/>
                <w:color w:val="auto"/>
                <w:kern w:val="21"/>
                <w:sz w:val="21"/>
                <w:szCs w:val="21"/>
                <w:lang w:val="en-US" w:eastAsia="zh-CN"/>
              </w:rPr>
            </w:pPr>
            <w:r>
              <w:rPr>
                <w:rFonts w:hint="eastAsia" w:ascii="Times New Roman" w:hAnsi="Times New Roman" w:eastAsia="宋体" w:cs="Times New Roman"/>
                <w:b w:val="0"/>
                <w:bCs w:val="0"/>
                <w:snapToGrid w:val="0"/>
                <w:color w:val="auto"/>
                <w:kern w:val="21"/>
                <w:sz w:val="21"/>
                <w:szCs w:val="21"/>
                <w:lang w:val="en-US" w:eastAsia="zh-CN"/>
              </w:rPr>
              <w:t>0.000</w:t>
            </w:r>
            <w:r>
              <w:rPr>
                <w:rFonts w:hint="eastAsia" w:cs="Times New Roman"/>
                <w:b w:val="0"/>
                <w:bCs w:val="0"/>
                <w:snapToGrid w:val="0"/>
                <w:color w:val="auto"/>
                <w:kern w:val="21"/>
                <w:sz w:val="21"/>
                <w:szCs w:val="21"/>
                <w:lang w:val="en-US" w:eastAsia="zh-CN"/>
              </w:rPr>
              <w:t>5</w:t>
            </w:r>
            <w:r>
              <w:rPr>
                <w:rFonts w:hint="eastAsia" w:ascii="Times New Roman" w:hAnsi="Times New Roman" w:eastAsia="宋体" w:cs="Times New Roman"/>
                <w:b w:val="0"/>
                <w:bCs w:val="0"/>
                <w:snapToGrid w:val="0"/>
                <w:color w:val="auto"/>
                <w:kern w:val="21"/>
                <w:sz w:val="21"/>
                <w:szCs w:val="21"/>
                <w:lang w:val="en-US" w:eastAsia="zh-CN"/>
              </w:rPr>
              <w:t>t/a</w:t>
            </w:r>
          </w:p>
        </w:tc>
        <w:tc>
          <w:tcPr>
            <w:tcW w:w="0" w:type="auto"/>
            <w:vAlign w:val="center"/>
          </w:tcPr>
          <w:p w14:paraId="5634DB9B">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EB57C0E">
            <w:pPr>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snapToGrid w:val="0"/>
                <w:color w:val="auto"/>
                <w:kern w:val="21"/>
                <w:sz w:val="21"/>
                <w:szCs w:val="21"/>
                <w:lang w:val="en-US" w:eastAsia="zh-CN"/>
              </w:rPr>
              <w:t>0.0005t/a</w:t>
            </w:r>
          </w:p>
        </w:tc>
        <w:tc>
          <w:tcPr>
            <w:tcW w:w="0" w:type="auto"/>
            <w:vAlign w:val="center"/>
          </w:tcPr>
          <w:p w14:paraId="691DB276">
            <w:pPr>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snapToGrid w:val="0"/>
                <w:color w:val="auto"/>
                <w:kern w:val="21"/>
                <w:sz w:val="21"/>
                <w:szCs w:val="21"/>
                <w:lang w:val="en-US" w:eastAsia="zh-CN"/>
              </w:rPr>
              <w:t>+0.0005t/a</w:t>
            </w:r>
          </w:p>
        </w:tc>
      </w:tr>
      <w:tr w14:paraId="05362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0C3ABE0C">
            <w:pPr>
              <w:jc w:val="center"/>
              <w:rPr>
                <w:color w:val="auto"/>
              </w:rPr>
            </w:pPr>
          </w:p>
        </w:tc>
        <w:tc>
          <w:tcPr>
            <w:tcW w:w="0" w:type="auto"/>
            <w:vAlign w:val="center"/>
          </w:tcPr>
          <w:p w14:paraId="0E2C2FE0">
            <w:pPr>
              <w:jc w:val="center"/>
              <w:rPr>
                <w:rFonts w:hint="eastAsia" w:ascii="Times New Roman" w:hAnsi="Times New Roman" w:eastAsia="宋体" w:cs="Times New Roman"/>
                <w:b w:val="0"/>
                <w:bCs w:val="0"/>
                <w:snapToGrid w:val="0"/>
                <w:color w:val="auto"/>
                <w:kern w:val="21"/>
                <w:sz w:val="21"/>
                <w:szCs w:val="21"/>
                <w:lang w:val="en-US" w:eastAsia="zh-CN"/>
              </w:rPr>
            </w:pPr>
            <w:r>
              <w:rPr>
                <w:rFonts w:hint="eastAsia" w:ascii="Times New Roman" w:hAnsi="Times New Roman" w:eastAsia="宋体" w:cs="Times New Roman"/>
                <w:b w:val="0"/>
                <w:bCs w:val="0"/>
                <w:snapToGrid w:val="0"/>
                <w:color w:val="auto"/>
                <w:kern w:val="21"/>
                <w:sz w:val="21"/>
                <w:szCs w:val="21"/>
                <w:lang w:val="en-US" w:eastAsia="zh-CN"/>
              </w:rPr>
              <w:t>TN</w:t>
            </w:r>
          </w:p>
        </w:tc>
        <w:tc>
          <w:tcPr>
            <w:tcW w:w="0" w:type="auto"/>
            <w:vAlign w:val="center"/>
          </w:tcPr>
          <w:p w14:paraId="2B2C058E">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C6DEA2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C1F05E0">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D50EE82">
            <w:pPr>
              <w:jc w:val="center"/>
              <w:rPr>
                <w:rFonts w:hint="default" w:ascii="Times New Roman" w:hAnsi="Times New Roman" w:eastAsia="宋体" w:cs="Times New Roman"/>
                <w:b w:val="0"/>
                <w:bCs w:val="0"/>
                <w:snapToGrid w:val="0"/>
                <w:color w:val="auto"/>
                <w:kern w:val="21"/>
                <w:sz w:val="21"/>
                <w:szCs w:val="21"/>
                <w:lang w:val="en-US" w:eastAsia="zh-CN"/>
              </w:rPr>
            </w:pPr>
            <w:r>
              <w:rPr>
                <w:rFonts w:hint="eastAsia" w:ascii="Times New Roman" w:hAnsi="Times New Roman" w:eastAsia="宋体" w:cs="Times New Roman"/>
                <w:b w:val="0"/>
                <w:bCs w:val="0"/>
                <w:snapToGrid w:val="0"/>
                <w:color w:val="auto"/>
                <w:kern w:val="21"/>
                <w:sz w:val="21"/>
                <w:szCs w:val="21"/>
                <w:lang w:val="en-US" w:eastAsia="zh-CN"/>
              </w:rPr>
              <w:t>0.00</w:t>
            </w:r>
            <w:r>
              <w:rPr>
                <w:rFonts w:hint="eastAsia" w:cs="Times New Roman"/>
                <w:b w:val="0"/>
                <w:bCs w:val="0"/>
                <w:snapToGrid w:val="0"/>
                <w:color w:val="auto"/>
                <w:kern w:val="21"/>
                <w:sz w:val="21"/>
                <w:szCs w:val="21"/>
                <w:lang w:val="en-US" w:eastAsia="zh-CN"/>
              </w:rPr>
              <w:t>59</w:t>
            </w:r>
            <w:r>
              <w:rPr>
                <w:rFonts w:hint="eastAsia" w:ascii="Times New Roman" w:hAnsi="Times New Roman" w:eastAsia="宋体" w:cs="Times New Roman"/>
                <w:b w:val="0"/>
                <w:bCs w:val="0"/>
                <w:snapToGrid w:val="0"/>
                <w:color w:val="auto"/>
                <w:kern w:val="21"/>
                <w:sz w:val="21"/>
                <w:szCs w:val="21"/>
                <w:lang w:val="en-US" w:eastAsia="zh-CN"/>
              </w:rPr>
              <w:t>t/a</w:t>
            </w:r>
          </w:p>
        </w:tc>
        <w:tc>
          <w:tcPr>
            <w:tcW w:w="0" w:type="auto"/>
            <w:vAlign w:val="center"/>
          </w:tcPr>
          <w:p w14:paraId="2FFC6EAC">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A299938">
            <w:pPr>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snapToGrid w:val="0"/>
                <w:color w:val="auto"/>
                <w:kern w:val="21"/>
                <w:sz w:val="21"/>
                <w:szCs w:val="21"/>
                <w:lang w:val="en-US" w:eastAsia="zh-CN"/>
              </w:rPr>
              <w:t>0.0059t/a</w:t>
            </w:r>
          </w:p>
        </w:tc>
        <w:tc>
          <w:tcPr>
            <w:tcW w:w="0" w:type="auto"/>
            <w:vAlign w:val="center"/>
          </w:tcPr>
          <w:p w14:paraId="46EC4960">
            <w:pPr>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snapToGrid w:val="0"/>
                <w:color w:val="auto"/>
                <w:kern w:val="21"/>
                <w:sz w:val="21"/>
                <w:szCs w:val="21"/>
                <w:lang w:val="en-US" w:eastAsia="zh-CN"/>
              </w:rPr>
              <w:t>+0.0059t/a</w:t>
            </w:r>
          </w:p>
        </w:tc>
      </w:tr>
      <w:tr w14:paraId="5C274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restart"/>
            <w:vAlign w:val="center"/>
          </w:tcPr>
          <w:p w14:paraId="70971EE1">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一般工业固体废物</w:t>
            </w:r>
          </w:p>
        </w:tc>
        <w:tc>
          <w:tcPr>
            <w:tcW w:w="0" w:type="auto"/>
            <w:vAlign w:val="center"/>
          </w:tcPr>
          <w:p w14:paraId="424004E6">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未被污染的废包装材料</w:t>
            </w:r>
          </w:p>
        </w:tc>
        <w:tc>
          <w:tcPr>
            <w:tcW w:w="0" w:type="auto"/>
            <w:vAlign w:val="center"/>
          </w:tcPr>
          <w:p w14:paraId="2D08C09A">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43D18DA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933A12C">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CBAF199">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cs="Times New Roman"/>
                <w:b w:val="0"/>
                <w:bCs w:val="0"/>
                <w:color w:val="auto"/>
                <w:spacing w:val="-1"/>
                <w:sz w:val="21"/>
                <w:szCs w:val="21"/>
                <w:lang w:val="en-US" w:eastAsia="zh-CN"/>
              </w:rPr>
              <w:t>0.25</w:t>
            </w:r>
            <w:r>
              <w:rPr>
                <w:rFonts w:hint="default" w:ascii="Times New Roman" w:hAnsi="Times New Roman" w:eastAsia="宋体" w:cs="Times New Roman"/>
                <w:b w:val="0"/>
                <w:bCs w:val="0"/>
                <w:color w:val="auto"/>
                <w:spacing w:val="-1"/>
                <w:sz w:val="21"/>
                <w:szCs w:val="21"/>
              </w:rPr>
              <w:t>t/a</w:t>
            </w:r>
          </w:p>
        </w:tc>
        <w:tc>
          <w:tcPr>
            <w:tcW w:w="0" w:type="auto"/>
            <w:vAlign w:val="center"/>
          </w:tcPr>
          <w:p w14:paraId="1AD3418B">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586257F">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color w:val="auto"/>
                <w:spacing w:val="-1"/>
                <w:sz w:val="21"/>
                <w:szCs w:val="21"/>
                <w:lang w:val="en-US" w:eastAsia="zh-CN"/>
              </w:rPr>
              <w:t>0.</w:t>
            </w:r>
            <w:r>
              <w:rPr>
                <w:rFonts w:hint="eastAsia" w:ascii="Times New Roman" w:hAnsi="Times New Roman" w:cs="Times New Roman"/>
                <w:b w:val="0"/>
                <w:bCs w:val="0"/>
                <w:color w:val="auto"/>
                <w:spacing w:val="-1"/>
                <w:sz w:val="21"/>
                <w:szCs w:val="21"/>
                <w:lang w:val="en-US" w:eastAsia="zh-CN"/>
              </w:rPr>
              <w:t>25</w:t>
            </w:r>
            <w:r>
              <w:rPr>
                <w:rFonts w:hint="default" w:ascii="Times New Roman" w:hAnsi="Times New Roman" w:eastAsia="宋体" w:cs="Times New Roman"/>
                <w:b w:val="0"/>
                <w:bCs w:val="0"/>
                <w:color w:val="auto"/>
                <w:spacing w:val="-1"/>
                <w:sz w:val="21"/>
                <w:szCs w:val="21"/>
              </w:rPr>
              <w:t>t/a</w:t>
            </w:r>
          </w:p>
        </w:tc>
        <w:tc>
          <w:tcPr>
            <w:tcW w:w="0" w:type="auto"/>
            <w:vAlign w:val="center"/>
          </w:tcPr>
          <w:p w14:paraId="76595538">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color w:val="auto"/>
                <w:spacing w:val="-1"/>
                <w:sz w:val="21"/>
                <w:szCs w:val="21"/>
                <w:lang w:val="en-US" w:eastAsia="zh-CN"/>
              </w:rPr>
              <w:t>+0.</w:t>
            </w:r>
            <w:r>
              <w:rPr>
                <w:rFonts w:hint="eastAsia" w:ascii="Times New Roman" w:hAnsi="Times New Roman" w:cs="Times New Roman"/>
                <w:b w:val="0"/>
                <w:bCs w:val="0"/>
                <w:color w:val="auto"/>
                <w:spacing w:val="-1"/>
                <w:sz w:val="21"/>
                <w:szCs w:val="21"/>
                <w:lang w:val="en-US" w:eastAsia="zh-CN"/>
              </w:rPr>
              <w:t>25</w:t>
            </w:r>
            <w:r>
              <w:rPr>
                <w:rFonts w:hint="default" w:ascii="Times New Roman" w:hAnsi="Times New Roman" w:eastAsia="宋体" w:cs="Times New Roman"/>
                <w:b w:val="0"/>
                <w:bCs w:val="0"/>
                <w:color w:val="auto"/>
                <w:spacing w:val="-1"/>
                <w:sz w:val="21"/>
                <w:szCs w:val="21"/>
              </w:rPr>
              <w:t>t/a</w:t>
            </w:r>
          </w:p>
        </w:tc>
      </w:tr>
      <w:tr w14:paraId="517484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6AFFADE1">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42BCE005">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废滤芯</w:t>
            </w:r>
          </w:p>
        </w:tc>
        <w:tc>
          <w:tcPr>
            <w:tcW w:w="0" w:type="auto"/>
            <w:vAlign w:val="center"/>
          </w:tcPr>
          <w:p w14:paraId="62EAF575">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AD77AF1">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67946FE7">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4495D09A">
            <w:pPr>
              <w:pStyle w:val="62"/>
              <w:kinsoku w:val="0"/>
              <w:overflowPunct w:val="0"/>
              <w:spacing w:line="240" w:lineRule="auto"/>
              <w:ind w:firstLine="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0.04t/a</w:t>
            </w:r>
          </w:p>
        </w:tc>
        <w:tc>
          <w:tcPr>
            <w:tcW w:w="0" w:type="auto"/>
            <w:vAlign w:val="center"/>
          </w:tcPr>
          <w:p w14:paraId="42707C10">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0543CAA">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0.04t/a</w:t>
            </w:r>
          </w:p>
        </w:tc>
        <w:tc>
          <w:tcPr>
            <w:tcW w:w="0" w:type="auto"/>
            <w:vAlign w:val="center"/>
          </w:tcPr>
          <w:p w14:paraId="6AA83134">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rPr>
              <w:t>0.04t/a</w:t>
            </w:r>
          </w:p>
        </w:tc>
      </w:tr>
      <w:tr w14:paraId="5754BD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7DF9450C">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0C2AFDCE">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灭菌后的废培养基</w:t>
            </w:r>
          </w:p>
        </w:tc>
        <w:tc>
          <w:tcPr>
            <w:tcW w:w="0" w:type="auto"/>
            <w:vAlign w:val="center"/>
          </w:tcPr>
          <w:p w14:paraId="68578B45">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186C231">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9D48966">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59A7DF5A">
            <w:pPr>
              <w:pStyle w:val="62"/>
              <w:kinsoku w:val="0"/>
              <w:overflowPunct w:val="0"/>
              <w:spacing w:line="240" w:lineRule="auto"/>
              <w:ind w:firstLine="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0.01t/a</w:t>
            </w:r>
          </w:p>
        </w:tc>
        <w:tc>
          <w:tcPr>
            <w:tcW w:w="0" w:type="auto"/>
            <w:vAlign w:val="center"/>
          </w:tcPr>
          <w:p w14:paraId="1830681C">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416C541">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0.01t/a</w:t>
            </w:r>
          </w:p>
        </w:tc>
        <w:tc>
          <w:tcPr>
            <w:tcW w:w="0" w:type="auto"/>
            <w:vAlign w:val="center"/>
          </w:tcPr>
          <w:p w14:paraId="489A023D">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rPr>
              <w:t>0.01t/a</w:t>
            </w:r>
          </w:p>
        </w:tc>
      </w:tr>
      <w:tr w14:paraId="28C266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restart"/>
            <w:vAlign w:val="center"/>
          </w:tcPr>
          <w:p w14:paraId="6900FFB6">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危险</w:t>
            </w:r>
          </w:p>
          <w:p w14:paraId="665EDE74">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废物</w:t>
            </w:r>
          </w:p>
        </w:tc>
        <w:tc>
          <w:tcPr>
            <w:tcW w:w="0" w:type="auto"/>
            <w:vAlign w:val="center"/>
          </w:tcPr>
          <w:p w14:paraId="00E74E1D">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实验室废液</w:t>
            </w:r>
          </w:p>
        </w:tc>
        <w:tc>
          <w:tcPr>
            <w:tcW w:w="0" w:type="auto"/>
            <w:vAlign w:val="center"/>
          </w:tcPr>
          <w:p w14:paraId="44AC6CCD">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5D6CC2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C6253F3">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33B6713">
            <w:pPr>
              <w:pStyle w:val="62"/>
              <w:kinsoku w:val="0"/>
              <w:overflowPunct w:val="0"/>
              <w:spacing w:line="240" w:lineRule="auto"/>
              <w:ind w:firstLine="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15</w:t>
            </w:r>
            <w:r>
              <w:rPr>
                <w:rFonts w:hint="eastAsia" w:ascii="Times New Roman" w:hAnsi="Times New Roman" w:eastAsia="宋体" w:cs="Times New Roman"/>
                <w:b w:val="0"/>
                <w:bCs w:val="0"/>
                <w:color w:val="auto"/>
                <w:spacing w:val="-1"/>
                <w:sz w:val="21"/>
                <w:szCs w:val="21"/>
                <w:lang w:val="en-US" w:eastAsia="zh-CN"/>
              </w:rPr>
              <w:t>.</w:t>
            </w:r>
            <w:r>
              <w:rPr>
                <w:rFonts w:hint="eastAsia" w:ascii="Times New Roman" w:hAnsi="Times New Roman" w:cs="Times New Roman"/>
                <w:b w:val="0"/>
                <w:bCs w:val="0"/>
                <w:color w:val="auto"/>
                <w:spacing w:val="-1"/>
                <w:sz w:val="21"/>
                <w:szCs w:val="21"/>
                <w:lang w:val="en-US" w:eastAsia="zh-CN"/>
              </w:rPr>
              <w:t>2</w:t>
            </w:r>
            <w:r>
              <w:rPr>
                <w:rFonts w:hint="default" w:ascii="Times New Roman" w:hAnsi="Times New Roman" w:eastAsia="宋体" w:cs="Times New Roman"/>
                <w:b w:val="0"/>
                <w:bCs w:val="0"/>
                <w:color w:val="auto"/>
                <w:spacing w:val="-1"/>
                <w:sz w:val="21"/>
                <w:szCs w:val="21"/>
              </w:rPr>
              <w:t>t/a</w:t>
            </w:r>
          </w:p>
        </w:tc>
        <w:tc>
          <w:tcPr>
            <w:tcW w:w="0" w:type="auto"/>
            <w:vAlign w:val="center"/>
          </w:tcPr>
          <w:p w14:paraId="38EDF68E">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C187756">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15</w:t>
            </w:r>
            <w:r>
              <w:rPr>
                <w:rFonts w:hint="eastAsia" w:ascii="Times New Roman" w:hAnsi="Times New Roman" w:eastAsia="宋体" w:cs="Times New Roman"/>
                <w:b w:val="0"/>
                <w:bCs w:val="0"/>
                <w:color w:val="auto"/>
                <w:spacing w:val="-1"/>
                <w:sz w:val="21"/>
                <w:szCs w:val="21"/>
                <w:lang w:val="en-US" w:eastAsia="zh-CN"/>
              </w:rPr>
              <w:t>.</w:t>
            </w:r>
            <w:r>
              <w:rPr>
                <w:rFonts w:hint="eastAsia" w:ascii="Times New Roman" w:hAnsi="Times New Roman" w:cs="Times New Roman"/>
                <w:b w:val="0"/>
                <w:bCs w:val="0"/>
                <w:color w:val="auto"/>
                <w:spacing w:val="-1"/>
                <w:sz w:val="21"/>
                <w:szCs w:val="21"/>
                <w:lang w:val="en-US" w:eastAsia="zh-CN"/>
              </w:rPr>
              <w:t>2</w:t>
            </w:r>
            <w:r>
              <w:rPr>
                <w:rFonts w:hint="default" w:ascii="Times New Roman" w:hAnsi="Times New Roman" w:eastAsia="宋体" w:cs="Times New Roman"/>
                <w:b w:val="0"/>
                <w:bCs w:val="0"/>
                <w:color w:val="auto"/>
                <w:spacing w:val="-1"/>
                <w:sz w:val="21"/>
                <w:szCs w:val="21"/>
              </w:rPr>
              <w:t>t/a</w:t>
            </w:r>
          </w:p>
        </w:tc>
        <w:tc>
          <w:tcPr>
            <w:tcW w:w="0" w:type="auto"/>
            <w:vAlign w:val="center"/>
          </w:tcPr>
          <w:p w14:paraId="71A6D83C">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rPr>
              <w:t>15</w:t>
            </w:r>
            <w:r>
              <w:rPr>
                <w:rFonts w:hint="eastAsia" w:ascii="Times New Roman" w:hAnsi="Times New Roman" w:eastAsia="宋体" w:cs="Times New Roman"/>
                <w:b w:val="0"/>
                <w:bCs w:val="0"/>
                <w:color w:val="auto"/>
                <w:spacing w:val="-1"/>
                <w:sz w:val="21"/>
                <w:szCs w:val="21"/>
                <w:lang w:val="en-US" w:eastAsia="zh-CN"/>
              </w:rPr>
              <w:t>.</w:t>
            </w:r>
            <w:r>
              <w:rPr>
                <w:rFonts w:hint="eastAsia" w:ascii="Times New Roman" w:hAnsi="Times New Roman" w:cs="Times New Roman"/>
                <w:b w:val="0"/>
                <w:bCs w:val="0"/>
                <w:color w:val="auto"/>
                <w:spacing w:val="-1"/>
                <w:sz w:val="21"/>
                <w:szCs w:val="21"/>
                <w:lang w:val="en-US" w:eastAsia="zh-CN"/>
              </w:rPr>
              <w:t>2</w:t>
            </w:r>
            <w:r>
              <w:rPr>
                <w:rFonts w:hint="default" w:ascii="Times New Roman" w:hAnsi="Times New Roman" w:eastAsia="宋体" w:cs="Times New Roman"/>
                <w:b w:val="0"/>
                <w:bCs w:val="0"/>
                <w:color w:val="auto"/>
                <w:spacing w:val="-1"/>
                <w:sz w:val="21"/>
                <w:szCs w:val="21"/>
              </w:rPr>
              <w:t>t/a</w:t>
            </w:r>
          </w:p>
        </w:tc>
      </w:tr>
      <w:tr w14:paraId="0C4638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44DA0AE8">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09D628EA">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废样品</w:t>
            </w:r>
          </w:p>
        </w:tc>
        <w:tc>
          <w:tcPr>
            <w:tcW w:w="0" w:type="auto"/>
            <w:vAlign w:val="center"/>
          </w:tcPr>
          <w:p w14:paraId="77EC497C">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ECC07E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4579AC2">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FD8D1A8">
            <w:pPr>
              <w:pStyle w:val="62"/>
              <w:kinsoku w:val="0"/>
              <w:overflowPunct w:val="0"/>
              <w:spacing w:line="240" w:lineRule="auto"/>
              <w:ind w:firstLine="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0.01t/a</w:t>
            </w:r>
          </w:p>
        </w:tc>
        <w:tc>
          <w:tcPr>
            <w:tcW w:w="0" w:type="auto"/>
            <w:vAlign w:val="center"/>
          </w:tcPr>
          <w:p w14:paraId="5BEFD0F4">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A2FFFF4">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0.01t/a</w:t>
            </w:r>
          </w:p>
        </w:tc>
        <w:tc>
          <w:tcPr>
            <w:tcW w:w="0" w:type="auto"/>
            <w:vAlign w:val="center"/>
          </w:tcPr>
          <w:p w14:paraId="3E7AE8EA">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rPr>
              <w:t>0.01t/a</w:t>
            </w:r>
          </w:p>
        </w:tc>
      </w:tr>
      <w:tr w14:paraId="5C940D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7CF116CD">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777C410B">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沾染危险化学品的包装材料及实验器材</w:t>
            </w:r>
          </w:p>
        </w:tc>
        <w:tc>
          <w:tcPr>
            <w:tcW w:w="0" w:type="auto"/>
            <w:vAlign w:val="center"/>
          </w:tcPr>
          <w:p w14:paraId="74D8398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623FE09">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4DD55AD6">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D0AAD18">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color w:val="auto"/>
                <w:spacing w:val="-1"/>
                <w:sz w:val="21"/>
                <w:szCs w:val="21"/>
              </w:rPr>
              <w:t>0.</w:t>
            </w:r>
            <w:r>
              <w:rPr>
                <w:rFonts w:hint="eastAsia" w:ascii="Times New Roman" w:hAnsi="Times New Roman" w:eastAsia="宋体" w:cs="Times New Roman"/>
                <w:b w:val="0"/>
                <w:bCs w:val="0"/>
                <w:color w:val="auto"/>
                <w:spacing w:val="-1"/>
                <w:sz w:val="21"/>
                <w:szCs w:val="21"/>
                <w:lang w:val="en-US" w:eastAsia="zh-CN"/>
              </w:rPr>
              <w:t>1</w:t>
            </w:r>
            <w:r>
              <w:rPr>
                <w:rFonts w:hint="default" w:ascii="Times New Roman" w:hAnsi="Times New Roman" w:eastAsia="宋体" w:cs="Times New Roman"/>
                <w:b w:val="0"/>
                <w:bCs w:val="0"/>
                <w:color w:val="auto"/>
                <w:spacing w:val="-1"/>
                <w:sz w:val="21"/>
                <w:szCs w:val="21"/>
              </w:rPr>
              <w:t>t/a</w:t>
            </w:r>
          </w:p>
        </w:tc>
        <w:tc>
          <w:tcPr>
            <w:tcW w:w="0" w:type="auto"/>
            <w:vAlign w:val="center"/>
          </w:tcPr>
          <w:p w14:paraId="6D9F3407">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F9BE73C">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color w:val="auto"/>
                <w:spacing w:val="-1"/>
                <w:sz w:val="21"/>
                <w:szCs w:val="21"/>
              </w:rPr>
              <w:t>0.</w:t>
            </w:r>
            <w:r>
              <w:rPr>
                <w:rFonts w:hint="eastAsia" w:ascii="Times New Roman" w:hAnsi="Times New Roman" w:eastAsia="宋体" w:cs="Times New Roman"/>
                <w:b w:val="0"/>
                <w:bCs w:val="0"/>
                <w:color w:val="auto"/>
                <w:spacing w:val="-1"/>
                <w:sz w:val="21"/>
                <w:szCs w:val="21"/>
                <w:lang w:val="en-US" w:eastAsia="zh-CN"/>
              </w:rPr>
              <w:t>1</w:t>
            </w:r>
            <w:r>
              <w:rPr>
                <w:rFonts w:hint="default" w:ascii="Times New Roman" w:hAnsi="Times New Roman" w:eastAsia="宋体" w:cs="Times New Roman"/>
                <w:b w:val="0"/>
                <w:bCs w:val="0"/>
                <w:color w:val="auto"/>
                <w:spacing w:val="-1"/>
                <w:sz w:val="21"/>
                <w:szCs w:val="21"/>
              </w:rPr>
              <w:t>t/a</w:t>
            </w:r>
          </w:p>
        </w:tc>
        <w:tc>
          <w:tcPr>
            <w:tcW w:w="0" w:type="auto"/>
            <w:vAlign w:val="center"/>
          </w:tcPr>
          <w:p w14:paraId="6B02917B">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snapToGrid w:val="0"/>
                <w:color w:val="auto"/>
                <w:kern w:val="2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rPr>
              <w:t>0.</w:t>
            </w:r>
            <w:r>
              <w:rPr>
                <w:rFonts w:hint="eastAsia" w:ascii="Times New Roman" w:hAnsi="Times New Roman" w:eastAsia="宋体" w:cs="Times New Roman"/>
                <w:b w:val="0"/>
                <w:bCs w:val="0"/>
                <w:color w:val="auto"/>
                <w:spacing w:val="-1"/>
                <w:sz w:val="21"/>
                <w:szCs w:val="21"/>
                <w:lang w:val="en-US" w:eastAsia="zh-CN"/>
              </w:rPr>
              <w:t>1</w:t>
            </w:r>
            <w:r>
              <w:rPr>
                <w:rFonts w:hint="default" w:ascii="Times New Roman" w:hAnsi="Times New Roman" w:eastAsia="宋体" w:cs="Times New Roman"/>
                <w:b w:val="0"/>
                <w:bCs w:val="0"/>
                <w:color w:val="auto"/>
                <w:spacing w:val="-1"/>
                <w:sz w:val="21"/>
                <w:szCs w:val="21"/>
              </w:rPr>
              <w:t>t/a</w:t>
            </w:r>
          </w:p>
        </w:tc>
      </w:tr>
      <w:tr w14:paraId="31DEE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36DF5DBB">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6829BC7D">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废过滤介质</w:t>
            </w:r>
          </w:p>
        </w:tc>
        <w:tc>
          <w:tcPr>
            <w:tcW w:w="0" w:type="auto"/>
            <w:vAlign w:val="center"/>
          </w:tcPr>
          <w:p w14:paraId="243107B0">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0800C395">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05BDA09">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EC859DE">
            <w:pPr>
              <w:pStyle w:val="62"/>
              <w:kinsoku w:val="0"/>
              <w:overflowPunct w:val="0"/>
              <w:spacing w:line="240" w:lineRule="auto"/>
              <w:ind w:firstLine="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w:t>
            </w:r>
            <w:r>
              <w:rPr>
                <w:rFonts w:hint="eastAsia" w:ascii="Times New Roman" w:hAnsi="Times New Roman" w:cs="Times New Roman"/>
                <w:b w:val="0"/>
                <w:bCs w:val="0"/>
                <w:color w:val="auto"/>
                <w:spacing w:val="-1"/>
                <w:sz w:val="21"/>
                <w:szCs w:val="21"/>
                <w:lang w:val="en-US" w:eastAsia="zh-CN"/>
              </w:rPr>
              <w:t>05</w:t>
            </w:r>
            <w:r>
              <w:rPr>
                <w:rFonts w:hint="default" w:ascii="Times New Roman" w:hAnsi="Times New Roman" w:eastAsia="宋体" w:cs="Times New Roman"/>
                <w:b w:val="0"/>
                <w:bCs w:val="0"/>
                <w:color w:val="auto"/>
                <w:spacing w:val="-1"/>
                <w:sz w:val="21"/>
                <w:szCs w:val="21"/>
              </w:rPr>
              <w:t>t/a</w:t>
            </w:r>
          </w:p>
        </w:tc>
        <w:tc>
          <w:tcPr>
            <w:tcW w:w="0" w:type="auto"/>
            <w:vAlign w:val="center"/>
          </w:tcPr>
          <w:p w14:paraId="672C883E">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2739043">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rPr>
              <w:t>0.</w:t>
            </w:r>
            <w:r>
              <w:rPr>
                <w:rFonts w:hint="default" w:ascii="Times New Roman" w:hAnsi="Times New Roman" w:eastAsia="宋体" w:cs="Times New Roman"/>
                <w:b w:val="0"/>
                <w:bCs w:val="0"/>
                <w:color w:val="auto"/>
                <w:spacing w:val="-1"/>
                <w:sz w:val="21"/>
                <w:szCs w:val="21"/>
                <w:lang w:val="en-US" w:eastAsia="zh-CN"/>
              </w:rPr>
              <w:t>05</w:t>
            </w:r>
            <w:r>
              <w:rPr>
                <w:rFonts w:hint="default" w:ascii="Times New Roman" w:hAnsi="Times New Roman" w:eastAsia="宋体" w:cs="Times New Roman"/>
                <w:b w:val="0"/>
                <w:bCs w:val="0"/>
                <w:color w:val="auto"/>
                <w:spacing w:val="-1"/>
                <w:sz w:val="21"/>
                <w:szCs w:val="21"/>
              </w:rPr>
              <w:t>t/a</w:t>
            </w:r>
          </w:p>
        </w:tc>
        <w:tc>
          <w:tcPr>
            <w:tcW w:w="0" w:type="auto"/>
            <w:vAlign w:val="center"/>
          </w:tcPr>
          <w:p w14:paraId="167216BC">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rPr>
              <w:t>0.</w:t>
            </w:r>
            <w:r>
              <w:rPr>
                <w:rFonts w:hint="default" w:ascii="Times New Roman" w:hAnsi="Times New Roman" w:eastAsia="宋体" w:cs="Times New Roman"/>
                <w:b w:val="0"/>
                <w:bCs w:val="0"/>
                <w:color w:val="auto"/>
                <w:spacing w:val="-1"/>
                <w:sz w:val="21"/>
                <w:szCs w:val="21"/>
                <w:lang w:val="en-US" w:eastAsia="zh-CN"/>
              </w:rPr>
              <w:t>05</w:t>
            </w:r>
            <w:r>
              <w:rPr>
                <w:rFonts w:hint="default" w:ascii="Times New Roman" w:hAnsi="Times New Roman" w:eastAsia="宋体" w:cs="Times New Roman"/>
                <w:b w:val="0"/>
                <w:bCs w:val="0"/>
                <w:color w:val="auto"/>
                <w:spacing w:val="-1"/>
                <w:sz w:val="21"/>
                <w:szCs w:val="21"/>
              </w:rPr>
              <w:t>t/a</w:t>
            </w:r>
          </w:p>
        </w:tc>
      </w:tr>
      <w:tr w14:paraId="29E1F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vMerge w:val="continue"/>
            <w:vAlign w:val="center"/>
          </w:tcPr>
          <w:p w14:paraId="402EA666">
            <w:pPr>
              <w:pStyle w:val="52"/>
              <w:spacing w:beforeLines="0" w:afterLines="0" w:line="240" w:lineRule="auto"/>
              <w:rPr>
                <w:rFonts w:hint="default" w:ascii="Times New Roman" w:hAnsi="Times New Roman" w:eastAsia="宋体" w:cs="Times New Roman"/>
                <w:b w:val="0"/>
                <w:bCs w:val="0"/>
                <w:snapToGrid w:val="0"/>
                <w:color w:val="auto"/>
                <w:kern w:val="21"/>
                <w:sz w:val="21"/>
                <w:szCs w:val="21"/>
              </w:rPr>
            </w:pPr>
          </w:p>
        </w:tc>
        <w:tc>
          <w:tcPr>
            <w:tcW w:w="0" w:type="auto"/>
            <w:vAlign w:val="center"/>
          </w:tcPr>
          <w:p w14:paraId="2664CA3D">
            <w:pPr>
              <w:pStyle w:val="62"/>
              <w:kinsoku w:val="0"/>
              <w:overflowPunct w:val="0"/>
              <w:spacing w:line="240" w:lineRule="auto"/>
              <w:ind w:firstLine="0"/>
              <w:contextualSpacing/>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废活性炭</w:t>
            </w:r>
          </w:p>
        </w:tc>
        <w:tc>
          <w:tcPr>
            <w:tcW w:w="0" w:type="auto"/>
            <w:vAlign w:val="center"/>
          </w:tcPr>
          <w:p w14:paraId="03AF555D">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786A8408">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29583067">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37459EE2">
            <w:pPr>
              <w:pStyle w:val="62"/>
              <w:kinsoku w:val="0"/>
              <w:overflowPunct w:val="0"/>
              <w:spacing w:line="240" w:lineRule="auto"/>
              <w:ind w:firstLine="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cs="Times New Roman"/>
                <w:b w:val="0"/>
                <w:bCs w:val="0"/>
                <w:color w:val="auto"/>
                <w:spacing w:val="-1"/>
                <w:sz w:val="21"/>
                <w:szCs w:val="21"/>
                <w:lang w:val="en-US" w:eastAsia="zh-CN"/>
              </w:rPr>
              <w:t>0.107</w:t>
            </w:r>
            <w:r>
              <w:rPr>
                <w:rFonts w:hint="default" w:ascii="Times New Roman" w:hAnsi="Times New Roman" w:eastAsia="宋体" w:cs="Times New Roman"/>
                <w:b w:val="0"/>
                <w:bCs w:val="0"/>
                <w:color w:val="auto"/>
                <w:spacing w:val="-1"/>
                <w:sz w:val="21"/>
                <w:szCs w:val="21"/>
              </w:rPr>
              <w:t>t/a</w:t>
            </w:r>
          </w:p>
        </w:tc>
        <w:tc>
          <w:tcPr>
            <w:tcW w:w="0" w:type="auto"/>
            <w:vAlign w:val="center"/>
          </w:tcPr>
          <w:p w14:paraId="04ED182D">
            <w:pPr>
              <w:jc w:val="center"/>
              <w:rPr>
                <w:rFonts w:hint="default" w:ascii="Times New Roman" w:hAnsi="Times New Roman" w:eastAsia="宋体" w:cs="Times New Roman"/>
                <w:b w:val="0"/>
                <w:bCs w:val="0"/>
                <w:snapToGrid w:val="0"/>
                <w:color w:val="auto"/>
                <w:kern w:val="21"/>
                <w:sz w:val="21"/>
                <w:szCs w:val="21"/>
              </w:rPr>
            </w:pPr>
            <w:r>
              <w:rPr>
                <w:rFonts w:hint="default" w:ascii="Times New Roman" w:hAnsi="Times New Roman" w:eastAsia="宋体" w:cs="Times New Roman"/>
                <w:b w:val="0"/>
                <w:bCs w:val="0"/>
                <w:snapToGrid w:val="0"/>
                <w:color w:val="auto"/>
                <w:kern w:val="21"/>
                <w:sz w:val="21"/>
                <w:szCs w:val="21"/>
              </w:rPr>
              <w:t>/</w:t>
            </w:r>
          </w:p>
        </w:tc>
        <w:tc>
          <w:tcPr>
            <w:tcW w:w="0" w:type="auto"/>
            <w:vAlign w:val="center"/>
          </w:tcPr>
          <w:p w14:paraId="16C5222F">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default" w:ascii="Times New Roman" w:hAnsi="Times New Roman" w:eastAsia="宋体" w:cs="Times New Roman"/>
                <w:b w:val="0"/>
                <w:bCs w:val="0"/>
                <w:color w:val="auto"/>
                <w:spacing w:val="-1"/>
                <w:sz w:val="21"/>
                <w:szCs w:val="21"/>
                <w:lang w:val="en-US" w:eastAsia="zh-CN"/>
              </w:rPr>
              <w:t>0.107</w:t>
            </w:r>
            <w:r>
              <w:rPr>
                <w:rFonts w:hint="default" w:ascii="Times New Roman" w:hAnsi="Times New Roman" w:eastAsia="宋体" w:cs="Times New Roman"/>
                <w:b w:val="0"/>
                <w:bCs w:val="0"/>
                <w:color w:val="auto"/>
                <w:spacing w:val="-1"/>
                <w:sz w:val="21"/>
                <w:szCs w:val="21"/>
              </w:rPr>
              <w:t>t/a</w:t>
            </w:r>
          </w:p>
        </w:tc>
        <w:tc>
          <w:tcPr>
            <w:tcW w:w="0" w:type="auto"/>
            <w:vAlign w:val="center"/>
          </w:tcPr>
          <w:p w14:paraId="23BD2284">
            <w:pPr>
              <w:pStyle w:val="62"/>
              <w:kinsoku w:val="0"/>
              <w:overflowPunct w:val="0"/>
              <w:spacing w:line="240" w:lineRule="auto"/>
              <w:ind w:firstLine="0" w:firstLineChars="0"/>
              <w:contextualSpacing/>
              <w:jc w:val="center"/>
              <w:rPr>
                <w:rFonts w:hint="default" w:ascii="Times New Roman" w:hAnsi="Times New Roman" w:eastAsia="宋体" w:cs="Times New Roman"/>
                <w:b w:val="0"/>
                <w:bCs w:val="0"/>
                <w:color w:val="auto"/>
                <w:spacing w:val="-1"/>
                <w:sz w:val="21"/>
                <w:szCs w:val="21"/>
              </w:rPr>
            </w:pPr>
            <w:r>
              <w:rPr>
                <w:rFonts w:hint="eastAsia" w:ascii="Times New Roman" w:hAnsi="Times New Roman" w:eastAsia="宋体" w:cs="Times New Roman"/>
                <w:b w:val="0"/>
                <w:bCs w:val="0"/>
                <w:color w:val="auto"/>
                <w:spacing w:val="-1"/>
                <w:sz w:val="21"/>
                <w:szCs w:val="21"/>
                <w:lang w:val="en-US" w:eastAsia="zh-CN"/>
              </w:rPr>
              <w:t>+</w:t>
            </w:r>
            <w:r>
              <w:rPr>
                <w:rFonts w:hint="default" w:ascii="Times New Roman" w:hAnsi="Times New Roman" w:eastAsia="宋体" w:cs="Times New Roman"/>
                <w:b w:val="0"/>
                <w:bCs w:val="0"/>
                <w:color w:val="auto"/>
                <w:spacing w:val="-1"/>
                <w:sz w:val="21"/>
                <w:szCs w:val="21"/>
                <w:lang w:val="en-US" w:eastAsia="zh-CN"/>
              </w:rPr>
              <w:t>0.107</w:t>
            </w:r>
            <w:r>
              <w:rPr>
                <w:rFonts w:hint="default" w:ascii="Times New Roman" w:hAnsi="Times New Roman" w:eastAsia="宋体" w:cs="Times New Roman"/>
                <w:b w:val="0"/>
                <w:bCs w:val="0"/>
                <w:color w:val="auto"/>
                <w:spacing w:val="-1"/>
                <w:sz w:val="21"/>
                <w:szCs w:val="21"/>
              </w:rPr>
              <w:t>t/a</w:t>
            </w:r>
          </w:p>
        </w:tc>
      </w:tr>
    </w:tbl>
    <w:p w14:paraId="058AFAEA">
      <w:pPr>
        <w:pStyle w:val="52"/>
        <w:spacing w:before="249" w:beforeLines="80" w:after="31"/>
        <w:jc w:val="left"/>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③</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④</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⑤</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⑦</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p>
    <w:sectPr>
      <w:footerReference r:id="rId8" w:type="default"/>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4446EE4-2718-4197-AE82-F93F92CA2C05}"/>
  </w:font>
  <w:font w:name="黑体">
    <w:panose1 w:val="02010609060101010101"/>
    <w:charset w:val="86"/>
    <w:family w:val="auto"/>
    <w:pitch w:val="default"/>
    <w:sig w:usb0="800002BF" w:usb1="38CF7CFA" w:usb2="00000016" w:usb3="00000000" w:csb0="00040001" w:csb1="00000000"/>
    <w:embedRegular r:id="rId2" w:fontKey="{A09282FE-9A5A-49C9-820E-DDE283EC11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0057F3CB-D595-4CA2-92DA-D7D3F705E378}"/>
  </w:font>
  <w:font w:name="宋体_x0008_....">
    <w:altName w:val="宋体"/>
    <w:panose1 w:val="00000000000000000000"/>
    <w:charset w:val="86"/>
    <w:family w:val="roman"/>
    <w:pitch w:val="default"/>
    <w:sig w:usb0="00000000" w:usb1="00000000" w:usb2="00000010" w:usb3="00000000" w:csb0="00040000" w:csb1="00000000"/>
    <w:embedRegular r:id="rId4" w:fontKey="{49BF96BB-E872-4FC9-B30A-645DBCEBFEE3}"/>
  </w:font>
  <w:font w:name="仿宋">
    <w:panose1 w:val="02010609060101010101"/>
    <w:charset w:val="86"/>
    <w:family w:val="modern"/>
    <w:pitch w:val="default"/>
    <w:sig w:usb0="800002BF" w:usb1="38CF7CFA" w:usb2="00000016" w:usb3="00000000" w:csb0="00040001" w:csb1="00000000"/>
    <w:embedRegular r:id="rId5" w:fontKey="{D8E38D7B-AFC9-498A-A72D-118B891D1005}"/>
  </w:font>
  <w:font w:name="方正小标宋简体">
    <w:panose1 w:val="02000000000000000000"/>
    <w:charset w:val="86"/>
    <w:family w:val="auto"/>
    <w:pitch w:val="default"/>
    <w:sig w:usb0="00000001" w:usb1="08000000" w:usb2="00000000" w:usb3="00000000" w:csb0="00040000" w:csb1="00000000"/>
    <w:embedRegular r:id="rId6" w:fontKey="{134F4F2D-E6B6-4116-A792-D2B8B21E9701}"/>
  </w:font>
  <w:font w:name="楷体_GB2312">
    <w:panose1 w:val="02010609030101010101"/>
    <w:charset w:val="86"/>
    <w:family w:val="modern"/>
    <w:pitch w:val="default"/>
    <w:sig w:usb0="00000001" w:usb1="080E0000" w:usb2="00000000" w:usb3="00000000" w:csb0="00040000" w:csb1="00000000"/>
    <w:embedRegular r:id="rId7" w:fontKey="{C35BB0E3-46A0-4B97-8EF3-4819425E53B9}"/>
  </w:font>
  <w:font w:name="华文仿宋">
    <w:panose1 w:val="02010600040101010101"/>
    <w:charset w:val="86"/>
    <w:family w:val="auto"/>
    <w:pitch w:val="default"/>
    <w:sig w:usb0="00000287" w:usb1="080F0000" w:usb2="00000000" w:usb3="00000000" w:csb0="0004009F" w:csb1="DFD70000"/>
    <w:embedRegular r:id="rId8" w:fontKey="{B93C90FE-DAC2-40CB-9901-BA1FF8105315}"/>
  </w:font>
  <w:font w:name="Wingdings 2">
    <w:panose1 w:val="05020102010507070707"/>
    <w:charset w:val="02"/>
    <w:family w:val="roman"/>
    <w:pitch w:val="default"/>
    <w:sig w:usb0="00000000" w:usb1="00000000" w:usb2="00000000" w:usb3="00000000" w:csb0="80000000" w:csb1="00000000"/>
    <w:embedRegular r:id="rId9" w:fontKey="{173B1343-C43F-4C9F-BDAE-653CA2AED44A}"/>
  </w:font>
  <w:font w:name="等线">
    <w:panose1 w:val="02010600030101010101"/>
    <w:charset w:val="86"/>
    <w:family w:val="auto"/>
    <w:pitch w:val="default"/>
    <w:sig w:usb0="A00002BF" w:usb1="38CF7CFA" w:usb2="00000016" w:usb3="00000000" w:csb0="0004000F" w:csb1="00000000"/>
    <w:embedRegular r:id="rId10" w:fontKey="{F66A6D73-5D81-45E8-BE38-3D5589C70EBB}"/>
  </w:font>
  <w:font w:name="方正小标宋_GBK">
    <w:panose1 w:val="02000000000000000000"/>
    <w:charset w:val="86"/>
    <w:family w:val="script"/>
    <w:pitch w:val="default"/>
    <w:sig w:usb0="A00002BF" w:usb1="38CF7CFA" w:usb2="00082016" w:usb3="00000000" w:csb0="00040001" w:csb1="00000000"/>
    <w:embedRegular r:id="rId11" w:fontKey="{742D3892-53D5-4447-8E39-A4D26CDC8A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BED89">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54BD8">
    <w:pPr>
      <w:pStyle w:val="17"/>
      <w:framePr w:wrap="around" w:vAnchor="text" w:hAnchor="margin" w:xAlign="center" w:y="1"/>
      <w:rPr>
        <w:rStyle w:val="32"/>
      </w:rPr>
    </w:pPr>
    <w:r>
      <w:fldChar w:fldCharType="begin"/>
    </w:r>
    <w:r>
      <w:rPr>
        <w:rStyle w:val="32"/>
      </w:rPr>
      <w:instrText xml:space="preserve">PAGE  </w:instrText>
    </w:r>
    <w:r>
      <w:fldChar w:fldCharType="end"/>
    </w:r>
  </w:p>
  <w:p w14:paraId="3C4B67CC">
    <w:pPr>
      <w:pStyle w:val="1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359D0">
    <w:pPr>
      <w:pStyle w:val="17"/>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F02626">
                          <w:pPr>
                            <w:pStyle w:val="17"/>
                            <w:rPr>
                              <w:sz w:val="24"/>
                              <w:szCs w:val="28"/>
                            </w:rPr>
                          </w:pPr>
                          <w:r>
                            <w:rPr>
                              <w:sz w:val="24"/>
                              <w:szCs w:val="28"/>
                            </w:rPr>
                            <w:t xml:space="preserve">— </w:t>
                          </w:r>
                          <w:r>
                            <w:rPr>
                              <w:sz w:val="24"/>
                              <w:szCs w:val="28"/>
                            </w:rPr>
                            <w:fldChar w:fldCharType="begin"/>
                          </w:r>
                          <w:r>
                            <w:rPr>
                              <w:sz w:val="24"/>
                              <w:szCs w:val="28"/>
                            </w:rPr>
                            <w:instrText xml:space="preserve"> PAGE  \* MERGEFORMAT </w:instrText>
                          </w:r>
                          <w:r>
                            <w:rPr>
                              <w:sz w:val="24"/>
                              <w:szCs w:val="28"/>
                            </w:rPr>
                            <w:fldChar w:fldCharType="separate"/>
                          </w:r>
                          <w:r>
                            <w:rPr>
                              <w:sz w:val="24"/>
                              <w:szCs w:val="28"/>
                            </w:rPr>
                            <w:t>1</w:t>
                          </w:r>
                          <w:r>
                            <w:rPr>
                              <w:sz w:val="24"/>
                              <w:szCs w:val="28"/>
                            </w:rPr>
                            <w:fldChar w:fldCharType="end"/>
                          </w:r>
                          <w:r>
                            <w:rPr>
                              <w:sz w:val="24"/>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10F02626">
                    <w:pPr>
                      <w:pStyle w:val="17"/>
                      <w:rPr>
                        <w:sz w:val="24"/>
                        <w:szCs w:val="28"/>
                      </w:rPr>
                    </w:pPr>
                    <w:r>
                      <w:rPr>
                        <w:sz w:val="24"/>
                        <w:szCs w:val="28"/>
                      </w:rPr>
                      <w:t xml:space="preserve">— </w:t>
                    </w:r>
                    <w:r>
                      <w:rPr>
                        <w:sz w:val="24"/>
                        <w:szCs w:val="28"/>
                      </w:rPr>
                      <w:fldChar w:fldCharType="begin"/>
                    </w:r>
                    <w:r>
                      <w:rPr>
                        <w:sz w:val="24"/>
                        <w:szCs w:val="28"/>
                      </w:rPr>
                      <w:instrText xml:space="preserve"> PAGE  \* MERGEFORMAT </w:instrText>
                    </w:r>
                    <w:r>
                      <w:rPr>
                        <w:sz w:val="24"/>
                        <w:szCs w:val="28"/>
                      </w:rPr>
                      <w:fldChar w:fldCharType="separate"/>
                    </w:r>
                    <w:r>
                      <w:rPr>
                        <w:sz w:val="24"/>
                        <w:szCs w:val="28"/>
                      </w:rPr>
                      <w:t>1</w:t>
                    </w:r>
                    <w:r>
                      <w:rPr>
                        <w:sz w:val="24"/>
                        <w:szCs w:val="28"/>
                      </w:rPr>
                      <w:fldChar w:fldCharType="end"/>
                    </w:r>
                    <w:r>
                      <w:rPr>
                        <w:sz w:val="24"/>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57EFD">
    <w:pPr>
      <w:pStyle w:val="17"/>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710B09">
                          <w:pPr>
                            <w:pStyle w:val="17"/>
                          </w:pPr>
                          <w:r>
                            <w:t xml:space="preserve">— </w:t>
                          </w:r>
                          <w:r>
                            <w:fldChar w:fldCharType="begin"/>
                          </w:r>
                          <w:r>
                            <w:instrText xml:space="preserve"> PAGE  \* MERGEFORMAT </w:instrText>
                          </w:r>
                          <w:r>
                            <w:fldChar w:fldCharType="separate"/>
                          </w:r>
                          <w:r>
                            <w:t>50</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20710B09">
                    <w:pPr>
                      <w:pStyle w:val="17"/>
                    </w:pPr>
                    <w:r>
                      <w:t xml:space="preserve">— </w:t>
                    </w:r>
                    <w:r>
                      <w:fldChar w:fldCharType="begin"/>
                    </w:r>
                    <w:r>
                      <w:instrText xml:space="preserve"> PAGE  \* MERGEFORMAT </w:instrText>
                    </w:r>
                    <w:r>
                      <w:fldChar w:fldCharType="separate"/>
                    </w:r>
                    <w:r>
                      <w:t>50</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83BEE">
    <w:pPr>
      <w:pStyle w:val="17"/>
      <w:tabs>
        <w:tab w:val="left" w:pos="6939"/>
        <w:tab w:val="clear" w:pos="4153"/>
      </w:tabs>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42151">
                          <w:pPr>
                            <w:pStyle w:val="17"/>
                            <w:rPr>
                              <w:sz w:val="24"/>
                              <w:szCs w:val="28"/>
                            </w:rPr>
                          </w:pPr>
                          <w:r>
                            <w:rPr>
                              <w:sz w:val="24"/>
                              <w:szCs w:val="28"/>
                            </w:rPr>
                            <w:t xml:space="preserve">— </w:t>
                          </w:r>
                          <w:r>
                            <w:rPr>
                              <w:sz w:val="24"/>
                              <w:szCs w:val="28"/>
                            </w:rPr>
                            <w:fldChar w:fldCharType="begin"/>
                          </w:r>
                          <w:r>
                            <w:rPr>
                              <w:sz w:val="24"/>
                              <w:szCs w:val="28"/>
                            </w:rPr>
                            <w:instrText xml:space="preserve"> PAGE  \* MERGEFORMAT </w:instrText>
                          </w:r>
                          <w:r>
                            <w:rPr>
                              <w:sz w:val="24"/>
                              <w:szCs w:val="28"/>
                            </w:rPr>
                            <w:fldChar w:fldCharType="separate"/>
                          </w:r>
                          <w:r>
                            <w:rPr>
                              <w:sz w:val="24"/>
                              <w:szCs w:val="28"/>
                            </w:rPr>
                            <w:t>3</w:t>
                          </w:r>
                          <w:r>
                            <w:rPr>
                              <w:sz w:val="24"/>
                              <w:szCs w:val="28"/>
                            </w:rPr>
                            <w:fldChar w:fldCharType="end"/>
                          </w:r>
                          <w:r>
                            <w:rPr>
                              <w:sz w:val="24"/>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29342151">
                    <w:pPr>
                      <w:pStyle w:val="17"/>
                      <w:rPr>
                        <w:sz w:val="24"/>
                        <w:szCs w:val="28"/>
                      </w:rPr>
                    </w:pPr>
                    <w:r>
                      <w:rPr>
                        <w:sz w:val="24"/>
                        <w:szCs w:val="28"/>
                      </w:rPr>
                      <w:t xml:space="preserve">— </w:t>
                    </w:r>
                    <w:r>
                      <w:rPr>
                        <w:sz w:val="24"/>
                        <w:szCs w:val="28"/>
                      </w:rPr>
                      <w:fldChar w:fldCharType="begin"/>
                    </w:r>
                    <w:r>
                      <w:rPr>
                        <w:sz w:val="24"/>
                        <w:szCs w:val="28"/>
                      </w:rPr>
                      <w:instrText xml:space="preserve"> PAGE  \* MERGEFORMAT </w:instrText>
                    </w:r>
                    <w:r>
                      <w:rPr>
                        <w:sz w:val="24"/>
                        <w:szCs w:val="28"/>
                      </w:rPr>
                      <w:fldChar w:fldCharType="separate"/>
                    </w:r>
                    <w:r>
                      <w:rPr>
                        <w:sz w:val="24"/>
                        <w:szCs w:val="28"/>
                      </w:rPr>
                      <w:t>3</w:t>
                    </w:r>
                    <w:r>
                      <w:rPr>
                        <w:sz w:val="24"/>
                        <w:szCs w:val="28"/>
                      </w:rPr>
                      <w:fldChar w:fldCharType="end"/>
                    </w:r>
                    <w:r>
                      <w:rPr>
                        <w:sz w:val="24"/>
                        <w:szCs w:val="28"/>
                      </w:rPr>
                      <w:t xml:space="preserve"> —</w:t>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E2734">
    <w:pPr>
      <w:pStyle w:val="1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627EA6"/>
    <w:multiLevelType w:val="singleLevel"/>
    <w:tmpl w:val="A1627EA6"/>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1">
    <w:nsid w:val="A7C16280"/>
    <w:multiLevelType w:val="singleLevel"/>
    <w:tmpl w:val="A7C16280"/>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5MmU5ZGYwZThiMDM1NDExZTY0OTM1MzhkNzU1NjQifQ=="/>
  </w:docVars>
  <w:rsids>
    <w:rsidRoot w:val="00172A27"/>
    <w:rsid w:val="0000278A"/>
    <w:rsid w:val="000060B3"/>
    <w:rsid w:val="00041CE0"/>
    <w:rsid w:val="0004364B"/>
    <w:rsid w:val="000530D8"/>
    <w:rsid w:val="00061B1F"/>
    <w:rsid w:val="000733C4"/>
    <w:rsid w:val="00074783"/>
    <w:rsid w:val="000747EA"/>
    <w:rsid w:val="0008070B"/>
    <w:rsid w:val="000810AC"/>
    <w:rsid w:val="00081A02"/>
    <w:rsid w:val="00082231"/>
    <w:rsid w:val="00092D38"/>
    <w:rsid w:val="0009377B"/>
    <w:rsid w:val="000A20C9"/>
    <w:rsid w:val="000A5A0F"/>
    <w:rsid w:val="000B058F"/>
    <w:rsid w:val="000B4467"/>
    <w:rsid w:val="000B4DB9"/>
    <w:rsid w:val="000C09AC"/>
    <w:rsid w:val="000C767F"/>
    <w:rsid w:val="000D5A44"/>
    <w:rsid w:val="000E014F"/>
    <w:rsid w:val="000E3ED2"/>
    <w:rsid w:val="00131F42"/>
    <w:rsid w:val="001357F1"/>
    <w:rsid w:val="00140FA8"/>
    <w:rsid w:val="00142FEB"/>
    <w:rsid w:val="00143A2D"/>
    <w:rsid w:val="00145A41"/>
    <w:rsid w:val="00151675"/>
    <w:rsid w:val="00157435"/>
    <w:rsid w:val="0016681D"/>
    <w:rsid w:val="00172A27"/>
    <w:rsid w:val="0017504D"/>
    <w:rsid w:val="0017671A"/>
    <w:rsid w:val="00177422"/>
    <w:rsid w:val="00177892"/>
    <w:rsid w:val="0018099E"/>
    <w:rsid w:val="00184590"/>
    <w:rsid w:val="00185442"/>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0368F"/>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94D01"/>
    <w:rsid w:val="002A168C"/>
    <w:rsid w:val="002A3DC7"/>
    <w:rsid w:val="002B18C4"/>
    <w:rsid w:val="002B49E2"/>
    <w:rsid w:val="002B7390"/>
    <w:rsid w:val="002B7B00"/>
    <w:rsid w:val="002B7C44"/>
    <w:rsid w:val="002C19FF"/>
    <w:rsid w:val="002C2B17"/>
    <w:rsid w:val="002D3DD0"/>
    <w:rsid w:val="002E1F3A"/>
    <w:rsid w:val="002E298A"/>
    <w:rsid w:val="002E52FC"/>
    <w:rsid w:val="002F3524"/>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1B41"/>
    <w:rsid w:val="00363B94"/>
    <w:rsid w:val="00364929"/>
    <w:rsid w:val="00366E0F"/>
    <w:rsid w:val="00370B27"/>
    <w:rsid w:val="00381A72"/>
    <w:rsid w:val="00384676"/>
    <w:rsid w:val="00390857"/>
    <w:rsid w:val="003A21F0"/>
    <w:rsid w:val="003A4BF3"/>
    <w:rsid w:val="003B420D"/>
    <w:rsid w:val="003C6C16"/>
    <w:rsid w:val="003D65DD"/>
    <w:rsid w:val="003D794D"/>
    <w:rsid w:val="003E3058"/>
    <w:rsid w:val="003E76A9"/>
    <w:rsid w:val="003F0809"/>
    <w:rsid w:val="003F6A8C"/>
    <w:rsid w:val="003F755C"/>
    <w:rsid w:val="00406F01"/>
    <w:rsid w:val="00411D13"/>
    <w:rsid w:val="00416D50"/>
    <w:rsid w:val="00416FD5"/>
    <w:rsid w:val="00417772"/>
    <w:rsid w:val="0042006E"/>
    <w:rsid w:val="00420E6A"/>
    <w:rsid w:val="0042391C"/>
    <w:rsid w:val="00425A9E"/>
    <w:rsid w:val="00426D6B"/>
    <w:rsid w:val="00431E6C"/>
    <w:rsid w:val="00433CE7"/>
    <w:rsid w:val="00437A69"/>
    <w:rsid w:val="00452738"/>
    <w:rsid w:val="00456091"/>
    <w:rsid w:val="00466321"/>
    <w:rsid w:val="00476D55"/>
    <w:rsid w:val="00484B9B"/>
    <w:rsid w:val="004855F6"/>
    <w:rsid w:val="00485DD5"/>
    <w:rsid w:val="0048661E"/>
    <w:rsid w:val="00494670"/>
    <w:rsid w:val="004A3823"/>
    <w:rsid w:val="004B20AC"/>
    <w:rsid w:val="004C2B43"/>
    <w:rsid w:val="004D5898"/>
    <w:rsid w:val="004E5995"/>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4D96"/>
    <w:rsid w:val="00545424"/>
    <w:rsid w:val="00554A7B"/>
    <w:rsid w:val="0055572C"/>
    <w:rsid w:val="0056106A"/>
    <w:rsid w:val="005720AE"/>
    <w:rsid w:val="00591E3C"/>
    <w:rsid w:val="00594D77"/>
    <w:rsid w:val="005969E4"/>
    <w:rsid w:val="005A06B7"/>
    <w:rsid w:val="005A1759"/>
    <w:rsid w:val="005A68A7"/>
    <w:rsid w:val="005C2D0C"/>
    <w:rsid w:val="005D36AB"/>
    <w:rsid w:val="005F088C"/>
    <w:rsid w:val="00604E75"/>
    <w:rsid w:val="00617CC3"/>
    <w:rsid w:val="00624E7C"/>
    <w:rsid w:val="006377A6"/>
    <w:rsid w:val="00637A3D"/>
    <w:rsid w:val="006411EF"/>
    <w:rsid w:val="00655333"/>
    <w:rsid w:val="006748B8"/>
    <w:rsid w:val="006775C3"/>
    <w:rsid w:val="00684627"/>
    <w:rsid w:val="0069290A"/>
    <w:rsid w:val="0069775A"/>
    <w:rsid w:val="00697813"/>
    <w:rsid w:val="006A3EE8"/>
    <w:rsid w:val="006A672A"/>
    <w:rsid w:val="006A72BF"/>
    <w:rsid w:val="006B03F2"/>
    <w:rsid w:val="006B37DC"/>
    <w:rsid w:val="006B4F68"/>
    <w:rsid w:val="006C0592"/>
    <w:rsid w:val="006C272E"/>
    <w:rsid w:val="006C5479"/>
    <w:rsid w:val="006D13B5"/>
    <w:rsid w:val="006E12FF"/>
    <w:rsid w:val="006E607E"/>
    <w:rsid w:val="00706C5D"/>
    <w:rsid w:val="00716FF3"/>
    <w:rsid w:val="007200CF"/>
    <w:rsid w:val="00732922"/>
    <w:rsid w:val="00735C4D"/>
    <w:rsid w:val="00736F36"/>
    <w:rsid w:val="0075162E"/>
    <w:rsid w:val="00754034"/>
    <w:rsid w:val="00756556"/>
    <w:rsid w:val="007618C4"/>
    <w:rsid w:val="00767980"/>
    <w:rsid w:val="00770B19"/>
    <w:rsid w:val="00773568"/>
    <w:rsid w:val="0077463F"/>
    <w:rsid w:val="00781691"/>
    <w:rsid w:val="007836EA"/>
    <w:rsid w:val="00784CDA"/>
    <w:rsid w:val="007906C4"/>
    <w:rsid w:val="007940EA"/>
    <w:rsid w:val="007967E8"/>
    <w:rsid w:val="007A2170"/>
    <w:rsid w:val="007A22BF"/>
    <w:rsid w:val="007A3323"/>
    <w:rsid w:val="007B167B"/>
    <w:rsid w:val="007B72B8"/>
    <w:rsid w:val="007B7A58"/>
    <w:rsid w:val="007C21B5"/>
    <w:rsid w:val="007D39F5"/>
    <w:rsid w:val="007E4BD2"/>
    <w:rsid w:val="00801393"/>
    <w:rsid w:val="00802F88"/>
    <w:rsid w:val="0081293E"/>
    <w:rsid w:val="00815465"/>
    <w:rsid w:val="00817E9A"/>
    <w:rsid w:val="00825BEF"/>
    <w:rsid w:val="008306BD"/>
    <w:rsid w:val="00831A80"/>
    <w:rsid w:val="00833743"/>
    <w:rsid w:val="008340A4"/>
    <w:rsid w:val="00840C7D"/>
    <w:rsid w:val="00842B23"/>
    <w:rsid w:val="0087135F"/>
    <w:rsid w:val="00872D94"/>
    <w:rsid w:val="00880364"/>
    <w:rsid w:val="00891592"/>
    <w:rsid w:val="00891E53"/>
    <w:rsid w:val="00891E9E"/>
    <w:rsid w:val="008A2F68"/>
    <w:rsid w:val="008B4FA6"/>
    <w:rsid w:val="008B5282"/>
    <w:rsid w:val="008B7C17"/>
    <w:rsid w:val="008C2439"/>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2641"/>
    <w:rsid w:val="0091736D"/>
    <w:rsid w:val="00927C8A"/>
    <w:rsid w:val="0093037A"/>
    <w:rsid w:val="00932E26"/>
    <w:rsid w:val="0094154D"/>
    <w:rsid w:val="00942101"/>
    <w:rsid w:val="009446A5"/>
    <w:rsid w:val="0095155F"/>
    <w:rsid w:val="00954429"/>
    <w:rsid w:val="009563CE"/>
    <w:rsid w:val="00967DB2"/>
    <w:rsid w:val="00974376"/>
    <w:rsid w:val="00976328"/>
    <w:rsid w:val="0097680D"/>
    <w:rsid w:val="00976A36"/>
    <w:rsid w:val="00977589"/>
    <w:rsid w:val="00982438"/>
    <w:rsid w:val="0098404C"/>
    <w:rsid w:val="00985283"/>
    <w:rsid w:val="00987905"/>
    <w:rsid w:val="00995992"/>
    <w:rsid w:val="009A03E5"/>
    <w:rsid w:val="009A0F3B"/>
    <w:rsid w:val="009A1BB4"/>
    <w:rsid w:val="009A2628"/>
    <w:rsid w:val="009A3200"/>
    <w:rsid w:val="009B0897"/>
    <w:rsid w:val="009B4768"/>
    <w:rsid w:val="009B7BD9"/>
    <w:rsid w:val="009C7DD5"/>
    <w:rsid w:val="009D56AC"/>
    <w:rsid w:val="009E227D"/>
    <w:rsid w:val="009E5019"/>
    <w:rsid w:val="009F18EF"/>
    <w:rsid w:val="00A04F1B"/>
    <w:rsid w:val="00A0501B"/>
    <w:rsid w:val="00A06621"/>
    <w:rsid w:val="00A14947"/>
    <w:rsid w:val="00A32A83"/>
    <w:rsid w:val="00A368DB"/>
    <w:rsid w:val="00A423AA"/>
    <w:rsid w:val="00A42D39"/>
    <w:rsid w:val="00A47E07"/>
    <w:rsid w:val="00A53EC6"/>
    <w:rsid w:val="00A55C0F"/>
    <w:rsid w:val="00A779FC"/>
    <w:rsid w:val="00A80714"/>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03170"/>
    <w:rsid w:val="00B1295A"/>
    <w:rsid w:val="00B20A45"/>
    <w:rsid w:val="00B2259A"/>
    <w:rsid w:val="00B22C5C"/>
    <w:rsid w:val="00B24F30"/>
    <w:rsid w:val="00B31ABF"/>
    <w:rsid w:val="00B33BE3"/>
    <w:rsid w:val="00B45A7C"/>
    <w:rsid w:val="00B53B5D"/>
    <w:rsid w:val="00B6055E"/>
    <w:rsid w:val="00B6317D"/>
    <w:rsid w:val="00B7723F"/>
    <w:rsid w:val="00B80534"/>
    <w:rsid w:val="00B8433C"/>
    <w:rsid w:val="00B87491"/>
    <w:rsid w:val="00BA29E9"/>
    <w:rsid w:val="00BA7142"/>
    <w:rsid w:val="00BB237C"/>
    <w:rsid w:val="00BB41A3"/>
    <w:rsid w:val="00BB558E"/>
    <w:rsid w:val="00BC32DC"/>
    <w:rsid w:val="00BC35B6"/>
    <w:rsid w:val="00BC6A15"/>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4D6"/>
    <w:rsid w:val="00C82913"/>
    <w:rsid w:val="00C972B1"/>
    <w:rsid w:val="00CA2CCE"/>
    <w:rsid w:val="00CA43FD"/>
    <w:rsid w:val="00CA7EF8"/>
    <w:rsid w:val="00CB3BFA"/>
    <w:rsid w:val="00CC3A60"/>
    <w:rsid w:val="00CC489B"/>
    <w:rsid w:val="00CD2BCD"/>
    <w:rsid w:val="00CD3A4C"/>
    <w:rsid w:val="00CE10E9"/>
    <w:rsid w:val="00CE25C5"/>
    <w:rsid w:val="00CE2910"/>
    <w:rsid w:val="00CE3448"/>
    <w:rsid w:val="00CE5027"/>
    <w:rsid w:val="00CE5393"/>
    <w:rsid w:val="00CF36BE"/>
    <w:rsid w:val="00CF6000"/>
    <w:rsid w:val="00D003F3"/>
    <w:rsid w:val="00D0364F"/>
    <w:rsid w:val="00D06834"/>
    <w:rsid w:val="00D308ED"/>
    <w:rsid w:val="00D36D86"/>
    <w:rsid w:val="00D428AA"/>
    <w:rsid w:val="00D50A34"/>
    <w:rsid w:val="00D53EFA"/>
    <w:rsid w:val="00D542D8"/>
    <w:rsid w:val="00D94A7C"/>
    <w:rsid w:val="00D95896"/>
    <w:rsid w:val="00DB2983"/>
    <w:rsid w:val="00DC1257"/>
    <w:rsid w:val="00DC3DC0"/>
    <w:rsid w:val="00DC5B2B"/>
    <w:rsid w:val="00DD318D"/>
    <w:rsid w:val="00DD6472"/>
    <w:rsid w:val="00DE56AF"/>
    <w:rsid w:val="00DF2E12"/>
    <w:rsid w:val="00DF514A"/>
    <w:rsid w:val="00DF6690"/>
    <w:rsid w:val="00DF6804"/>
    <w:rsid w:val="00E0358D"/>
    <w:rsid w:val="00E03A10"/>
    <w:rsid w:val="00E04323"/>
    <w:rsid w:val="00E070A2"/>
    <w:rsid w:val="00E14336"/>
    <w:rsid w:val="00E2656A"/>
    <w:rsid w:val="00E3041B"/>
    <w:rsid w:val="00E412D0"/>
    <w:rsid w:val="00E56322"/>
    <w:rsid w:val="00E60982"/>
    <w:rsid w:val="00E62C62"/>
    <w:rsid w:val="00E654C1"/>
    <w:rsid w:val="00E65D97"/>
    <w:rsid w:val="00E6707D"/>
    <w:rsid w:val="00E72A5A"/>
    <w:rsid w:val="00E73354"/>
    <w:rsid w:val="00E9242D"/>
    <w:rsid w:val="00EB5255"/>
    <w:rsid w:val="00EB5C47"/>
    <w:rsid w:val="00ED0639"/>
    <w:rsid w:val="00ED35E9"/>
    <w:rsid w:val="00EF4755"/>
    <w:rsid w:val="00EF7135"/>
    <w:rsid w:val="00F027DB"/>
    <w:rsid w:val="00F14A7A"/>
    <w:rsid w:val="00F22985"/>
    <w:rsid w:val="00F3383E"/>
    <w:rsid w:val="00F465A7"/>
    <w:rsid w:val="00F50B7C"/>
    <w:rsid w:val="00F52EA7"/>
    <w:rsid w:val="00F550E6"/>
    <w:rsid w:val="00F74345"/>
    <w:rsid w:val="00F80A0A"/>
    <w:rsid w:val="00F82B19"/>
    <w:rsid w:val="00F83193"/>
    <w:rsid w:val="00F9212D"/>
    <w:rsid w:val="00F965DA"/>
    <w:rsid w:val="00FA406A"/>
    <w:rsid w:val="00FB503A"/>
    <w:rsid w:val="00FB516C"/>
    <w:rsid w:val="00FB61A6"/>
    <w:rsid w:val="00FD0236"/>
    <w:rsid w:val="00FD18F4"/>
    <w:rsid w:val="00FD54DB"/>
    <w:rsid w:val="00FD619F"/>
    <w:rsid w:val="010D7DD7"/>
    <w:rsid w:val="01290F7E"/>
    <w:rsid w:val="012C785A"/>
    <w:rsid w:val="015D1E09"/>
    <w:rsid w:val="01672749"/>
    <w:rsid w:val="01761E20"/>
    <w:rsid w:val="01891EB9"/>
    <w:rsid w:val="018F6A3E"/>
    <w:rsid w:val="01AB3C55"/>
    <w:rsid w:val="01B87D5F"/>
    <w:rsid w:val="01EF3980"/>
    <w:rsid w:val="01FA65AD"/>
    <w:rsid w:val="02697903"/>
    <w:rsid w:val="027D71DE"/>
    <w:rsid w:val="02B367FB"/>
    <w:rsid w:val="02E2233F"/>
    <w:rsid w:val="02F96569"/>
    <w:rsid w:val="03451AAA"/>
    <w:rsid w:val="034670D2"/>
    <w:rsid w:val="037857B1"/>
    <w:rsid w:val="03805E6A"/>
    <w:rsid w:val="03C65CBA"/>
    <w:rsid w:val="03EA7B21"/>
    <w:rsid w:val="04222A4E"/>
    <w:rsid w:val="04294F27"/>
    <w:rsid w:val="044D1B8F"/>
    <w:rsid w:val="04575EC2"/>
    <w:rsid w:val="045F6B9B"/>
    <w:rsid w:val="04706FFA"/>
    <w:rsid w:val="047A1C27"/>
    <w:rsid w:val="049A5E25"/>
    <w:rsid w:val="04AC5B58"/>
    <w:rsid w:val="04BA085E"/>
    <w:rsid w:val="04D550AF"/>
    <w:rsid w:val="04E63CDD"/>
    <w:rsid w:val="051C2CDE"/>
    <w:rsid w:val="05286A3B"/>
    <w:rsid w:val="052D0A47"/>
    <w:rsid w:val="054A5839"/>
    <w:rsid w:val="0574627E"/>
    <w:rsid w:val="05764608"/>
    <w:rsid w:val="05865075"/>
    <w:rsid w:val="058B39C0"/>
    <w:rsid w:val="05B9677F"/>
    <w:rsid w:val="05BE5799"/>
    <w:rsid w:val="05F83EAE"/>
    <w:rsid w:val="06172651"/>
    <w:rsid w:val="062F7914"/>
    <w:rsid w:val="063E7D85"/>
    <w:rsid w:val="06420522"/>
    <w:rsid w:val="06436049"/>
    <w:rsid w:val="06DE516F"/>
    <w:rsid w:val="070805D1"/>
    <w:rsid w:val="071212B5"/>
    <w:rsid w:val="07293586"/>
    <w:rsid w:val="07295285"/>
    <w:rsid w:val="072C103F"/>
    <w:rsid w:val="072C76B6"/>
    <w:rsid w:val="074958E1"/>
    <w:rsid w:val="07500A1D"/>
    <w:rsid w:val="07636392"/>
    <w:rsid w:val="07770C56"/>
    <w:rsid w:val="07BE1E2B"/>
    <w:rsid w:val="07BE62CF"/>
    <w:rsid w:val="07D96995"/>
    <w:rsid w:val="080E63E4"/>
    <w:rsid w:val="081B713A"/>
    <w:rsid w:val="081C2124"/>
    <w:rsid w:val="08793DE8"/>
    <w:rsid w:val="09057101"/>
    <w:rsid w:val="092217DD"/>
    <w:rsid w:val="092376BD"/>
    <w:rsid w:val="093A7294"/>
    <w:rsid w:val="09643ED9"/>
    <w:rsid w:val="096E7880"/>
    <w:rsid w:val="09741749"/>
    <w:rsid w:val="099F5A54"/>
    <w:rsid w:val="09B96D4E"/>
    <w:rsid w:val="09BC05EC"/>
    <w:rsid w:val="09BF2734"/>
    <w:rsid w:val="0A257C17"/>
    <w:rsid w:val="0A263993"/>
    <w:rsid w:val="0A2D3AC2"/>
    <w:rsid w:val="0A3C6460"/>
    <w:rsid w:val="0A740EC6"/>
    <w:rsid w:val="0A825391"/>
    <w:rsid w:val="0A8C5E93"/>
    <w:rsid w:val="0A911A78"/>
    <w:rsid w:val="0A9D21CB"/>
    <w:rsid w:val="0AA755DF"/>
    <w:rsid w:val="0AC92FC0"/>
    <w:rsid w:val="0B016016"/>
    <w:rsid w:val="0B120D44"/>
    <w:rsid w:val="0B4821A6"/>
    <w:rsid w:val="0B5A6210"/>
    <w:rsid w:val="0B642CE9"/>
    <w:rsid w:val="0BA53A2D"/>
    <w:rsid w:val="0BB12EA2"/>
    <w:rsid w:val="0BD240F7"/>
    <w:rsid w:val="0BD27BF6"/>
    <w:rsid w:val="0BE5207C"/>
    <w:rsid w:val="0BED4144"/>
    <w:rsid w:val="0C0605EF"/>
    <w:rsid w:val="0C1B3CF0"/>
    <w:rsid w:val="0C3B3C7D"/>
    <w:rsid w:val="0C3F1C67"/>
    <w:rsid w:val="0CAB2EAE"/>
    <w:rsid w:val="0CBA3508"/>
    <w:rsid w:val="0D4903E8"/>
    <w:rsid w:val="0D4B23B2"/>
    <w:rsid w:val="0D621C7D"/>
    <w:rsid w:val="0D8A6527"/>
    <w:rsid w:val="0D913B3D"/>
    <w:rsid w:val="0DA93BCE"/>
    <w:rsid w:val="0DCD2DC7"/>
    <w:rsid w:val="0DD605F1"/>
    <w:rsid w:val="0DE436C1"/>
    <w:rsid w:val="0E15128A"/>
    <w:rsid w:val="0E3663CF"/>
    <w:rsid w:val="0E4B48F6"/>
    <w:rsid w:val="0E521797"/>
    <w:rsid w:val="0E6425EB"/>
    <w:rsid w:val="0E6A6868"/>
    <w:rsid w:val="0E73034D"/>
    <w:rsid w:val="0E8858AF"/>
    <w:rsid w:val="0E8B0B86"/>
    <w:rsid w:val="0E95274B"/>
    <w:rsid w:val="0EA7343B"/>
    <w:rsid w:val="0EE91E83"/>
    <w:rsid w:val="0EED1247"/>
    <w:rsid w:val="0EF05C4B"/>
    <w:rsid w:val="0EF83E74"/>
    <w:rsid w:val="0F0F7410"/>
    <w:rsid w:val="0F13775A"/>
    <w:rsid w:val="0F2033CB"/>
    <w:rsid w:val="0F216E75"/>
    <w:rsid w:val="0F234590"/>
    <w:rsid w:val="0F2D7B83"/>
    <w:rsid w:val="0F3A3177"/>
    <w:rsid w:val="0F43205F"/>
    <w:rsid w:val="0F4C5F6E"/>
    <w:rsid w:val="0F5F4446"/>
    <w:rsid w:val="0F5F45FE"/>
    <w:rsid w:val="0F6F19FE"/>
    <w:rsid w:val="0F713C26"/>
    <w:rsid w:val="0F9A112B"/>
    <w:rsid w:val="0FAC2EB1"/>
    <w:rsid w:val="0FC91CB4"/>
    <w:rsid w:val="0FE34B24"/>
    <w:rsid w:val="0FEA6E5D"/>
    <w:rsid w:val="100E1475"/>
    <w:rsid w:val="102D5D9F"/>
    <w:rsid w:val="102F07BE"/>
    <w:rsid w:val="1034712E"/>
    <w:rsid w:val="10372E26"/>
    <w:rsid w:val="106D2F64"/>
    <w:rsid w:val="10790FE5"/>
    <w:rsid w:val="10A1053B"/>
    <w:rsid w:val="10AB0C9B"/>
    <w:rsid w:val="10AB3168"/>
    <w:rsid w:val="10B63710"/>
    <w:rsid w:val="10BB03C3"/>
    <w:rsid w:val="10BB15FD"/>
    <w:rsid w:val="10DD6A82"/>
    <w:rsid w:val="10F10820"/>
    <w:rsid w:val="111959E1"/>
    <w:rsid w:val="111C2F7A"/>
    <w:rsid w:val="11665CA1"/>
    <w:rsid w:val="11B95D19"/>
    <w:rsid w:val="11ED41AD"/>
    <w:rsid w:val="11FD5C45"/>
    <w:rsid w:val="120C7C36"/>
    <w:rsid w:val="12137217"/>
    <w:rsid w:val="12435D4E"/>
    <w:rsid w:val="124E714C"/>
    <w:rsid w:val="12ED32E7"/>
    <w:rsid w:val="13111486"/>
    <w:rsid w:val="132662D8"/>
    <w:rsid w:val="13367661"/>
    <w:rsid w:val="133E6515"/>
    <w:rsid w:val="1347361C"/>
    <w:rsid w:val="13655850"/>
    <w:rsid w:val="136F66CF"/>
    <w:rsid w:val="137347B5"/>
    <w:rsid w:val="13951726"/>
    <w:rsid w:val="13A36841"/>
    <w:rsid w:val="13B16CE7"/>
    <w:rsid w:val="13B928D5"/>
    <w:rsid w:val="13DB1671"/>
    <w:rsid w:val="14041536"/>
    <w:rsid w:val="14092680"/>
    <w:rsid w:val="140D6614"/>
    <w:rsid w:val="14396509"/>
    <w:rsid w:val="143F47E9"/>
    <w:rsid w:val="145002AE"/>
    <w:rsid w:val="148443FC"/>
    <w:rsid w:val="14864A1B"/>
    <w:rsid w:val="14B545B5"/>
    <w:rsid w:val="14DD2C3C"/>
    <w:rsid w:val="14F275B8"/>
    <w:rsid w:val="1524448A"/>
    <w:rsid w:val="153A73C0"/>
    <w:rsid w:val="15545B7C"/>
    <w:rsid w:val="1575338F"/>
    <w:rsid w:val="15785BB6"/>
    <w:rsid w:val="157F7590"/>
    <w:rsid w:val="15B23376"/>
    <w:rsid w:val="16087E1D"/>
    <w:rsid w:val="16632A3D"/>
    <w:rsid w:val="166E6623"/>
    <w:rsid w:val="166F54CC"/>
    <w:rsid w:val="16A448E1"/>
    <w:rsid w:val="16BD3B88"/>
    <w:rsid w:val="16C1486A"/>
    <w:rsid w:val="16C32FBA"/>
    <w:rsid w:val="16C97634"/>
    <w:rsid w:val="170B6491"/>
    <w:rsid w:val="17231CAA"/>
    <w:rsid w:val="1723320B"/>
    <w:rsid w:val="173B6FF4"/>
    <w:rsid w:val="17701D14"/>
    <w:rsid w:val="17735226"/>
    <w:rsid w:val="177C3FF0"/>
    <w:rsid w:val="178A3AD7"/>
    <w:rsid w:val="179D2AF5"/>
    <w:rsid w:val="17B64C37"/>
    <w:rsid w:val="17C23271"/>
    <w:rsid w:val="17C937B3"/>
    <w:rsid w:val="17EE22B8"/>
    <w:rsid w:val="18121819"/>
    <w:rsid w:val="1840063A"/>
    <w:rsid w:val="18802F86"/>
    <w:rsid w:val="18842C1C"/>
    <w:rsid w:val="189F624C"/>
    <w:rsid w:val="18AF7445"/>
    <w:rsid w:val="18B232E6"/>
    <w:rsid w:val="18C1177B"/>
    <w:rsid w:val="18C2773C"/>
    <w:rsid w:val="18CF31B1"/>
    <w:rsid w:val="19007E42"/>
    <w:rsid w:val="191F7F13"/>
    <w:rsid w:val="193F15BC"/>
    <w:rsid w:val="1998697F"/>
    <w:rsid w:val="19CA63C7"/>
    <w:rsid w:val="19DE67BB"/>
    <w:rsid w:val="19EE47F1"/>
    <w:rsid w:val="1A197394"/>
    <w:rsid w:val="1A1C66C0"/>
    <w:rsid w:val="1A200723"/>
    <w:rsid w:val="1A42393B"/>
    <w:rsid w:val="1A440508"/>
    <w:rsid w:val="1A63160F"/>
    <w:rsid w:val="1A78230D"/>
    <w:rsid w:val="1A8B2040"/>
    <w:rsid w:val="1AAD45DE"/>
    <w:rsid w:val="1ACB4B33"/>
    <w:rsid w:val="1AE41750"/>
    <w:rsid w:val="1AEF33E6"/>
    <w:rsid w:val="1AF857C2"/>
    <w:rsid w:val="1AFD5BC7"/>
    <w:rsid w:val="1AFE6CB6"/>
    <w:rsid w:val="1B046F80"/>
    <w:rsid w:val="1B102545"/>
    <w:rsid w:val="1B3267B5"/>
    <w:rsid w:val="1B40161D"/>
    <w:rsid w:val="1B441859"/>
    <w:rsid w:val="1B4951CA"/>
    <w:rsid w:val="1B5763C6"/>
    <w:rsid w:val="1B6606B1"/>
    <w:rsid w:val="1BAB226E"/>
    <w:rsid w:val="1BB47375"/>
    <w:rsid w:val="1BB76E65"/>
    <w:rsid w:val="1BBE01F3"/>
    <w:rsid w:val="1BE9481F"/>
    <w:rsid w:val="1C1758E7"/>
    <w:rsid w:val="1C2F4C4D"/>
    <w:rsid w:val="1C5E7925"/>
    <w:rsid w:val="1CA96695"/>
    <w:rsid w:val="1CB61F0C"/>
    <w:rsid w:val="1CCC5E93"/>
    <w:rsid w:val="1CD13F56"/>
    <w:rsid w:val="1CFD070F"/>
    <w:rsid w:val="1D097590"/>
    <w:rsid w:val="1D1445DB"/>
    <w:rsid w:val="1D1C1676"/>
    <w:rsid w:val="1D576747"/>
    <w:rsid w:val="1D5E2AE5"/>
    <w:rsid w:val="1D5F6196"/>
    <w:rsid w:val="1D6132A5"/>
    <w:rsid w:val="1D666676"/>
    <w:rsid w:val="1D83640F"/>
    <w:rsid w:val="1D8E56D5"/>
    <w:rsid w:val="1E0839A8"/>
    <w:rsid w:val="1E0B650C"/>
    <w:rsid w:val="1E114ECC"/>
    <w:rsid w:val="1E122A78"/>
    <w:rsid w:val="1E2D501F"/>
    <w:rsid w:val="1E326C77"/>
    <w:rsid w:val="1E3E386E"/>
    <w:rsid w:val="1E474D49"/>
    <w:rsid w:val="1E7A43DA"/>
    <w:rsid w:val="1E8C6387"/>
    <w:rsid w:val="1EB2756C"/>
    <w:rsid w:val="1EBA2EF4"/>
    <w:rsid w:val="1EC91389"/>
    <w:rsid w:val="1ED85A70"/>
    <w:rsid w:val="1EF23869"/>
    <w:rsid w:val="1F1A7E37"/>
    <w:rsid w:val="1F6317DE"/>
    <w:rsid w:val="1F686148"/>
    <w:rsid w:val="1F7A707B"/>
    <w:rsid w:val="1F7E2174"/>
    <w:rsid w:val="1F896D6A"/>
    <w:rsid w:val="1F8A7FD4"/>
    <w:rsid w:val="1FE7539E"/>
    <w:rsid w:val="20000DDB"/>
    <w:rsid w:val="20495C0C"/>
    <w:rsid w:val="20671BE0"/>
    <w:rsid w:val="20963CB8"/>
    <w:rsid w:val="20A81A1B"/>
    <w:rsid w:val="20B07FB6"/>
    <w:rsid w:val="20B646FB"/>
    <w:rsid w:val="20BD1DBF"/>
    <w:rsid w:val="20D64231"/>
    <w:rsid w:val="20D862BB"/>
    <w:rsid w:val="20EB1A8B"/>
    <w:rsid w:val="21040CEF"/>
    <w:rsid w:val="210E5779"/>
    <w:rsid w:val="210E7527"/>
    <w:rsid w:val="2114176F"/>
    <w:rsid w:val="21343F13"/>
    <w:rsid w:val="213A586C"/>
    <w:rsid w:val="213B74B1"/>
    <w:rsid w:val="215A2310"/>
    <w:rsid w:val="218050EB"/>
    <w:rsid w:val="21A67760"/>
    <w:rsid w:val="21B207FA"/>
    <w:rsid w:val="21D95D87"/>
    <w:rsid w:val="21DA6770"/>
    <w:rsid w:val="21DE318A"/>
    <w:rsid w:val="21DF1BFF"/>
    <w:rsid w:val="21E93AF0"/>
    <w:rsid w:val="21EF5B80"/>
    <w:rsid w:val="221C3EC6"/>
    <w:rsid w:val="22415B1A"/>
    <w:rsid w:val="22576990"/>
    <w:rsid w:val="22645D35"/>
    <w:rsid w:val="226D4721"/>
    <w:rsid w:val="22B31984"/>
    <w:rsid w:val="22BD3FAC"/>
    <w:rsid w:val="22D17253"/>
    <w:rsid w:val="22D87DED"/>
    <w:rsid w:val="22DA1DB7"/>
    <w:rsid w:val="22E57A6A"/>
    <w:rsid w:val="22E91FFA"/>
    <w:rsid w:val="22F47480"/>
    <w:rsid w:val="23040BE2"/>
    <w:rsid w:val="235B27CC"/>
    <w:rsid w:val="235E107F"/>
    <w:rsid w:val="23867849"/>
    <w:rsid w:val="239E617D"/>
    <w:rsid w:val="23B73EA6"/>
    <w:rsid w:val="23D25EB6"/>
    <w:rsid w:val="23DE1C48"/>
    <w:rsid w:val="23E80B5A"/>
    <w:rsid w:val="23EB1921"/>
    <w:rsid w:val="23F067F5"/>
    <w:rsid w:val="240210CD"/>
    <w:rsid w:val="241906BD"/>
    <w:rsid w:val="241E0137"/>
    <w:rsid w:val="24377E1B"/>
    <w:rsid w:val="244F4563"/>
    <w:rsid w:val="24637B8A"/>
    <w:rsid w:val="247055C0"/>
    <w:rsid w:val="24BF09F7"/>
    <w:rsid w:val="24F44C86"/>
    <w:rsid w:val="24F627AC"/>
    <w:rsid w:val="252D53FE"/>
    <w:rsid w:val="25644EA9"/>
    <w:rsid w:val="258115C5"/>
    <w:rsid w:val="25A31410"/>
    <w:rsid w:val="25B74631"/>
    <w:rsid w:val="25BC57A4"/>
    <w:rsid w:val="25BF6A94"/>
    <w:rsid w:val="25E96933"/>
    <w:rsid w:val="25EC2D81"/>
    <w:rsid w:val="262B2A8C"/>
    <w:rsid w:val="26330644"/>
    <w:rsid w:val="264C03DE"/>
    <w:rsid w:val="265E7674"/>
    <w:rsid w:val="26834513"/>
    <w:rsid w:val="26995AE5"/>
    <w:rsid w:val="26AD455D"/>
    <w:rsid w:val="26B07716"/>
    <w:rsid w:val="26B40B71"/>
    <w:rsid w:val="26FC4A2E"/>
    <w:rsid w:val="27004382"/>
    <w:rsid w:val="271909D4"/>
    <w:rsid w:val="271E423C"/>
    <w:rsid w:val="273D46C2"/>
    <w:rsid w:val="274F0899"/>
    <w:rsid w:val="277057A2"/>
    <w:rsid w:val="278C1207"/>
    <w:rsid w:val="27A05623"/>
    <w:rsid w:val="27B16E5E"/>
    <w:rsid w:val="27C21C32"/>
    <w:rsid w:val="27F07987"/>
    <w:rsid w:val="27F356C9"/>
    <w:rsid w:val="28190FDE"/>
    <w:rsid w:val="282910EA"/>
    <w:rsid w:val="283A6E54"/>
    <w:rsid w:val="284E685D"/>
    <w:rsid w:val="28697739"/>
    <w:rsid w:val="28773C04"/>
    <w:rsid w:val="287902DB"/>
    <w:rsid w:val="287E1790"/>
    <w:rsid w:val="28894911"/>
    <w:rsid w:val="28931E3A"/>
    <w:rsid w:val="289A1E4C"/>
    <w:rsid w:val="290A27D2"/>
    <w:rsid w:val="29151F0B"/>
    <w:rsid w:val="29206EB8"/>
    <w:rsid w:val="292673D8"/>
    <w:rsid w:val="293A4FD9"/>
    <w:rsid w:val="293D5FB5"/>
    <w:rsid w:val="29455AB0"/>
    <w:rsid w:val="29595666"/>
    <w:rsid w:val="296E3ECC"/>
    <w:rsid w:val="29874881"/>
    <w:rsid w:val="29CE3CF8"/>
    <w:rsid w:val="29D142F9"/>
    <w:rsid w:val="29D244C9"/>
    <w:rsid w:val="29DE70E7"/>
    <w:rsid w:val="29E1381C"/>
    <w:rsid w:val="29E325E0"/>
    <w:rsid w:val="2A0B0CF0"/>
    <w:rsid w:val="2A3F69A3"/>
    <w:rsid w:val="2A452503"/>
    <w:rsid w:val="2A6607A1"/>
    <w:rsid w:val="2A757CA7"/>
    <w:rsid w:val="2A823C72"/>
    <w:rsid w:val="2A846DFA"/>
    <w:rsid w:val="2A944937"/>
    <w:rsid w:val="2AB174A0"/>
    <w:rsid w:val="2ABE1FBE"/>
    <w:rsid w:val="2AE124C4"/>
    <w:rsid w:val="2B2B6F28"/>
    <w:rsid w:val="2B4029D3"/>
    <w:rsid w:val="2B710DDE"/>
    <w:rsid w:val="2B8054C5"/>
    <w:rsid w:val="2BA01668"/>
    <w:rsid w:val="2BA936A8"/>
    <w:rsid w:val="2BBB0778"/>
    <w:rsid w:val="2BEE242F"/>
    <w:rsid w:val="2BFB4B4C"/>
    <w:rsid w:val="2C11436F"/>
    <w:rsid w:val="2C1B01A6"/>
    <w:rsid w:val="2C315A5A"/>
    <w:rsid w:val="2C3F712F"/>
    <w:rsid w:val="2C492F7F"/>
    <w:rsid w:val="2C4B1C25"/>
    <w:rsid w:val="2C6536B5"/>
    <w:rsid w:val="2C661F37"/>
    <w:rsid w:val="2C6E589C"/>
    <w:rsid w:val="2C8D4B0F"/>
    <w:rsid w:val="2CB76CC5"/>
    <w:rsid w:val="2CD71121"/>
    <w:rsid w:val="2CE9133C"/>
    <w:rsid w:val="2CF0102B"/>
    <w:rsid w:val="2CFC5020"/>
    <w:rsid w:val="2D1934DC"/>
    <w:rsid w:val="2D572256"/>
    <w:rsid w:val="2D5E7605"/>
    <w:rsid w:val="2D621FDC"/>
    <w:rsid w:val="2D7E77E3"/>
    <w:rsid w:val="2D872B3B"/>
    <w:rsid w:val="2D8B6624"/>
    <w:rsid w:val="2D9E56F5"/>
    <w:rsid w:val="2DB07DA6"/>
    <w:rsid w:val="2DEA2E6C"/>
    <w:rsid w:val="2E0C4DEE"/>
    <w:rsid w:val="2E667F96"/>
    <w:rsid w:val="2E7F3812"/>
    <w:rsid w:val="2E8226AB"/>
    <w:rsid w:val="2E951288"/>
    <w:rsid w:val="2EAE5EA6"/>
    <w:rsid w:val="2ECD6C74"/>
    <w:rsid w:val="2EDF4157"/>
    <w:rsid w:val="2F074896"/>
    <w:rsid w:val="2F1A353B"/>
    <w:rsid w:val="2F212B1B"/>
    <w:rsid w:val="2F5F53F2"/>
    <w:rsid w:val="2F7D2D74"/>
    <w:rsid w:val="2FD065E6"/>
    <w:rsid w:val="2FD96870"/>
    <w:rsid w:val="2FE80B1F"/>
    <w:rsid w:val="30047A51"/>
    <w:rsid w:val="30450A8C"/>
    <w:rsid w:val="304E16EE"/>
    <w:rsid w:val="30504888"/>
    <w:rsid w:val="30580BC9"/>
    <w:rsid w:val="305B3E0B"/>
    <w:rsid w:val="307D1FD3"/>
    <w:rsid w:val="308B46F0"/>
    <w:rsid w:val="309F1F4A"/>
    <w:rsid w:val="30C946A2"/>
    <w:rsid w:val="31130EBE"/>
    <w:rsid w:val="311E2ED7"/>
    <w:rsid w:val="31227DCC"/>
    <w:rsid w:val="3149255A"/>
    <w:rsid w:val="314F1A86"/>
    <w:rsid w:val="315619EE"/>
    <w:rsid w:val="315C449C"/>
    <w:rsid w:val="316C443C"/>
    <w:rsid w:val="31815AF3"/>
    <w:rsid w:val="318B0720"/>
    <w:rsid w:val="31B82709"/>
    <w:rsid w:val="31BF532C"/>
    <w:rsid w:val="31C06D61"/>
    <w:rsid w:val="31D05482"/>
    <w:rsid w:val="31DE0AF7"/>
    <w:rsid w:val="31EE13DB"/>
    <w:rsid w:val="320329AC"/>
    <w:rsid w:val="323C4518"/>
    <w:rsid w:val="32400B34"/>
    <w:rsid w:val="3253123E"/>
    <w:rsid w:val="328533C1"/>
    <w:rsid w:val="32940AF3"/>
    <w:rsid w:val="329E6876"/>
    <w:rsid w:val="32A63A63"/>
    <w:rsid w:val="32D22500"/>
    <w:rsid w:val="32DD6414"/>
    <w:rsid w:val="333015F2"/>
    <w:rsid w:val="3338549E"/>
    <w:rsid w:val="334B6320"/>
    <w:rsid w:val="33527747"/>
    <w:rsid w:val="335C0F94"/>
    <w:rsid w:val="33966CCD"/>
    <w:rsid w:val="33A81580"/>
    <w:rsid w:val="33C073EF"/>
    <w:rsid w:val="33D934D4"/>
    <w:rsid w:val="33DA6D20"/>
    <w:rsid w:val="33FE2F6A"/>
    <w:rsid w:val="340E07E5"/>
    <w:rsid w:val="34235BF7"/>
    <w:rsid w:val="342B1D46"/>
    <w:rsid w:val="342D6620"/>
    <w:rsid w:val="344057F2"/>
    <w:rsid w:val="345968B4"/>
    <w:rsid w:val="346239BA"/>
    <w:rsid w:val="347A5107"/>
    <w:rsid w:val="34A51AF9"/>
    <w:rsid w:val="34B3740E"/>
    <w:rsid w:val="34B5761E"/>
    <w:rsid w:val="34EB017C"/>
    <w:rsid w:val="354D1232"/>
    <w:rsid w:val="358C5FA8"/>
    <w:rsid w:val="359E4710"/>
    <w:rsid w:val="35A301E1"/>
    <w:rsid w:val="35BC534C"/>
    <w:rsid w:val="35C15DF1"/>
    <w:rsid w:val="35ED267E"/>
    <w:rsid w:val="35FE629F"/>
    <w:rsid w:val="36074A7F"/>
    <w:rsid w:val="36363882"/>
    <w:rsid w:val="36653C36"/>
    <w:rsid w:val="367A17DE"/>
    <w:rsid w:val="367F4CF7"/>
    <w:rsid w:val="36923549"/>
    <w:rsid w:val="369B1405"/>
    <w:rsid w:val="369B2FA0"/>
    <w:rsid w:val="36AE47DE"/>
    <w:rsid w:val="36B75FBF"/>
    <w:rsid w:val="36B82D63"/>
    <w:rsid w:val="36BA67AF"/>
    <w:rsid w:val="36BD0C45"/>
    <w:rsid w:val="36C046B4"/>
    <w:rsid w:val="36D31331"/>
    <w:rsid w:val="36FF3742"/>
    <w:rsid w:val="37517D16"/>
    <w:rsid w:val="375A7A49"/>
    <w:rsid w:val="37851465"/>
    <w:rsid w:val="3793032E"/>
    <w:rsid w:val="37B12323"/>
    <w:rsid w:val="37C06F8F"/>
    <w:rsid w:val="37E00298"/>
    <w:rsid w:val="380D00E1"/>
    <w:rsid w:val="381936F5"/>
    <w:rsid w:val="383B3623"/>
    <w:rsid w:val="388F0AF6"/>
    <w:rsid w:val="38AE3672"/>
    <w:rsid w:val="38B302F9"/>
    <w:rsid w:val="38B576E4"/>
    <w:rsid w:val="38F12CD3"/>
    <w:rsid w:val="38F94775"/>
    <w:rsid w:val="390F081F"/>
    <w:rsid w:val="390F7E89"/>
    <w:rsid w:val="392971ED"/>
    <w:rsid w:val="39325651"/>
    <w:rsid w:val="39475874"/>
    <w:rsid w:val="39597D86"/>
    <w:rsid w:val="3978444E"/>
    <w:rsid w:val="39DD5238"/>
    <w:rsid w:val="39FB003C"/>
    <w:rsid w:val="3A0472C2"/>
    <w:rsid w:val="3A241712"/>
    <w:rsid w:val="3A4858D5"/>
    <w:rsid w:val="3A5169AB"/>
    <w:rsid w:val="3A544938"/>
    <w:rsid w:val="3A7B3A28"/>
    <w:rsid w:val="3A872856"/>
    <w:rsid w:val="3A916DA7"/>
    <w:rsid w:val="3AB72586"/>
    <w:rsid w:val="3B3360B0"/>
    <w:rsid w:val="3B3763D1"/>
    <w:rsid w:val="3B716614"/>
    <w:rsid w:val="3B762441"/>
    <w:rsid w:val="3B8525A9"/>
    <w:rsid w:val="3B8E778B"/>
    <w:rsid w:val="3BAC19BF"/>
    <w:rsid w:val="3BBE6E0C"/>
    <w:rsid w:val="3BDA6EC3"/>
    <w:rsid w:val="3C0B2B89"/>
    <w:rsid w:val="3C2F6E1E"/>
    <w:rsid w:val="3C372347"/>
    <w:rsid w:val="3C4340D1"/>
    <w:rsid w:val="3C447E49"/>
    <w:rsid w:val="3C485B8B"/>
    <w:rsid w:val="3C4F64BA"/>
    <w:rsid w:val="3CAF5C0A"/>
    <w:rsid w:val="3CB274A9"/>
    <w:rsid w:val="3CBC5634"/>
    <w:rsid w:val="3CC723AF"/>
    <w:rsid w:val="3CDA245A"/>
    <w:rsid w:val="3CDE76F9"/>
    <w:rsid w:val="3CEF6007"/>
    <w:rsid w:val="3D0A2847"/>
    <w:rsid w:val="3D0F0457"/>
    <w:rsid w:val="3D1B504E"/>
    <w:rsid w:val="3D1E06B7"/>
    <w:rsid w:val="3D2057CC"/>
    <w:rsid w:val="3D2C725B"/>
    <w:rsid w:val="3D3448E7"/>
    <w:rsid w:val="3D581DFE"/>
    <w:rsid w:val="3D6526C5"/>
    <w:rsid w:val="3D850719"/>
    <w:rsid w:val="3DD302DB"/>
    <w:rsid w:val="3DD33817"/>
    <w:rsid w:val="3DE360EA"/>
    <w:rsid w:val="3DF17B5D"/>
    <w:rsid w:val="3E483C21"/>
    <w:rsid w:val="3E5407FB"/>
    <w:rsid w:val="3E5F0F6A"/>
    <w:rsid w:val="3E833352"/>
    <w:rsid w:val="3E8B6203"/>
    <w:rsid w:val="3EC96F77"/>
    <w:rsid w:val="3EDA0523"/>
    <w:rsid w:val="3EE6343A"/>
    <w:rsid w:val="3F546755"/>
    <w:rsid w:val="3F6E35B6"/>
    <w:rsid w:val="3F9D0AC9"/>
    <w:rsid w:val="3FCA32A9"/>
    <w:rsid w:val="3FDA11F0"/>
    <w:rsid w:val="3FF57DD8"/>
    <w:rsid w:val="400C6ED0"/>
    <w:rsid w:val="401069C0"/>
    <w:rsid w:val="40387CC5"/>
    <w:rsid w:val="4067038F"/>
    <w:rsid w:val="407056B1"/>
    <w:rsid w:val="407A6407"/>
    <w:rsid w:val="40A73204"/>
    <w:rsid w:val="41235141"/>
    <w:rsid w:val="41347874"/>
    <w:rsid w:val="414C7ECC"/>
    <w:rsid w:val="416E7E42"/>
    <w:rsid w:val="41746E53"/>
    <w:rsid w:val="419E1DAA"/>
    <w:rsid w:val="41CF6407"/>
    <w:rsid w:val="41E4374A"/>
    <w:rsid w:val="41F154ED"/>
    <w:rsid w:val="41F320F5"/>
    <w:rsid w:val="41F67E38"/>
    <w:rsid w:val="4200449D"/>
    <w:rsid w:val="423A3BCC"/>
    <w:rsid w:val="424E57D2"/>
    <w:rsid w:val="426A7DDC"/>
    <w:rsid w:val="42723962"/>
    <w:rsid w:val="42750D5C"/>
    <w:rsid w:val="427A2817"/>
    <w:rsid w:val="428471F1"/>
    <w:rsid w:val="42A6360C"/>
    <w:rsid w:val="42B26C49"/>
    <w:rsid w:val="42C910A8"/>
    <w:rsid w:val="42E52E86"/>
    <w:rsid w:val="42EB54C2"/>
    <w:rsid w:val="43252782"/>
    <w:rsid w:val="433A6FE6"/>
    <w:rsid w:val="43480868"/>
    <w:rsid w:val="4350713C"/>
    <w:rsid w:val="43582C64"/>
    <w:rsid w:val="435A7F52"/>
    <w:rsid w:val="435B2648"/>
    <w:rsid w:val="43611474"/>
    <w:rsid w:val="436653E0"/>
    <w:rsid w:val="43B2241F"/>
    <w:rsid w:val="43C4431A"/>
    <w:rsid w:val="43FB292F"/>
    <w:rsid w:val="440B48F8"/>
    <w:rsid w:val="443B7D84"/>
    <w:rsid w:val="44646336"/>
    <w:rsid w:val="44B66821"/>
    <w:rsid w:val="44B951CC"/>
    <w:rsid w:val="44CD14E0"/>
    <w:rsid w:val="44F20B0B"/>
    <w:rsid w:val="450F7A14"/>
    <w:rsid w:val="451505D5"/>
    <w:rsid w:val="451E56DB"/>
    <w:rsid w:val="4529419D"/>
    <w:rsid w:val="452E5F4C"/>
    <w:rsid w:val="454A2168"/>
    <w:rsid w:val="45513D03"/>
    <w:rsid w:val="45612018"/>
    <w:rsid w:val="456D0411"/>
    <w:rsid w:val="45702F15"/>
    <w:rsid w:val="458946E9"/>
    <w:rsid w:val="45A47C0E"/>
    <w:rsid w:val="45D24E0B"/>
    <w:rsid w:val="45E84DF3"/>
    <w:rsid w:val="45F54978"/>
    <w:rsid w:val="46045753"/>
    <w:rsid w:val="46146ADE"/>
    <w:rsid w:val="462812E4"/>
    <w:rsid w:val="463902F3"/>
    <w:rsid w:val="463B4738"/>
    <w:rsid w:val="46577FD6"/>
    <w:rsid w:val="466C2476"/>
    <w:rsid w:val="46774C72"/>
    <w:rsid w:val="46BF6A4A"/>
    <w:rsid w:val="46C47640"/>
    <w:rsid w:val="46D955A7"/>
    <w:rsid w:val="47133957"/>
    <w:rsid w:val="47460F19"/>
    <w:rsid w:val="476A2615"/>
    <w:rsid w:val="478101A3"/>
    <w:rsid w:val="478C09B4"/>
    <w:rsid w:val="47A07E0C"/>
    <w:rsid w:val="48057A15"/>
    <w:rsid w:val="483E7E42"/>
    <w:rsid w:val="48496F13"/>
    <w:rsid w:val="485853A8"/>
    <w:rsid w:val="4870272E"/>
    <w:rsid w:val="489857A5"/>
    <w:rsid w:val="48B87BF5"/>
    <w:rsid w:val="490013BE"/>
    <w:rsid w:val="491E47F7"/>
    <w:rsid w:val="49455160"/>
    <w:rsid w:val="4945599B"/>
    <w:rsid w:val="49753DB1"/>
    <w:rsid w:val="499144B6"/>
    <w:rsid w:val="49DC7715"/>
    <w:rsid w:val="4A023139"/>
    <w:rsid w:val="4A064990"/>
    <w:rsid w:val="4A0C54F3"/>
    <w:rsid w:val="4A61141E"/>
    <w:rsid w:val="4A677D39"/>
    <w:rsid w:val="4A7B576F"/>
    <w:rsid w:val="4AA46683"/>
    <w:rsid w:val="4AA85A47"/>
    <w:rsid w:val="4AF40C8C"/>
    <w:rsid w:val="4AF561A9"/>
    <w:rsid w:val="4B183A16"/>
    <w:rsid w:val="4B36532C"/>
    <w:rsid w:val="4B3F10CD"/>
    <w:rsid w:val="4B4C1D19"/>
    <w:rsid w:val="4B4C652C"/>
    <w:rsid w:val="4B645E12"/>
    <w:rsid w:val="4B8244EA"/>
    <w:rsid w:val="4B984F82"/>
    <w:rsid w:val="4B9A1762"/>
    <w:rsid w:val="4C2D26A8"/>
    <w:rsid w:val="4C3752D5"/>
    <w:rsid w:val="4C4A0649"/>
    <w:rsid w:val="4C4E0646"/>
    <w:rsid w:val="4C77653C"/>
    <w:rsid w:val="4C7E5ECA"/>
    <w:rsid w:val="4C876AA5"/>
    <w:rsid w:val="4C9C1531"/>
    <w:rsid w:val="4CAF130F"/>
    <w:rsid w:val="4CCC1EC1"/>
    <w:rsid w:val="4CE23492"/>
    <w:rsid w:val="4D0E00FB"/>
    <w:rsid w:val="4D113D78"/>
    <w:rsid w:val="4D176606"/>
    <w:rsid w:val="4D2A6BE7"/>
    <w:rsid w:val="4D6D5F10"/>
    <w:rsid w:val="4D751163"/>
    <w:rsid w:val="4D7A191D"/>
    <w:rsid w:val="4DBF5582"/>
    <w:rsid w:val="4DC9565F"/>
    <w:rsid w:val="4DD86643"/>
    <w:rsid w:val="4DEC4FB0"/>
    <w:rsid w:val="4E075D8A"/>
    <w:rsid w:val="4E17166E"/>
    <w:rsid w:val="4E600B13"/>
    <w:rsid w:val="4E6323B1"/>
    <w:rsid w:val="4EB704DC"/>
    <w:rsid w:val="4EB91567"/>
    <w:rsid w:val="4EC00FAD"/>
    <w:rsid w:val="4EC278B7"/>
    <w:rsid w:val="4EDD5B85"/>
    <w:rsid w:val="4EDE5EDB"/>
    <w:rsid w:val="4F13255C"/>
    <w:rsid w:val="4F3F0FC3"/>
    <w:rsid w:val="4F540ABD"/>
    <w:rsid w:val="4F55619D"/>
    <w:rsid w:val="4F70756B"/>
    <w:rsid w:val="4F7C1829"/>
    <w:rsid w:val="4F9843DC"/>
    <w:rsid w:val="4FB01626"/>
    <w:rsid w:val="4FC4587A"/>
    <w:rsid w:val="4FC62A8C"/>
    <w:rsid w:val="4FC7696F"/>
    <w:rsid w:val="4FD86DCF"/>
    <w:rsid w:val="4FE20F0D"/>
    <w:rsid w:val="4FE51552"/>
    <w:rsid w:val="4FFD05E3"/>
    <w:rsid w:val="503334CC"/>
    <w:rsid w:val="503404A9"/>
    <w:rsid w:val="50504C4B"/>
    <w:rsid w:val="5055041F"/>
    <w:rsid w:val="509C6E7C"/>
    <w:rsid w:val="509E5922"/>
    <w:rsid w:val="514069D9"/>
    <w:rsid w:val="5162104E"/>
    <w:rsid w:val="519F1952"/>
    <w:rsid w:val="51C27D36"/>
    <w:rsid w:val="5207586B"/>
    <w:rsid w:val="521F0CE5"/>
    <w:rsid w:val="52342697"/>
    <w:rsid w:val="52377DDC"/>
    <w:rsid w:val="52495D62"/>
    <w:rsid w:val="52614E59"/>
    <w:rsid w:val="52666914"/>
    <w:rsid w:val="52D27B05"/>
    <w:rsid w:val="52DC6E02"/>
    <w:rsid w:val="52F23421"/>
    <w:rsid w:val="53102657"/>
    <w:rsid w:val="53281B01"/>
    <w:rsid w:val="532B62FC"/>
    <w:rsid w:val="536C02EA"/>
    <w:rsid w:val="5383465C"/>
    <w:rsid w:val="53940E50"/>
    <w:rsid w:val="53A039CC"/>
    <w:rsid w:val="53A1505A"/>
    <w:rsid w:val="54063E08"/>
    <w:rsid w:val="540852C7"/>
    <w:rsid w:val="540B12EC"/>
    <w:rsid w:val="542D593B"/>
    <w:rsid w:val="543437E8"/>
    <w:rsid w:val="543D5452"/>
    <w:rsid w:val="547E0C83"/>
    <w:rsid w:val="54902868"/>
    <w:rsid w:val="54A83CD2"/>
    <w:rsid w:val="54AB6112"/>
    <w:rsid w:val="54AC757E"/>
    <w:rsid w:val="54F73313"/>
    <w:rsid w:val="54F80955"/>
    <w:rsid w:val="550167C9"/>
    <w:rsid w:val="550730C1"/>
    <w:rsid w:val="551D59AF"/>
    <w:rsid w:val="551E1CF8"/>
    <w:rsid w:val="552B103E"/>
    <w:rsid w:val="555170A7"/>
    <w:rsid w:val="556F6869"/>
    <w:rsid w:val="55732738"/>
    <w:rsid w:val="5582719B"/>
    <w:rsid w:val="5587536D"/>
    <w:rsid w:val="559B174B"/>
    <w:rsid w:val="559C4E62"/>
    <w:rsid w:val="55A25EB5"/>
    <w:rsid w:val="55A6166B"/>
    <w:rsid w:val="55B62639"/>
    <w:rsid w:val="55CE0CF4"/>
    <w:rsid w:val="55DF4A13"/>
    <w:rsid w:val="55F9746E"/>
    <w:rsid w:val="560501F2"/>
    <w:rsid w:val="561515CC"/>
    <w:rsid w:val="561B354E"/>
    <w:rsid w:val="561E2021"/>
    <w:rsid w:val="56466840"/>
    <w:rsid w:val="565A6912"/>
    <w:rsid w:val="56701B0F"/>
    <w:rsid w:val="56B22A9C"/>
    <w:rsid w:val="56B2522B"/>
    <w:rsid w:val="56E823F4"/>
    <w:rsid w:val="56F444EE"/>
    <w:rsid w:val="573E39BB"/>
    <w:rsid w:val="574C432A"/>
    <w:rsid w:val="57842284"/>
    <w:rsid w:val="57B72A76"/>
    <w:rsid w:val="57BD4896"/>
    <w:rsid w:val="57C3426C"/>
    <w:rsid w:val="57CE1F93"/>
    <w:rsid w:val="57DB745C"/>
    <w:rsid w:val="5862192B"/>
    <w:rsid w:val="587873B5"/>
    <w:rsid w:val="588743D1"/>
    <w:rsid w:val="5887701A"/>
    <w:rsid w:val="58884C37"/>
    <w:rsid w:val="58A730D8"/>
    <w:rsid w:val="58FA26E1"/>
    <w:rsid w:val="58FE1654"/>
    <w:rsid w:val="59413C36"/>
    <w:rsid w:val="594B3857"/>
    <w:rsid w:val="59602201"/>
    <w:rsid w:val="596671F9"/>
    <w:rsid w:val="596F2552"/>
    <w:rsid w:val="5988223B"/>
    <w:rsid w:val="5988716F"/>
    <w:rsid w:val="5991071A"/>
    <w:rsid w:val="59924C7D"/>
    <w:rsid w:val="59C0439F"/>
    <w:rsid w:val="59FA1989"/>
    <w:rsid w:val="59FD190B"/>
    <w:rsid w:val="59FF38D6"/>
    <w:rsid w:val="5A0F01E4"/>
    <w:rsid w:val="5A845B89"/>
    <w:rsid w:val="5ABE2233"/>
    <w:rsid w:val="5AF947C9"/>
    <w:rsid w:val="5AFB7D2F"/>
    <w:rsid w:val="5B0E7D30"/>
    <w:rsid w:val="5B203421"/>
    <w:rsid w:val="5B2555BE"/>
    <w:rsid w:val="5B2E61FD"/>
    <w:rsid w:val="5B2E62E9"/>
    <w:rsid w:val="5B9718EC"/>
    <w:rsid w:val="5BA34735"/>
    <w:rsid w:val="5BBF17FA"/>
    <w:rsid w:val="5BDF5D95"/>
    <w:rsid w:val="5BFE7528"/>
    <w:rsid w:val="5C1A259B"/>
    <w:rsid w:val="5C3B496D"/>
    <w:rsid w:val="5C3F5242"/>
    <w:rsid w:val="5C72548C"/>
    <w:rsid w:val="5C8C51C9"/>
    <w:rsid w:val="5C9C0727"/>
    <w:rsid w:val="5CB36BF9"/>
    <w:rsid w:val="5CD66444"/>
    <w:rsid w:val="5CE40B61"/>
    <w:rsid w:val="5CE70651"/>
    <w:rsid w:val="5CFA0384"/>
    <w:rsid w:val="5D1F7DEB"/>
    <w:rsid w:val="5D3561F0"/>
    <w:rsid w:val="5D577585"/>
    <w:rsid w:val="5D61372E"/>
    <w:rsid w:val="5D945521"/>
    <w:rsid w:val="5DCD7847"/>
    <w:rsid w:val="5DFF7441"/>
    <w:rsid w:val="5E0501C0"/>
    <w:rsid w:val="5E2467F1"/>
    <w:rsid w:val="5E2A4C99"/>
    <w:rsid w:val="5E5A37D0"/>
    <w:rsid w:val="5E7B1719"/>
    <w:rsid w:val="5E7D5021"/>
    <w:rsid w:val="5E8F60B4"/>
    <w:rsid w:val="5E92369F"/>
    <w:rsid w:val="5E993DAA"/>
    <w:rsid w:val="5EC56770"/>
    <w:rsid w:val="5EDE615A"/>
    <w:rsid w:val="5EF84D97"/>
    <w:rsid w:val="5F0F7968"/>
    <w:rsid w:val="5F1A2B43"/>
    <w:rsid w:val="5F7B5F4E"/>
    <w:rsid w:val="5FA665A1"/>
    <w:rsid w:val="5FB837BB"/>
    <w:rsid w:val="5FBE1B3D"/>
    <w:rsid w:val="5FC15189"/>
    <w:rsid w:val="5FC21AB8"/>
    <w:rsid w:val="5FD96977"/>
    <w:rsid w:val="5FF706AE"/>
    <w:rsid w:val="6014361A"/>
    <w:rsid w:val="602E1128"/>
    <w:rsid w:val="608E59B3"/>
    <w:rsid w:val="609455D9"/>
    <w:rsid w:val="60AA4136"/>
    <w:rsid w:val="60BD1DF5"/>
    <w:rsid w:val="60CB384B"/>
    <w:rsid w:val="60CC405A"/>
    <w:rsid w:val="60F65306"/>
    <w:rsid w:val="615F585D"/>
    <w:rsid w:val="61B50D1E"/>
    <w:rsid w:val="61E215D8"/>
    <w:rsid w:val="61E51872"/>
    <w:rsid w:val="61F45CEA"/>
    <w:rsid w:val="621B3775"/>
    <w:rsid w:val="62212560"/>
    <w:rsid w:val="622B0FE0"/>
    <w:rsid w:val="62364782"/>
    <w:rsid w:val="62542B7F"/>
    <w:rsid w:val="627110E9"/>
    <w:rsid w:val="62782477"/>
    <w:rsid w:val="62832BCA"/>
    <w:rsid w:val="629C2C29"/>
    <w:rsid w:val="62C02A98"/>
    <w:rsid w:val="62CC4571"/>
    <w:rsid w:val="62D556ED"/>
    <w:rsid w:val="62E01DCA"/>
    <w:rsid w:val="62FD165C"/>
    <w:rsid w:val="62FE0E85"/>
    <w:rsid w:val="630006BE"/>
    <w:rsid w:val="63097573"/>
    <w:rsid w:val="633768CA"/>
    <w:rsid w:val="636730A3"/>
    <w:rsid w:val="6370314E"/>
    <w:rsid w:val="637376B7"/>
    <w:rsid w:val="6394356A"/>
    <w:rsid w:val="63C61B2C"/>
    <w:rsid w:val="63C90AB0"/>
    <w:rsid w:val="63D40BE9"/>
    <w:rsid w:val="63ED479F"/>
    <w:rsid w:val="64102431"/>
    <w:rsid w:val="641518C4"/>
    <w:rsid w:val="64215552"/>
    <w:rsid w:val="64502F80"/>
    <w:rsid w:val="64722EF6"/>
    <w:rsid w:val="649410BE"/>
    <w:rsid w:val="64A5243A"/>
    <w:rsid w:val="64AC6408"/>
    <w:rsid w:val="64E90C90"/>
    <w:rsid w:val="64F531DE"/>
    <w:rsid w:val="65222B6E"/>
    <w:rsid w:val="65373578"/>
    <w:rsid w:val="65B2547A"/>
    <w:rsid w:val="65C51F14"/>
    <w:rsid w:val="65F362B8"/>
    <w:rsid w:val="66067D9A"/>
    <w:rsid w:val="660758C0"/>
    <w:rsid w:val="66245BFA"/>
    <w:rsid w:val="662A5D8D"/>
    <w:rsid w:val="66331E52"/>
    <w:rsid w:val="663C664E"/>
    <w:rsid w:val="66770C98"/>
    <w:rsid w:val="667B393D"/>
    <w:rsid w:val="667C005C"/>
    <w:rsid w:val="668503F8"/>
    <w:rsid w:val="668A2E4A"/>
    <w:rsid w:val="668F7D8F"/>
    <w:rsid w:val="669C2687"/>
    <w:rsid w:val="671C528E"/>
    <w:rsid w:val="671F124A"/>
    <w:rsid w:val="67402F68"/>
    <w:rsid w:val="675604D1"/>
    <w:rsid w:val="67611B4E"/>
    <w:rsid w:val="677A33C6"/>
    <w:rsid w:val="67865932"/>
    <w:rsid w:val="67A77866"/>
    <w:rsid w:val="67AB0BF9"/>
    <w:rsid w:val="67AD1349"/>
    <w:rsid w:val="67B35CFF"/>
    <w:rsid w:val="67D3238F"/>
    <w:rsid w:val="67D87514"/>
    <w:rsid w:val="67DE22B8"/>
    <w:rsid w:val="67E31EA5"/>
    <w:rsid w:val="68030A35"/>
    <w:rsid w:val="681B4FE1"/>
    <w:rsid w:val="681F6961"/>
    <w:rsid w:val="68394457"/>
    <w:rsid w:val="684F0E42"/>
    <w:rsid w:val="6859212C"/>
    <w:rsid w:val="68610A2F"/>
    <w:rsid w:val="68755D74"/>
    <w:rsid w:val="68774F7F"/>
    <w:rsid w:val="68805514"/>
    <w:rsid w:val="68A06B54"/>
    <w:rsid w:val="68DF0CE0"/>
    <w:rsid w:val="69194288"/>
    <w:rsid w:val="69232A11"/>
    <w:rsid w:val="69316E2F"/>
    <w:rsid w:val="693A5709"/>
    <w:rsid w:val="694425CB"/>
    <w:rsid w:val="694E2071"/>
    <w:rsid w:val="695C5509"/>
    <w:rsid w:val="69766163"/>
    <w:rsid w:val="697A3B33"/>
    <w:rsid w:val="6990454A"/>
    <w:rsid w:val="69B95123"/>
    <w:rsid w:val="69C81194"/>
    <w:rsid w:val="69CE0BCF"/>
    <w:rsid w:val="69D44760"/>
    <w:rsid w:val="69D6194A"/>
    <w:rsid w:val="69DB7768"/>
    <w:rsid w:val="6A026ACA"/>
    <w:rsid w:val="6A520EC7"/>
    <w:rsid w:val="6A732D30"/>
    <w:rsid w:val="6A9B2433"/>
    <w:rsid w:val="6AC20F69"/>
    <w:rsid w:val="6AE55961"/>
    <w:rsid w:val="6AEF452B"/>
    <w:rsid w:val="6AF87E20"/>
    <w:rsid w:val="6B0845B4"/>
    <w:rsid w:val="6B322639"/>
    <w:rsid w:val="6B3B04E6"/>
    <w:rsid w:val="6B851761"/>
    <w:rsid w:val="6B99345E"/>
    <w:rsid w:val="6BF80185"/>
    <w:rsid w:val="6C022DB1"/>
    <w:rsid w:val="6C146D60"/>
    <w:rsid w:val="6C2F5DA2"/>
    <w:rsid w:val="6C636C38"/>
    <w:rsid w:val="6C8433D9"/>
    <w:rsid w:val="6C953C26"/>
    <w:rsid w:val="6CA125CA"/>
    <w:rsid w:val="6D0C4C28"/>
    <w:rsid w:val="6D125276"/>
    <w:rsid w:val="6D17609F"/>
    <w:rsid w:val="6D310C06"/>
    <w:rsid w:val="6D3C22F3"/>
    <w:rsid w:val="6D443CEF"/>
    <w:rsid w:val="6D476E1E"/>
    <w:rsid w:val="6D4D2752"/>
    <w:rsid w:val="6D505D9E"/>
    <w:rsid w:val="6D524CE4"/>
    <w:rsid w:val="6D646F97"/>
    <w:rsid w:val="6DB34098"/>
    <w:rsid w:val="6DB545B6"/>
    <w:rsid w:val="6DB620A5"/>
    <w:rsid w:val="6DB6384B"/>
    <w:rsid w:val="6DCD0AF3"/>
    <w:rsid w:val="6DD20EF0"/>
    <w:rsid w:val="6DDC72CD"/>
    <w:rsid w:val="6DE02FB4"/>
    <w:rsid w:val="6E0B7920"/>
    <w:rsid w:val="6E166B86"/>
    <w:rsid w:val="6E1C0D1D"/>
    <w:rsid w:val="6E250FD9"/>
    <w:rsid w:val="6E4F2799"/>
    <w:rsid w:val="6E514CED"/>
    <w:rsid w:val="6E565636"/>
    <w:rsid w:val="6E8723C0"/>
    <w:rsid w:val="6EA91C0A"/>
    <w:rsid w:val="6EB563D5"/>
    <w:rsid w:val="6ED92677"/>
    <w:rsid w:val="6F006C66"/>
    <w:rsid w:val="6F08415F"/>
    <w:rsid w:val="6F225983"/>
    <w:rsid w:val="6F3321C1"/>
    <w:rsid w:val="6F6D5226"/>
    <w:rsid w:val="6F7006D9"/>
    <w:rsid w:val="6F963F3C"/>
    <w:rsid w:val="6F9A497A"/>
    <w:rsid w:val="6FBF4ECF"/>
    <w:rsid w:val="6FF9271D"/>
    <w:rsid w:val="6FFC5590"/>
    <w:rsid w:val="700417EE"/>
    <w:rsid w:val="701A39BE"/>
    <w:rsid w:val="70270F17"/>
    <w:rsid w:val="70383246"/>
    <w:rsid w:val="703F45D4"/>
    <w:rsid w:val="704C6EED"/>
    <w:rsid w:val="706D1DD0"/>
    <w:rsid w:val="70856B87"/>
    <w:rsid w:val="70865543"/>
    <w:rsid w:val="708A15C7"/>
    <w:rsid w:val="70C920F0"/>
    <w:rsid w:val="70CE0086"/>
    <w:rsid w:val="70D0674B"/>
    <w:rsid w:val="70D527EE"/>
    <w:rsid w:val="70E46F2A"/>
    <w:rsid w:val="71047119"/>
    <w:rsid w:val="713C4FB8"/>
    <w:rsid w:val="715B5300"/>
    <w:rsid w:val="715C2F64"/>
    <w:rsid w:val="71CD7437"/>
    <w:rsid w:val="71D27F8A"/>
    <w:rsid w:val="71EC42E8"/>
    <w:rsid w:val="723A4547"/>
    <w:rsid w:val="72435ED2"/>
    <w:rsid w:val="72446667"/>
    <w:rsid w:val="72553024"/>
    <w:rsid w:val="72870ADB"/>
    <w:rsid w:val="728B4FA7"/>
    <w:rsid w:val="72D650F2"/>
    <w:rsid w:val="73122968"/>
    <w:rsid w:val="731F5D5E"/>
    <w:rsid w:val="73223D39"/>
    <w:rsid w:val="732F37B0"/>
    <w:rsid w:val="73452591"/>
    <w:rsid w:val="735302A5"/>
    <w:rsid w:val="735465E8"/>
    <w:rsid w:val="736C4A67"/>
    <w:rsid w:val="737319D1"/>
    <w:rsid w:val="73814F04"/>
    <w:rsid w:val="738D46C3"/>
    <w:rsid w:val="7397331B"/>
    <w:rsid w:val="73B223CD"/>
    <w:rsid w:val="73C51AD5"/>
    <w:rsid w:val="73E7745D"/>
    <w:rsid w:val="73EF027B"/>
    <w:rsid w:val="741712CC"/>
    <w:rsid w:val="741E2752"/>
    <w:rsid w:val="741E793C"/>
    <w:rsid w:val="7423420D"/>
    <w:rsid w:val="74253AE1"/>
    <w:rsid w:val="745E3944"/>
    <w:rsid w:val="748F3D1D"/>
    <w:rsid w:val="74C42FB8"/>
    <w:rsid w:val="75091918"/>
    <w:rsid w:val="75212F40"/>
    <w:rsid w:val="75284F9B"/>
    <w:rsid w:val="75722D56"/>
    <w:rsid w:val="758D4034"/>
    <w:rsid w:val="75C2343E"/>
    <w:rsid w:val="75CC5F67"/>
    <w:rsid w:val="75D82963"/>
    <w:rsid w:val="75F92262"/>
    <w:rsid w:val="76124A38"/>
    <w:rsid w:val="76217488"/>
    <w:rsid w:val="7635099D"/>
    <w:rsid w:val="763B0BC0"/>
    <w:rsid w:val="76634D94"/>
    <w:rsid w:val="76742AFE"/>
    <w:rsid w:val="76A8617A"/>
    <w:rsid w:val="76BE1FCB"/>
    <w:rsid w:val="76D4359C"/>
    <w:rsid w:val="76E539FB"/>
    <w:rsid w:val="771147F0"/>
    <w:rsid w:val="77255706"/>
    <w:rsid w:val="77366005"/>
    <w:rsid w:val="774533BA"/>
    <w:rsid w:val="77536BB7"/>
    <w:rsid w:val="77652B32"/>
    <w:rsid w:val="77762421"/>
    <w:rsid w:val="77901BB9"/>
    <w:rsid w:val="77B56B1F"/>
    <w:rsid w:val="77D165CD"/>
    <w:rsid w:val="780F09F4"/>
    <w:rsid w:val="781C5BA6"/>
    <w:rsid w:val="7851759A"/>
    <w:rsid w:val="785F399C"/>
    <w:rsid w:val="787E77C0"/>
    <w:rsid w:val="78A90480"/>
    <w:rsid w:val="78BC253A"/>
    <w:rsid w:val="78D45AD6"/>
    <w:rsid w:val="78E71CAD"/>
    <w:rsid w:val="7913112E"/>
    <w:rsid w:val="791D122B"/>
    <w:rsid w:val="792E168A"/>
    <w:rsid w:val="792E7AC9"/>
    <w:rsid w:val="79313977"/>
    <w:rsid w:val="794669D3"/>
    <w:rsid w:val="79492020"/>
    <w:rsid w:val="799022FC"/>
    <w:rsid w:val="79C45B4A"/>
    <w:rsid w:val="7A31297A"/>
    <w:rsid w:val="7A364017"/>
    <w:rsid w:val="7A4D5B40"/>
    <w:rsid w:val="7A7C6055"/>
    <w:rsid w:val="7A8265E1"/>
    <w:rsid w:val="7A854A6E"/>
    <w:rsid w:val="7A9B43EA"/>
    <w:rsid w:val="7B292109"/>
    <w:rsid w:val="7B2D0B34"/>
    <w:rsid w:val="7B2E5971"/>
    <w:rsid w:val="7B620310"/>
    <w:rsid w:val="7B686D42"/>
    <w:rsid w:val="7B71585E"/>
    <w:rsid w:val="7B723088"/>
    <w:rsid w:val="7B841746"/>
    <w:rsid w:val="7B8C2698"/>
    <w:rsid w:val="7BB00FDE"/>
    <w:rsid w:val="7BBE572D"/>
    <w:rsid w:val="7BC2430B"/>
    <w:rsid w:val="7BF02C26"/>
    <w:rsid w:val="7C104F65"/>
    <w:rsid w:val="7C176405"/>
    <w:rsid w:val="7C6C5AC7"/>
    <w:rsid w:val="7C78124F"/>
    <w:rsid w:val="7CB011BF"/>
    <w:rsid w:val="7CC6544B"/>
    <w:rsid w:val="7D0239FF"/>
    <w:rsid w:val="7D08162E"/>
    <w:rsid w:val="7D0A7D18"/>
    <w:rsid w:val="7D1927A4"/>
    <w:rsid w:val="7D4A280A"/>
    <w:rsid w:val="7D5E40CD"/>
    <w:rsid w:val="7D7F0706"/>
    <w:rsid w:val="7DA25959"/>
    <w:rsid w:val="7DBF61DF"/>
    <w:rsid w:val="7DC60F42"/>
    <w:rsid w:val="7DCD56F2"/>
    <w:rsid w:val="7DDA593C"/>
    <w:rsid w:val="7DDE646F"/>
    <w:rsid w:val="7DE36D8C"/>
    <w:rsid w:val="7E0E1A8A"/>
    <w:rsid w:val="7E8835EA"/>
    <w:rsid w:val="7E946CED"/>
    <w:rsid w:val="7EB331BC"/>
    <w:rsid w:val="7EB919F5"/>
    <w:rsid w:val="7EE524A5"/>
    <w:rsid w:val="7EFB3DBC"/>
    <w:rsid w:val="7F001CE7"/>
    <w:rsid w:val="7F3D43D5"/>
    <w:rsid w:val="7F4A46D9"/>
    <w:rsid w:val="7F5434CC"/>
    <w:rsid w:val="7F567244"/>
    <w:rsid w:val="7F655C28"/>
    <w:rsid w:val="7F684643"/>
    <w:rsid w:val="7FC468A4"/>
    <w:rsid w:val="7FD665D7"/>
    <w:rsid w:val="7FE47E50"/>
    <w:rsid w:val="7FE92A2F"/>
    <w:rsid w:val="7FF133CD"/>
    <w:rsid w:val="7FF51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ind w:left="1301" w:hanging="561"/>
      <w:outlineLvl w:val="2"/>
    </w:pPr>
    <w:rPr>
      <w:b/>
      <w:bCs/>
      <w:sz w:val="28"/>
      <w:szCs w:val="28"/>
    </w:rPr>
  </w:style>
  <w:style w:type="paragraph" w:styleId="5">
    <w:name w:val="heading 4"/>
    <w:basedOn w:val="1"/>
    <w:next w:val="1"/>
    <w:qFormat/>
    <w:uiPriority w:val="0"/>
    <w:pPr>
      <w:keepNext/>
      <w:keepLines/>
      <w:spacing w:line="360" w:lineRule="auto"/>
      <w:ind w:firstLine="720" w:firstLineChars="200"/>
      <w:outlineLvl w:val="3"/>
    </w:pPr>
    <w:rPr>
      <w:bCs/>
      <w:sz w:val="24"/>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pacing w:line="460" w:lineRule="atLeast"/>
      <w:ind w:firstLine="420"/>
    </w:pPr>
    <w:rPr>
      <w:sz w:val="24"/>
      <w:szCs w:val="20"/>
    </w:rPr>
  </w:style>
  <w:style w:type="paragraph" w:styleId="7">
    <w:name w:val="annotation text"/>
    <w:basedOn w:val="1"/>
    <w:link w:val="39"/>
    <w:semiHidden/>
    <w:qFormat/>
    <w:uiPriority w:val="0"/>
    <w:pPr>
      <w:jc w:val="left"/>
    </w:pPr>
    <w:rPr>
      <w:kern w:val="0"/>
      <w:sz w:val="24"/>
      <w:szCs w:val="20"/>
    </w:rPr>
  </w:style>
  <w:style w:type="paragraph" w:styleId="8">
    <w:name w:val="Body Text"/>
    <w:basedOn w:val="1"/>
    <w:next w:val="1"/>
    <w:link w:val="40"/>
    <w:qFormat/>
    <w:uiPriority w:val="0"/>
    <w:pPr>
      <w:widowControl/>
      <w:snapToGrid w:val="0"/>
      <w:spacing w:before="60" w:after="160" w:line="259" w:lineRule="auto"/>
      <w:ind w:right="113"/>
    </w:pPr>
    <w:rPr>
      <w:kern w:val="0"/>
      <w:sz w:val="18"/>
      <w:szCs w:val="20"/>
    </w:rPr>
  </w:style>
  <w:style w:type="paragraph" w:styleId="9">
    <w:name w:val="Body Text Indent"/>
    <w:basedOn w:val="1"/>
    <w:next w:val="1"/>
    <w:link w:val="41"/>
    <w:qFormat/>
    <w:uiPriority w:val="0"/>
    <w:pPr>
      <w:spacing w:after="120"/>
      <w:ind w:left="420" w:leftChars="200"/>
    </w:pPr>
    <w:rPr>
      <w:kern w:val="0"/>
      <w:sz w:val="24"/>
      <w:szCs w:val="20"/>
    </w:rPr>
  </w:style>
  <w:style w:type="paragraph" w:styleId="10">
    <w:name w:val="Block Text"/>
    <w:basedOn w:val="1"/>
    <w:qFormat/>
    <w:uiPriority w:val="0"/>
    <w:pPr>
      <w:widowControl/>
      <w:spacing w:line="440" w:lineRule="exact"/>
      <w:ind w:left="113" w:right="113" w:firstLine="567"/>
    </w:pPr>
    <w:rPr>
      <w:rFonts w:ascii="仿宋_GB2312" w:eastAsia="仿宋_GB2312"/>
      <w:kern w:val="0"/>
      <w:sz w:val="28"/>
      <w:szCs w:val="20"/>
    </w:rPr>
  </w:style>
  <w:style w:type="paragraph" w:styleId="11">
    <w:name w:val="toc 3"/>
    <w:basedOn w:val="1"/>
    <w:next w:val="1"/>
    <w:qFormat/>
    <w:uiPriority w:val="0"/>
    <w:pPr>
      <w:ind w:left="840" w:leftChars="400"/>
    </w:pPr>
  </w:style>
  <w:style w:type="paragraph" w:styleId="12">
    <w:name w:val="Plain Text"/>
    <w:basedOn w:val="1"/>
    <w:qFormat/>
    <w:uiPriority w:val="0"/>
    <w:rPr>
      <w:rFonts w:ascii="宋体" w:hAnsi="Courier New" w:cs="Courier New"/>
      <w:szCs w:val="21"/>
    </w:rPr>
  </w:style>
  <w:style w:type="paragraph" w:styleId="13">
    <w:name w:val="List Bullet 5"/>
    <w:basedOn w:val="1"/>
    <w:qFormat/>
    <w:uiPriority w:val="0"/>
    <w:pPr>
      <w:numPr>
        <w:ilvl w:val="0"/>
        <w:numId w:val="1"/>
      </w:numPr>
    </w:pPr>
  </w:style>
  <w:style w:type="paragraph" w:styleId="14">
    <w:name w:val="Date"/>
    <w:basedOn w:val="1"/>
    <w:next w:val="1"/>
    <w:link w:val="42"/>
    <w:qFormat/>
    <w:uiPriority w:val="0"/>
    <w:pPr>
      <w:ind w:left="100" w:leftChars="2500"/>
    </w:pPr>
    <w:rPr>
      <w:kern w:val="0"/>
      <w:sz w:val="24"/>
      <w:szCs w:val="20"/>
    </w:rPr>
  </w:style>
  <w:style w:type="paragraph" w:styleId="15">
    <w:name w:val="Body Text Indent 2"/>
    <w:basedOn w:val="1"/>
    <w:qFormat/>
    <w:uiPriority w:val="0"/>
    <w:pPr>
      <w:spacing w:after="120" w:line="480" w:lineRule="auto"/>
      <w:ind w:left="420" w:leftChars="200"/>
    </w:pPr>
  </w:style>
  <w:style w:type="paragraph" w:styleId="16">
    <w:name w:val="Balloon Text"/>
    <w:basedOn w:val="1"/>
    <w:link w:val="43"/>
    <w:semiHidden/>
    <w:qFormat/>
    <w:uiPriority w:val="0"/>
    <w:rPr>
      <w:kern w:val="0"/>
      <w:sz w:val="18"/>
      <w:szCs w:val="20"/>
    </w:rPr>
  </w:style>
  <w:style w:type="paragraph" w:styleId="17">
    <w:name w:val="footer"/>
    <w:basedOn w:val="1"/>
    <w:link w:val="44"/>
    <w:qFormat/>
    <w:uiPriority w:val="99"/>
    <w:pPr>
      <w:tabs>
        <w:tab w:val="center" w:pos="4153"/>
        <w:tab w:val="right" w:pos="8306"/>
      </w:tabs>
      <w:snapToGrid w:val="0"/>
      <w:jc w:val="left"/>
    </w:pPr>
    <w:rPr>
      <w:kern w:val="0"/>
      <w:sz w:val="18"/>
      <w:szCs w:val="20"/>
    </w:rPr>
  </w:style>
  <w:style w:type="paragraph" w:styleId="18">
    <w:name w:val="header"/>
    <w:basedOn w:val="1"/>
    <w:next w:val="19"/>
    <w:link w:val="45"/>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9">
    <w:name w:val="样式5"/>
    <w:basedOn w:val="20"/>
    <w:qFormat/>
    <w:uiPriority w:val="0"/>
    <w:pPr>
      <w:tabs>
        <w:tab w:val="left" w:pos="1247"/>
        <w:tab w:val="left" w:pos="1534"/>
      </w:tabs>
      <w:adjustRightInd w:val="0"/>
      <w:snapToGrid w:val="0"/>
      <w:spacing w:line="440" w:lineRule="atLeast"/>
      <w:ind w:left="284" w:firstLine="170"/>
    </w:pPr>
    <w:rPr>
      <w:rFonts w:ascii="宋体"/>
      <w:snapToGrid w:val="0"/>
      <w:kern w:val="0"/>
      <w:sz w:val="24"/>
    </w:rPr>
  </w:style>
  <w:style w:type="paragraph" w:customStyle="1" w:styleId="20">
    <w:name w:val="样式3"/>
    <w:basedOn w:val="11"/>
    <w:qFormat/>
    <w:uiPriority w:val="0"/>
    <w:pPr>
      <w:spacing w:line="490" w:lineRule="exact"/>
    </w:pPr>
    <w:rPr>
      <w:rFonts w:ascii="仿宋_GB2312"/>
      <w:szCs w:val="20"/>
    </w:rPr>
  </w:style>
  <w:style w:type="paragraph" w:styleId="21">
    <w:name w:val="toc 1"/>
    <w:basedOn w:val="1"/>
    <w:next w:val="1"/>
    <w:qFormat/>
    <w:uiPriority w:val="0"/>
  </w:style>
  <w:style w:type="paragraph" w:styleId="22">
    <w:name w:val="List"/>
    <w:basedOn w:val="1"/>
    <w:qFormat/>
    <w:uiPriority w:val="0"/>
    <w:pPr>
      <w:adjustRightInd w:val="0"/>
      <w:spacing w:line="460" w:lineRule="exact"/>
      <w:ind w:left="1276" w:hanging="425"/>
      <w:textAlignment w:val="baseline"/>
    </w:pPr>
    <w:rPr>
      <w:kern w:val="0"/>
      <w:sz w:val="24"/>
      <w:szCs w:val="20"/>
    </w:rPr>
  </w:style>
  <w:style w:type="paragraph" w:styleId="23">
    <w:name w:val="table of figures"/>
    <w:basedOn w:val="1"/>
    <w:next w:val="1"/>
    <w:qFormat/>
    <w:uiPriority w:val="0"/>
    <w:pPr>
      <w:ind w:left="200" w:leftChars="200" w:hanging="200" w:hangingChars="200"/>
    </w:pPr>
  </w:style>
  <w:style w:type="paragraph" w:styleId="24">
    <w:name w:val="toc 2"/>
    <w:basedOn w:val="1"/>
    <w:next w:val="1"/>
    <w:qFormat/>
    <w:uiPriority w:val="0"/>
    <w:pPr>
      <w:ind w:left="420" w:leftChars="200"/>
    </w:pPr>
  </w:style>
  <w:style w:type="paragraph" w:styleId="25">
    <w:name w:val="Normal (Web)"/>
    <w:basedOn w:val="1"/>
    <w:link w:val="46"/>
    <w:qFormat/>
    <w:uiPriority w:val="99"/>
    <w:pPr>
      <w:widowControl/>
      <w:spacing w:before="100" w:beforeAutospacing="1" w:after="100" w:afterAutospacing="1"/>
      <w:jc w:val="left"/>
    </w:pPr>
    <w:rPr>
      <w:rFonts w:ascii="宋体" w:hAnsi="宋体"/>
      <w:kern w:val="0"/>
      <w:sz w:val="24"/>
      <w:szCs w:val="20"/>
    </w:rPr>
  </w:style>
  <w:style w:type="paragraph" w:styleId="26">
    <w:name w:val="annotation subject"/>
    <w:basedOn w:val="7"/>
    <w:next w:val="7"/>
    <w:link w:val="47"/>
    <w:semiHidden/>
    <w:qFormat/>
    <w:uiPriority w:val="0"/>
    <w:rPr>
      <w:b/>
    </w:rPr>
  </w:style>
  <w:style w:type="paragraph" w:styleId="27">
    <w:name w:val="Body Text First Indent"/>
    <w:basedOn w:val="8"/>
    <w:next w:val="1"/>
    <w:unhideWhenUsed/>
    <w:qFormat/>
    <w:uiPriority w:val="0"/>
    <w:pPr>
      <w:spacing w:after="120"/>
      <w:ind w:firstLine="420" w:firstLineChars="100"/>
    </w:pPr>
    <w:rPr>
      <w:sz w:val="21"/>
    </w:rPr>
  </w:style>
  <w:style w:type="paragraph" w:styleId="28">
    <w:name w:val="Body Text First Indent 2"/>
    <w:basedOn w:val="9"/>
    <w:next w:val="1"/>
    <w:qFormat/>
    <w:uiPriority w:val="0"/>
    <w:pPr>
      <w:ind w:firstLine="420" w:firstLineChars="200"/>
    </w:p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basedOn w:val="31"/>
    <w:qFormat/>
    <w:uiPriority w:val="0"/>
  </w:style>
  <w:style w:type="character" w:styleId="33">
    <w:name w:val="Emphasis"/>
    <w:basedOn w:val="31"/>
    <w:qFormat/>
    <w:uiPriority w:val="0"/>
    <w:rPr>
      <w:i/>
    </w:rPr>
  </w:style>
  <w:style w:type="character" w:styleId="34">
    <w:name w:val="Hyperlink"/>
    <w:basedOn w:val="31"/>
    <w:qFormat/>
    <w:uiPriority w:val="99"/>
    <w:rPr>
      <w:color w:val="3366CC"/>
      <w:u w:val="single"/>
    </w:rPr>
  </w:style>
  <w:style w:type="character" w:styleId="35">
    <w:name w:val="annotation reference"/>
    <w:semiHidden/>
    <w:qFormat/>
    <w:uiPriority w:val="0"/>
    <w:rPr>
      <w:sz w:val="21"/>
    </w:rPr>
  </w:style>
  <w:style w:type="paragraph" w:customStyle="1" w:styleId="36">
    <w:name w:val="样式 标题 2"/>
    <w:next w:val="37"/>
    <w:qFormat/>
    <w:uiPriority w:val="0"/>
    <w:pPr>
      <w:keepNext/>
      <w:widowControl w:val="0"/>
      <w:spacing w:before="50" w:after="50"/>
      <w:jc w:val="center"/>
      <w:outlineLvl w:val="1"/>
    </w:pPr>
    <w:rPr>
      <w:rFonts w:ascii="Times New Roman" w:hAnsi="Times New Roman" w:eastAsia="宋体" w:cs="Times New Roman"/>
      <w:kern w:val="2"/>
      <w:sz w:val="28"/>
      <w:szCs w:val="28"/>
      <w:lang w:val="en-US" w:eastAsia="zh-CN" w:bidi="ar-SA"/>
    </w:rPr>
  </w:style>
  <w:style w:type="paragraph" w:customStyle="1" w:styleId="37">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8">
    <w:name w:val="0 正文"/>
    <w:basedOn w:val="1"/>
    <w:qFormat/>
    <w:uiPriority w:val="0"/>
    <w:pPr>
      <w:spacing w:line="360" w:lineRule="auto"/>
      <w:ind w:firstLine="200" w:firstLineChars="200"/>
    </w:pPr>
    <w:rPr>
      <w:kern w:val="0"/>
      <w:sz w:val="24"/>
    </w:rPr>
  </w:style>
  <w:style w:type="character" w:customStyle="1" w:styleId="39">
    <w:name w:val="批注文字 字符"/>
    <w:link w:val="7"/>
    <w:qFormat/>
    <w:uiPriority w:val="0"/>
    <w:rPr>
      <w:rFonts w:ascii="Times New Roman" w:hAnsi="Times New Roman" w:eastAsia="宋体"/>
      <w:sz w:val="24"/>
    </w:rPr>
  </w:style>
  <w:style w:type="character" w:customStyle="1" w:styleId="40">
    <w:name w:val="正文文本 字符"/>
    <w:link w:val="8"/>
    <w:qFormat/>
    <w:uiPriority w:val="0"/>
    <w:rPr>
      <w:sz w:val="18"/>
    </w:rPr>
  </w:style>
  <w:style w:type="character" w:customStyle="1" w:styleId="41">
    <w:name w:val="正文文本缩进 字符"/>
    <w:link w:val="9"/>
    <w:semiHidden/>
    <w:qFormat/>
    <w:uiPriority w:val="0"/>
    <w:rPr>
      <w:rFonts w:ascii="Times New Roman" w:hAnsi="Times New Roman" w:eastAsia="宋体"/>
      <w:sz w:val="24"/>
    </w:rPr>
  </w:style>
  <w:style w:type="character" w:customStyle="1" w:styleId="42">
    <w:name w:val="日期 字符1"/>
    <w:link w:val="14"/>
    <w:qFormat/>
    <w:uiPriority w:val="0"/>
    <w:rPr>
      <w:rFonts w:ascii="Times New Roman" w:hAnsi="Times New Roman" w:eastAsia="宋体"/>
      <w:sz w:val="24"/>
    </w:rPr>
  </w:style>
  <w:style w:type="character" w:customStyle="1" w:styleId="43">
    <w:name w:val="批注框文本 字符"/>
    <w:link w:val="16"/>
    <w:semiHidden/>
    <w:qFormat/>
    <w:uiPriority w:val="0"/>
    <w:rPr>
      <w:rFonts w:ascii="Times New Roman" w:hAnsi="Times New Roman" w:eastAsia="宋体"/>
      <w:sz w:val="18"/>
    </w:rPr>
  </w:style>
  <w:style w:type="character" w:customStyle="1" w:styleId="44">
    <w:name w:val="页脚 字符1"/>
    <w:link w:val="17"/>
    <w:qFormat/>
    <w:uiPriority w:val="99"/>
    <w:rPr>
      <w:sz w:val="18"/>
    </w:rPr>
  </w:style>
  <w:style w:type="character" w:customStyle="1" w:styleId="45">
    <w:name w:val="页眉 字符"/>
    <w:link w:val="18"/>
    <w:qFormat/>
    <w:uiPriority w:val="0"/>
    <w:rPr>
      <w:sz w:val="18"/>
    </w:rPr>
  </w:style>
  <w:style w:type="character" w:customStyle="1" w:styleId="46">
    <w:name w:val="普通(网站) 字符"/>
    <w:link w:val="25"/>
    <w:qFormat/>
    <w:uiPriority w:val="0"/>
    <w:rPr>
      <w:rFonts w:ascii="宋体" w:hAnsi="宋体" w:eastAsia="宋体"/>
      <w:sz w:val="24"/>
    </w:rPr>
  </w:style>
  <w:style w:type="character" w:customStyle="1" w:styleId="47">
    <w:name w:val="批注主题 字符"/>
    <w:link w:val="26"/>
    <w:semiHidden/>
    <w:qFormat/>
    <w:uiPriority w:val="0"/>
    <w:rPr>
      <w:rFonts w:ascii="Times New Roman" w:hAnsi="Times New Roman" w:eastAsia="宋体"/>
      <w:b/>
      <w:kern w:val="2"/>
      <w:sz w:val="24"/>
    </w:rPr>
  </w:style>
  <w:style w:type="character" w:customStyle="1" w:styleId="48">
    <w:name w:val="日期 字符"/>
    <w:semiHidden/>
    <w:qFormat/>
    <w:uiPriority w:val="0"/>
    <w:rPr>
      <w:rFonts w:ascii="Times New Roman" w:hAnsi="Times New Roman" w:eastAsia="宋体"/>
      <w:sz w:val="24"/>
    </w:rPr>
  </w:style>
  <w:style w:type="character" w:customStyle="1" w:styleId="49">
    <w:name w:val="正文文本 字符1"/>
    <w:semiHidden/>
    <w:qFormat/>
    <w:uiPriority w:val="0"/>
    <w:rPr>
      <w:rFonts w:ascii="Times New Roman" w:hAnsi="Times New Roman" w:eastAsia="宋体"/>
      <w:sz w:val="24"/>
    </w:rPr>
  </w:style>
  <w:style w:type="character" w:customStyle="1" w:styleId="50">
    <w:name w:val="批注文字 字符1"/>
    <w:semiHidden/>
    <w:qFormat/>
    <w:uiPriority w:val="0"/>
    <w:rPr>
      <w:rFonts w:ascii="Times New Roman" w:hAnsi="Times New Roman" w:eastAsia="宋体"/>
      <w:sz w:val="24"/>
    </w:rPr>
  </w:style>
  <w:style w:type="character" w:customStyle="1" w:styleId="51">
    <w:name w:val="表格 Char"/>
    <w:link w:val="52"/>
    <w:qFormat/>
    <w:uiPriority w:val="0"/>
    <w:rPr>
      <w:rFonts w:ascii="宋体"/>
      <w:sz w:val="21"/>
    </w:rPr>
  </w:style>
  <w:style w:type="paragraph" w:customStyle="1" w:styleId="52">
    <w:name w:val="表格"/>
    <w:basedOn w:val="1"/>
    <w:next w:val="1"/>
    <w:link w:val="51"/>
    <w:qFormat/>
    <w:uiPriority w:val="0"/>
    <w:pPr>
      <w:adjustRightInd w:val="0"/>
      <w:snapToGrid w:val="0"/>
      <w:spacing w:beforeLines="10" w:afterLines="10" w:line="259" w:lineRule="auto"/>
      <w:jc w:val="center"/>
    </w:pPr>
    <w:rPr>
      <w:rFonts w:ascii="宋体"/>
      <w:kern w:val="0"/>
      <w:szCs w:val="20"/>
    </w:rPr>
  </w:style>
  <w:style w:type="character" w:customStyle="1" w:styleId="53">
    <w:name w:val="页脚 字符"/>
    <w:basedOn w:val="31"/>
    <w:qFormat/>
    <w:uiPriority w:val="99"/>
  </w:style>
  <w:style w:type="paragraph" w:customStyle="1" w:styleId="54">
    <w:name w:val="表头-图名"/>
    <w:qFormat/>
    <w:uiPriority w:val="1"/>
    <w:pPr>
      <w:autoSpaceDE w:val="0"/>
      <w:autoSpaceDN w:val="0"/>
      <w:jc w:val="center"/>
    </w:pPr>
    <w:rPr>
      <w:rFonts w:ascii="Times New Roman" w:hAnsi="Times New Roman" w:eastAsia="宋体" w:cs="宋体"/>
      <w:b/>
      <w:sz w:val="21"/>
      <w:szCs w:val="22"/>
      <w:lang w:val="zh-CN" w:eastAsia="zh-CN" w:bidi="zh-CN"/>
    </w:rPr>
  </w:style>
  <w:style w:type="paragraph" w:customStyle="1" w:styleId="55">
    <w:name w:val="中文"/>
    <w:basedOn w:val="1"/>
    <w:qFormat/>
    <w:uiPriority w:val="0"/>
    <w:pPr>
      <w:widowControl/>
      <w:spacing w:line="360" w:lineRule="auto"/>
      <w:ind w:firstLine="200" w:firstLineChars="200"/>
    </w:pPr>
    <w:rPr>
      <w:kern w:val="0"/>
      <w:sz w:val="24"/>
      <w:lang w:eastAsia="en-US"/>
    </w:rPr>
  </w:style>
  <w:style w:type="paragraph" w:customStyle="1" w:styleId="5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7">
    <w:name w:val="投标正文"/>
    <w:qFormat/>
    <w:uiPriority w:val="0"/>
    <w:pPr>
      <w:widowControl w:val="0"/>
      <w:spacing w:line="360" w:lineRule="auto"/>
      <w:ind w:firstLine="480" w:firstLineChars="200"/>
      <w:jc w:val="both"/>
      <w:textAlignment w:val="center"/>
    </w:pPr>
    <w:rPr>
      <w:rFonts w:ascii="Times New Roman" w:hAnsi="Times New Roman" w:eastAsia="宋体" w:cs="Times New Roman"/>
      <w:bCs/>
      <w:color w:val="000000"/>
      <w:sz w:val="28"/>
      <w:szCs w:val="32"/>
      <w:lang w:val="en-US" w:eastAsia="zh-CN" w:bidi="ar-SA"/>
    </w:rPr>
  </w:style>
  <w:style w:type="paragraph" w:styleId="58">
    <w:name w:val="No Spacing"/>
    <w:basedOn w:val="8"/>
    <w:qFormat/>
    <w:uiPriority w:val="0"/>
    <w:pPr>
      <w:widowControl w:val="0"/>
      <w:adjustRightInd w:val="0"/>
      <w:spacing w:line="360" w:lineRule="atLeast"/>
      <w:textAlignment w:val="baseline"/>
    </w:pPr>
    <w:rPr>
      <w:kern w:val="2"/>
      <w:sz w:val="24"/>
      <w:szCs w:val="24"/>
    </w:rPr>
  </w:style>
  <w:style w:type="paragraph" w:customStyle="1" w:styleId="5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0">
    <w:name w:val="样式1"/>
    <w:basedOn w:val="1"/>
    <w:qFormat/>
    <w:uiPriority w:val="0"/>
    <w:pPr>
      <w:snapToGrid w:val="0"/>
      <w:jc w:val="center"/>
    </w:pPr>
    <w:rPr>
      <w:rFonts w:ascii="宋体"/>
      <w:szCs w:val="20"/>
    </w:rPr>
  </w:style>
  <w:style w:type="paragraph" w:customStyle="1" w:styleId="61">
    <w:name w:val="正文11"/>
    <w:qFormat/>
    <w:uiPriority w:val="0"/>
    <w:pPr>
      <w:widowControl w:val="0"/>
      <w:adjustRightInd w:val="0"/>
      <w:spacing w:line="315" w:lineRule="atLeast"/>
      <w:jc w:val="both"/>
      <w:textAlignment w:val="baseline"/>
    </w:pPr>
    <w:rPr>
      <w:rFonts w:ascii="宋体" w:hAnsi="Times New Roman" w:eastAsia="宋体" w:cs="Times New Roman"/>
      <w:sz w:val="24"/>
      <w:szCs w:val="22"/>
      <w:lang w:val="en-US" w:eastAsia="zh-CN" w:bidi="ar-SA"/>
    </w:rPr>
  </w:style>
  <w:style w:type="paragraph" w:customStyle="1" w:styleId="62">
    <w:name w:val="Table Paragraph"/>
    <w:basedOn w:val="1"/>
    <w:qFormat/>
    <w:uiPriority w:val="0"/>
    <w:pPr>
      <w:spacing w:line="360" w:lineRule="auto"/>
      <w:ind w:firstLine="200"/>
      <w:jc w:val="left"/>
    </w:pPr>
    <w:rPr>
      <w:rFonts w:ascii="Calibri" w:hAnsi="Calibri"/>
      <w:kern w:val="0"/>
      <w:sz w:val="22"/>
      <w:szCs w:val="22"/>
    </w:rPr>
  </w:style>
  <w:style w:type="paragraph" w:customStyle="1" w:styleId="63">
    <w:name w:val="li_正文"/>
    <w:basedOn w:val="1"/>
    <w:qFormat/>
    <w:uiPriority w:val="0"/>
    <w:pPr>
      <w:tabs>
        <w:tab w:val="left" w:pos="2340"/>
        <w:tab w:val="left" w:pos="4320"/>
      </w:tabs>
      <w:ind w:firstLine="530" w:firstLineChars="200"/>
      <w:jc w:val="left"/>
    </w:pPr>
    <w:rPr>
      <w:sz w:val="28"/>
      <w:szCs w:val="28"/>
    </w:rPr>
  </w:style>
  <w:style w:type="paragraph" w:customStyle="1" w:styleId="64">
    <w:name w:val="word"/>
    <w:basedOn w:val="1"/>
    <w:qFormat/>
    <w:uiPriority w:val="0"/>
    <w:pPr>
      <w:spacing w:line="360" w:lineRule="auto"/>
      <w:ind w:firstLine="838" w:firstLineChars="349"/>
    </w:pPr>
    <w:rPr>
      <w:sz w:val="24"/>
    </w:rPr>
  </w:style>
  <w:style w:type="paragraph" w:customStyle="1" w:styleId="65">
    <w:name w:val="Default"/>
    <w:qFormat/>
    <w:uiPriority w:val="0"/>
    <w:pPr>
      <w:widowControl w:val="0"/>
      <w:autoSpaceDE w:val="0"/>
      <w:autoSpaceDN w:val="0"/>
      <w:adjustRightInd w:val="0"/>
    </w:pPr>
    <w:rPr>
      <w:rFonts w:ascii="宋体_x0008_...." w:hAnsi="Times New Roman" w:eastAsia="宋体_x0008_...." w:cs="宋体_x0008_...."/>
      <w:color w:val="000000"/>
      <w:sz w:val="24"/>
      <w:szCs w:val="24"/>
      <w:lang w:val="en-US" w:eastAsia="zh-CN" w:bidi="ar-SA"/>
    </w:rPr>
  </w:style>
  <w:style w:type="paragraph" w:customStyle="1" w:styleId="66">
    <w:name w:val="表头111"/>
    <w:basedOn w:val="1"/>
    <w:qFormat/>
    <w:uiPriority w:val="0"/>
    <w:pPr>
      <w:jc w:val="center"/>
    </w:pPr>
    <w:rPr>
      <w:b/>
      <w:szCs w:val="21"/>
    </w:rPr>
  </w:style>
  <w:style w:type="paragraph" w:customStyle="1" w:styleId="67">
    <w:name w:val="标准段落"/>
    <w:basedOn w:val="1"/>
    <w:next w:val="1"/>
    <w:qFormat/>
    <w:uiPriority w:val="0"/>
    <w:pPr>
      <w:spacing w:line="360" w:lineRule="auto"/>
      <w:ind w:firstLine="504" w:firstLineChars="200"/>
    </w:pPr>
    <w:rPr>
      <w:rFonts w:ascii="宋体" w:hAnsi="宋体"/>
      <w:color w:val="000000"/>
      <w:spacing w:val="6"/>
      <w:kern w:val="0"/>
      <w:sz w:val="24"/>
    </w:rPr>
  </w:style>
  <w:style w:type="paragraph" w:customStyle="1" w:styleId="68">
    <w:name w:val="0正文表内"/>
    <w:basedOn w:val="1"/>
    <w:next w:val="1"/>
    <w:qFormat/>
    <w:uiPriority w:val="0"/>
    <w:pPr>
      <w:spacing w:line="360" w:lineRule="exact"/>
      <w:jc w:val="left"/>
    </w:pPr>
    <w:rPr>
      <w:szCs w:val="22"/>
    </w:rPr>
  </w:style>
  <w:style w:type="paragraph" w:styleId="69">
    <w:name w:val="List Paragraph"/>
    <w:basedOn w:val="1"/>
    <w:qFormat/>
    <w:uiPriority w:val="0"/>
    <w:pPr>
      <w:ind w:firstLine="420" w:firstLineChars="200"/>
    </w:pPr>
    <w:rPr>
      <w:rFonts w:ascii="Calibri" w:hAnsi="Calibri"/>
      <w:szCs w:val="22"/>
    </w:rPr>
  </w:style>
  <w:style w:type="paragraph" w:customStyle="1" w:styleId="70">
    <w:name w:val="样式 样式 首行缩进:  1 字符 + 首行缩进:  2 字符1"/>
    <w:basedOn w:val="1"/>
    <w:qFormat/>
    <w:uiPriority w:val="0"/>
    <w:pPr>
      <w:spacing w:line="360" w:lineRule="auto"/>
      <w:ind w:firstLine="200" w:firstLineChars="200"/>
    </w:pPr>
    <w:rPr>
      <w:rFonts w:cs="宋体"/>
      <w:sz w:val="24"/>
    </w:rPr>
  </w:style>
  <w:style w:type="character" w:customStyle="1" w:styleId="71">
    <w:name w:val="font51"/>
    <w:basedOn w:val="31"/>
    <w:qFormat/>
    <w:uiPriority w:val="0"/>
    <w:rPr>
      <w:rFonts w:hint="eastAsia" w:ascii="宋体" w:hAnsi="宋体" w:eastAsia="宋体" w:cs="宋体"/>
      <w:b/>
      <w:bCs/>
      <w:color w:val="000000"/>
      <w:sz w:val="21"/>
      <w:szCs w:val="21"/>
      <w:u w:val="none"/>
    </w:rPr>
  </w:style>
  <w:style w:type="character" w:customStyle="1" w:styleId="72">
    <w:name w:val="font11"/>
    <w:basedOn w:val="31"/>
    <w:qFormat/>
    <w:uiPriority w:val="0"/>
    <w:rPr>
      <w:rFonts w:hint="default" w:ascii="Times New Roman" w:hAnsi="Times New Roman" w:cs="Times New Roman"/>
      <w:b/>
      <w:bCs/>
      <w:color w:val="000000"/>
      <w:sz w:val="21"/>
      <w:szCs w:val="21"/>
      <w:u w:val="none"/>
    </w:rPr>
  </w:style>
  <w:style w:type="character" w:customStyle="1" w:styleId="73">
    <w:name w:val="font41"/>
    <w:basedOn w:val="31"/>
    <w:qFormat/>
    <w:uiPriority w:val="0"/>
    <w:rPr>
      <w:rFonts w:hint="eastAsia" w:ascii="宋体" w:hAnsi="宋体" w:eastAsia="宋体" w:cs="宋体"/>
      <w:color w:val="000000"/>
      <w:sz w:val="20"/>
      <w:szCs w:val="20"/>
      <w:u w:val="none"/>
    </w:rPr>
  </w:style>
  <w:style w:type="character" w:customStyle="1" w:styleId="74">
    <w:name w:val="font21"/>
    <w:basedOn w:val="31"/>
    <w:qFormat/>
    <w:uiPriority w:val="0"/>
    <w:rPr>
      <w:rFonts w:ascii="仿宋" w:hAnsi="仿宋" w:eastAsia="仿宋" w:cs="仿宋"/>
      <w:color w:val="000000"/>
      <w:sz w:val="24"/>
      <w:szCs w:val="24"/>
      <w:u w:val="none"/>
    </w:rPr>
  </w:style>
  <w:style w:type="character" w:customStyle="1" w:styleId="75">
    <w:name w:val="font31"/>
    <w:basedOn w:val="31"/>
    <w:qFormat/>
    <w:uiPriority w:val="0"/>
    <w:rPr>
      <w:rFonts w:hint="default" w:ascii="Times New Roman" w:hAnsi="Times New Roman" w:cs="Times New Roman"/>
      <w:b/>
      <w:bCs/>
      <w:color w:val="000000"/>
      <w:sz w:val="21"/>
      <w:szCs w:val="21"/>
      <w:u w:val="none"/>
    </w:rPr>
  </w:style>
  <w:style w:type="paragraph" w:customStyle="1" w:styleId="76">
    <w:name w:val="[1]正文"/>
    <w:basedOn w:val="1"/>
    <w:qFormat/>
    <w:uiPriority w:val="0"/>
    <w:pPr>
      <w:autoSpaceDE w:val="0"/>
      <w:autoSpaceDN w:val="0"/>
      <w:ind w:firstLine="200" w:firstLineChars="200"/>
    </w:pPr>
    <w:rPr>
      <w:color w:val="000000"/>
      <w:kern w:val="0"/>
      <w:lang w:val="zh-CN"/>
    </w:rPr>
  </w:style>
  <w:style w:type="paragraph" w:customStyle="1" w:styleId="77">
    <w:name w:val="表头"/>
    <w:basedOn w:val="1"/>
    <w:qFormat/>
    <w:uiPriority w:val="0"/>
    <w:pPr>
      <w:spacing w:before="312" w:beforeLines="100"/>
      <w:jc w:val="center"/>
    </w:pPr>
    <w:rPr>
      <w:szCs w:val="20"/>
    </w:rPr>
  </w:style>
  <w:style w:type="table" w:customStyle="1" w:styleId="78">
    <w:name w:val="Table Normal"/>
    <w:semiHidden/>
    <w:unhideWhenUsed/>
    <w:qFormat/>
    <w:uiPriority w:val="0"/>
    <w:tblPr>
      <w:tblCellMar>
        <w:top w:w="0" w:type="dxa"/>
        <w:left w:w="0" w:type="dxa"/>
        <w:bottom w:w="0" w:type="dxa"/>
        <w:right w:w="0" w:type="dxa"/>
      </w:tblCellMar>
    </w:tblPr>
  </w:style>
  <w:style w:type="paragraph" w:customStyle="1" w:styleId="79">
    <w:name w:val="1图表标题"/>
    <w:basedOn w:val="1"/>
    <w:qFormat/>
    <w:uiPriority w:val="0"/>
    <w:pPr>
      <w:keepNext/>
      <w:keepLines/>
      <w:spacing w:line="360" w:lineRule="auto"/>
      <w:jc w:val="center"/>
      <w:outlineLvl w:val="4"/>
    </w:pPr>
    <w:rPr>
      <w:b/>
      <w:bCs/>
      <w:color w:val="000000"/>
      <w:kern w:val="0"/>
      <w:sz w:val="24"/>
      <w:szCs w:val="32"/>
    </w:rPr>
  </w:style>
  <w:style w:type="character" w:customStyle="1" w:styleId="80">
    <w:name w:val="不明显强调1"/>
    <w:qFormat/>
    <w:uiPriority w:val="99"/>
    <w:rPr>
      <w:rFonts w:ascii="Times New Roman" w:hAnsi="Times New Roman" w:eastAsia="宋体" w:cs="Times New Roman"/>
      <w:iCs/>
      <w:color w:val="404040"/>
      <w:sz w:val="24"/>
      <w:szCs w:val="24"/>
    </w:rPr>
  </w:style>
  <w:style w:type="paragraph" w:customStyle="1" w:styleId="81">
    <w:name w:val="Body text|1"/>
    <w:basedOn w:val="1"/>
    <w:qFormat/>
    <w:uiPriority w:val="0"/>
    <w:pPr>
      <w:spacing w:line="468" w:lineRule="auto"/>
      <w:ind w:firstLine="400"/>
    </w:pPr>
    <w:rPr>
      <w:rFonts w:ascii="宋体" w:hAnsi="宋体" w:cs="宋体"/>
      <w:sz w:val="28"/>
      <w:szCs w:val="28"/>
      <w:lang w:val="zh-TW" w:eastAsia="zh-TW" w:bidi="zh-TW"/>
    </w:rPr>
  </w:style>
  <w:style w:type="paragraph" w:customStyle="1" w:styleId="82">
    <w:name w:val="Table Text"/>
    <w:basedOn w:val="1"/>
    <w:semiHidden/>
    <w:qFormat/>
    <w:uiPriority w:val="0"/>
    <w:rPr>
      <w:rFonts w:ascii="宋体" w:hAnsi="宋体" w:cs="宋体"/>
      <w:sz w:val="24"/>
      <w:lang w:eastAsia="en-US"/>
    </w:rPr>
  </w:style>
  <w:style w:type="character" w:customStyle="1" w:styleId="83">
    <w:name w:val="font81"/>
    <w:basedOn w:val="31"/>
    <w:qFormat/>
    <w:uiPriority w:val="0"/>
    <w:rPr>
      <w:rFonts w:hint="default" w:ascii="Times New Roman" w:hAnsi="Times New Roman" w:cs="Times New Roman"/>
      <w:color w:val="000000"/>
      <w:sz w:val="21"/>
      <w:szCs w:val="21"/>
      <w:u w:val="none"/>
    </w:rPr>
  </w:style>
  <w:style w:type="character" w:customStyle="1" w:styleId="84">
    <w:name w:val="font91"/>
    <w:basedOn w:val="31"/>
    <w:qFormat/>
    <w:uiPriority w:val="0"/>
    <w:rPr>
      <w:rFonts w:hint="eastAsia" w:ascii="宋体" w:hAnsi="宋体" w:eastAsia="宋体" w:cs="宋体"/>
      <w:color w:val="000000"/>
      <w:sz w:val="21"/>
      <w:szCs w:val="21"/>
      <w:u w:val="none"/>
    </w:rPr>
  </w:style>
  <w:style w:type="character" w:customStyle="1" w:styleId="85">
    <w:name w:val="font101"/>
    <w:basedOn w:val="31"/>
    <w:qFormat/>
    <w:uiPriority w:val="0"/>
    <w:rPr>
      <w:rFonts w:hint="default" w:ascii="Times New Roman" w:hAnsi="Times New Roman" w:cs="Times New Roman"/>
      <w:color w:val="000000"/>
      <w:sz w:val="21"/>
      <w:szCs w:val="21"/>
      <w:u w:val="none"/>
    </w:rPr>
  </w:style>
  <w:style w:type="character" w:customStyle="1" w:styleId="86">
    <w:name w:val="font71"/>
    <w:basedOn w:val="31"/>
    <w:qFormat/>
    <w:uiPriority w:val="0"/>
    <w:rPr>
      <w:rFonts w:hint="default" w:ascii="Times New Roman" w:hAnsi="Times New Roman" w:cs="Times New Roman"/>
      <w:color w:val="000000"/>
      <w:sz w:val="24"/>
      <w:szCs w:val="24"/>
      <w:u w:val="none"/>
    </w:rPr>
  </w:style>
  <w:style w:type="character" w:customStyle="1" w:styleId="87">
    <w:name w:val="font112"/>
    <w:basedOn w:val="31"/>
    <w:qFormat/>
    <w:uiPriority w:val="0"/>
    <w:rPr>
      <w:rFonts w:hint="eastAsia" w:ascii="仿宋" w:hAnsi="仿宋" w:eastAsia="仿宋" w:cs="仿宋"/>
      <w:color w:val="000000"/>
      <w:sz w:val="21"/>
      <w:szCs w:val="21"/>
      <w:u w:val="none"/>
    </w:rPr>
  </w:style>
  <w:style w:type="character" w:customStyle="1" w:styleId="88">
    <w:name w:val="font61"/>
    <w:basedOn w:val="31"/>
    <w:qFormat/>
    <w:uiPriority w:val="0"/>
    <w:rPr>
      <w:rFonts w:hint="default" w:ascii="Times New Roman" w:hAnsi="Times New Roman" w:cs="Times New Roman"/>
      <w:color w:val="000000"/>
      <w:sz w:val="21"/>
      <w:szCs w:val="21"/>
      <w:u w:val="none"/>
    </w:rPr>
  </w:style>
  <w:style w:type="paragraph" w:customStyle="1" w:styleId="89">
    <w:name w:val="惠泽正文"/>
    <w:basedOn w:val="1"/>
    <w:qFormat/>
    <w:uiPriority w:val="0"/>
    <w:pPr>
      <w:spacing w:line="480" w:lineRule="exact"/>
      <w:ind w:firstLine="480" w:firstLineChars="200"/>
    </w:pPr>
    <w:rPr>
      <w:rFonts w:hAnsi="宋体" w:cs="宋体"/>
      <w:sz w:val="24"/>
    </w:rPr>
  </w:style>
  <w:style w:type="paragraph" w:customStyle="1" w:styleId="90">
    <w:name w:val="02表头zb"/>
    <w:basedOn w:val="1"/>
    <w:qFormat/>
    <w:uiPriority w:val="0"/>
    <w:pPr>
      <w:widowControl/>
      <w:jc w:val="center"/>
    </w:pPr>
    <w:rPr>
      <w:bCs/>
      <w:kern w:val="0"/>
      <w:szCs w:val="21"/>
    </w:rPr>
  </w:style>
  <w:style w:type="paragraph" w:customStyle="1" w:styleId="91">
    <w:name w:val="S表名图名"/>
    <w:basedOn w:val="1"/>
    <w:qFormat/>
    <w:uiPriority w:val="1"/>
    <w:pPr>
      <w:adjustRightInd w:val="0"/>
      <w:snapToGrid w:val="0"/>
      <w:spacing w:line="480" w:lineRule="exact"/>
      <w:jc w:val="center"/>
    </w:pPr>
    <w:rPr>
      <w:b/>
      <w:sz w:val="24"/>
      <w:szCs w:val="23"/>
    </w:rPr>
  </w:style>
  <w:style w:type="paragraph" w:customStyle="1" w:styleId="92">
    <w:name w:val="萝卜"/>
    <w:basedOn w:val="1"/>
    <w:qFormat/>
    <w:uiPriority w:val="0"/>
    <w:pPr>
      <w:tabs>
        <w:tab w:val="left" w:pos="540"/>
      </w:tabs>
      <w:spacing w:line="360" w:lineRule="auto"/>
      <w:ind w:firstLine="200" w:firstLineChars="200"/>
    </w:pPr>
    <w:rPr>
      <w:kern w:val="24"/>
      <w:sz w:val="24"/>
      <w:szCs w:val="21"/>
    </w:rPr>
  </w:style>
  <w:style w:type="paragraph" w:customStyle="1" w:styleId="93">
    <w:name w:val="5表头"/>
    <w:basedOn w:val="1"/>
    <w:qFormat/>
    <w:uiPriority w:val="0"/>
    <w:pPr>
      <w:spacing w:beforeLines="50"/>
      <w:jc w:val="center"/>
    </w:pPr>
    <w:rPr>
      <w:rFonts w:eastAsia="黑体" w:cs="宋体"/>
    </w:rPr>
  </w:style>
  <w:style w:type="paragraph" w:customStyle="1" w:styleId="94">
    <w:name w:val="表格内容"/>
    <w:basedOn w:val="6"/>
    <w:qFormat/>
    <w:uiPriority w:val="0"/>
    <w:pPr>
      <w:widowControl w:val="0"/>
      <w:tabs>
        <w:tab w:val="left" w:pos="2340"/>
      </w:tabs>
      <w:snapToGrid w:val="0"/>
      <w:spacing w:line="240" w:lineRule="auto"/>
      <w:ind w:firstLine="0" w:firstLineChars="0"/>
      <w:jc w:val="center"/>
    </w:pPr>
    <w:rPr>
      <w:kern w:val="0"/>
      <w:sz w:val="21"/>
      <w:szCs w:val="24"/>
    </w:rPr>
  </w:style>
</w:styles>
</file>

<file path=word/_rels/document.xml.rels><?xml version="1.0" encoding="UTF-8" standalone="yes"?>
<Relationships xmlns="http://schemas.openxmlformats.org/package/2006/relationships"><Relationship Id="rId99" Type="http://schemas.openxmlformats.org/officeDocument/2006/relationships/image" Target="media/image40.wmf"/><Relationship Id="rId98" Type="http://schemas.openxmlformats.org/officeDocument/2006/relationships/oleObject" Target="embeddings/oleObject50.bin"/><Relationship Id="rId97" Type="http://schemas.openxmlformats.org/officeDocument/2006/relationships/image" Target="media/image39.wmf"/><Relationship Id="rId96" Type="http://schemas.openxmlformats.org/officeDocument/2006/relationships/oleObject" Target="embeddings/oleObject49.bin"/><Relationship Id="rId95" Type="http://schemas.openxmlformats.org/officeDocument/2006/relationships/image" Target="media/image38.wmf"/><Relationship Id="rId94" Type="http://schemas.openxmlformats.org/officeDocument/2006/relationships/oleObject" Target="embeddings/oleObject48.bin"/><Relationship Id="rId93" Type="http://schemas.openxmlformats.org/officeDocument/2006/relationships/image" Target="media/image37.wmf"/><Relationship Id="rId92" Type="http://schemas.openxmlformats.org/officeDocument/2006/relationships/oleObject" Target="embeddings/oleObject47.bin"/><Relationship Id="rId91" Type="http://schemas.openxmlformats.org/officeDocument/2006/relationships/image" Target="media/image36.wmf"/><Relationship Id="rId90" Type="http://schemas.openxmlformats.org/officeDocument/2006/relationships/oleObject" Target="embeddings/oleObject46.bin"/><Relationship Id="rId9" Type="http://schemas.openxmlformats.org/officeDocument/2006/relationships/theme" Target="theme/theme1.xml"/><Relationship Id="rId89" Type="http://schemas.openxmlformats.org/officeDocument/2006/relationships/oleObject" Target="embeddings/oleObject45.bin"/><Relationship Id="rId88" Type="http://schemas.openxmlformats.org/officeDocument/2006/relationships/oleObject" Target="embeddings/oleObject44.bin"/><Relationship Id="rId87" Type="http://schemas.openxmlformats.org/officeDocument/2006/relationships/image" Target="media/image35.wmf"/><Relationship Id="rId86" Type="http://schemas.openxmlformats.org/officeDocument/2006/relationships/oleObject" Target="embeddings/oleObject43.bin"/><Relationship Id="rId85" Type="http://schemas.openxmlformats.org/officeDocument/2006/relationships/oleObject" Target="embeddings/oleObject42.bin"/><Relationship Id="rId84" Type="http://schemas.openxmlformats.org/officeDocument/2006/relationships/image" Target="media/image34.wmf"/><Relationship Id="rId83" Type="http://schemas.openxmlformats.org/officeDocument/2006/relationships/oleObject" Target="embeddings/oleObject41.bin"/><Relationship Id="rId82" Type="http://schemas.openxmlformats.org/officeDocument/2006/relationships/image" Target="media/image33.wmf"/><Relationship Id="rId81" Type="http://schemas.openxmlformats.org/officeDocument/2006/relationships/oleObject" Target="embeddings/oleObject40.bin"/><Relationship Id="rId80" Type="http://schemas.openxmlformats.org/officeDocument/2006/relationships/image" Target="media/image32.wmf"/><Relationship Id="rId8" Type="http://schemas.openxmlformats.org/officeDocument/2006/relationships/footer" Target="footer5.xml"/><Relationship Id="rId79" Type="http://schemas.openxmlformats.org/officeDocument/2006/relationships/oleObject" Target="embeddings/oleObject39.bin"/><Relationship Id="rId78" Type="http://schemas.openxmlformats.org/officeDocument/2006/relationships/oleObject" Target="embeddings/oleObject38.bin"/><Relationship Id="rId77" Type="http://schemas.openxmlformats.org/officeDocument/2006/relationships/image" Target="media/image31.wmf"/><Relationship Id="rId76" Type="http://schemas.openxmlformats.org/officeDocument/2006/relationships/oleObject" Target="embeddings/oleObject37.bin"/><Relationship Id="rId75" Type="http://schemas.openxmlformats.org/officeDocument/2006/relationships/oleObject" Target="embeddings/oleObject36.bin"/><Relationship Id="rId74" Type="http://schemas.openxmlformats.org/officeDocument/2006/relationships/oleObject" Target="embeddings/oleObject35.bin"/><Relationship Id="rId73" Type="http://schemas.openxmlformats.org/officeDocument/2006/relationships/image" Target="media/image30.wmf"/><Relationship Id="rId72" Type="http://schemas.openxmlformats.org/officeDocument/2006/relationships/oleObject" Target="embeddings/oleObject34.bin"/><Relationship Id="rId71" Type="http://schemas.openxmlformats.org/officeDocument/2006/relationships/oleObject" Target="embeddings/oleObject33.bin"/><Relationship Id="rId70" Type="http://schemas.openxmlformats.org/officeDocument/2006/relationships/oleObject" Target="embeddings/oleObject32.bin"/><Relationship Id="rId7" Type="http://schemas.openxmlformats.org/officeDocument/2006/relationships/footer" Target="footer4.xml"/><Relationship Id="rId69" Type="http://schemas.openxmlformats.org/officeDocument/2006/relationships/image" Target="media/image29.wmf"/><Relationship Id="rId68" Type="http://schemas.openxmlformats.org/officeDocument/2006/relationships/oleObject" Target="embeddings/oleObject31.bin"/><Relationship Id="rId67" Type="http://schemas.openxmlformats.org/officeDocument/2006/relationships/image" Target="media/image28.wmf"/><Relationship Id="rId66" Type="http://schemas.openxmlformats.org/officeDocument/2006/relationships/oleObject" Target="embeddings/oleObject30.bin"/><Relationship Id="rId65" Type="http://schemas.openxmlformats.org/officeDocument/2006/relationships/oleObject" Target="embeddings/oleObject29.bin"/><Relationship Id="rId64" Type="http://schemas.openxmlformats.org/officeDocument/2006/relationships/oleObject" Target="embeddings/oleObject28.bin"/><Relationship Id="rId63" Type="http://schemas.openxmlformats.org/officeDocument/2006/relationships/image" Target="media/image27.wmf"/><Relationship Id="rId62" Type="http://schemas.openxmlformats.org/officeDocument/2006/relationships/oleObject" Target="embeddings/oleObject27.bin"/><Relationship Id="rId61" Type="http://schemas.openxmlformats.org/officeDocument/2006/relationships/image" Target="media/image26.wmf"/><Relationship Id="rId60" Type="http://schemas.openxmlformats.org/officeDocument/2006/relationships/oleObject" Target="embeddings/oleObject26.bin"/><Relationship Id="rId6" Type="http://schemas.openxmlformats.org/officeDocument/2006/relationships/footer" Target="footer3.xml"/><Relationship Id="rId59" Type="http://schemas.openxmlformats.org/officeDocument/2006/relationships/oleObject" Target="embeddings/oleObject25.bin"/><Relationship Id="rId58" Type="http://schemas.openxmlformats.org/officeDocument/2006/relationships/image" Target="media/image25.wmf"/><Relationship Id="rId57" Type="http://schemas.openxmlformats.org/officeDocument/2006/relationships/oleObject" Target="embeddings/oleObject24.bin"/><Relationship Id="rId56" Type="http://schemas.openxmlformats.org/officeDocument/2006/relationships/image" Target="media/image24.wmf"/><Relationship Id="rId55" Type="http://schemas.openxmlformats.org/officeDocument/2006/relationships/oleObject" Target="embeddings/oleObject23.bin"/><Relationship Id="rId54" Type="http://schemas.openxmlformats.org/officeDocument/2006/relationships/image" Target="media/image23.wmf"/><Relationship Id="rId53" Type="http://schemas.openxmlformats.org/officeDocument/2006/relationships/oleObject" Target="embeddings/oleObject22.bin"/><Relationship Id="rId52" Type="http://schemas.openxmlformats.org/officeDocument/2006/relationships/image" Target="media/image22.wmf"/><Relationship Id="rId51" Type="http://schemas.openxmlformats.org/officeDocument/2006/relationships/oleObject" Target="embeddings/oleObject21.bin"/><Relationship Id="rId50" Type="http://schemas.openxmlformats.org/officeDocument/2006/relationships/image" Target="media/image21.wmf"/><Relationship Id="rId5" Type="http://schemas.openxmlformats.org/officeDocument/2006/relationships/footer" Target="footer2.xml"/><Relationship Id="rId49" Type="http://schemas.openxmlformats.org/officeDocument/2006/relationships/oleObject" Target="embeddings/oleObject20.bin"/><Relationship Id="rId48" Type="http://schemas.openxmlformats.org/officeDocument/2006/relationships/image" Target="media/image20.wmf"/><Relationship Id="rId47" Type="http://schemas.openxmlformats.org/officeDocument/2006/relationships/oleObject" Target="embeddings/oleObject19.bin"/><Relationship Id="rId46" Type="http://schemas.openxmlformats.org/officeDocument/2006/relationships/image" Target="media/image19.wmf"/><Relationship Id="rId45" Type="http://schemas.openxmlformats.org/officeDocument/2006/relationships/oleObject" Target="embeddings/oleObject18.bin"/><Relationship Id="rId44" Type="http://schemas.openxmlformats.org/officeDocument/2006/relationships/image" Target="media/image18.wmf"/><Relationship Id="rId43" Type="http://schemas.openxmlformats.org/officeDocument/2006/relationships/oleObject" Target="embeddings/oleObject17.bin"/><Relationship Id="rId42" Type="http://schemas.openxmlformats.org/officeDocument/2006/relationships/image" Target="media/image17.wmf"/><Relationship Id="rId41" Type="http://schemas.openxmlformats.org/officeDocument/2006/relationships/oleObject" Target="embeddings/oleObject16.bin"/><Relationship Id="rId40" Type="http://schemas.openxmlformats.org/officeDocument/2006/relationships/image" Target="media/image16.wmf"/><Relationship Id="rId4" Type="http://schemas.openxmlformats.org/officeDocument/2006/relationships/footer" Target="footer1.xml"/><Relationship Id="rId39" Type="http://schemas.openxmlformats.org/officeDocument/2006/relationships/oleObject" Target="embeddings/oleObject15.bin"/><Relationship Id="rId38" Type="http://schemas.openxmlformats.org/officeDocument/2006/relationships/image" Target="media/image15.wmf"/><Relationship Id="rId37" Type="http://schemas.openxmlformats.org/officeDocument/2006/relationships/oleObject" Target="embeddings/oleObject14.bin"/><Relationship Id="rId36" Type="http://schemas.openxmlformats.org/officeDocument/2006/relationships/image" Target="media/image14.wmf"/><Relationship Id="rId35" Type="http://schemas.openxmlformats.org/officeDocument/2006/relationships/oleObject" Target="embeddings/oleObject13.bin"/><Relationship Id="rId34" Type="http://schemas.openxmlformats.org/officeDocument/2006/relationships/image" Target="media/image13.wmf"/><Relationship Id="rId33" Type="http://schemas.openxmlformats.org/officeDocument/2006/relationships/oleObject" Target="embeddings/oleObject12.bin"/><Relationship Id="rId32" Type="http://schemas.openxmlformats.org/officeDocument/2006/relationships/image" Target="media/image12.wmf"/><Relationship Id="rId31" Type="http://schemas.openxmlformats.org/officeDocument/2006/relationships/oleObject" Target="embeddings/oleObject11.bin"/><Relationship Id="rId30" Type="http://schemas.openxmlformats.org/officeDocument/2006/relationships/image" Target="media/image11.wmf"/><Relationship Id="rId3" Type="http://schemas.openxmlformats.org/officeDocument/2006/relationships/header" Target="header1.xml"/><Relationship Id="rId29" Type="http://schemas.openxmlformats.org/officeDocument/2006/relationships/oleObject" Target="embeddings/oleObject10.bin"/><Relationship Id="rId28" Type="http://schemas.openxmlformats.org/officeDocument/2006/relationships/image" Target="media/image10.wmf"/><Relationship Id="rId27" Type="http://schemas.openxmlformats.org/officeDocument/2006/relationships/oleObject" Target="embeddings/oleObject9.bin"/><Relationship Id="rId26" Type="http://schemas.openxmlformats.org/officeDocument/2006/relationships/oleObject" Target="embeddings/oleObject8.bin"/><Relationship Id="rId25" Type="http://schemas.openxmlformats.org/officeDocument/2006/relationships/image" Target="media/image9.wmf"/><Relationship Id="rId24" Type="http://schemas.openxmlformats.org/officeDocument/2006/relationships/oleObject" Target="embeddings/oleObject7.bin"/><Relationship Id="rId23" Type="http://schemas.openxmlformats.org/officeDocument/2006/relationships/image" Target="media/image8.wmf"/><Relationship Id="rId22" Type="http://schemas.openxmlformats.org/officeDocument/2006/relationships/oleObject" Target="embeddings/oleObject6.bin"/><Relationship Id="rId21" Type="http://schemas.openxmlformats.org/officeDocument/2006/relationships/image" Target="media/image7.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4.bin"/><Relationship Id="rId17" Type="http://schemas.openxmlformats.org/officeDocument/2006/relationships/image" Target="media/image5.png"/><Relationship Id="rId16" Type="http://schemas.openxmlformats.org/officeDocument/2006/relationships/image" Target="media/image4.emf"/><Relationship Id="rId15" Type="http://schemas.openxmlformats.org/officeDocument/2006/relationships/oleObject" Target="embeddings/oleObject3.bin"/><Relationship Id="rId14" Type="http://schemas.openxmlformats.org/officeDocument/2006/relationships/image" Target="media/image3.emf"/><Relationship Id="rId13" Type="http://schemas.openxmlformats.org/officeDocument/2006/relationships/oleObject" Target="embeddings/oleObject2.bin"/><Relationship Id="rId12" Type="http://schemas.openxmlformats.org/officeDocument/2006/relationships/image" Target="media/image2.emf"/><Relationship Id="rId11" Type="http://schemas.openxmlformats.org/officeDocument/2006/relationships/oleObject" Target="embeddings/oleObject1.bin"/><Relationship Id="rId108" Type="http://schemas.openxmlformats.org/officeDocument/2006/relationships/fontTable" Target="fontTable.xml"/><Relationship Id="rId107" Type="http://schemas.openxmlformats.org/officeDocument/2006/relationships/numbering" Target="numbering.xml"/><Relationship Id="rId106" Type="http://schemas.openxmlformats.org/officeDocument/2006/relationships/customXml" Target="../customXml/item1.xml"/><Relationship Id="rId105" Type="http://schemas.openxmlformats.org/officeDocument/2006/relationships/image" Target="media/image43.wmf"/><Relationship Id="rId104" Type="http://schemas.openxmlformats.org/officeDocument/2006/relationships/oleObject" Target="embeddings/oleObject53.bin"/><Relationship Id="rId103" Type="http://schemas.openxmlformats.org/officeDocument/2006/relationships/image" Target="media/image42.wmf"/><Relationship Id="rId102" Type="http://schemas.openxmlformats.org/officeDocument/2006/relationships/oleObject" Target="embeddings/oleObject52.bin"/><Relationship Id="rId101" Type="http://schemas.openxmlformats.org/officeDocument/2006/relationships/image" Target="media/image41.wmf"/><Relationship Id="rId100" Type="http://schemas.openxmlformats.org/officeDocument/2006/relationships/oleObject" Target="embeddings/oleObject51.bin"/><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53</Pages>
  <Words>1046</Words>
  <Characters>1113</Characters>
  <Lines>327</Lines>
  <Paragraphs>92</Paragraphs>
  <TotalTime>318</TotalTime>
  <ScaleCrop>false</ScaleCrop>
  <LinksUpToDate>false</LinksUpToDate>
  <CharactersWithSpaces>1211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2025-04-07T06:49:00Z</dcterms:created>
  <dc:creator>lhj</dc:creator>
  <cp:lastModifiedBy>赞赞肖可爱</cp:lastModifiedBy>
  <cp:lastPrinted>2021-09-27T10:39:00Z</cp:lastPrinted>
  <dcterms:modified xsi:type="dcterms:W3CDTF">2025-06-24T07:18:26Z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D9FF8CD09B444A7D8FAF87B27C406808</vt:lpwstr>
  </property>
  <property fmtid="{D5CDD505-2E9C-101B-9397-08002B2CF9AE}" pid="4" name="KSOTemplateDocerSaveRecord">
    <vt:lpwstr>eyJoZGlkIjoiNDY4MmJjMzVjZmI5OGUwZjhmMDNiZDU2MmEyNzAwNmQiLCJ1c2VySWQiOiIyNjEzODQ4MTQifQ==</vt:lpwstr>
  </property>
</Properties>
</file>