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auto"/>
          <w:kern w:val="21"/>
          <w:sz w:val="36"/>
          <w:szCs w:val="36"/>
        </w:rPr>
      </w:pPr>
    </w:p>
    <w:p>
      <w:pPr>
        <w:rPr>
          <w:color w:val="auto"/>
          <w:kern w:val="21"/>
          <w:sz w:val="36"/>
          <w:szCs w:val="36"/>
        </w:rPr>
      </w:pPr>
    </w:p>
    <w:p>
      <w:pPr>
        <w:rPr>
          <w:color w:val="auto"/>
          <w:kern w:val="21"/>
          <w:sz w:val="36"/>
          <w:szCs w:val="36"/>
        </w:rPr>
      </w:pPr>
    </w:p>
    <w:p>
      <w:pPr>
        <w:rPr>
          <w:color w:val="auto"/>
          <w:kern w:val="21"/>
          <w:sz w:val="36"/>
          <w:szCs w:val="36"/>
        </w:rPr>
      </w:pPr>
    </w:p>
    <w:p>
      <w:pPr>
        <w:adjustRightInd w:val="0"/>
        <w:snapToGrid w:val="0"/>
        <w:jc w:val="center"/>
        <w:outlineLvl w:val="0"/>
        <w:rPr>
          <w:rFonts w:hint="eastAsia" w:ascii="方正小标宋_GBK" w:eastAsia="方正小标宋_GBK"/>
          <w:bCs/>
          <w:color w:val="auto"/>
          <w:sz w:val="72"/>
          <w:szCs w:val="72"/>
        </w:rPr>
      </w:pPr>
      <w:r>
        <w:rPr>
          <w:rFonts w:hint="eastAsia" w:ascii="方正小标宋_GBK" w:eastAsia="方正小标宋_GBK"/>
          <w:bCs/>
          <w:color w:val="auto"/>
          <w:sz w:val="72"/>
          <w:szCs w:val="72"/>
        </w:rPr>
        <w:t>建设项目环境影响报告表</w:t>
      </w:r>
    </w:p>
    <w:p>
      <w:pPr>
        <w:adjustRightInd w:val="0"/>
        <w:snapToGrid w:val="0"/>
        <w:spacing w:before="192" w:beforeLines="80"/>
        <w:jc w:val="center"/>
        <w:rPr>
          <w:rFonts w:hint="eastAsia" w:ascii="楷体_GB2312" w:eastAsia="楷体_GB2312"/>
          <w:bCs/>
          <w:color w:val="auto"/>
          <w:sz w:val="48"/>
          <w:szCs w:val="48"/>
        </w:rPr>
      </w:pPr>
      <w:r>
        <w:rPr>
          <w:rFonts w:hint="eastAsia" w:ascii="楷体_GB2312" w:eastAsia="楷体_GB2312"/>
          <w:bCs/>
          <w:color w:val="auto"/>
          <w:sz w:val="48"/>
          <w:szCs w:val="48"/>
          <w:lang w:val="en-US" w:eastAsia="zh-CN"/>
        </w:rPr>
        <w:t xml:space="preserve"> </w:t>
      </w:r>
      <w:r>
        <w:rPr>
          <w:rFonts w:hint="eastAsia" w:ascii="楷体_GB2312" w:eastAsia="楷体_GB2312"/>
          <w:bCs/>
          <w:color w:val="auto"/>
          <w:sz w:val="48"/>
          <w:szCs w:val="48"/>
        </w:rPr>
        <w:t>（污染影响类）</w:t>
      </w:r>
    </w:p>
    <w:p>
      <w:pPr>
        <w:ind w:firstLine="1040"/>
        <w:jc w:val="center"/>
        <w:rPr>
          <w:color w:val="auto"/>
          <w:kern w:val="21"/>
          <w:sz w:val="44"/>
          <w:szCs w:val="44"/>
        </w:rPr>
      </w:pPr>
    </w:p>
    <w:p>
      <w:pPr>
        <w:pStyle w:val="10"/>
        <w:rPr>
          <w:color w:val="auto"/>
        </w:rPr>
      </w:pPr>
    </w:p>
    <w:p>
      <w:pPr>
        <w:pStyle w:val="11"/>
        <w:rPr>
          <w:color w:val="auto"/>
        </w:rPr>
      </w:pPr>
    </w:p>
    <w:p>
      <w:pPr>
        <w:pStyle w:val="12"/>
        <w:rPr>
          <w:color w:val="auto"/>
        </w:rPr>
      </w:pPr>
    </w:p>
    <w:p>
      <w:pPr>
        <w:rPr>
          <w:color w:val="auto"/>
        </w:rPr>
      </w:pPr>
    </w:p>
    <w:p>
      <w:pPr>
        <w:pStyle w:val="10"/>
        <w:rPr>
          <w:color w:val="auto"/>
        </w:rPr>
      </w:pPr>
    </w:p>
    <w:p>
      <w:pPr>
        <w:pStyle w:val="11"/>
        <w:rPr>
          <w:color w:val="auto"/>
        </w:rPr>
      </w:pPr>
    </w:p>
    <w:p>
      <w:pPr>
        <w:pStyle w:val="12"/>
        <w:rPr>
          <w:color w:val="auto"/>
        </w:rPr>
      </w:pPr>
    </w:p>
    <w:p>
      <w:pPr>
        <w:rPr>
          <w:color w:val="auto"/>
        </w:rPr>
      </w:pPr>
    </w:p>
    <w:p>
      <w:pPr>
        <w:pStyle w:val="10"/>
        <w:rPr>
          <w:color w:val="auto"/>
        </w:rPr>
      </w:pPr>
    </w:p>
    <w:p>
      <w:pPr>
        <w:pStyle w:val="11"/>
        <w:rPr>
          <w:color w:val="auto"/>
        </w:rPr>
      </w:pPr>
    </w:p>
    <w:p>
      <w:pPr>
        <w:pStyle w:val="12"/>
        <w:rPr>
          <w:color w:val="auto"/>
        </w:rPr>
      </w:pPr>
    </w:p>
    <w:p>
      <w:pPr>
        <w:adjustRightInd w:val="0"/>
        <w:snapToGrid w:val="0"/>
        <w:spacing w:line="360" w:lineRule="auto"/>
        <w:ind w:firstLine="1040"/>
        <w:jc w:val="left"/>
        <w:rPr>
          <w:rFonts w:hint="eastAsia" w:ascii="仿宋_GB2312" w:hAnsi="仿宋_GB2312" w:eastAsia="仿宋_GB2312" w:cs="仿宋_GB2312"/>
          <w:color w:val="auto"/>
          <w:kern w:val="21"/>
          <w:sz w:val="36"/>
          <w:szCs w:val="36"/>
          <w:lang w:val="en-US" w:eastAsia="zh-CN"/>
        </w:rPr>
      </w:pPr>
      <w:r>
        <w:rPr>
          <w:rFonts w:hint="eastAsia"/>
          <w:color w:val="auto"/>
          <w:kern w:val="21"/>
          <w:sz w:val="36"/>
          <w:szCs w:val="36"/>
        </w:rPr>
        <w:t xml:space="preserve">    </w:t>
      </w:r>
      <w:r>
        <w:rPr>
          <w:rFonts w:hint="eastAsia" w:ascii="仿宋_GB2312" w:hAnsi="仿宋_GB2312" w:eastAsia="仿宋_GB2312" w:cs="仿宋_GB2312"/>
          <w:color w:val="auto"/>
          <w:kern w:val="21"/>
          <w:sz w:val="36"/>
          <w:szCs w:val="36"/>
        </w:rPr>
        <w:t>项目名称：</w:t>
      </w:r>
      <w:r>
        <w:rPr>
          <w:rFonts w:hint="eastAsia" w:ascii="仿宋_GB2312" w:hAnsi="仿宋_GB2312" w:eastAsia="仿宋_GB2312" w:cs="仿宋_GB2312"/>
          <w:color w:val="auto"/>
          <w:kern w:val="21"/>
          <w:sz w:val="36"/>
          <w:szCs w:val="36"/>
          <w:u w:val="single"/>
          <w:lang w:val="en-US" w:eastAsia="zh-CN"/>
        </w:rPr>
        <w:t xml:space="preserve">   </w:t>
      </w:r>
      <w:r>
        <w:rPr>
          <w:rFonts w:hint="eastAsia" w:ascii="仿宋_GB2312" w:hAnsi="仿宋_GB2312" w:eastAsia="仿宋_GB2312" w:cs="仿宋_GB2312"/>
          <w:color w:val="auto"/>
          <w:kern w:val="21"/>
          <w:sz w:val="36"/>
          <w:szCs w:val="36"/>
          <w:u w:val="single"/>
          <w:lang w:eastAsia="zh-CN"/>
        </w:rPr>
        <w:t>西安麦迪格眼科医院项目</w:t>
      </w:r>
      <w:r>
        <w:rPr>
          <w:rFonts w:hint="eastAsia" w:ascii="仿宋_GB2312" w:hAnsi="仿宋_GB2312" w:eastAsia="仿宋_GB2312" w:cs="仿宋_GB2312"/>
          <w:color w:val="auto"/>
          <w:kern w:val="21"/>
          <w:sz w:val="36"/>
          <w:szCs w:val="36"/>
          <w:u w:val="single"/>
          <w:lang w:val="en-US" w:eastAsia="zh-CN"/>
        </w:rPr>
        <w:t xml:space="preserve">   </w:t>
      </w:r>
    </w:p>
    <w:p>
      <w:pPr>
        <w:adjustRightInd w:val="0"/>
        <w:snapToGrid w:val="0"/>
        <w:spacing w:line="360" w:lineRule="auto"/>
        <w:ind w:firstLine="1037"/>
        <w:jc w:val="left"/>
        <w:rPr>
          <w:rFonts w:hint="eastAsia" w:ascii="仿宋_GB2312" w:hAnsi="仿宋_GB2312" w:eastAsia="仿宋_GB2312" w:cs="仿宋_GB2312"/>
          <w:color w:val="auto"/>
          <w:kern w:val="21"/>
          <w:sz w:val="36"/>
          <w:szCs w:val="36"/>
          <w:u w:val="single"/>
        </w:rPr>
      </w:pPr>
      <w:r>
        <w:rPr>
          <w:rFonts w:hint="eastAsia" w:ascii="仿宋_GB2312" w:hAnsi="仿宋_GB2312" w:eastAsia="仿宋_GB2312" w:cs="仿宋_GB2312"/>
          <w:color w:val="auto"/>
          <w:kern w:val="21"/>
          <w:sz w:val="36"/>
          <w:szCs w:val="36"/>
        </w:rPr>
        <w:t xml:space="preserve">    建设单位：</w:t>
      </w:r>
      <w:r>
        <w:rPr>
          <w:rFonts w:hint="eastAsia" w:ascii="仿宋_GB2312" w:hAnsi="仿宋_GB2312" w:eastAsia="仿宋_GB2312" w:cs="仿宋_GB2312"/>
          <w:color w:val="auto"/>
          <w:kern w:val="21"/>
          <w:sz w:val="36"/>
          <w:szCs w:val="36"/>
          <w:u w:val="single"/>
          <w:lang w:eastAsia="zh-CN"/>
        </w:rPr>
        <w:t>西安莲湖麦迪格眼科医院有限公司</w:t>
      </w:r>
      <w:r>
        <w:rPr>
          <w:rFonts w:hint="eastAsia" w:ascii="仿宋_GB2312" w:hAnsi="仿宋_GB2312" w:eastAsia="仿宋_GB2312" w:cs="仿宋_GB2312"/>
          <w:color w:val="auto"/>
          <w:kern w:val="21"/>
          <w:sz w:val="36"/>
          <w:szCs w:val="36"/>
          <w:u w:val="single"/>
        </w:rPr>
        <w:t xml:space="preserve">   </w:t>
      </w:r>
    </w:p>
    <w:p>
      <w:pPr>
        <w:adjustRightInd w:val="0"/>
        <w:snapToGrid w:val="0"/>
        <w:spacing w:line="360" w:lineRule="auto"/>
        <w:ind w:firstLine="1037"/>
        <w:jc w:val="left"/>
        <w:rPr>
          <w:rFonts w:hint="eastAsia" w:ascii="仿宋_GB2312" w:hAnsi="仿宋_GB2312" w:eastAsia="仿宋_GB2312" w:cs="仿宋_GB2312"/>
          <w:color w:val="auto"/>
          <w:kern w:val="21"/>
          <w:sz w:val="36"/>
          <w:szCs w:val="36"/>
          <w:u w:val="single"/>
        </w:rPr>
      </w:pPr>
      <w:r>
        <w:rPr>
          <w:rFonts w:hint="eastAsia" w:ascii="仿宋_GB2312" w:hAnsi="仿宋_GB2312" w:eastAsia="仿宋_GB2312" w:cs="仿宋_GB2312"/>
          <w:color w:val="auto"/>
          <w:kern w:val="21"/>
          <w:sz w:val="36"/>
          <w:szCs w:val="36"/>
        </w:rPr>
        <w:t xml:space="preserve">    编制日期：</w:t>
      </w:r>
      <w:r>
        <w:rPr>
          <w:rFonts w:hint="eastAsia" w:ascii="仿宋_GB2312" w:hAnsi="仿宋_GB2312" w:eastAsia="仿宋_GB2312" w:cs="仿宋_GB2312"/>
          <w:color w:val="auto"/>
          <w:kern w:val="21"/>
          <w:sz w:val="36"/>
          <w:szCs w:val="36"/>
          <w:u w:val="single"/>
        </w:rPr>
        <w:t xml:space="preserve">     </w:t>
      </w:r>
      <w:r>
        <w:rPr>
          <w:rFonts w:hint="eastAsia" w:ascii="仿宋_GB2312" w:hAnsi="仿宋_GB2312" w:eastAsia="仿宋_GB2312" w:cs="仿宋_GB2312"/>
          <w:color w:val="auto"/>
          <w:kern w:val="21"/>
          <w:sz w:val="36"/>
          <w:szCs w:val="36"/>
          <w:u w:val="single"/>
          <w:lang w:val="en-US" w:eastAsia="zh-CN"/>
        </w:rPr>
        <w:t xml:space="preserve"> </w:t>
      </w:r>
      <w:r>
        <w:rPr>
          <w:rFonts w:hint="eastAsia" w:ascii="仿宋_GB2312" w:hAnsi="仿宋_GB2312" w:eastAsia="仿宋_GB2312" w:cs="仿宋_GB2312"/>
          <w:color w:val="auto"/>
          <w:kern w:val="21"/>
          <w:sz w:val="36"/>
          <w:szCs w:val="36"/>
          <w:u w:val="single"/>
        </w:rPr>
        <w:t xml:space="preserve"> 二〇二</w:t>
      </w:r>
      <w:r>
        <w:rPr>
          <w:rFonts w:hint="eastAsia" w:ascii="仿宋_GB2312" w:hAnsi="仿宋_GB2312" w:eastAsia="仿宋_GB2312" w:cs="仿宋_GB2312"/>
          <w:color w:val="auto"/>
          <w:kern w:val="21"/>
          <w:sz w:val="36"/>
          <w:szCs w:val="36"/>
          <w:u w:val="single"/>
          <w:lang w:eastAsia="zh-CN"/>
        </w:rPr>
        <w:t>四</w:t>
      </w:r>
      <w:r>
        <w:rPr>
          <w:rFonts w:hint="eastAsia" w:ascii="仿宋_GB2312" w:hAnsi="仿宋_GB2312" w:eastAsia="仿宋_GB2312" w:cs="仿宋_GB2312"/>
          <w:color w:val="auto"/>
          <w:kern w:val="21"/>
          <w:sz w:val="36"/>
          <w:szCs w:val="36"/>
          <w:u w:val="single"/>
        </w:rPr>
        <w:t>年</w:t>
      </w:r>
      <w:r>
        <w:rPr>
          <w:rFonts w:hint="eastAsia" w:ascii="仿宋_GB2312" w:hAnsi="仿宋_GB2312" w:eastAsia="仿宋_GB2312" w:cs="仿宋_GB2312"/>
          <w:color w:val="auto"/>
          <w:kern w:val="21"/>
          <w:sz w:val="36"/>
          <w:szCs w:val="36"/>
          <w:u w:val="single"/>
          <w:lang w:eastAsia="zh-CN"/>
        </w:rPr>
        <w:t>六</w:t>
      </w:r>
      <w:r>
        <w:rPr>
          <w:rFonts w:hint="eastAsia" w:ascii="仿宋_GB2312" w:hAnsi="仿宋_GB2312" w:eastAsia="仿宋_GB2312" w:cs="仿宋_GB2312"/>
          <w:color w:val="auto"/>
          <w:kern w:val="21"/>
          <w:sz w:val="36"/>
          <w:szCs w:val="36"/>
          <w:u w:val="single"/>
        </w:rPr>
        <w:t xml:space="preserve">月  </w:t>
      </w:r>
      <w:r>
        <w:rPr>
          <w:rFonts w:hint="eastAsia" w:ascii="仿宋_GB2312" w:hAnsi="仿宋_GB2312" w:eastAsia="仿宋_GB2312" w:cs="仿宋_GB2312"/>
          <w:color w:val="auto"/>
          <w:kern w:val="21"/>
          <w:sz w:val="36"/>
          <w:szCs w:val="36"/>
          <w:u w:val="single"/>
          <w:lang w:val="en-US" w:eastAsia="zh-CN"/>
        </w:rPr>
        <w:t xml:space="preserve">    </w:t>
      </w:r>
      <w:r>
        <w:rPr>
          <w:rFonts w:hint="eastAsia" w:ascii="仿宋_GB2312" w:hAnsi="仿宋_GB2312" w:eastAsia="仿宋_GB2312" w:cs="仿宋_GB2312"/>
          <w:color w:val="auto"/>
          <w:kern w:val="21"/>
          <w:sz w:val="36"/>
          <w:szCs w:val="36"/>
          <w:u w:val="single"/>
        </w:rPr>
        <w:t xml:space="preserve">    </w:t>
      </w:r>
    </w:p>
    <w:p>
      <w:pPr>
        <w:adjustRightInd w:val="0"/>
        <w:snapToGrid w:val="0"/>
        <w:spacing w:line="288" w:lineRule="auto"/>
        <w:ind w:firstLine="1040"/>
        <w:rPr>
          <w:color w:val="auto"/>
          <w:kern w:val="21"/>
          <w:sz w:val="36"/>
          <w:szCs w:val="36"/>
          <w:u w:val="single"/>
        </w:rPr>
      </w:pPr>
      <w:bookmarkStart w:id="0" w:name="_Hlk57884087"/>
    </w:p>
    <w:p>
      <w:pPr>
        <w:adjustRightInd w:val="0"/>
        <w:snapToGrid w:val="0"/>
        <w:spacing w:line="288" w:lineRule="auto"/>
        <w:ind w:firstLine="1040"/>
        <w:rPr>
          <w:color w:val="auto"/>
          <w:kern w:val="21"/>
          <w:sz w:val="36"/>
          <w:szCs w:val="36"/>
        </w:rPr>
      </w:pPr>
    </w:p>
    <w:p>
      <w:pPr>
        <w:adjustRightInd w:val="0"/>
        <w:snapToGrid w:val="0"/>
        <w:spacing w:line="288" w:lineRule="auto"/>
        <w:ind w:firstLine="1040"/>
        <w:rPr>
          <w:color w:val="auto"/>
          <w:kern w:val="21"/>
          <w:sz w:val="36"/>
          <w:szCs w:val="36"/>
        </w:rPr>
      </w:pPr>
    </w:p>
    <w:p>
      <w:pPr>
        <w:adjustRightInd w:val="0"/>
        <w:snapToGrid w:val="0"/>
        <w:spacing w:line="288" w:lineRule="auto"/>
        <w:ind w:firstLine="1040"/>
        <w:rPr>
          <w:color w:val="auto"/>
          <w:kern w:val="21"/>
          <w:sz w:val="36"/>
          <w:szCs w:val="36"/>
        </w:rPr>
      </w:pPr>
    </w:p>
    <w:bookmarkEnd w:id="0"/>
    <w:p>
      <w:pPr>
        <w:adjustRightInd w:val="0"/>
        <w:snapToGrid w:val="0"/>
        <w:spacing w:line="288" w:lineRule="auto"/>
        <w:jc w:val="center"/>
        <w:rPr>
          <w:rFonts w:hint="eastAsia" w:ascii="华文楷体" w:hAnsi="华文楷体" w:eastAsia="华文楷体" w:cs="华文楷体"/>
          <w:color w:val="auto"/>
          <w:kern w:val="21"/>
          <w:sz w:val="36"/>
          <w:szCs w:val="36"/>
        </w:rPr>
      </w:pPr>
      <w:r>
        <w:rPr>
          <w:rFonts w:hint="eastAsia" w:ascii="华文楷体" w:hAnsi="华文楷体" w:eastAsia="华文楷体" w:cs="华文楷体"/>
          <w:color w:val="auto"/>
          <w:kern w:val="21"/>
          <w:sz w:val="36"/>
          <w:szCs w:val="36"/>
        </w:rPr>
        <w:t>中华人民共和国生态环境部制</w:t>
      </w:r>
    </w:p>
    <w:p>
      <w:pPr>
        <w:adjustRightInd w:val="0"/>
        <w:snapToGrid w:val="0"/>
        <w:spacing w:line="288" w:lineRule="auto"/>
        <w:ind w:firstLine="1040"/>
        <w:rPr>
          <w:color w:val="auto"/>
          <w:kern w:val="21"/>
          <w:sz w:val="36"/>
          <w:szCs w:val="36"/>
        </w:rPr>
        <w:sectPr>
          <w:footerReference r:id="rId3" w:type="default"/>
          <w:footerReference r:id="rId4" w:type="even"/>
          <w:pgSz w:w="11906" w:h="16838"/>
          <w:pgMar w:top="1440" w:right="1080" w:bottom="1440" w:left="1080" w:header="851" w:footer="1077" w:gutter="0"/>
          <w:pgNumType w:fmt="decimal" w:start="3"/>
          <w:cols w:space="720" w:num="1"/>
          <w:docGrid w:linePitch="312" w:charSpace="0"/>
        </w:sectPr>
      </w:pPr>
    </w:p>
    <w:p>
      <w:pPr>
        <w:pStyle w:val="10"/>
        <w:keepNext w:val="0"/>
        <w:keepLines w:val="0"/>
        <w:pageBreakBefore w:val="0"/>
        <w:kinsoku/>
        <w:wordWrap/>
        <w:overflowPunct/>
        <w:topLinePunct w:val="0"/>
        <w:autoSpaceDE/>
        <w:autoSpaceDN/>
        <w:bidi w:val="0"/>
        <w:adjustRightInd/>
        <w:snapToGrid/>
        <w:spacing w:after="0" w:line="360" w:lineRule="auto"/>
        <w:ind w:left="0" w:leftChars="0"/>
        <w:jc w:val="left"/>
        <w:textAlignment w:val="auto"/>
        <w:rPr>
          <w:rFonts w:hint="default" w:ascii="Times New Roman" w:hAnsi="Times New Roman" w:cs="Times New Roman"/>
          <w:b/>
          <w:bCs/>
          <w:color w:val="auto"/>
          <w:sz w:val="24"/>
          <w:szCs w:val="24"/>
          <w:lang w:eastAsia="zh-CN"/>
        </w:rPr>
      </w:pPr>
      <w:r>
        <w:rPr>
          <w:rFonts w:hint="default" w:ascii="Times New Roman" w:hAnsi="Times New Roman" w:cs="Times New Roman"/>
          <w:b/>
          <w:bCs/>
          <w:color w:val="auto"/>
          <w:sz w:val="24"/>
          <w:szCs w:val="24"/>
          <w:lang w:eastAsia="zh-CN"/>
        </w:rPr>
        <w:t>附图附件</w:t>
      </w:r>
    </w:p>
    <w:p>
      <w:pPr>
        <w:pStyle w:val="11"/>
        <w:keepNext w:val="0"/>
        <w:keepLines w:val="0"/>
        <w:pageBreakBefore w:val="0"/>
        <w:kinsoku/>
        <w:wordWrap/>
        <w:overflowPunct/>
        <w:topLinePunct w:val="0"/>
        <w:autoSpaceDE/>
        <w:autoSpaceDN/>
        <w:bidi w:val="0"/>
        <w:adjustRightInd/>
        <w:snapToGrid/>
        <w:spacing w:line="360" w:lineRule="auto"/>
        <w:ind w:left="0" w:leftChars="0"/>
        <w:jc w:val="left"/>
        <w:textAlignment w:val="auto"/>
        <w:rPr>
          <w:rFonts w:hint="default" w:ascii="Times New Roman" w:hAnsi="Times New Roman" w:cs="Times New Roman"/>
          <w:color w:val="auto"/>
          <w:sz w:val="24"/>
          <w:szCs w:val="24"/>
          <w:lang w:eastAsia="zh-CN"/>
        </w:rPr>
      </w:pPr>
    </w:p>
    <w:p>
      <w:pPr>
        <w:pStyle w:val="12"/>
        <w:keepNext w:val="0"/>
        <w:keepLines w:val="0"/>
        <w:pageBreakBefore w:val="0"/>
        <w:kinsoku/>
        <w:wordWrap/>
        <w:overflowPunct/>
        <w:topLinePunct w:val="0"/>
        <w:autoSpaceDE/>
        <w:autoSpaceDN/>
        <w:bidi w:val="0"/>
        <w:adjustRightInd/>
        <w:snapToGrid/>
        <w:spacing w:line="360" w:lineRule="auto"/>
        <w:ind w:left="0" w:leftChars="0"/>
        <w:jc w:val="left"/>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eastAsia="zh-CN"/>
        </w:rPr>
        <w:t>附图</w:t>
      </w:r>
      <w:r>
        <w:rPr>
          <w:rFonts w:hint="default" w:ascii="Times New Roman" w:hAnsi="Times New Roman" w:cs="Times New Roman"/>
          <w:color w:val="auto"/>
          <w:sz w:val="24"/>
          <w:szCs w:val="24"/>
          <w:lang w:val="en-US" w:eastAsia="zh-CN"/>
        </w:rPr>
        <w:t>1  项目地理位置图</w:t>
      </w:r>
    </w:p>
    <w:p>
      <w:pPr>
        <w:pStyle w:val="10"/>
        <w:keepNext w:val="0"/>
        <w:keepLines w:val="0"/>
        <w:pageBreakBefore w:val="0"/>
        <w:kinsoku/>
        <w:wordWrap/>
        <w:overflowPunct/>
        <w:topLinePunct w:val="0"/>
        <w:autoSpaceDE/>
        <w:autoSpaceDN/>
        <w:bidi w:val="0"/>
        <w:adjustRightInd/>
        <w:snapToGrid/>
        <w:spacing w:after="0" w:line="360" w:lineRule="auto"/>
        <w:ind w:left="0" w:leftChars="0"/>
        <w:jc w:val="left"/>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附图2  四邻关系图</w:t>
      </w:r>
    </w:p>
    <w:p>
      <w:pPr>
        <w:pStyle w:val="10"/>
        <w:keepNext w:val="0"/>
        <w:keepLines w:val="0"/>
        <w:pageBreakBefore w:val="0"/>
        <w:kinsoku/>
        <w:wordWrap/>
        <w:overflowPunct/>
        <w:topLinePunct w:val="0"/>
        <w:autoSpaceDE/>
        <w:autoSpaceDN/>
        <w:bidi w:val="0"/>
        <w:adjustRightInd/>
        <w:snapToGrid/>
        <w:spacing w:after="0" w:line="360" w:lineRule="auto"/>
        <w:ind w:left="0" w:leftChars="0"/>
        <w:jc w:val="left"/>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附图</w:t>
      </w:r>
      <w:r>
        <w:rPr>
          <w:rFonts w:hint="eastAsia"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lang w:val="en-US" w:eastAsia="zh-CN"/>
        </w:rPr>
        <w:t xml:space="preserve">  平面布置图</w:t>
      </w:r>
    </w:p>
    <w:p>
      <w:pPr>
        <w:pStyle w:val="12"/>
        <w:keepNext w:val="0"/>
        <w:keepLines w:val="0"/>
        <w:pageBreakBefore w:val="0"/>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lang w:val="en-US" w:eastAsia="zh-CN"/>
        </w:rPr>
        <w:t>.1  一层平面布置图</w:t>
      </w:r>
    </w:p>
    <w:p>
      <w:pPr>
        <w:pStyle w:val="10"/>
        <w:keepNext w:val="0"/>
        <w:keepLines w:val="0"/>
        <w:pageBreakBefore w:val="0"/>
        <w:kinsoku/>
        <w:wordWrap/>
        <w:overflowPunct/>
        <w:topLinePunct w:val="0"/>
        <w:autoSpaceDE/>
        <w:autoSpaceDN/>
        <w:bidi w:val="0"/>
        <w:adjustRightInd/>
        <w:snapToGrid/>
        <w:spacing w:after="0" w:line="360" w:lineRule="auto"/>
        <w:ind w:left="0" w:leftChars="0" w:firstLine="480" w:firstLineChars="200"/>
        <w:jc w:val="left"/>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lang w:val="en-US" w:eastAsia="zh-CN"/>
        </w:rPr>
        <w:t>.2  二层平面布置图</w:t>
      </w:r>
    </w:p>
    <w:p>
      <w:pPr>
        <w:pStyle w:val="12"/>
        <w:keepNext w:val="0"/>
        <w:keepLines w:val="0"/>
        <w:pageBreakBefore w:val="0"/>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lang w:val="en-US" w:eastAsia="zh-CN"/>
        </w:rPr>
        <w:t>.3  三层平面布置图</w:t>
      </w:r>
    </w:p>
    <w:p>
      <w:pPr>
        <w:pStyle w:val="10"/>
        <w:keepNext w:val="0"/>
        <w:keepLines w:val="0"/>
        <w:pageBreakBefore w:val="0"/>
        <w:kinsoku/>
        <w:wordWrap/>
        <w:overflowPunct/>
        <w:topLinePunct w:val="0"/>
        <w:autoSpaceDE/>
        <w:autoSpaceDN/>
        <w:bidi w:val="0"/>
        <w:adjustRightInd/>
        <w:snapToGrid/>
        <w:spacing w:after="0" w:line="360" w:lineRule="auto"/>
        <w:ind w:left="0" w:leftChars="0" w:firstLine="480" w:firstLineChars="200"/>
        <w:jc w:val="left"/>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lang w:val="en-US" w:eastAsia="zh-CN"/>
        </w:rPr>
        <w:t>.4  四层平面布置图</w:t>
      </w:r>
    </w:p>
    <w:p>
      <w:pPr>
        <w:pStyle w:val="12"/>
        <w:keepNext w:val="0"/>
        <w:keepLines w:val="0"/>
        <w:pageBreakBefore w:val="0"/>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lang w:val="en-US" w:eastAsia="zh-CN"/>
        </w:rPr>
        <w:t>.5  污水处理站平面布置图</w:t>
      </w:r>
    </w:p>
    <w:p>
      <w:pPr>
        <w:pStyle w:val="12"/>
        <w:keepNext w:val="0"/>
        <w:keepLines w:val="0"/>
        <w:pageBreakBefore w:val="0"/>
        <w:kinsoku/>
        <w:wordWrap/>
        <w:overflowPunct/>
        <w:topLinePunct w:val="0"/>
        <w:autoSpaceDE/>
        <w:autoSpaceDN/>
        <w:bidi w:val="0"/>
        <w:adjustRightInd/>
        <w:snapToGrid/>
        <w:spacing w:line="360" w:lineRule="auto"/>
        <w:ind w:left="0" w:leftChars="0"/>
        <w:jc w:val="left"/>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附图4  敏感目标图</w:t>
      </w:r>
    </w:p>
    <w:p>
      <w:pPr>
        <w:pStyle w:val="10"/>
        <w:keepNext w:val="0"/>
        <w:keepLines w:val="0"/>
        <w:pageBreakBefore w:val="0"/>
        <w:kinsoku/>
        <w:wordWrap/>
        <w:overflowPunct/>
        <w:topLinePunct w:val="0"/>
        <w:autoSpaceDE/>
        <w:autoSpaceDN/>
        <w:bidi w:val="0"/>
        <w:adjustRightInd/>
        <w:snapToGrid/>
        <w:spacing w:after="0" w:line="360" w:lineRule="auto"/>
        <w:ind w:left="0" w:leftChars="0"/>
        <w:jc w:val="left"/>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附图5  监测点位图</w:t>
      </w:r>
    </w:p>
    <w:p>
      <w:pPr>
        <w:rPr>
          <w:rFonts w:hint="default" w:ascii="Times New Roman" w:hAnsi="Times New Roman" w:cs="Times New Roman"/>
          <w:b w:val="0"/>
          <w:bCs w:val="0"/>
          <w:color w:val="auto"/>
          <w:sz w:val="24"/>
          <w:szCs w:val="24"/>
          <w:lang w:val="en-US" w:eastAsia="zh-CN"/>
        </w:rPr>
      </w:pPr>
    </w:p>
    <w:p>
      <w:pPr>
        <w:pStyle w:val="10"/>
        <w:rPr>
          <w:rFonts w:hint="default" w:ascii="Times New Roman" w:hAnsi="Times New Roman" w:cs="Times New Roman"/>
          <w:b w:val="0"/>
          <w:bCs w:val="0"/>
          <w:color w:val="auto"/>
          <w:sz w:val="24"/>
          <w:szCs w:val="24"/>
          <w:lang w:val="en-US" w:eastAsia="zh-CN"/>
        </w:rPr>
      </w:pPr>
    </w:p>
    <w:p>
      <w:pPr>
        <w:pStyle w:val="11"/>
        <w:keepNext w:val="0"/>
        <w:keepLines w:val="0"/>
        <w:pageBreakBefore w:val="0"/>
        <w:kinsoku/>
        <w:wordWrap/>
        <w:overflowPunct/>
        <w:topLinePunct w:val="0"/>
        <w:autoSpaceDE/>
        <w:autoSpaceDN/>
        <w:bidi w:val="0"/>
        <w:adjustRightInd/>
        <w:snapToGrid/>
        <w:spacing w:line="360" w:lineRule="auto"/>
        <w:ind w:left="0" w:leftChars="0"/>
        <w:jc w:val="left"/>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附件一  委托书</w:t>
      </w:r>
    </w:p>
    <w:p>
      <w:pPr>
        <w:keepNext w:val="0"/>
        <w:keepLines w:val="0"/>
        <w:pageBreakBefore w:val="0"/>
        <w:kinsoku/>
        <w:wordWrap/>
        <w:overflowPunct/>
        <w:topLinePunct w:val="0"/>
        <w:autoSpaceDE/>
        <w:autoSpaceDN/>
        <w:bidi w:val="0"/>
        <w:adjustRightInd/>
        <w:snapToGrid/>
        <w:spacing w:line="360" w:lineRule="auto"/>
        <w:ind w:left="0" w:leftChars="0"/>
        <w:jc w:val="left"/>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附件二  备案文件</w:t>
      </w:r>
    </w:p>
    <w:p>
      <w:pPr>
        <w:pStyle w:val="11"/>
        <w:keepNext w:val="0"/>
        <w:keepLines w:val="0"/>
        <w:pageBreakBefore w:val="0"/>
        <w:kinsoku/>
        <w:wordWrap/>
        <w:overflowPunct/>
        <w:topLinePunct w:val="0"/>
        <w:autoSpaceDE/>
        <w:autoSpaceDN/>
        <w:bidi w:val="0"/>
        <w:adjustRightInd/>
        <w:snapToGrid/>
        <w:spacing w:line="360" w:lineRule="auto"/>
        <w:ind w:left="0" w:leftChars="0"/>
        <w:jc w:val="left"/>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附件三  租赁协议</w:t>
      </w:r>
    </w:p>
    <w:p>
      <w:pPr>
        <w:keepNext w:val="0"/>
        <w:keepLines w:val="0"/>
        <w:pageBreakBefore w:val="0"/>
        <w:kinsoku/>
        <w:wordWrap/>
        <w:overflowPunct/>
        <w:topLinePunct w:val="0"/>
        <w:autoSpaceDE/>
        <w:autoSpaceDN/>
        <w:bidi w:val="0"/>
        <w:adjustRightInd/>
        <w:snapToGrid/>
        <w:spacing w:line="360" w:lineRule="auto"/>
        <w:ind w:left="0" w:leftChars="0"/>
        <w:jc w:val="left"/>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附件四  监测报告</w:t>
      </w:r>
    </w:p>
    <w:p>
      <w:pPr>
        <w:keepNext w:val="0"/>
        <w:keepLines w:val="0"/>
        <w:pageBreakBefore w:val="0"/>
        <w:kinsoku/>
        <w:wordWrap/>
        <w:overflowPunct/>
        <w:topLinePunct w:val="0"/>
        <w:autoSpaceDE/>
        <w:autoSpaceDN/>
        <w:bidi w:val="0"/>
        <w:adjustRightInd/>
        <w:snapToGrid/>
        <w:spacing w:line="360" w:lineRule="auto"/>
        <w:ind w:left="0" w:leftChars="0"/>
        <w:jc w:val="left"/>
        <w:textAlignment w:val="auto"/>
        <w:rPr>
          <w:rFonts w:hint="default" w:ascii="Times New Roman" w:hAnsi="Times New Roman" w:cs="Times New Roman"/>
          <w:b w:val="0"/>
          <w:bCs w:val="0"/>
          <w:color w:val="auto"/>
          <w:sz w:val="24"/>
          <w:szCs w:val="24"/>
          <w:lang w:val="en-US" w:eastAsia="zh-CN"/>
        </w:rPr>
        <w:sectPr>
          <w:pgSz w:w="11906" w:h="16838"/>
          <w:pgMar w:top="1440" w:right="1080" w:bottom="1440" w:left="1080" w:header="851" w:footer="1077" w:gutter="0"/>
          <w:pgNumType w:fmt="decimal" w:start="3"/>
          <w:cols w:space="720" w:num="1"/>
          <w:docGrid w:linePitch="312" w:charSpace="0"/>
        </w:sectPr>
      </w:pPr>
      <w:r>
        <w:rPr>
          <w:rFonts w:hint="eastAsia" w:cs="Times New Roman"/>
          <w:b w:val="0"/>
          <w:bCs w:val="0"/>
          <w:color w:val="auto"/>
          <w:sz w:val="24"/>
          <w:szCs w:val="24"/>
          <w:lang w:val="en-US" w:eastAsia="zh-CN"/>
        </w:rPr>
        <w:t>附件五  项目与陕西省“三线一单”生态环境管控单元对照分析报告</w:t>
      </w:r>
    </w:p>
    <w:p>
      <w:pPr>
        <w:pStyle w:val="23"/>
        <w:adjustRightInd w:val="0"/>
        <w:snapToGrid w:val="0"/>
        <w:jc w:val="center"/>
        <w:outlineLvl w:val="0"/>
        <w:rPr>
          <w:rFonts w:ascii="Times New Roman" w:hAnsi="Times New Roman"/>
          <w:snapToGrid w:val="0"/>
          <w:color w:val="auto"/>
          <w:kern w:val="21"/>
          <w:sz w:val="30"/>
          <w:szCs w:val="30"/>
        </w:rPr>
      </w:pPr>
      <w:r>
        <w:rPr>
          <w:rFonts w:ascii="Times New Roman" w:hAnsi="Times New Roman"/>
          <w:snapToGrid w:val="0"/>
          <w:color w:val="auto"/>
          <w:kern w:val="21"/>
          <w:sz w:val="30"/>
          <w:szCs w:val="30"/>
        </w:rPr>
        <w:t>一、建设项目基本情况</w:t>
      </w:r>
    </w:p>
    <w:tbl>
      <w:tblPr>
        <w:tblStyle w:val="25"/>
        <w:tblW w:w="4984"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432"/>
        <w:gridCol w:w="3114"/>
        <w:gridCol w:w="2295"/>
        <w:gridCol w:w="29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5" w:type="pct"/>
            <w:tcMar>
              <w:top w:w="16" w:type="dxa"/>
              <w:left w:w="16" w:type="dxa"/>
              <w:right w:w="16" w:type="dxa"/>
            </w:tcMar>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rPr>
            </w:pPr>
            <w:r>
              <w:rPr>
                <w:color w:val="auto"/>
                <w:kern w:val="21"/>
                <w:sz w:val="24"/>
                <w:szCs w:val="24"/>
              </w:rPr>
              <w:t>建设项目</w:t>
            </w:r>
          </w:p>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rPr>
            </w:pPr>
            <w:r>
              <w:rPr>
                <w:color w:val="auto"/>
                <w:kern w:val="21"/>
                <w:sz w:val="24"/>
                <w:szCs w:val="24"/>
              </w:rPr>
              <w:t>名称</w:t>
            </w:r>
          </w:p>
        </w:tc>
        <w:tc>
          <w:tcPr>
            <w:tcW w:w="4264" w:type="pct"/>
            <w:gridSpan w:val="3"/>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eastAsia="宋体"/>
                <w:color w:val="auto"/>
                <w:kern w:val="21"/>
                <w:sz w:val="24"/>
                <w:szCs w:val="24"/>
                <w:lang w:eastAsia="zh-CN"/>
              </w:rPr>
            </w:pPr>
            <w:r>
              <w:rPr>
                <w:rFonts w:hint="eastAsia"/>
                <w:color w:val="auto"/>
                <w:kern w:val="21"/>
                <w:sz w:val="24"/>
                <w:szCs w:val="24"/>
                <w:lang w:eastAsia="zh-CN"/>
              </w:rPr>
              <w:t>西安麦迪格眼科医院项目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5" w:type="pct"/>
            <w:tcMar>
              <w:top w:w="16" w:type="dxa"/>
              <w:left w:w="16" w:type="dxa"/>
              <w:right w:w="16" w:type="dxa"/>
            </w:tcMar>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rPr>
            </w:pPr>
            <w:r>
              <w:rPr>
                <w:color w:val="auto"/>
                <w:kern w:val="21"/>
                <w:sz w:val="24"/>
                <w:szCs w:val="24"/>
                <w:highlight w:val="none"/>
              </w:rPr>
              <w:t>项目代码</w:t>
            </w:r>
          </w:p>
        </w:tc>
        <w:tc>
          <w:tcPr>
            <w:tcW w:w="4264" w:type="pct"/>
            <w:gridSpan w:val="3"/>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default" w:eastAsia="宋体"/>
                <w:color w:val="auto"/>
                <w:kern w:val="21"/>
                <w:sz w:val="24"/>
                <w:szCs w:val="24"/>
                <w:lang w:val="en-US" w:eastAsia="zh-CN"/>
              </w:rPr>
            </w:pPr>
            <w:r>
              <w:rPr>
                <w:rFonts w:hint="eastAsia"/>
                <w:color w:val="auto"/>
                <w:kern w:val="21"/>
                <w:sz w:val="24"/>
                <w:szCs w:val="24"/>
                <w:lang w:val="en-US" w:eastAsia="zh-CN"/>
              </w:rPr>
              <w:t>2406-610104-04-05-247877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5" w:type="pct"/>
            <w:tcMar>
              <w:top w:w="16" w:type="dxa"/>
              <w:left w:w="16" w:type="dxa"/>
              <w:right w:w="16" w:type="dxa"/>
            </w:tcMar>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rPr>
            </w:pPr>
            <w:r>
              <w:rPr>
                <w:color w:val="auto"/>
                <w:kern w:val="21"/>
                <w:sz w:val="24"/>
                <w:szCs w:val="24"/>
              </w:rPr>
              <w:t>建设单位</w:t>
            </w:r>
          </w:p>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rPr>
            </w:pPr>
            <w:r>
              <w:rPr>
                <w:color w:val="auto"/>
                <w:kern w:val="21"/>
                <w:sz w:val="24"/>
                <w:szCs w:val="24"/>
              </w:rPr>
              <w:t>联系人</w:t>
            </w:r>
          </w:p>
        </w:tc>
        <w:tc>
          <w:tcPr>
            <w:tcW w:w="1598" w:type="pct"/>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eastAsia="宋体"/>
                <w:color w:val="auto"/>
                <w:kern w:val="21"/>
                <w:sz w:val="24"/>
                <w:szCs w:val="24"/>
                <w:lang w:eastAsia="zh-CN"/>
              </w:rPr>
            </w:pPr>
            <w:r>
              <w:rPr>
                <w:rFonts w:hint="eastAsia"/>
                <w:color w:val="auto"/>
                <w:sz w:val="24"/>
                <w:szCs w:val="24"/>
                <w:lang w:eastAsia="zh-CN"/>
              </w:rPr>
              <w:t>董海景</w:t>
            </w:r>
          </w:p>
        </w:tc>
        <w:tc>
          <w:tcPr>
            <w:tcW w:w="1177" w:type="pct"/>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rPr>
            </w:pPr>
            <w:r>
              <w:rPr>
                <w:color w:val="auto"/>
                <w:kern w:val="21"/>
                <w:sz w:val="24"/>
                <w:szCs w:val="24"/>
              </w:rPr>
              <w:t>联系方式</w:t>
            </w:r>
          </w:p>
        </w:tc>
        <w:tc>
          <w:tcPr>
            <w:tcW w:w="1488" w:type="pct"/>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default" w:eastAsia="宋体"/>
                <w:color w:val="auto"/>
                <w:kern w:val="21"/>
                <w:sz w:val="24"/>
                <w:szCs w:val="24"/>
                <w:lang w:val="en-US" w:eastAsia="zh-CN"/>
              </w:rPr>
            </w:pPr>
            <w:r>
              <w:rPr>
                <w:rFonts w:hint="eastAsia"/>
                <w:color w:val="auto"/>
                <w:sz w:val="24"/>
                <w:szCs w:val="24"/>
              </w:rPr>
              <w:t>15289459256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5" w:type="pct"/>
            <w:tcMar>
              <w:top w:w="16" w:type="dxa"/>
              <w:left w:w="16" w:type="dxa"/>
              <w:right w:w="16" w:type="dxa"/>
            </w:tcMar>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rPr>
            </w:pPr>
            <w:r>
              <w:rPr>
                <w:color w:val="auto"/>
                <w:kern w:val="21"/>
                <w:sz w:val="24"/>
                <w:szCs w:val="24"/>
              </w:rPr>
              <w:t>建设地点</w:t>
            </w:r>
          </w:p>
        </w:tc>
        <w:tc>
          <w:tcPr>
            <w:tcW w:w="4264" w:type="pct"/>
            <w:gridSpan w:val="3"/>
            <w:vAlign w:val="center"/>
          </w:tcPr>
          <w:p>
            <w:pPr>
              <w:keepNext w:val="0"/>
              <w:keepLines w:val="0"/>
              <w:pageBreakBefore w:val="0"/>
              <w:widowControl w:val="0"/>
              <w:kinsoku/>
              <w:wordWrap/>
              <w:overflowPunct/>
              <w:topLinePunct w:val="0"/>
              <w:bidi w:val="0"/>
              <w:adjustRightInd w:val="0"/>
              <w:snapToGrid w:val="0"/>
              <w:spacing w:line="240" w:lineRule="auto"/>
              <w:ind w:firstLine="420"/>
              <w:jc w:val="center"/>
              <w:textAlignment w:val="auto"/>
              <w:rPr>
                <w:rFonts w:hint="default" w:eastAsia="宋体"/>
                <w:color w:val="auto"/>
                <w:kern w:val="21"/>
                <w:sz w:val="24"/>
                <w:szCs w:val="24"/>
                <w:lang w:val="en-US" w:eastAsia="zh-CN"/>
              </w:rPr>
            </w:pPr>
            <w:r>
              <w:rPr>
                <w:rFonts w:hint="eastAsia"/>
                <w:color w:val="auto"/>
                <w:sz w:val="24"/>
                <w:szCs w:val="24"/>
                <w:lang w:eastAsia="zh-CN"/>
              </w:rPr>
              <w:t>陕西省西安市莲湖区环城西路玉祥门盘道东南角</w:t>
            </w:r>
            <w:r>
              <w:rPr>
                <w:rFonts w:hint="eastAsia"/>
                <w:color w:val="auto"/>
                <w:sz w:val="24"/>
                <w:szCs w:val="24"/>
                <w:lang w:val="en-US" w:eastAsia="zh-CN"/>
              </w:rPr>
              <w:t>1幢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5" w:type="pct"/>
            <w:tcMar>
              <w:top w:w="16" w:type="dxa"/>
              <w:left w:w="16" w:type="dxa"/>
              <w:right w:w="16" w:type="dxa"/>
            </w:tcMar>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rPr>
            </w:pPr>
            <w:r>
              <w:rPr>
                <w:color w:val="auto"/>
                <w:kern w:val="21"/>
                <w:sz w:val="24"/>
                <w:szCs w:val="24"/>
              </w:rPr>
              <w:t>地理坐标</w:t>
            </w:r>
          </w:p>
        </w:tc>
        <w:tc>
          <w:tcPr>
            <w:tcW w:w="4264" w:type="pct"/>
            <w:gridSpan w:val="3"/>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rPr>
            </w:pPr>
            <w:r>
              <w:rPr>
                <w:color w:val="auto"/>
                <w:sz w:val="24"/>
                <w:szCs w:val="24"/>
              </w:rPr>
              <w:t>（</w:t>
            </w:r>
            <w:r>
              <w:rPr>
                <w:color w:val="auto"/>
                <w:sz w:val="24"/>
                <w:szCs w:val="24"/>
                <w:u w:val="single"/>
              </w:rPr>
              <w:t xml:space="preserve">  1</w:t>
            </w:r>
            <w:r>
              <w:rPr>
                <w:rFonts w:hint="eastAsia"/>
                <w:color w:val="auto"/>
                <w:sz w:val="24"/>
                <w:szCs w:val="24"/>
                <w:u w:val="single"/>
                <w:lang w:val="en-US" w:eastAsia="zh-CN"/>
              </w:rPr>
              <w:t>08</w:t>
            </w:r>
            <w:r>
              <w:rPr>
                <w:color w:val="auto"/>
                <w:sz w:val="24"/>
                <w:szCs w:val="24"/>
                <w:u w:val="single"/>
              </w:rPr>
              <w:t xml:space="preserve">  </w:t>
            </w:r>
            <w:r>
              <w:rPr>
                <w:color w:val="auto"/>
                <w:sz w:val="24"/>
                <w:szCs w:val="24"/>
              </w:rPr>
              <w:t>度</w:t>
            </w:r>
            <w:r>
              <w:rPr>
                <w:color w:val="auto"/>
                <w:sz w:val="24"/>
                <w:szCs w:val="24"/>
                <w:u w:val="single"/>
              </w:rPr>
              <w:t xml:space="preserve">  </w:t>
            </w:r>
            <w:r>
              <w:rPr>
                <w:rFonts w:hint="eastAsia"/>
                <w:color w:val="auto"/>
                <w:sz w:val="24"/>
                <w:szCs w:val="24"/>
                <w:u w:val="single"/>
                <w:lang w:val="en-US" w:eastAsia="zh-CN"/>
              </w:rPr>
              <w:t>55</w:t>
            </w:r>
            <w:r>
              <w:rPr>
                <w:color w:val="auto"/>
                <w:sz w:val="24"/>
                <w:szCs w:val="24"/>
                <w:u w:val="single"/>
              </w:rPr>
              <w:t xml:space="preserve">  </w:t>
            </w:r>
            <w:r>
              <w:rPr>
                <w:color w:val="auto"/>
                <w:sz w:val="24"/>
                <w:szCs w:val="24"/>
              </w:rPr>
              <w:t>分</w:t>
            </w:r>
            <w:r>
              <w:rPr>
                <w:color w:val="auto"/>
                <w:sz w:val="24"/>
                <w:szCs w:val="24"/>
                <w:u w:val="single"/>
              </w:rPr>
              <w:t xml:space="preserve">  </w:t>
            </w:r>
            <w:r>
              <w:rPr>
                <w:rFonts w:hint="eastAsia"/>
                <w:color w:val="auto"/>
                <w:sz w:val="24"/>
                <w:szCs w:val="24"/>
                <w:u w:val="single"/>
                <w:lang w:val="en-US" w:eastAsia="zh-CN"/>
              </w:rPr>
              <w:t>6.687</w:t>
            </w:r>
            <w:r>
              <w:rPr>
                <w:color w:val="auto"/>
                <w:sz w:val="24"/>
                <w:szCs w:val="24"/>
              </w:rPr>
              <w:t>秒，</w:t>
            </w:r>
            <w:r>
              <w:rPr>
                <w:color w:val="auto"/>
                <w:sz w:val="24"/>
                <w:szCs w:val="24"/>
                <w:u w:val="single"/>
              </w:rPr>
              <w:t xml:space="preserve">  3</w:t>
            </w:r>
            <w:r>
              <w:rPr>
                <w:rFonts w:hint="eastAsia"/>
                <w:color w:val="auto"/>
                <w:sz w:val="24"/>
                <w:szCs w:val="24"/>
                <w:u w:val="single"/>
                <w:lang w:val="en-US" w:eastAsia="zh-CN"/>
              </w:rPr>
              <w:t>4</w:t>
            </w:r>
            <w:r>
              <w:rPr>
                <w:color w:val="auto"/>
                <w:sz w:val="24"/>
                <w:szCs w:val="24"/>
                <w:u w:val="single"/>
              </w:rPr>
              <w:t xml:space="preserve">  </w:t>
            </w:r>
            <w:r>
              <w:rPr>
                <w:color w:val="auto"/>
                <w:sz w:val="24"/>
                <w:szCs w:val="24"/>
              </w:rPr>
              <w:t>度</w:t>
            </w:r>
            <w:r>
              <w:rPr>
                <w:color w:val="auto"/>
                <w:sz w:val="24"/>
                <w:szCs w:val="24"/>
                <w:u w:val="single"/>
              </w:rPr>
              <w:t xml:space="preserve">  </w:t>
            </w:r>
            <w:r>
              <w:rPr>
                <w:rFonts w:hint="eastAsia"/>
                <w:color w:val="auto"/>
                <w:sz w:val="24"/>
                <w:szCs w:val="24"/>
                <w:u w:val="single"/>
                <w:lang w:val="en-US" w:eastAsia="zh-CN"/>
              </w:rPr>
              <w:t>16</w:t>
            </w:r>
            <w:r>
              <w:rPr>
                <w:color w:val="auto"/>
                <w:sz w:val="24"/>
                <w:szCs w:val="24"/>
                <w:u w:val="single"/>
              </w:rPr>
              <w:t xml:space="preserve"> </w:t>
            </w:r>
            <w:r>
              <w:rPr>
                <w:color w:val="auto"/>
                <w:sz w:val="24"/>
                <w:szCs w:val="24"/>
              </w:rPr>
              <w:t>分</w:t>
            </w:r>
            <w:r>
              <w:rPr>
                <w:color w:val="auto"/>
                <w:sz w:val="24"/>
                <w:szCs w:val="24"/>
                <w:u w:val="single"/>
              </w:rPr>
              <w:t xml:space="preserve"> </w:t>
            </w:r>
            <w:r>
              <w:rPr>
                <w:rFonts w:hint="eastAsia"/>
                <w:color w:val="auto"/>
                <w:sz w:val="24"/>
                <w:szCs w:val="24"/>
                <w:u w:val="single"/>
                <w:lang w:val="en-US" w:eastAsia="zh-CN"/>
              </w:rPr>
              <w:t>12.865</w:t>
            </w:r>
            <w:r>
              <w:rPr>
                <w:color w:val="auto"/>
                <w:sz w:val="24"/>
                <w:szCs w:val="24"/>
                <w:u w:val="single"/>
              </w:rPr>
              <w:t xml:space="preserve"> </w:t>
            </w:r>
            <w:r>
              <w:rPr>
                <w:color w:val="auto"/>
                <w:sz w:val="24"/>
                <w:szCs w:val="24"/>
              </w:rPr>
              <w:t>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5" w:type="pct"/>
            <w:tcMar>
              <w:top w:w="16" w:type="dxa"/>
              <w:left w:w="16" w:type="dxa"/>
              <w:right w:w="16" w:type="dxa"/>
            </w:tcMar>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rPr>
            </w:pPr>
            <w:r>
              <w:rPr>
                <w:color w:val="auto"/>
                <w:kern w:val="21"/>
                <w:sz w:val="24"/>
                <w:szCs w:val="24"/>
              </w:rPr>
              <w:t>国民经济</w:t>
            </w:r>
          </w:p>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rPr>
            </w:pPr>
            <w:r>
              <w:rPr>
                <w:color w:val="auto"/>
                <w:kern w:val="21"/>
                <w:sz w:val="24"/>
                <w:szCs w:val="24"/>
              </w:rPr>
              <w:t>行业类别</w:t>
            </w:r>
          </w:p>
        </w:tc>
        <w:tc>
          <w:tcPr>
            <w:tcW w:w="1598" w:type="pct"/>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default" w:eastAsia="宋体"/>
                <w:color w:val="auto"/>
                <w:kern w:val="21"/>
                <w:sz w:val="24"/>
                <w:szCs w:val="24"/>
                <w:lang w:val="en-US" w:eastAsia="zh-CN"/>
              </w:rPr>
            </w:pPr>
            <w:r>
              <w:rPr>
                <w:rFonts w:hint="eastAsia"/>
                <w:color w:val="auto"/>
                <w:kern w:val="21"/>
                <w:sz w:val="24"/>
                <w:szCs w:val="24"/>
                <w:lang w:val="en-US" w:eastAsia="zh-CN"/>
              </w:rPr>
              <w:t>Q8415专科医院</w:t>
            </w:r>
          </w:p>
        </w:tc>
        <w:tc>
          <w:tcPr>
            <w:tcW w:w="1177" w:type="pct"/>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rPr>
            </w:pPr>
            <w:bookmarkStart w:id="1" w:name="_Hlk49843745"/>
            <w:r>
              <w:rPr>
                <w:color w:val="auto"/>
                <w:kern w:val="21"/>
                <w:sz w:val="24"/>
                <w:szCs w:val="24"/>
              </w:rPr>
              <w:t>建设项目</w:t>
            </w:r>
          </w:p>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rPr>
            </w:pPr>
            <w:r>
              <w:rPr>
                <w:color w:val="auto"/>
                <w:kern w:val="21"/>
                <w:sz w:val="24"/>
                <w:szCs w:val="24"/>
              </w:rPr>
              <w:t>行业类别</w:t>
            </w:r>
            <w:bookmarkEnd w:id="1"/>
          </w:p>
        </w:tc>
        <w:tc>
          <w:tcPr>
            <w:tcW w:w="1488" w:type="pct"/>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default" w:eastAsia="宋体"/>
                <w:color w:val="auto"/>
                <w:kern w:val="21"/>
                <w:sz w:val="24"/>
                <w:szCs w:val="24"/>
                <w:lang w:val="en-US" w:eastAsia="zh-CN"/>
              </w:rPr>
            </w:pPr>
            <w:r>
              <w:rPr>
                <w:color w:val="auto"/>
                <w:sz w:val="24"/>
                <w:szCs w:val="24"/>
              </w:rPr>
              <w:t>四十九、卫生84 108专科疾病防治院（所、站）8432中其他（住院床位20张以下的除外）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5" w:type="pct"/>
            <w:tcMar>
              <w:top w:w="16" w:type="dxa"/>
              <w:left w:w="16" w:type="dxa"/>
              <w:right w:w="16" w:type="dxa"/>
            </w:tcMar>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rPr>
            </w:pPr>
            <w:r>
              <w:rPr>
                <w:color w:val="auto"/>
                <w:kern w:val="21"/>
                <w:sz w:val="24"/>
                <w:szCs w:val="24"/>
              </w:rPr>
              <w:t>建设性质</w:t>
            </w:r>
          </w:p>
        </w:tc>
        <w:tc>
          <w:tcPr>
            <w:tcW w:w="1598" w:type="pct"/>
            <w:vAlign w:val="center"/>
          </w:tcPr>
          <w:p>
            <w:pPr>
              <w:keepNext w:val="0"/>
              <w:keepLines w:val="0"/>
              <w:pageBreakBefore w:val="0"/>
              <w:widowControl w:val="0"/>
              <w:kinsoku/>
              <w:wordWrap/>
              <w:overflowPunct/>
              <w:topLinePunct w:val="0"/>
              <w:bidi w:val="0"/>
              <w:adjustRightInd w:val="0"/>
              <w:snapToGrid w:val="0"/>
              <w:spacing w:line="240" w:lineRule="auto"/>
              <w:jc w:val="left"/>
              <w:textAlignment w:val="auto"/>
              <w:rPr>
                <w:color w:val="auto"/>
                <w:kern w:val="21"/>
                <w:sz w:val="24"/>
                <w:szCs w:val="24"/>
              </w:rPr>
            </w:pPr>
            <w:r>
              <w:rPr>
                <w:color w:val="auto"/>
                <w:kern w:val="21"/>
                <w:sz w:val="24"/>
                <w:szCs w:val="24"/>
              </w:rPr>
              <w:sym w:font="Wingdings 2" w:char="0052"/>
            </w:r>
            <w:r>
              <w:rPr>
                <w:color w:val="auto"/>
                <w:kern w:val="21"/>
                <w:sz w:val="24"/>
                <w:szCs w:val="24"/>
              </w:rPr>
              <w:t>新建</w:t>
            </w:r>
          </w:p>
          <w:p>
            <w:pPr>
              <w:keepNext w:val="0"/>
              <w:keepLines w:val="0"/>
              <w:pageBreakBefore w:val="0"/>
              <w:widowControl w:val="0"/>
              <w:kinsoku/>
              <w:wordWrap/>
              <w:overflowPunct/>
              <w:topLinePunct w:val="0"/>
              <w:bidi w:val="0"/>
              <w:adjustRightInd w:val="0"/>
              <w:snapToGrid w:val="0"/>
              <w:spacing w:line="240" w:lineRule="auto"/>
              <w:jc w:val="left"/>
              <w:textAlignment w:val="auto"/>
              <w:rPr>
                <w:color w:val="auto"/>
                <w:kern w:val="21"/>
                <w:sz w:val="24"/>
                <w:szCs w:val="24"/>
              </w:rPr>
            </w:pPr>
            <w:r>
              <w:rPr>
                <w:color w:val="auto"/>
                <w:kern w:val="21"/>
                <w:sz w:val="24"/>
                <w:szCs w:val="24"/>
              </w:rPr>
              <w:sym w:font="Wingdings 2" w:char="00A3"/>
            </w:r>
            <w:r>
              <w:rPr>
                <w:color w:val="auto"/>
                <w:kern w:val="21"/>
                <w:sz w:val="24"/>
                <w:szCs w:val="24"/>
              </w:rPr>
              <w:t>改建</w:t>
            </w:r>
          </w:p>
          <w:p>
            <w:pPr>
              <w:keepNext w:val="0"/>
              <w:keepLines w:val="0"/>
              <w:pageBreakBefore w:val="0"/>
              <w:widowControl w:val="0"/>
              <w:kinsoku/>
              <w:wordWrap/>
              <w:overflowPunct/>
              <w:topLinePunct w:val="0"/>
              <w:bidi w:val="0"/>
              <w:adjustRightInd w:val="0"/>
              <w:snapToGrid w:val="0"/>
              <w:spacing w:line="240" w:lineRule="auto"/>
              <w:jc w:val="left"/>
              <w:textAlignment w:val="auto"/>
              <w:rPr>
                <w:color w:val="auto"/>
                <w:kern w:val="21"/>
                <w:sz w:val="24"/>
                <w:szCs w:val="24"/>
              </w:rPr>
            </w:pPr>
            <w:r>
              <w:rPr>
                <w:color w:val="auto"/>
                <w:kern w:val="21"/>
                <w:sz w:val="24"/>
                <w:szCs w:val="24"/>
              </w:rPr>
              <w:sym w:font="Wingdings 2" w:char="00A3"/>
            </w:r>
            <w:r>
              <w:rPr>
                <w:color w:val="auto"/>
                <w:kern w:val="21"/>
                <w:sz w:val="24"/>
                <w:szCs w:val="24"/>
              </w:rPr>
              <w:t>扩建</w:t>
            </w:r>
          </w:p>
          <w:p>
            <w:pPr>
              <w:keepNext w:val="0"/>
              <w:keepLines w:val="0"/>
              <w:pageBreakBefore w:val="0"/>
              <w:widowControl w:val="0"/>
              <w:kinsoku/>
              <w:wordWrap/>
              <w:overflowPunct/>
              <w:topLinePunct w:val="0"/>
              <w:bidi w:val="0"/>
              <w:adjustRightInd w:val="0"/>
              <w:snapToGrid w:val="0"/>
              <w:spacing w:line="240" w:lineRule="auto"/>
              <w:jc w:val="left"/>
              <w:textAlignment w:val="auto"/>
              <w:rPr>
                <w:color w:val="auto"/>
                <w:kern w:val="21"/>
                <w:sz w:val="24"/>
                <w:szCs w:val="24"/>
              </w:rPr>
            </w:pPr>
            <w:r>
              <w:rPr>
                <w:color w:val="auto"/>
                <w:kern w:val="21"/>
                <w:sz w:val="24"/>
                <w:szCs w:val="24"/>
              </w:rPr>
              <w:sym w:font="Wingdings 2" w:char="00A3"/>
            </w:r>
            <w:r>
              <w:rPr>
                <w:color w:val="auto"/>
                <w:kern w:val="21"/>
                <w:sz w:val="24"/>
                <w:szCs w:val="24"/>
              </w:rPr>
              <w:t>技术改造</w:t>
            </w:r>
          </w:p>
        </w:tc>
        <w:tc>
          <w:tcPr>
            <w:tcW w:w="1177" w:type="pct"/>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rPr>
            </w:pPr>
            <w:r>
              <w:rPr>
                <w:color w:val="auto"/>
                <w:kern w:val="21"/>
                <w:sz w:val="24"/>
                <w:szCs w:val="24"/>
              </w:rPr>
              <w:t>建设项目申报情形</w:t>
            </w:r>
          </w:p>
        </w:tc>
        <w:tc>
          <w:tcPr>
            <w:tcW w:w="1488" w:type="pct"/>
            <w:vAlign w:val="center"/>
          </w:tcPr>
          <w:p>
            <w:pPr>
              <w:keepNext w:val="0"/>
              <w:keepLines w:val="0"/>
              <w:pageBreakBefore w:val="0"/>
              <w:widowControl w:val="0"/>
              <w:kinsoku/>
              <w:wordWrap/>
              <w:overflowPunct/>
              <w:topLinePunct w:val="0"/>
              <w:bidi w:val="0"/>
              <w:adjustRightInd w:val="0"/>
              <w:snapToGrid w:val="0"/>
              <w:spacing w:line="240" w:lineRule="auto"/>
              <w:jc w:val="left"/>
              <w:textAlignment w:val="auto"/>
              <w:rPr>
                <w:color w:val="auto"/>
                <w:kern w:val="21"/>
                <w:sz w:val="24"/>
                <w:szCs w:val="24"/>
              </w:rPr>
            </w:pPr>
            <w:r>
              <w:rPr>
                <w:color w:val="auto"/>
                <w:kern w:val="21"/>
                <w:sz w:val="24"/>
                <w:szCs w:val="24"/>
              </w:rPr>
              <w:sym w:font="Wingdings 2" w:char="0052"/>
            </w:r>
            <w:r>
              <w:rPr>
                <w:color w:val="auto"/>
                <w:kern w:val="21"/>
                <w:sz w:val="24"/>
                <w:szCs w:val="24"/>
              </w:rPr>
              <w:t>首次申报项目</w:t>
            </w:r>
          </w:p>
          <w:p>
            <w:pPr>
              <w:keepNext w:val="0"/>
              <w:keepLines w:val="0"/>
              <w:pageBreakBefore w:val="0"/>
              <w:widowControl w:val="0"/>
              <w:kinsoku/>
              <w:wordWrap/>
              <w:overflowPunct/>
              <w:topLinePunct w:val="0"/>
              <w:bidi w:val="0"/>
              <w:adjustRightInd w:val="0"/>
              <w:snapToGrid w:val="0"/>
              <w:spacing w:line="240" w:lineRule="auto"/>
              <w:jc w:val="left"/>
              <w:textAlignment w:val="auto"/>
              <w:rPr>
                <w:color w:val="auto"/>
                <w:kern w:val="21"/>
                <w:sz w:val="24"/>
                <w:szCs w:val="24"/>
              </w:rPr>
            </w:pPr>
            <w:r>
              <w:rPr>
                <w:color w:val="auto"/>
                <w:kern w:val="21"/>
                <w:sz w:val="24"/>
                <w:szCs w:val="24"/>
              </w:rPr>
              <w:sym w:font="Wingdings 2" w:char="00A3"/>
            </w:r>
            <w:r>
              <w:rPr>
                <w:color w:val="auto"/>
                <w:kern w:val="21"/>
                <w:sz w:val="24"/>
                <w:szCs w:val="24"/>
              </w:rPr>
              <w:t>不予批准后再次申报项目</w:t>
            </w:r>
          </w:p>
          <w:p>
            <w:pPr>
              <w:keepNext w:val="0"/>
              <w:keepLines w:val="0"/>
              <w:pageBreakBefore w:val="0"/>
              <w:widowControl w:val="0"/>
              <w:kinsoku/>
              <w:wordWrap/>
              <w:overflowPunct/>
              <w:topLinePunct w:val="0"/>
              <w:bidi w:val="0"/>
              <w:adjustRightInd w:val="0"/>
              <w:snapToGrid w:val="0"/>
              <w:spacing w:line="240" w:lineRule="auto"/>
              <w:jc w:val="left"/>
              <w:textAlignment w:val="auto"/>
              <w:rPr>
                <w:color w:val="auto"/>
                <w:kern w:val="21"/>
                <w:sz w:val="24"/>
                <w:szCs w:val="24"/>
              </w:rPr>
            </w:pPr>
            <w:r>
              <w:rPr>
                <w:color w:val="auto"/>
                <w:kern w:val="21"/>
                <w:sz w:val="24"/>
                <w:szCs w:val="24"/>
              </w:rPr>
              <w:sym w:font="Wingdings 2" w:char="00A3"/>
            </w:r>
            <w:r>
              <w:rPr>
                <w:color w:val="auto"/>
                <w:kern w:val="21"/>
                <w:sz w:val="24"/>
                <w:szCs w:val="24"/>
              </w:rPr>
              <w:t>超五年重新审核项目</w:t>
            </w:r>
          </w:p>
          <w:p>
            <w:pPr>
              <w:keepNext w:val="0"/>
              <w:keepLines w:val="0"/>
              <w:pageBreakBefore w:val="0"/>
              <w:widowControl w:val="0"/>
              <w:kinsoku/>
              <w:wordWrap/>
              <w:overflowPunct/>
              <w:topLinePunct w:val="0"/>
              <w:bidi w:val="0"/>
              <w:adjustRightInd w:val="0"/>
              <w:snapToGrid w:val="0"/>
              <w:spacing w:line="240" w:lineRule="auto"/>
              <w:jc w:val="left"/>
              <w:textAlignment w:val="auto"/>
              <w:rPr>
                <w:color w:val="auto"/>
                <w:kern w:val="21"/>
                <w:sz w:val="24"/>
                <w:szCs w:val="24"/>
              </w:rPr>
            </w:pPr>
            <w:r>
              <w:rPr>
                <w:color w:val="auto"/>
                <w:kern w:val="21"/>
                <w:sz w:val="24"/>
                <w:szCs w:val="24"/>
              </w:rPr>
              <w:sym w:font="Wingdings 2" w:char="00A3"/>
            </w:r>
            <w:r>
              <w:rPr>
                <w:color w:val="auto"/>
                <w:kern w:val="21"/>
                <w:sz w:val="24"/>
                <w:szCs w:val="24"/>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5" w:type="pct"/>
            <w:tcMar>
              <w:top w:w="16" w:type="dxa"/>
              <w:left w:w="16" w:type="dxa"/>
              <w:right w:w="16" w:type="dxa"/>
            </w:tcMar>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highlight w:val="none"/>
              </w:rPr>
            </w:pPr>
            <w:r>
              <w:rPr>
                <w:color w:val="auto"/>
                <w:kern w:val="21"/>
                <w:sz w:val="24"/>
                <w:szCs w:val="24"/>
                <w:highlight w:val="none"/>
              </w:rPr>
              <w:t>项目审批（核准/备案）部门</w:t>
            </w:r>
          </w:p>
        </w:tc>
        <w:tc>
          <w:tcPr>
            <w:tcW w:w="1598" w:type="pct"/>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eastAsia="宋体"/>
                <w:color w:val="auto"/>
                <w:kern w:val="21"/>
                <w:sz w:val="24"/>
                <w:szCs w:val="24"/>
                <w:highlight w:val="none"/>
                <w:lang w:eastAsia="zh-CN"/>
              </w:rPr>
            </w:pPr>
            <w:r>
              <w:rPr>
                <w:rFonts w:hint="eastAsia"/>
                <w:color w:val="auto"/>
                <w:kern w:val="21"/>
                <w:sz w:val="24"/>
                <w:szCs w:val="24"/>
                <w:highlight w:val="none"/>
                <w:lang w:val="en-US" w:eastAsia="zh-CN"/>
              </w:rPr>
              <w:t>西安市莲湖区行政审批局</w:t>
            </w:r>
          </w:p>
        </w:tc>
        <w:tc>
          <w:tcPr>
            <w:tcW w:w="1177" w:type="pct"/>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highlight w:val="none"/>
              </w:rPr>
            </w:pPr>
            <w:r>
              <w:rPr>
                <w:color w:val="auto"/>
                <w:kern w:val="21"/>
                <w:sz w:val="24"/>
                <w:szCs w:val="24"/>
                <w:highlight w:val="none"/>
              </w:rPr>
              <w:t>项目审批（核准/</w:t>
            </w:r>
          </w:p>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highlight w:val="none"/>
              </w:rPr>
            </w:pPr>
            <w:r>
              <w:rPr>
                <w:color w:val="auto"/>
                <w:kern w:val="21"/>
                <w:sz w:val="24"/>
                <w:szCs w:val="24"/>
                <w:highlight w:val="none"/>
              </w:rPr>
              <w:t>备案）文号</w:t>
            </w:r>
          </w:p>
        </w:tc>
        <w:tc>
          <w:tcPr>
            <w:tcW w:w="1488" w:type="pct"/>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highlight w:val="none"/>
              </w:rPr>
            </w:pPr>
            <w:r>
              <w:rPr>
                <w:rFonts w:hint="eastAsia"/>
                <w:color w:val="auto"/>
                <w:kern w:val="21"/>
                <w:sz w:val="24"/>
                <w:szCs w:val="24"/>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5" w:type="pct"/>
            <w:tcMar>
              <w:top w:w="16" w:type="dxa"/>
              <w:left w:w="16" w:type="dxa"/>
              <w:right w:w="16" w:type="dxa"/>
            </w:tcMar>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highlight w:val="none"/>
              </w:rPr>
            </w:pPr>
            <w:r>
              <w:rPr>
                <w:color w:val="auto"/>
                <w:kern w:val="21"/>
                <w:sz w:val="24"/>
                <w:szCs w:val="24"/>
                <w:highlight w:val="none"/>
              </w:rPr>
              <w:t>总投资</w:t>
            </w:r>
          </w:p>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highlight w:val="none"/>
              </w:rPr>
            </w:pPr>
            <w:r>
              <w:rPr>
                <w:color w:val="auto"/>
                <w:kern w:val="21"/>
                <w:sz w:val="24"/>
                <w:szCs w:val="24"/>
                <w:highlight w:val="none"/>
              </w:rPr>
              <w:t>（万元）</w:t>
            </w:r>
          </w:p>
        </w:tc>
        <w:tc>
          <w:tcPr>
            <w:tcW w:w="1598" w:type="pct"/>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default" w:eastAsia="宋体"/>
                <w:color w:val="auto"/>
                <w:kern w:val="21"/>
                <w:sz w:val="24"/>
                <w:szCs w:val="24"/>
                <w:highlight w:val="none"/>
                <w:lang w:val="en-US" w:eastAsia="zh-CN"/>
              </w:rPr>
            </w:pPr>
            <w:r>
              <w:rPr>
                <w:rFonts w:hint="eastAsia"/>
                <w:color w:val="auto"/>
                <w:kern w:val="21"/>
                <w:sz w:val="24"/>
                <w:szCs w:val="24"/>
                <w:highlight w:val="none"/>
                <w:lang w:val="en-US" w:eastAsia="zh-CN"/>
              </w:rPr>
              <w:t>3000</w:t>
            </w:r>
          </w:p>
        </w:tc>
        <w:tc>
          <w:tcPr>
            <w:tcW w:w="1177" w:type="pct"/>
            <w:tcMar>
              <w:top w:w="16" w:type="dxa"/>
              <w:left w:w="16" w:type="dxa"/>
              <w:right w:w="16" w:type="dxa"/>
            </w:tcMar>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rPr>
            </w:pPr>
            <w:r>
              <w:rPr>
                <w:color w:val="auto"/>
                <w:kern w:val="21"/>
                <w:sz w:val="24"/>
                <w:szCs w:val="24"/>
              </w:rPr>
              <w:t>环保投资（万元）</w:t>
            </w:r>
          </w:p>
        </w:tc>
        <w:tc>
          <w:tcPr>
            <w:tcW w:w="1488" w:type="pct"/>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default" w:eastAsia="宋体"/>
                <w:color w:val="auto"/>
                <w:kern w:val="21"/>
                <w:sz w:val="24"/>
                <w:szCs w:val="24"/>
                <w:lang w:val="en-US" w:eastAsia="zh-CN"/>
              </w:rPr>
            </w:pPr>
            <w:r>
              <w:rPr>
                <w:rFonts w:hint="eastAsia"/>
                <w:color w:val="auto"/>
                <w:kern w:val="21"/>
                <w:sz w:val="24"/>
                <w:szCs w:val="24"/>
                <w:highlight w:val="none"/>
                <w:lang w:val="en-US" w:eastAsia="zh-CN"/>
              </w:rPr>
              <w:t>51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5" w:type="pct"/>
            <w:tcMar>
              <w:top w:w="16" w:type="dxa"/>
              <w:left w:w="16" w:type="dxa"/>
              <w:right w:w="16" w:type="dxa"/>
            </w:tcMar>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rPr>
            </w:pPr>
            <w:r>
              <w:rPr>
                <w:color w:val="auto"/>
                <w:kern w:val="21"/>
                <w:sz w:val="24"/>
                <w:szCs w:val="24"/>
              </w:rPr>
              <w:t>环保投资占比（%）</w:t>
            </w:r>
          </w:p>
        </w:tc>
        <w:tc>
          <w:tcPr>
            <w:tcW w:w="1598" w:type="pct"/>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rPr>
            </w:pPr>
            <w:r>
              <w:rPr>
                <w:rFonts w:hint="eastAsia"/>
                <w:color w:val="auto"/>
                <w:kern w:val="21"/>
                <w:sz w:val="24"/>
                <w:szCs w:val="24"/>
                <w:highlight w:val="none"/>
                <w:lang w:val="en-US" w:eastAsia="zh-CN"/>
              </w:rPr>
              <w:t>1.7</w:t>
            </w:r>
            <w:r>
              <w:rPr>
                <w:rFonts w:hint="eastAsia"/>
                <w:color w:val="auto"/>
                <w:kern w:val="21"/>
                <w:sz w:val="24"/>
                <w:szCs w:val="24"/>
                <w:highlight w:val="none"/>
              </w:rPr>
              <w:t>%</w:t>
            </w:r>
          </w:p>
        </w:tc>
        <w:tc>
          <w:tcPr>
            <w:tcW w:w="1177" w:type="pct"/>
            <w:tcMar>
              <w:top w:w="16" w:type="dxa"/>
              <w:left w:w="16" w:type="dxa"/>
              <w:right w:w="16" w:type="dxa"/>
            </w:tcMar>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rPr>
            </w:pPr>
            <w:r>
              <w:rPr>
                <w:color w:val="auto"/>
                <w:kern w:val="21"/>
                <w:sz w:val="24"/>
                <w:szCs w:val="24"/>
              </w:rPr>
              <w:t>施工工期</w:t>
            </w:r>
          </w:p>
        </w:tc>
        <w:tc>
          <w:tcPr>
            <w:tcW w:w="1488" w:type="pct"/>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default" w:eastAsia="宋体"/>
                <w:color w:val="auto"/>
                <w:kern w:val="21"/>
                <w:sz w:val="24"/>
                <w:szCs w:val="24"/>
                <w:lang w:val="en-US" w:eastAsia="zh-CN"/>
              </w:rPr>
            </w:pPr>
            <w:r>
              <w:rPr>
                <w:rFonts w:hint="eastAsia"/>
                <w:color w:val="auto"/>
                <w:kern w:val="21"/>
                <w:sz w:val="24"/>
                <w:szCs w:val="24"/>
                <w:lang w:val="en-US" w:eastAsia="zh-CN"/>
              </w:rPr>
              <w:t>3个月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5" w:type="pct"/>
            <w:tcMar>
              <w:top w:w="16" w:type="dxa"/>
              <w:left w:w="16" w:type="dxa"/>
              <w:right w:w="16" w:type="dxa"/>
            </w:tcMar>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rPr>
            </w:pPr>
            <w:r>
              <w:rPr>
                <w:color w:val="auto"/>
                <w:kern w:val="21"/>
                <w:sz w:val="24"/>
                <w:szCs w:val="24"/>
              </w:rPr>
              <w:t>是否开工建设</w:t>
            </w:r>
          </w:p>
        </w:tc>
        <w:tc>
          <w:tcPr>
            <w:tcW w:w="1598" w:type="pct"/>
            <w:vAlign w:val="center"/>
          </w:tcPr>
          <w:p>
            <w:pPr>
              <w:keepNext w:val="0"/>
              <w:keepLines w:val="0"/>
              <w:pageBreakBefore w:val="0"/>
              <w:widowControl w:val="0"/>
              <w:kinsoku/>
              <w:wordWrap/>
              <w:overflowPunct/>
              <w:topLinePunct w:val="0"/>
              <w:bidi w:val="0"/>
              <w:adjustRightInd w:val="0"/>
              <w:snapToGrid w:val="0"/>
              <w:spacing w:line="240" w:lineRule="auto"/>
              <w:textAlignment w:val="auto"/>
              <w:rPr>
                <w:color w:val="auto"/>
                <w:kern w:val="21"/>
                <w:sz w:val="24"/>
                <w:szCs w:val="24"/>
              </w:rPr>
            </w:pPr>
            <w:r>
              <w:rPr>
                <w:color w:val="auto"/>
                <w:kern w:val="21"/>
                <w:sz w:val="24"/>
                <w:szCs w:val="24"/>
              </w:rPr>
              <w:sym w:font="Wingdings 2" w:char="00A3"/>
            </w:r>
            <w:r>
              <w:rPr>
                <w:color w:val="auto"/>
                <w:kern w:val="21"/>
                <w:sz w:val="24"/>
                <w:szCs w:val="24"/>
              </w:rPr>
              <w:t>否</w:t>
            </w:r>
          </w:p>
          <w:p>
            <w:pPr>
              <w:keepNext w:val="0"/>
              <w:keepLines w:val="0"/>
              <w:pageBreakBefore w:val="0"/>
              <w:widowControl w:val="0"/>
              <w:kinsoku/>
              <w:wordWrap/>
              <w:overflowPunct/>
              <w:topLinePunct w:val="0"/>
              <w:bidi w:val="0"/>
              <w:adjustRightInd w:val="0"/>
              <w:snapToGrid w:val="0"/>
              <w:spacing w:line="240" w:lineRule="auto"/>
              <w:textAlignment w:val="auto"/>
              <w:rPr>
                <w:rFonts w:hint="default" w:eastAsia="宋体"/>
                <w:color w:val="auto"/>
                <w:kern w:val="21"/>
                <w:sz w:val="24"/>
                <w:szCs w:val="24"/>
                <w:lang w:val="en-US" w:eastAsia="zh-CN"/>
              </w:rPr>
            </w:pPr>
            <w:r>
              <w:rPr>
                <w:color w:val="auto"/>
                <w:kern w:val="21"/>
                <w:sz w:val="24"/>
                <w:szCs w:val="24"/>
              </w:rPr>
              <w:sym w:font="Wingdings 2" w:char="0052"/>
            </w:r>
            <w:r>
              <w:rPr>
                <w:color w:val="auto"/>
                <w:kern w:val="21"/>
                <w:sz w:val="24"/>
                <w:szCs w:val="24"/>
              </w:rPr>
              <w:t>是：</w:t>
            </w:r>
            <w:r>
              <w:rPr>
                <w:rFonts w:hint="eastAsia"/>
                <w:color w:val="auto"/>
                <w:kern w:val="21"/>
                <w:sz w:val="24"/>
                <w:szCs w:val="24"/>
                <w:u w:val="single"/>
                <w:lang w:eastAsia="zh-CN"/>
              </w:rPr>
              <w:t>本项目租用现有房屋建设眼科医院项目，目前正在进行室内装修。</w:t>
            </w:r>
          </w:p>
        </w:tc>
        <w:tc>
          <w:tcPr>
            <w:tcW w:w="1177" w:type="pct"/>
            <w:tcMar>
              <w:top w:w="16" w:type="dxa"/>
              <w:left w:w="16" w:type="dxa"/>
              <w:right w:w="16" w:type="dxa"/>
            </w:tcMar>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rPr>
            </w:pPr>
            <w:r>
              <w:rPr>
                <w:color w:val="auto"/>
                <w:kern w:val="21"/>
                <w:sz w:val="24"/>
                <w:szCs w:val="24"/>
              </w:rPr>
              <w:t>用地面积（m</w:t>
            </w:r>
            <w:r>
              <w:rPr>
                <w:color w:val="auto"/>
                <w:kern w:val="21"/>
                <w:sz w:val="24"/>
                <w:szCs w:val="24"/>
                <w:vertAlign w:val="superscript"/>
              </w:rPr>
              <w:t>2</w:t>
            </w:r>
            <w:r>
              <w:rPr>
                <w:color w:val="auto"/>
                <w:kern w:val="21"/>
                <w:sz w:val="24"/>
                <w:szCs w:val="24"/>
              </w:rPr>
              <w:t>）</w:t>
            </w:r>
          </w:p>
        </w:tc>
        <w:tc>
          <w:tcPr>
            <w:tcW w:w="1488" w:type="pct"/>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default" w:eastAsia="宋体"/>
                <w:color w:val="auto"/>
                <w:kern w:val="21"/>
                <w:sz w:val="24"/>
                <w:szCs w:val="24"/>
                <w:lang w:val="en-US" w:eastAsia="zh-CN"/>
              </w:rPr>
            </w:pPr>
            <w:r>
              <w:rPr>
                <w:rFonts w:hint="eastAsia"/>
                <w:color w:val="auto"/>
                <w:kern w:val="21"/>
                <w:sz w:val="24"/>
                <w:szCs w:val="24"/>
                <w:lang w:val="en-US" w:eastAsia="zh-CN"/>
              </w:rPr>
              <w:t>1005.35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5" w:type="pct"/>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kern w:val="21"/>
                <w:sz w:val="24"/>
                <w:szCs w:val="24"/>
              </w:rPr>
            </w:pPr>
            <w:r>
              <w:rPr>
                <w:color w:val="auto"/>
                <w:kern w:val="21"/>
                <w:sz w:val="24"/>
                <w:szCs w:val="24"/>
              </w:rPr>
              <w:t>专项评价设置情况</w:t>
            </w:r>
          </w:p>
        </w:tc>
        <w:tc>
          <w:tcPr>
            <w:tcW w:w="4264" w:type="pct"/>
            <w:gridSpan w:val="3"/>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kern w:val="21"/>
                <w:sz w:val="24"/>
                <w:szCs w:val="24"/>
                <w:highlight w:val="yellow"/>
              </w:rPr>
            </w:pPr>
            <w:r>
              <w:rPr>
                <w:rFonts w:hint="eastAsia"/>
                <w:color w:val="auto"/>
                <w:kern w:val="21"/>
                <w:sz w:val="24"/>
                <w:szCs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5" w:type="pct"/>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kern w:val="21"/>
                <w:sz w:val="24"/>
                <w:szCs w:val="24"/>
              </w:rPr>
            </w:pPr>
            <w:r>
              <w:rPr>
                <w:color w:val="auto"/>
                <w:kern w:val="21"/>
                <w:sz w:val="24"/>
                <w:szCs w:val="24"/>
              </w:rPr>
              <w:t>规划情况</w:t>
            </w:r>
          </w:p>
        </w:tc>
        <w:tc>
          <w:tcPr>
            <w:tcW w:w="4264" w:type="pct"/>
            <w:gridSpan w:val="3"/>
            <w:vAlign w:val="center"/>
          </w:tcPr>
          <w:p>
            <w:pPr>
              <w:keepNext w:val="0"/>
              <w:keepLines w:val="0"/>
              <w:pageBreakBefore w:val="0"/>
              <w:widowControl w:val="0"/>
              <w:kinsoku/>
              <w:wordWrap/>
              <w:overflowPunct/>
              <w:topLinePunct w:val="0"/>
              <w:bidi w:val="0"/>
              <w:spacing w:line="240" w:lineRule="auto"/>
              <w:jc w:val="center"/>
              <w:textAlignment w:val="auto"/>
              <w:rPr>
                <w:color w:val="auto"/>
                <w:kern w:val="21"/>
                <w:sz w:val="24"/>
                <w:szCs w:val="24"/>
              </w:rPr>
            </w:pPr>
            <w:r>
              <w:rPr>
                <w:rFonts w:hint="eastAsia"/>
                <w:color w:val="auto"/>
                <w:kern w:val="21"/>
                <w:sz w:val="24"/>
                <w:szCs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5" w:type="pct"/>
            <w:vAlign w:val="center"/>
          </w:tcPr>
          <w:p>
            <w:pPr>
              <w:keepNext w:val="0"/>
              <w:keepLines w:val="0"/>
              <w:pageBreakBefore w:val="0"/>
              <w:widowControl w:val="0"/>
              <w:kinsoku/>
              <w:wordWrap/>
              <w:overflowPunct/>
              <w:topLinePunct w:val="0"/>
              <w:bidi w:val="0"/>
              <w:adjustRightInd w:val="0"/>
              <w:snapToGrid w:val="0"/>
              <w:spacing w:line="240" w:lineRule="auto"/>
              <w:jc w:val="center"/>
              <w:textAlignment w:val="auto"/>
              <w:rPr>
                <w:color w:val="auto"/>
                <w:kern w:val="21"/>
                <w:sz w:val="24"/>
                <w:szCs w:val="24"/>
              </w:rPr>
            </w:pPr>
            <w:r>
              <w:rPr>
                <w:color w:val="auto"/>
                <w:kern w:val="21"/>
                <w:sz w:val="24"/>
                <w:szCs w:val="24"/>
              </w:rPr>
              <w:t>规划环境影响评价情况</w:t>
            </w:r>
          </w:p>
        </w:tc>
        <w:tc>
          <w:tcPr>
            <w:tcW w:w="4264" w:type="pct"/>
            <w:gridSpan w:val="3"/>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kern w:val="21"/>
                <w:sz w:val="24"/>
                <w:szCs w:val="24"/>
              </w:rPr>
            </w:pPr>
            <w:r>
              <w:rPr>
                <w:rFonts w:hint="eastAsia"/>
                <w:color w:val="auto"/>
                <w:kern w:val="21"/>
                <w:sz w:val="24"/>
                <w:szCs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5" w:type="pct"/>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kern w:val="21"/>
                <w:sz w:val="24"/>
                <w:szCs w:val="24"/>
              </w:rPr>
            </w:pPr>
            <w:r>
              <w:rPr>
                <w:color w:val="auto"/>
                <w:kern w:val="21"/>
                <w:sz w:val="24"/>
                <w:szCs w:val="24"/>
              </w:rPr>
              <w:t>规划及规划环境影响评价符合性分析</w:t>
            </w:r>
          </w:p>
        </w:tc>
        <w:tc>
          <w:tcPr>
            <w:tcW w:w="4264" w:type="pct"/>
            <w:gridSpan w:val="3"/>
            <w:vAlign w:val="center"/>
          </w:tcPr>
          <w:p>
            <w:pPr>
              <w:pStyle w:val="11"/>
              <w:rPr>
                <w:rFonts w:hint="eastAsia"/>
                <w:color w:val="auto"/>
                <w:sz w:val="24"/>
                <w:szCs w:val="24"/>
                <w:lang w:val="en-US" w:eastAsia="zh-CN"/>
              </w:rPr>
            </w:pPr>
          </w:p>
          <w:p>
            <w:pPr>
              <w:pStyle w:val="12"/>
              <w:ind w:left="0" w:leftChars="0" w:firstLine="0" w:firstLineChars="0"/>
              <w:jc w:val="center"/>
              <w:rPr>
                <w:rFonts w:hint="eastAsia"/>
                <w:color w:val="auto"/>
                <w:sz w:val="24"/>
                <w:szCs w:val="24"/>
                <w:lang w:val="en-US" w:eastAsia="zh-CN"/>
              </w:rPr>
            </w:pPr>
            <w:r>
              <w:rPr>
                <w:rFonts w:hint="eastAsia"/>
                <w:color w:val="auto"/>
                <w:sz w:val="24"/>
                <w:szCs w:val="24"/>
                <w:lang w:val="en-US" w:eastAsia="zh-CN"/>
              </w:rPr>
              <w:t>无</w:t>
            </w:r>
          </w:p>
          <w:p>
            <w:pPr>
              <w:pStyle w:val="24"/>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color w:val="auto"/>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252" w:hRule="atLeast"/>
          <w:jc w:val="center"/>
        </w:trPr>
        <w:tc>
          <w:tcPr>
            <w:tcW w:w="735" w:type="pct"/>
            <w:vAlign w:val="center"/>
          </w:tcPr>
          <w:p>
            <w:pPr>
              <w:keepLines w:val="0"/>
              <w:pageBreakBefore w:val="0"/>
              <w:kinsoku/>
              <w:wordWrap/>
              <w:overflowPunct/>
              <w:topLinePunct w:val="0"/>
              <w:autoSpaceDE w:val="0"/>
              <w:autoSpaceDN w:val="0"/>
              <w:bidi w:val="0"/>
              <w:adjustRightInd w:val="0"/>
              <w:snapToGrid w:val="0"/>
              <w:spacing w:line="360" w:lineRule="auto"/>
              <w:jc w:val="center"/>
              <w:rPr>
                <w:color w:val="auto"/>
                <w:kern w:val="21"/>
                <w:sz w:val="24"/>
                <w:szCs w:val="24"/>
              </w:rPr>
            </w:pPr>
            <w:r>
              <w:rPr>
                <w:color w:val="auto"/>
                <w:kern w:val="21"/>
                <w:sz w:val="24"/>
                <w:szCs w:val="24"/>
              </w:rPr>
              <w:t>其他符合性分析</w:t>
            </w:r>
          </w:p>
        </w:tc>
        <w:tc>
          <w:tcPr>
            <w:tcW w:w="4264" w:type="pct"/>
            <w:gridSpan w:val="3"/>
            <w:vAlign w:val="center"/>
          </w:tcPr>
          <w:p>
            <w:pPr>
              <w:keepLines w:val="0"/>
              <w:pageBreakBefore w:val="0"/>
              <w:kinsoku/>
              <w:wordWrap/>
              <w:overflowPunct/>
              <w:topLinePunct w:val="0"/>
              <w:bidi w:val="0"/>
              <w:spacing w:line="360" w:lineRule="auto"/>
              <w:ind w:firstLine="482" w:firstLineChars="200"/>
              <w:rPr>
                <w:b/>
                <w:bCs/>
                <w:color w:val="auto"/>
                <w:sz w:val="24"/>
                <w:szCs w:val="24"/>
              </w:rPr>
            </w:pPr>
            <w:r>
              <w:rPr>
                <w:rFonts w:hint="eastAsia"/>
                <w:b/>
                <w:bCs/>
                <w:color w:val="auto"/>
                <w:sz w:val="24"/>
                <w:szCs w:val="24"/>
              </w:rPr>
              <w:t>1、产业政策符合性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color w:val="auto"/>
                <w:kern w:val="0"/>
                <w:sz w:val="24"/>
                <w:szCs w:val="24"/>
              </w:rPr>
            </w:pPr>
            <w:r>
              <w:rPr>
                <w:color w:val="auto"/>
                <w:sz w:val="24"/>
                <w:szCs w:val="24"/>
              </w:rPr>
              <w:t>本项目为[Q8415]专科医院。根据《产业结构调整指导目录</w:t>
            </w:r>
            <w:r>
              <w:rPr>
                <w:rFonts w:hint="eastAsia"/>
                <w:color w:val="auto"/>
                <w:sz w:val="24"/>
                <w:szCs w:val="24"/>
                <w:lang w:eastAsia="zh-CN"/>
              </w:rPr>
              <w:t>（</w:t>
            </w:r>
            <w:r>
              <w:rPr>
                <w:rFonts w:hint="eastAsia"/>
                <w:color w:val="auto"/>
                <w:sz w:val="24"/>
                <w:szCs w:val="24"/>
                <w:lang w:val="en-US" w:eastAsia="zh-CN"/>
              </w:rPr>
              <w:t>2024年本</w:t>
            </w:r>
            <w:r>
              <w:rPr>
                <w:rFonts w:hint="eastAsia"/>
                <w:color w:val="auto"/>
                <w:sz w:val="24"/>
                <w:szCs w:val="24"/>
                <w:lang w:eastAsia="zh-CN"/>
              </w:rPr>
              <w:t>）</w:t>
            </w:r>
            <w:r>
              <w:rPr>
                <w:color w:val="auto"/>
                <w:sz w:val="24"/>
                <w:szCs w:val="24"/>
              </w:rPr>
              <w:t>》本项目属于</w:t>
            </w:r>
            <w:r>
              <w:rPr>
                <w:rFonts w:hint="eastAsia"/>
                <w:color w:val="auto"/>
                <w:sz w:val="24"/>
                <w:szCs w:val="24"/>
                <w:lang w:eastAsia="zh-CN"/>
              </w:rPr>
              <w:t>允许类</w:t>
            </w:r>
            <w:r>
              <w:rPr>
                <w:color w:val="auto"/>
                <w:sz w:val="24"/>
                <w:szCs w:val="24"/>
              </w:rPr>
              <w:t>项目</w:t>
            </w:r>
            <w:r>
              <w:rPr>
                <w:color w:val="auto"/>
                <w:kern w:val="0"/>
                <w:sz w:val="24"/>
                <w:szCs w:val="24"/>
              </w:rPr>
              <w:t>；不属于其它相关法律法规要求淘汰和限制的产业，符合国家和地方产业政策</w:t>
            </w:r>
            <w:r>
              <w:rPr>
                <w:color w:val="auto"/>
                <w:kern w:val="0"/>
                <w:sz w:val="24"/>
                <w:szCs w:val="24"/>
                <w:highlight w:val="none"/>
              </w:rPr>
              <w:t>。建设项目已取得备案证，项目代码</w:t>
            </w:r>
            <w:r>
              <w:rPr>
                <w:rFonts w:hint="eastAsia"/>
                <w:color w:val="auto"/>
                <w:kern w:val="21"/>
                <w:sz w:val="24"/>
                <w:szCs w:val="24"/>
                <w:highlight w:val="none"/>
                <w:lang w:val="en-US" w:eastAsia="zh-CN"/>
              </w:rPr>
              <w:t>2406-610104-04-05-247877</w:t>
            </w:r>
            <w:r>
              <w:rPr>
                <w:color w:val="auto"/>
                <w:kern w:val="0"/>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color w:val="auto"/>
                <w:sz w:val="24"/>
                <w:szCs w:val="24"/>
              </w:rPr>
            </w:pPr>
            <w:r>
              <w:rPr>
                <w:rFonts w:hint="default" w:ascii="Times New Roman" w:hAnsi="Times New Roman" w:eastAsia="宋体" w:cs="Times New Roman"/>
                <w:b w:val="0"/>
                <w:bCs w:val="0"/>
                <w:color w:val="auto"/>
                <w:sz w:val="24"/>
                <w:szCs w:val="24"/>
                <w:lang w:eastAsia="zh-CN"/>
              </w:rPr>
              <w:t>本项目不属于《市场准入负面清单（</w:t>
            </w:r>
            <w:r>
              <w:rPr>
                <w:rFonts w:hint="default" w:ascii="Times New Roman" w:hAnsi="Times New Roman" w:eastAsia="宋体" w:cs="Times New Roman"/>
                <w:b w:val="0"/>
                <w:bCs w:val="0"/>
                <w:color w:val="auto"/>
                <w:sz w:val="24"/>
                <w:szCs w:val="24"/>
                <w:lang w:val="en-US" w:eastAsia="zh-CN"/>
              </w:rPr>
              <w:t>2020</w:t>
            </w:r>
            <w:r>
              <w:rPr>
                <w:rFonts w:hint="default" w:ascii="Times New Roman" w:hAnsi="Times New Roman" w:eastAsia="宋体" w:cs="Times New Roman"/>
                <w:b w:val="0"/>
                <w:bCs w:val="0"/>
                <w:color w:val="auto"/>
                <w:sz w:val="24"/>
                <w:szCs w:val="24"/>
                <w:lang w:eastAsia="zh-CN"/>
              </w:rPr>
              <w:t>年版）》禁止准入类项目，可依法平等准入</w:t>
            </w:r>
            <w:r>
              <w:rPr>
                <w:rFonts w:hint="eastAsia" w:cs="Times New Roman"/>
                <w:b w:val="0"/>
                <w:bCs w:val="0"/>
                <w:color w:val="auto"/>
                <w:sz w:val="24"/>
                <w:szCs w:val="24"/>
                <w:lang w:eastAsia="zh-CN"/>
              </w:rPr>
              <w:t>，</w:t>
            </w:r>
            <w:r>
              <w:rPr>
                <w:rFonts w:hint="eastAsia"/>
                <w:color w:val="auto"/>
                <w:sz w:val="24"/>
                <w:szCs w:val="24"/>
              </w:rPr>
              <w:t>符合地方产业政策。</w:t>
            </w:r>
          </w:p>
          <w:p>
            <w:pPr>
              <w:keepLines w:val="0"/>
              <w:pageBreakBefore w:val="0"/>
              <w:kinsoku/>
              <w:wordWrap/>
              <w:overflowPunct/>
              <w:topLinePunct w:val="0"/>
              <w:bidi w:val="0"/>
              <w:spacing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2、选址</w:t>
            </w:r>
            <w:r>
              <w:rPr>
                <w:rFonts w:hint="default" w:ascii="Times New Roman" w:hAnsi="Times New Roman" w:cs="Times New Roman"/>
                <w:b/>
                <w:bCs/>
                <w:color w:val="auto"/>
                <w:sz w:val="24"/>
                <w:szCs w:val="24"/>
                <w:lang w:eastAsia="zh-CN"/>
              </w:rPr>
              <w:t>合理</w:t>
            </w:r>
            <w:r>
              <w:rPr>
                <w:rFonts w:hint="default" w:ascii="Times New Roman" w:hAnsi="Times New Roman" w:cs="Times New Roman"/>
                <w:b/>
                <w:bCs/>
                <w:color w:val="auto"/>
                <w:sz w:val="24"/>
                <w:szCs w:val="24"/>
              </w:rPr>
              <w:t>性分析</w:t>
            </w:r>
          </w:p>
          <w:p>
            <w:pPr>
              <w:pStyle w:val="37"/>
              <w:keepLines w:val="0"/>
              <w:pageBreakBefore w:val="0"/>
              <w:kinsoku/>
              <w:wordWrap/>
              <w:overflowPunct/>
              <w:topLinePunct w:val="0"/>
              <w:bidi w:val="0"/>
              <w:spacing w:line="360" w:lineRule="auto"/>
              <w:ind w:firstLine="480" w:firstLineChars="200"/>
              <w:jc w:val="both"/>
              <w:rPr>
                <w:rFonts w:hint="eastAsia" w:ascii="Times New Roman" w:cs="Times New Roman"/>
                <w:color w:val="auto"/>
                <w:kern w:val="2"/>
                <w:sz w:val="24"/>
                <w:szCs w:val="24"/>
                <w:lang w:eastAsia="zh-CN"/>
              </w:rPr>
            </w:pPr>
            <w:r>
              <w:rPr>
                <w:rFonts w:hint="default" w:ascii="Times New Roman" w:hAnsi="Times New Roman" w:cs="Times New Roman"/>
                <w:color w:val="auto"/>
                <w:kern w:val="2"/>
                <w:sz w:val="24"/>
                <w:szCs w:val="24"/>
              </w:rPr>
              <w:t>本项目</w:t>
            </w:r>
            <w:r>
              <w:rPr>
                <w:rFonts w:hint="default" w:ascii="Times New Roman" w:hAnsi="Times New Roman" w:cs="Times New Roman"/>
                <w:color w:val="auto"/>
                <w:kern w:val="2"/>
                <w:sz w:val="24"/>
                <w:szCs w:val="24"/>
                <w:lang w:eastAsia="zh-CN"/>
              </w:rPr>
              <w:t>租赁</w:t>
            </w:r>
            <w:r>
              <w:rPr>
                <w:rFonts w:hint="default" w:ascii="Times New Roman" w:hAnsi="Times New Roman" w:cs="Times New Roman"/>
                <w:color w:val="auto"/>
                <w:sz w:val="24"/>
                <w:szCs w:val="24"/>
                <w:lang w:eastAsia="zh-CN"/>
              </w:rPr>
              <w:t>陕西省西安市莲湖区环城西路玉祥门盘道东南角</w:t>
            </w:r>
            <w:r>
              <w:rPr>
                <w:rFonts w:hint="default" w:ascii="Times New Roman" w:hAnsi="Times New Roman" w:cs="Times New Roman"/>
                <w:color w:val="auto"/>
                <w:sz w:val="24"/>
                <w:szCs w:val="24"/>
                <w:lang w:val="en-US" w:eastAsia="zh-CN"/>
              </w:rPr>
              <w:t>1幢</w:t>
            </w:r>
            <w:r>
              <w:rPr>
                <w:rFonts w:hint="eastAsia" w:ascii="Times New Roman" w:cs="Times New Roman"/>
                <w:color w:val="auto"/>
                <w:sz w:val="24"/>
                <w:szCs w:val="24"/>
                <w:lang w:val="en-US" w:eastAsia="zh-CN"/>
              </w:rPr>
              <w:t>闲置用房</w:t>
            </w:r>
            <w:r>
              <w:rPr>
                <w:rFonts w:hint="default" w:ascii="Times New Roman" w:hAnsi="Times New Roman" w:cs="Times New Roman"/>
                <w:color w:val="auto"/>
                <w:sz w:val="24"/>
                <w:szCs w:val="24"/>
                <w:lang w:val="en-US" w:eastAsia="zh-CN"/>
              </w:rPr>
              <w:t>建设眼科医院项目</w:t>
            </w:r>
            <w:r>
              <w:rPr>
                <w:rFonts w:hint="default" w:ascii="Times New Roman" w:hAnsi="Times New Roman" w:cs="Times New Roman"/>
                <w:color w:val="auto"/>
                <w:kern w:val="2"/>
                <w:sz w:val="24"/>
                <w:szCs w:val="24"/>
              </w:rPr>
              <w:t>，</w:t>
            </w:r>
            <w:r>
              <w:rPr>
                <w:rFonts w:hint="eastAsia" w:ascii="Times New Roman" w:cs="Times New Roman"/>
                <w:color w:val="auto"/>
                <w:kern w:val="2"/>
                <w:sz w:val="24"/>
                <w:szCs w:val="24"/>
                <w:lang w:eastAsia="zh-CN"/>
              </w:rPr>
              <w:t>项目为新建项目，项目主要服务对象为患有近视、散光等眼科疾病的人群。根据该项目租赁协议（见附件</w:t>
            </w:r>
            <w:r>
              <w:rPr>
                <w:rFonts w:hint="eastAsia" w:ascii="Times New Roman" w:cs="Times New Roman"/>
                <w:color w:val="auto"/>
                <w:kern w:val="2"/>
                <w:sz w:val="24"/>
                <w:szCs w:val="24"/>
                <w:lang w:val="en-US" w:eastAsia="zh-CN"/>
              </w:rPr>
              <w:t>3</w:t>
            </w:r>
            <w:r>
              <w:rPr>
                <w:rFonts w:hint="eastAsia" w:ascii="Times New Roman" w:cs="Times New Roman"/>
                <w:color w:val="auto"/>
                <w:kern w:val="2"/>
                <w:sz w:val="24"/>
                <w:szCs w:val="24"/>
                <w:lang w:eastAsia="zh-CN"/>
              </w:rPr>
              <w:t>），地块用途为商业用地。项目所在地东侧为变电站，隔变电站为护城河，南侧为秦都酒店，西侧为环城西路南段，北侧为露天停车场及饭店便利店等。项目所在地交通便利，水、电、通讯等各项城市基础配套完善，能够满足本项目的需求，项目采取措施后，废气、废水、噪声、固体废物能够满足排放标准，</w:t>
            </w:r>
            <w:r>
              <w:rPr>
                <w:rFonts w:hint="eastAsia" w:ascii="Times New Roman" w:cs="Times New Roman"/>
                <w:color w:val="auto"/>
                <w:kern w:val="2"/>
                <w:sz w:val="24"/>
                <w:szCs w:val="24"/>
                <w:lang w:val="en-US" w:eastAsia="zh-CN"/>
              </w:rPr>
              <w:t>对周边的环境敏感点影响较小</w:t>
            </w:r>
            <w:r>
              <w:rPr>
                <w:rFonts w:hint="eastAsia" w:ascii="Times New Roman" w:cs="Times New Roman"/>
                <w:color w:val="auto"/>
                <w:kern w:val="2"/>
                <w:sz w:val="24"/>
                <w:szCs w:val="24"/>
                <w:lang w:eastAsia="zh-CN"/>
              </w:rPr>
              <w:t>。项目所在地基础设施可</w:t>
            </w:r>
            <w:r>
              <w:rPr>
                <w:rFonts w:hint="eastAsia" w:ascii="Times New Roman" w:cs="Times New Roman"/>
                <w:color w:val="auto"/>
                <w:kern w:val="2"/>
                <w:sz w:val="24"/>
                <w:szCs w:val="24"/>
                <w:lang w:val="en-US" w:eastAsia="zh-CN"/>
              </w:rPr>
              <w:t>基本</w:t>
            </w:r>
            <w:r>
              <w:rPr>
                <w:rFonts w:hint="eastAsia" w:ascii="Times New Roman" w:cs="Times New Roman"/>
                <w:color w:val="auto"/>
                <w:kern w:val="2"/>
                <w:sz w:val="24"/>
                <w:szCs w:val="24"/>
                <w:lang w:eastAsia="zh-CN"/>
              </w:rPr>
              <w:t>满足眼科医院运营需求，选址无重点保护野生动植物分布，也不涉及风景名胜区、自然保护区、基本农田、文物保护单位、饮用水水源地等敏感区域。</w:t>
            </w:r>
          </w:p>
          <w:p>
            <w:pPr>
              <w:pStyle w:val="37"/>
              <w:keepLines w:val="0"/>
              <w:pageBreakBefore w:val="0"/>
              <w:kinsoku/>
              <w:wordWrap/>
              <w:overflowPunct/>
              <w:topLinePunct w:val="0"/>
              <w:bidi w:val="0"/>
              <w:spacing w:line="360" w:lineRule="auto"/>
              <w:ind w:firstLine="480" w:firstLineChars="200"/>
              <w:jc w:val="both"/>
              <w:rPr>
                <w:rFonts w:hint="eastAsia" w:ascii="Times New Roman" w:cs="Times New Roman"/>
                <w:color w:val="auto"/>
                <w:kern w:val="2"/>
                <w:sz w:val="24"/>
                <w:szCs w:val="24"/>
                <w:lang w:val="en-US" w:eastAsia="zh-CN"/>
              </w:rPr>
            </w:pPr>
            <w:r>
              <w:rPr>
                <w:rFonts w:hint="eastAsia" w:ascii="Times New Roman" w:cs="Times New Roman"/>
                <w:color w:val="auto"/>
                <w:kern w:val="2"/>
                <w:sz w:val="24"/>
                <w:szCs w:val="24"/>
                <w:lang w:eastAsia="zh-CN"/>
              </w:rPr>
              <w:t>根据《西安市莲湖区国土空间总体规划》（20</w:t>
            </w:r>
            <w:r>
              <w:rPr>
                <w:rFonts w:hint="eastAsia" w:ascii="Times New Roman" w:cs="Times New Roman"/>
                <w:color w:val="auto"/>
                <w:kern w:val="2"/>
                <w:sz w:val="24"/>
                <w:szCs w:val="24"/>
                <w:lang w:val="en-US" w:eastAsia="zh-CN"/>
              </w:rPr>
              <w:t>21-2035年</w:t>
            </w:r>
            <w:r>
              <w:rPr>
                <w:rFonts w:hint="eastAsia" w:ascii="Times New Roman" w:cs="Times New Roman"/>
                <w:color w:val="auto"/>
                <w:kern w:val="2"/>
                <w:sz w:val="24"/>
                <w:szCs w:val="24"/>
                <w:lang w:eastAsia="zh-CN"/>
              </w:rPr>
              <w:t>），莲湖区国土空间规划范围：莲湖区国土空间总体规划规划范围为</w:t>
            </w:r>
            <w:r>
              <w:rPr>
                <w:rFonts w:hint="eastAsia" w:ascii="Times New Roman" w:cs="Times New Roman"/>
                <w:color w:val="auto"/>
                <w:kern w:val="2"/>
                <w:sz w:val="24"/>
                <w:szCs w:val="24"/>
                <w:lang w:val="en-US" w:eastAsia="zh-CN"/>
              </w:rPr>
              <w:t>38.32平方公里，东至北大街、未央路，南至南二环路、昆明路，西至阿房路，北至梨园路、龙首北路。莲湖区下辖9个街道，分别为西关街道、北关街道、北院门街道、红庙坡街道、环城西路街道、青年路街道、土门街道、枣园街道、桃园路街道。</w:t>
            </w:r>
          </w:p>
          <w:p>
            <w:pPr>
              <w:pStyle w:val="37"/>
              <w:keepLines w:val="0"/>
              <w:pageBreakBefore w:val="0"/>
              <w:kinsoku/>
              <w:wordWrap/>
              <w:overflowPunct/>
              <w:topLinePunct w:val="0"/>
              <w:bidi w:val="0"/>
              <w:spacing w:line="360" w:lineRule="auto"/>
              <w:ind w:firstLine="480" w:firstLineChars="200"/>
              <w:jc w:val="both"/>
              <w:rPr>
                <w:rFonts w:hint="eastAsia" w:ascii="Times New Roman" w:cs="Times New Roman"/>
                <w:color w:val="auto"/>
                <w:kern w:val="2"/>
                <w:sz w:val="24"/>
                <w:szCs w:val="24"/>
                <w:lang w:val="en-US" w:eastAsia="zh-CN"/>
              </w:rPr>
            </w:pPr>
            <w:r>
              <w:rPr>
                <w:rFonts w:hint="eastAsia" w:ascii="Times New Roman" w:cs="Times New Roman"/>
                <w:color w:val="auto"/>
                <w:kern w:val="2"/>
                <w:sz w:val="24"/>
                <w:szCs w:val="24"/>
                <w:lang w:val="en-US" w:eastAsia="zh-CN"/>
              </w:rPr>
              <w:t>产业体系：构建文化旅游为优势引领产业，都市工业、现代商贸、现代金融为主导，科技服务、健康养老服务、国防科工为制成，新疆及业态为补充的“1+3+3+1”的现代化产业体系。</w:t>
            </w:r>
          </w:p>
          <w:p>
            <w:pPr>
              <w:pStyle w:val="37"/>
              <w:keepLines w:val="0"/>
              <w:pageBreakBefore w:val="0"/>
              <w:kinsoku/>
              <w:wordWrap/>
              <w:overflowPunct/>
              <w:topLinePunct w:val="0"/>
              <w:bidi w:val="0"/>
              <w:spacing w:line="360" w:lineRule="auto"/>
              <w:ind w:firstLine="480" w:firstLineChars="200"/>
              <w:jc w:val="both"/>
              <w:rPr>
                <w:rFonts w:hint="eastAsia" w:ascii="Times New Roman" w:eastAsia="宋体" w:cs="Times New Roman"/>
                <w:color w:val="auto"/>
                <w:kern w:val="2"/>
                <w:sz w:val="24"/>
                <w:szCs w:val="24"/>
                <w:lang w:eastAsia="zh-CN"/>
              </w:rPr>
            </w:pPr>
            <w:r>
              <w:rPr>
                <w:rFonts w:hint="eastAsia" w:ascii="Times New Roman" w:cs="Times New Roman"/>
                <w:color w:val="auto"/>
                <w:kern w:val="2"/>
                <w:sz w:val="24"/>
                <w:szCs w:val="24"/>
                <w:lang w:eastAsia="zh-CN"/>
              </w:rPr>
              <w:t>本项目租赁西安市莲湖区环城西路玉祥门盘道东南角1幢闲置用房建设眼科医院，属于健康养老服务业之一，符合《莲湖区国土空间总体规划》（</w:t>
            </w:r>
            <w:r>
              <w:rPr>
                <w:rFonts w:hint="eastAsia" w:ascii="Times New Roman" w:cs="Times New Roman"/>
                <w:color w:val="auto"/>
                <w:kern w:val="2"/>
                <w:sz w:val="24"/>
                <w:szCs w:val="24"/>
                <w:lang w:val="en-US" w:eastAsia="zh-CN"/>
              </w:rPr>
              <w:t>2021-2035</w:t>
            </w:r>
            <w:r>
              <w:rPr>
                <w:rFonts w:hint="eastAsia" w:ascii="Times New Roman" w:cs="Times New Roman"/>
                <w:color w:val="auto"/>
                <w:kern w:val="2"/>
                <w:sz w:val="24"/>
                <w:szCs w:val="24"/>
                <w:lang w:eastAsia="zh-CN"/>
              </w:rPr>
              <w:t>）的相关要求；目前该地块已取得不动产权证，所在地块用途为商业，本项目作为眼科医院使用，符合地块用途。</w:t>
            </w:r>
          </w:p>
          <w:p>
            <w:pPr>
              <w:pStyle w:val="37"/>
              <w:keepLines w:val="0"/>
              <w:pageBreakBefore w:val="0"/>
              <w:kinsoku/>
              <w:wordWrap/>
              <w:overflowPunct/>
              <w:topLinePunct w:val="0"/>
              <w:bidi w:val="0"/>
              <w:spacing w:line="360" w:lineRule="auto"/>
              <w:ind w:firstLine="480" w:firstLineChars="200"/>
              <w:jc w:val="both"/>
              <w:rPr>
                <w:rFonts w:ascii="Times New Roman"/>
                <w:color w:val="auto"/>
                <w:sz w:val="24"/>
                <w:szCs w:val="24"/>
              </w:rPr>
            </w:pPr>
            <w:r>
              <w:rPr>
                <w:rFonts w:hint="eastAsia" w:ascii="Times New Roman" w:cs="Times New Roman"/>
                <w:color w:val="auto"/>
                <w:kern w:val="2"/>
                <w:sz w:val="24"/>
                <w:szCs w:val="24"/>
                <w:lang w:eastAsia="zh-CN"/>
              </w:rPr>
              <w:t>因此，项目选址合理可行。</w:t>
            </w:r>
          </w:p>
          <w:p>
            <w:pPr>
              <w:keepLines w:val="0"/>
              <w:pageBreakBefore w:val="0"/>
              <w:kinsoku/>
              <w:wordWrap/>
              <w:overflowPunct/>
              <w:topLinePunct w:val="0"/>
              <w:bidi w:val="0"/>
              <w:spacing w:line="360" w:lineRule="auto"/>
              <w:ind w:firstLine="482" w:firstLineChars="200"/>
              <w:rPr>
                <w:b/>
                <w:bCs/>
                <w:color w:val="auto"/>
                <w:kern w:val="0"/>
                <w:sz w:val="24"/>
                <w:szCs w:val="24"/>
              </w:rPr>
            </w:pPr>
            <w:r>
              <w:rPr>
                <w:rFonts w:hint="eastAsia"/>
                <w:b/>
                <w:bCs/>
                <w:color w:val="auto"/>
                <w:kern w:val="0"/>
                <w:sz w:val="24"/>
                <w:szCs w:val="24"/>
                <w:lang w:val="en-US" w:eastAsia="zh-CN"/>
              </w:rPr>
              <w:t>3</w:t>
            </w:r>
            <w:r>
              <w:rPr>
                <w:rFonts w:hint="eastAsia"/>
                <w:b/>
                <w:bCs/>
                <w:color w:val="auto"/>
                <w:kern w:val="0"/>
                <w:sz w:val="24"/>
                <w:szCs w:val="24"/>
              </w:rPr>
              <w:t>、本项目与“三线一单”相符性分析</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（1）生态保护红线</w:t>
            </w:r>
          </w:p>
          <w:p>
            <w:pPr>
              <w:keepNext w:val="0"/>
              <w:keepLines w:val="0"/>
              <w:suppressLineNumbers w:val="0"/>
              <w:snapToGrid w:val="0"/>
              <w:spacing w:before="0" w:beforeAutospacing="0" w:after="0" w:afterAutospacing="0" w:line="360" w:lineRule="auto"/>
              <w:ind w:left="0" w:right="0"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生态保护红线、环境质量底线、资源利用上线和环境准入负面清单</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编制技术指南（试行）》《</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三线一单</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rPr>
              <w:t>编制技术要求（试行）》，生态保护红线作为优先保护单元，原则上按照禁止开发区域的要求进行管理，严禁不符合主体功能定位的各类开发活动，严禁任意改变用途。</w:t>
            </w:r>
          </w:p>
          <w:p>
            <w:pPr>
              <w:keepNext w:val="0"/>
              <w:keepLines w:val="0"/>
              <w:suppressLineNumbers w:val="0"/>
              <w:snapToGrid w:val="0"/>
              <w:spacing w:before="0" w:beforeAutospacing="0" w:after="0" w:afterAutospacing="0" w:line="360" w:lineRule="auto"/>
              <w:ind w:left="0" w:right="0" w:firstLine="48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eastAsia="zh-CN"/>
              </w:rPr>
              <w:t>本项目与“陕西省</w:t>
            </w:r>
            <w:r>
              <w:rPr>
                <w:rFonts w:hint="eastAsia"/>
                <w:color w:val="auto"/>
                <w:lang w:val="en-US" w:eastAsia="zh-CN"/>
              </w:rPr>
              <w:t>‘</w:t>
            </w:r>
            <w:r>
              <w:rPr>
                <w:rFonts w:hint="eastAsia" w:ascii="Times New Roman" w:hAnsi="Times New Roman" w:eastAsia="宋体" w:cs="Times New Roman"/>
                <w:color w:val="auto"/>
                <w:sz w:val="24"/>
                <w:lang w:eastAsia="zh-CN"/>
              </w:rPr>
              <w:t>三线一单</w:t>
            </w:r>
            <w:r>
              <w:rPr>
                <w:rFonts w:hint="eastAsia"/>
                <w:color w:val="auto"/>
                <w:lang w:val="en-US" w:eastAsia="zh-CN"/>
              </w:rPr>
              <w:t>’</w:t>
            </w:r>
            <w:r>
              <w:rPr>
                <w:rFonts w:hint="eastAsia" w:ascii="Times New Roman" w:hAnsi="Times New Roman" w:eastAsia="宋体" w:cs="Times New Roman"/>
                <w:color w:val="auto"/>
                <w:sz w:val="24"/>
                <w:lang w:eastAsia="zh-CN"/>
              </w:rPr>
              <w:t>生态环境管控单元对照分析报告”</w:t>
            </w:r>
            <w:r>
              <w:rPr>
                <w:rFonts w:hint="default" w:ascii="Times New Roman" w:hAnsi="Times New Roman" w:eastAsia="宋体" w:cs="Times New Roman"/>
                <w:color w:val="auto"/>
                <w:sz w:val="24"/>
              </w:rPr>
              <w:t>，根据比对结果：</w:t>
            </w:r>
            <w:r>
              <w:rPr>
                <w:rFonts w:hint="eastAsia" w:ascii="Times New Roman" w:hAnsi="Times New Roman" w:eastAsia="宋体" w:cs="Times New Roman"/>
                <w:color w:val="auto"/>
                <w:sz w:val="24"/>
                <w:lang w:eastAsia="zh-CN"/>
              </w:rPr>
              <w:t>项目用地</w:t>
            </w:r>
            <w:r>
              <w:rPr>
                <w:rFonts w:hint="default" w:ascii="Times New Roman" w:hAnsi="Times New Roman" w:eastAsia="宋体" w:cs="Times New Roman"/>
                <w:color w:val="auto"/>
                <w:sz w:val="24"/>
              </w:rPr>
              <w:t>不涉及生态保护红线。</w:t>
            </w:r>
          </w:p>
          <w:p>
            <w:pPr>
              <w:keepNext w:val="0"/>
              <w:keepLines w:val="0"/>
              <w:pageBreakBefore w:val="0"/>
              <w:widowControl w:val="0"/>
              <w:numPr>
                <w:ilvl w:val="0"/>
                <w:numId w:val="3"/>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olor w:val="auto"/>
                <w:sz w:val="24"/>
                <w:szCs w:val="24"/>
              </w:rPr>
            </w:pPr>
            <w:r>
              <w:rPr>
                <w:rFonts w:hint="default" w:ascii="Times New Roman" w:hAnsi="Times New Roman" w:eastAsia="宋体"/>
                <w:color w:val="auto"/>
                <w:sz w:val="24"/>
                <w:szCs w:val="24"/>
              </w:rPr>
              <w:t>环境质量底线</w:t>
            </w:r>
          </w:p>
          <w:p>
            <w:pPr>
              <w:pStyle w:val="8"/>
              <w:keepNext/>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 w:val="0"/>
                <w:bCs/>
                <w:color w:val="auto"/>
                <w:lang w:val="en-US" w:eastAsia="zh-CN"/>
              </w:rPr>
            </w:pPr>
            <w:r>
              <w:rPr>
                <w:rFonts w:hint="eastAsia" w:ascii="Times New Roman" w:hAnsi="Times New Roman" w:eastAsia="宋体" w:cs="宋体"/>
                <w:b w:val="0"/>
                <w:bCs/>
                <w:color w:val="auto"/>
                <w:sz w:val="24"/>
                <w:szCs w:val="24"/>
                <w:lang w:eastAsia="zh-CN"/>
              </w:rPr>
              <w:t>本项目运营过程中</w:t>
            </w:r>
            <w:r>
              <w:rPr>
                <w:rFonts w:hint="eastAsia" w:eastAsia="宋体" w:cs="宋体"/>
                <w:b w:val="0"/>
                <w:bCs/>
                <w:color w:val="auto"/>
                <w:sz w:val="24"/>
                <w:szCs w:val="24"/>
                <w:lang w:eastAsia="zh-CN"/>
              </w:rPr>
              <w:t>产生的污染物</w:t>
            </w:r>
            <w:r>
              <w:rPr>
                <w:rFonts w:hint="eastAsia" w:ascii="Times New Roman" w:hAnsi="Times New Roman" w:eastAsia="宋体" w:cs="宋体"/>
                <w:b w:val="0"/>
                <w:bCs/>
                <w:color w:val="auto"/>
                <w:sz w:val="24"/>
                <w:szCs w:val="24"/>
                <w:highlight w:val="none"/>
                <w:lang w:eastAsia="zh-CN"/>
              </w:rPr>
              <w:t>经过有效处理后，对周</w:t>
            </w:r>
            <w:r>
              <w:rPr>
                <w:rFonts w:hint="eastAsia" w:ascii="Times New Roman" w:hAnsi="Times New Roman" w:eastAsia="宋体" w:cs="宋体"/>
                <w:b w:val="0"/>
                <w:bCs/>
                <w:color w:val="auto"/>
                <w:sz w:val="24"/>
                <w:szCs w:val="24"/>
                <w:lang w:eastAsia="zh-CN"/>
              </w:rPr>
              <w:t>边环境影响较小，不会触及环境质量底线。</w:t>
            </w:r>
          </w:p>
          <w:p>
            <w:pPr>
              <w:keepNext w:val="0"/>
              <w:keepLines w:val="0"/>
              <w:pageBreakBefore w:val="0"/>
              <w:widowControl w:val="0"/>
              <w:numPr>
                <w:ilvl w:val="0"/>
                <w:numId w:val="3"/>
              </w:numPr>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left"/>
              <w:textAlignment w:val="auto"/>
              <w:rPr>
                <w:rFonts w:hint="default" w:ascii="Times New Roman" w:hAnsi="Times New Roman" w:eastAsia="宋体"/>
                <w:color w:val="auto"/>
                <w:sz w:val="24"/>
                <w:szCs w:val="24"/>
              </w:rPr>
            </w:pPr>
            <w:r>
              <w:rPr>
                <w:rFonts w:hint="default" w:ascii="Times New Roman" w:hAnsi="Times New Roman" w:eastAsia="宋体"/>
                <w:color w:val="auto"/>
                <w:sz w:val="24"/>
                <w:szCs w:val="24"/>
              </w:rPr>
              <w:t>资源利用上线</w:t>
            </w:r>
          </w:p>
          <w:p>
            <w:pPr>
              <w:pStyle w:val="3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360" w:lineRule="auto"/>
              <w:ind w:left="0" w:leftChars="0" w:right="0" w:firstLine="480" w:firstLineChars="200"/>
              <w:jc w:val="left"/>
              <w:textAlignment w:val="auto"/>
              <w:rPr>
                <w:rFonts w:hint="eastAsia" w:ascii="Times New Roman" w:hAnsi="Times New Roman" w:eastAsia="宋体" w:cs="宋体"/>
                <w:bCs w:val="0"/>
                <w:color w:val="auto"/>
                <w:kern w:val="2"/>
                <w:sz w:val="24"/>
                <w:szCs w:val="24"/>
                <w:lang w:val="en-US" w:eastAsia="zh-CN" w:bidi="ar-SA"/>
              </w:rPr>
            </w:pPr>
            <w:r>
              <w:rPr>
                <w:rFonts w:hint="eastAsia" w:ascii="Times New Roman" w:hAnsi="Times New Roman" w:eastAsia="宋体" w:cs="宋体"/>
                <w:bCs w:val="0"/>
                <w:color w:val="auto"/>
                <w:kern w:val="2"/>
                <w:sz w:val="24"/>
                <w:szCs w:val="24"/>
                <w:lang w:val="en-US" w:eastAsia="zh-CN" w:bidi="ar-SA"/>
              </w:rPr>
              <w:t>本项目不属于高耗能高污染的项目，项目用电、土地等资源不会突破区域的资源利用上线。</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lang w:eastAsia="zh-CN"/>
              </w:rPr>
              <w:t>）</w:t>
            </w:r>
            <w:r>
              <w:rPr>
                <w:rFonts w:hint="default" w:ascii="Times New Roman" w:hAnsi="Times New Roman" w:eastAsia="宋体"/>
                <w:color w:val="auto"/>
                <w:sz w:val="24"/>
                <w:szCs w:val="24"/>
              </w:rPr>
              <w:t>与相关环境准入负面清单的符合性分析</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根据《</w:t>
            </w:r>
            <w:r>
              <w:rPr>
                <w:rFonts w:hint="eastAsia" w:ascii="Times New Roman" w:hAnsi="Times New Roman" w:eastAsia="宋体"/>
                <w:color w:val="auto"/>
                <w:sz w:val="24"/>
                <w:szCs w:val="24"/>
                <w:lang w:val="en-US" w:eastAsia="zh-CN"/>
              </w:rPr>
              <w:t>西安市</w:t>
            </w:r>
            <w:r>
              <w:rPr>
                <w:rFonts w:hint="default" w:ascii="Times New Roman" w:hAnsi="Times New Roman" w:eastAsia="宋体"/>
                <w:color w:val="auto"/>
                <w:sz w:val="24"/>
                <w:szCs w:val="24"/>
              </w:rPr>
              <w:t>生态环境分区管控准入清单</w:t>
            </w:r>
            <w:r>
              <w:rPr>
                <w:rFonts w:hint="eastAsia" w:ascii="Times New Roman" w:hAnsi="Times New Roman" w:eastAsia="宋体"/>
                <w:color w:val="auto"/>
                <w:sz w:val="24"/>
                <w:szCs w:val="24"/>
                <w:lang w:eastAsia="zh-CN"/>
              </w:rPr>
              <w:t>》和《</w:t>
            </w:r>
            <w:r>
              <w:rPr>
                <w:rFonts w:hint="eastAsia" w:ascii="Times New Roman" w:hAnsi="Times New Roman" w:eastAsia="宋体"/>
                <w:color w:val="auto"/>
                <w:sz w:val="24"/>
                <w:szCs w:val="24"/>
                <w:lang w:val="en-US" w:eastAsia="zh-CN"/>
              </w:rPr>
              <w:t>市场准入负面清单</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，本项目不属于负面清单所列项目。</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（5）与环境管控单元符合性分析</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ascii="Times New Roman" w:hAnsi="Times New Roman" w:eastAsia="宋体"/>
                <w:color w:val="auto"/>
                <w:sz w:val="24"/>
                <w:szCs w:val="24"/>
                <w:lang w:val="en-US" w:eastAsia="zh-CN"/>
              </w:rPr>
            </w:pPr>
            <w:r>
              <w:rPr>
                <w:rFonts w:hint="default" w:ascii="Times New Roman" w:hAnsi="Times New Roman" w:eastAsia="宋体"/>
                <w:color w:val="auto"/>
                <w:sz w:val="24"/>
                <w:szCs w:val="24"/>
              </w:rPr>
              <w:t>根据《陕西省</w:t>
            </w:r>
            <w:r>
              <w:rPr>
                <w:rFonts w:hint="eastAsia" w:ascii="Times New Roman" w:hAnsi="Times New Roman" w:eastAsia="宋体"/>
                <w:color w:val="auto"/>
                <w:sz w:val="24"/>
                <w:szCs w:val="24"/>
                <w:lang w:eastAsia="zh-CN"/>
              </w:rPr>
              <w:t>“</w:t>
            </w:r>
            <w:r>
              <w:rPr>
                <w:rFonts w:hint="default" w:ascii="Times New Roman" w:hAnsi="Times New Roman" w:eastAsia="宋体"/>
                <w:color w:val="auto"/>
                <w:sz w:val="24"/>
                <w:szCs w:val="24"/>
              </w:rPr>
              <w:t>三线一单</w:t>
            </w:r>
            <w:r>
              <w:rPr>
                <w:rFonts w:hint="eastAsia" w:ascii="Times New Roman" w:hAnsi="Times New Roman" w:eastAsia="宋体"/>
                <w:color w:val="auto"/>
                <w:sz w:val="24"/>
                <w:szCs w:val="24"/>
                <w:lang w:eastAsia="zh-CN"/>
              </w:rPr>
              <w:t>”</w:t>
            </w:r>
            <w:r>
              <w:rPr>
                <w:rFonts w:hint="default" w:ascii="Times New Roman" w:hAnsi="Times New Roman" w:eastAsia="宋体"/>
                <w:color w:val="auto"/>
                <w:sz w:val="24"/>
                <w:szCs w:val="24"/>
              </w:rPr>
              <w:t>生态环境分区管控应用技术指南：环境影响评价（试行）》，环评文件涉及</w:t>
            </w:r>
            <w:r>
              <w:rPr>
                <w:rFonts w:hint="eastAsia" w:ascii="Times New Roman" w:hAnsi="Times New Roman" w:eastAsia="宋体"/>
                <w:color w:val="auto"/>
                <w:sz w:val="24"/>
                <w:szCs w:val="24"/>
                <w:lang w:eastAsia="zh-CN"/>
              </w:rPr>
              <w:t>“</w:t>
            </w:r>
            <w:r>
              <w:rPr>
                <w:rFonts w:hint="default" w:ascii="Times New Roman" w:hAnsi="Times New Roman" w:eastAsia="宋体"/>
                <w:color w:val="auto"/>
                <w:sz w:val="24"/>
                <w:szCs w:val="24"/>
              </w:rPr>
              <w:t>三线一单</w:t>
            </w:r>
            <w:r>
              <w:rPr>
                <w:rFonts w:hint="eastAsia" w:ascii="Times New Roman" w:hAnsi="Times New Roman" w:eastAsia="宋体"/>
                <w:color w:val="auto"/>
                <w:sz w:val="24"/>
                <w:szCs w:val="24"/>
                <w:lang w:eastAsia="zh-CN"/>
              </w:rPr>
              <w:t>”</w:t>
            </w:r>
            <w:r>
              <w:rPr>
                <w:rFonts w:hint="default" w:ascii="Times New Roman" w:hAnsi="Times New Roman" w:eastAsia="宋体"/>
                <w:color w:val="auto"/>
                <w:sz w:val="24"/>
                <w:szCs w:val="24"/>
              </w:rPr>
              <w:t>生态环境分区管控符合性分析应采取</w:t>
            </w:r>
            <w:r>
              <w:rPr>
                <w:rFonts w:hint="eastAsia" w:ascii="Times New Roman" w:hAnsi="Times New Roman" w:eastAsia="宋体"/>
                <w:color w:val="auto"/>
                <w:sz w:val="24"/>
                <w:szCs w:val="24"/>
                <w:lang w:eastAsia="zh-CN"/>
              </w:rPr>
              <w:t>“</w:t>
            </w:r>
            <w:r>
              <w:rPr>
                <w:rFonts w:hint="default" w:ascii="Times New Roman" w:hAnsi="Times New Roman" w:eastAsia="宋体"/>
                <w:color w:val="auto"/>
                <w:sz w:val="24"/>
                <w:szCs w:val="24"/>
              </w:rPr>
              <w:t>一图一表一说明</w:t>
            </w:r>
            <w:r>
              <w:rPr>
                <w:rFonts w:hint="eastAsia" w:ascii="Times New Roman" w:hAnsi="Times New Roman" w:eastAsia="宋体"/>
                <w:color w:val="auto"/>
                <w:sz w:val="24"/>
                <w:szCs w:val="24"/>
                <w:lang w:eastAsia="zh-CN"/>
              </w:rPr>
              <w:t>”</w:t>
            </w:r>
            <w:r>
              <w:rPr>
                <w:rFonts w:hint="default" w:ascii="Times New Roman" w:hAnsi="Times New Roman" w:eastAsia="宋体"/>
                <w:color w:val="auto"/>
                <w:sz w:val="24"/>
                <w:szCs w:val="24"/>
              </w:rPr>
              <w:t>的表达方式</w:t>
            </w:r>
            <w:r>
              <w:rPr>
                <w:rFonts w:hint="eastAsia" w:ascii="Times New Roman" w:hAnsi="Times New Roman" w:eastAsia="宋体"/>
                <w:color w:val="auto"/>
                <w:sz w:val="24"/>
                <w:szCs w:val="24"/>
                <w:lang w:eastAsia="zh-CN"/>
              </w:rPr>
              <w:t>。</w:t>
            </w:r>
            <w:r>
              <w:rPr>
                <w:rFonts w:hint="default" w:ascii="Times New Roman" w:hAnsi="Times New Roman" w:eastAsia="宋体"/>
                <w:color w:val="auto"/>
                <w:sz w:val="24"/>
                <w:szCs w:val="24"/>
              </w:rPr>
              <w:t>本项目与《</w:t>
            </w:r>
            <w:r>
              <w:rPr>
                <w:rFonts w:hint="eastAsia" w:ascii="Times New Roman" w:hAnsi="Times New Roman" w:eastAsia="宋体"/>
                <w:color w:val="auto"/>
                <w:sz w:val="24"/>
                <w:szCs w:val="24"/>
                <w:lang w:eastAsia="zh-CN"/>
              </w:rPr>
              <w:t>西安</w:t>
            </w:r>
            <w:r>
              <w:rPr>
                <w:rFonts w:hint="default" w:ascii="Times New Roman" w:hAnsi="Times New Roman" w:eastAsia="宋体"/>
                <w:color w:val="auto"/>
                <w:sz w:val="24"/>
                <w:szCs w:val="24"/>
              </w:rPr>
              <w:t>市生态环境分区管控准入清单》符合性分析如下。</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①“</w:t>
            </w:r>
            <w:r>
              <w:rPr>
                <w:rFonts w:hint="default" w:ascii="Times New Roman" w:hAnsi="Times New Roman" w:eastAsia="宋体" w:cs="Times New Roman"/>
                <w:color w:val="auto"/>
                <w:sz w:val="24"/>
                <w:szCs w:val="24"/>
                <w:lang w:val="en-US" w:eastAsia="zh-CN"/>
              </w:rPr>
              <w:t>一图</w:t>
            </w:r>
            <w:r>
              <w:rPr>
                <w:rFonts w:hint="eastAsia" w:ascii="Times New Roman" w:hAnsi="Times New Roman" w:eastAsia="宋体" w:cs="Times New Roman"/>
                <w:color w:val="auto"/>
                <w:sz w:val="24"/>
                <w:szCs w:val="24"/>
                <w:lang w:val="en-US"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根据“陕西省“三线一单”数据应用系统”对照分析，本项目位于重点管控单元，项目与环境管控单元对照分析示意图见图1-1。</w:t>
            </w:r>
          </w:p>
          <w:p>
            <w:pPr>
              <w:pStyle w:val="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楷体_GB2312"/>
                <w:color w:val="auto"/>
                <w:lang w:eastAsia="zh-CN"/>
              </w:rPr>
            </w:pPr>
            <w:r>
              <w:rPr>
                <w:rFonts w:hint="eastAsia" w:eastAsia="楷体_GB2312"/>
                <w:color w:val="auto"/>
                <w:lang w:eastAsia="zh-CN"/>
              </w:rPr>
              <w:drawing>
                <wp:inline distT="0" distB="0" distL="114300" distR="114300">
                  <wp:extent cx="4986655" cy="4360545"/>
                  <wp:effectExtent l="0" t="0" r="4445" b="1905"/>
                  <wp:docPr id="7" name="图片 7" descr="e29417251ee7b4ab2243cc4886e9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e29417251ee7b4ab2243cc4886e9352"/>
                          <pic:cNvPicPr>
                            <a:picLocks noChangeAspect="1"/>
                          </pic:cNvPicPr>
                        </pic:nvPicPr>
                        <pic:blipFill>
                          <a:blip r:embed="rId8"/>
                          <a:stretch>
                            <a:fillRect/>
                          </a:stretch>
                        </pic:blipFill>
                        <pic:spPr>
                          <a:xfrm>
                            <a:off x="0" y="0"/>
                            <a:ext cx="4986655" cy="4360545"/>
                          </a:xfrm>
                          <a:prstGeom prst="rect">
                            <a:avLst/>
                          </a:prstGeom>
                        </pic:spPr>
                      </pic:pic>
                    </a:graphicData>
                  </a:graphic>
                </wp:inline>
              </w:drawing>
            </w:r>
          </w:p>
          <w:p>
            <w:pPr>
              <w:pStyle w:val="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auto"/>
                <w:lang w:val="en-US" w:eastAsia="zh-CN"/>
              </w:rPr>
            </w:pPr>
            <w:r>
              <w:rPr>
                <w:rFonts w:hint="default" w:ascii="Times New Roman" w:hAnsi="Times New Roman" w:eastAsia="宋体" w:cs="Times New Roman"/>
                <w:b/>
                <w:bCs/>
                <w:color w:val="auto"/>
                <w:kern w:val="21"/>
                <w:sz w:val="21"/>
                <w:szCs w:val="21"/>
                <w:lang w:val="en-US" w:eastAsia="zh-CN" w:bidi="ar-SA"/>
              </w:rPr>
              <w:t>图1-1  项目与环境管控单元对照分析示意图</w:t>
            </w:r>
            <w:r>
              <w:rPr>
                <w:rFonts w:hint="eastAsia"/>
                <w:color w:val="auto"/>
                <w:lang w:val="en-US" w:eastAsia="zh-CN"/>
              </w:rPr>
              <w:t xml:space="preserve">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②“</w:t>
            </w:r>
            <w:r>
              <w:rPr>
                <w:rFonts w:hint="default" w:ascii="Times New Roman" w:hAnsi="Times New Roman" w:eastAsia="宋体" w:cs="Times New Roman"/>
                <w:color w:val="auto"/>
                <w:sz w:val="24"/>
                <w:szCs w:val="24"/>
                <w:lang w:val="en-US" w:eastAsia="zh-CN"/>
              </w:rPr>
              <w:t>一表</w:t>
            </w:r>
            <w:r>
              <w:rPr>
                <w:rFonts w:hint="eastAsia" w:ascii="Times New Roman" w:hAnsi="Times New Roman" w:eastAsia="宋体" w:cs="Times New Roman"/>
                <w:color w:val="auto"/>
                <w:sz w:val="24"/>
                <w:szCs w:val="24"/>
                <w:lang w:val="en-US"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本项目与环境管控单元符合性分析见表1-1。</w:t>
            </w:r>
          </w:p>
          <w:p>
            <w:pPr>
              <w:keepNext w:val="0"/>
              <w:keepLines w:val="0"/>
              <w:suppressLineNumbers w:val="0"/>
              <w:spacing w:before="0" w:beforeAutospacing="0" w:after="0" w:afterAutospacing="0"/>
              <w:ind w:left="0" w:right="0"/>
              <w:jc w:val="center"/>
              <w:rPr>
                <w:rFonts w:hint="default"/>
                <w:b/>
                <w:bCs/>
                <w:color w:val="auto"/>
                <w:lang w:val="en-US" w:eastAsia="zh-CN"/>
              </w:rPr>
            </w:pPr>
            <w:r>
              <w:rPr>
                <w:rFonts w:hint="eastAsia" w:ascii="Times New Roman" w:eastAsia="宋体"/>
                <w:b/>
                <w:bCs/>
                <w:color w:val="auto"/>
                <w:lang w:val="en-US" w:eastAsia="zh-CN"/>
              </w:rPr>
              <w:t>表1-1  本项目与生态环境分区管控准入清单符合性分析</w:t>
            </w:r>
          </w:p>
          <w:tbl>
            <w:tblPr>
              <w:tblStyle w:val="2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22"/>
              <w:gridCol w:w="474"/>
              <w:gridCol w:w="341"/>
              <w:gridCol w:w="1071"/>
              <w:gridCol w:w="1063"/>
              <w:gridCol w:w="502"/>
              <w:gridCol w:w="1821"/>
              <w:gridCol w:w="1004"/>
              <w:gridCol w:w="1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5" w:hRule="atLeast"/>
                <w:jc w:val="center"/>
              </w:trPr>
              <w:tc>
                <w:tcPr>
                  <w:tcW w:w="261"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53" w:leftChars="-25" w:right="-53" w:rightChars="-25"/>
                    <w:jc w:val="center"/>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val="en-US" w:eastAsia="zh-CN"/>
                    </w:rPr>
                    <w:t>序号</w:t>
                  </w:r>
                </w:p>
              </w:tc>
              <w:tc>
                <w:tcPr>
                  <w:tcW w:w="29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53" w:leftChars="-25" w:right="-53" w:rightChars="-25"/>
                    <w:jc w:val="center"/>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val="en-US" w:eastAsia="zh-CN"/>
                    </w:rPr>
                    <w:t>市（区）</w:t>
                  </w:r>
                </w:p>
              </w:tc>
              <w:tc>
                <w:tcPr>
                  <w:tcW w:w="211"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53" w:leftChars="-25" w:right="-53" w:rightChars="-25"/>
                    <w:jc w:val="center"/>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val="en-US" w:eastAsia="zh-CN"/>
                    </w:rPr>
                    <w:t>区县</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53" w:leftChars="-25" w:right="-53" w:rightChars="-25"/>
                    <w:jc w:val="center"/>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val="en-US" w:eastAsia="zh-CN"/>
                    </w:rPr>
                    <w:t>环境管控单元名称</w:t>
                  </w:r>
                </w:p>
              </w:tc>
              <w:tc>
                <w:tcPr>
                  <w:tcW w:w="658"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53" w:leftChars="-25" w:right="-53" w:rightChars="-25"/>
                    <w:jc w:val="center"/>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val="en-US" w:eastAsia="zh-CN"/>
                    </w:rPr>
                    <w:t>单元要素属性</w:t>
                  </w:r>
                </w:p>
              </w:tc>
              <w:tc>
                <w:tcPr>
                  <w:tcW w:w="310"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53" w:leftChars="-25" w:right="-53" w:rightChars="-25"/>
                    <w:jc w:val="center"/>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val="en-US" w:eastAsia="zh-CN"/>
                    </w:rPr>
                    <w:t>管控单元分类</w:t>
                  </w:r>
                </w:p>
              </w:tc>
              <w:tc>
                <w:tcPr>
                  <w:tcW w:w="1126"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53" w:leftChars="-25" w:right="-53" w:rightChars="-25"/>
                    <w:jc w:val="center"/>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val="en-US" w:eastAsia="zh-CN"/>
                    </w:rPr>
                    <w:t>管控要求</w:t>
                  </w:r>
                </w:p>
              </w:tc>
              <w:tc>
                <w:tcPr>
                  <w:tcW w:w="621"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53" w:leftChars="-25" w:right="-53" w:rightChars="-25"/>
                    <w:jc w:val="center"/>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val="en-US" w:eastAsia="zh-CN"/>
                    </w:rPr>
                    <w:t>面积（m</w:t>
                  </w:r>
                  <w:r>
                    <w:rPr>
                      <w:rFonts w:hint="default" w:ascii="Times New Roman" w:hAnsi="Times New Roman" w:eastAsia="宋体" w:cs="Times New Roman"/>
                      <w:color w:val="auto"/>
                      <w:sz w:val="18"/>
                      <w:szCs w:val="18"/>
                      <w:vertAlign w:val="superscript"/>
                      <w:lang w:val="en-US" w:eastAsia="zh-CN"/>
                    </w:rPr>
                    <w:t>2</w:t>
                  </w:r>
                  <w:r>
                    <w:rPr>
                      <w:rFonts w:hint="default" w:ascii="Times New Roman" w:hAnsi="Times New Roman" w:eastAsia="宋体" w:cs="Times New Roman"/>
                      <w:color w:val="auto"/>
                      <w:sz w:val="18"/>
                      <w:szCs w:val="18"/>
                      <w:lang w:val="en-US" w:eastAsia="zh-CN"/>
                    </w:rPr>
                    <w:t>）</w:t>
                  </w:r>
                </w:p>
              </w:tc>
              <w:tc>
                <w:tcPr>
                  <w:tcW w:w="85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53" w:leftChars="-25" w:right="-53" w:rightChars="-25"/>
                    <w:jc w:val="center"/>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val="en-US" w:eastAsia="zh-CN"/>
                    </w:rPr>
                    <w:t>本项目符合性分析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5" w:hRule="atLeast"/>
                <w:jc w:val="center"/>
              </w:trPr>
              <w:tc>
                <w:tcPr>
                  <w:tcW w:w="261"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53" w:leftChars="-25" w:right="-53" w:rightChars="-25"/>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w:t>
                  </w:r>
                </w:p>
              </w:tc>
              <w:tc>
                <w:tcPr>
                  <w:tcW w:w="29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53" w:leftChars="-25" w:right="-53" w:rightChars="-25"/>
                    <w:jc w:val="center"/>
                    <w:textAlignment w:val="auto"/>
                    <w:rPr>
                      <w:rFonts w:hint="eastAsia"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西安市</w:t>
                  </w:r>
                </w:p>
              </w:tc>
              <w:tc>
                <w:tcPr>
                  <w:tcW w:w="211"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53" w:leftChars="-25" w:right="-53" w:rightChars="-25"/>
                    <w:jc w:val="center"/>
                    <w:textAlignment w:val="auto"/>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莲湖区</w:t>
                  </w:r>
                </w:p>
              </w:tc>
              <w:tc>
                <w:tcPr>
                  <w:tcW w:w="663" w:type="pct"/>
                  <w:tcBorders>
                    <w:tl2br w:val="nil"/>
                    <w:tr2bl w:val="nil"/>
                  </w:tcBorders>
                  <w:shd w:val="clear" w:color="auto" w:fill="auto"/>
                  <w:noWrap/>
                  <w:vAlign w:val="center"/>
                </w:tcPr>
                <w:p>
                  <w:pPr>
                    <w:spacing w:beforeLines="0" w:afterLines="0"/>
                    <w:jc w:val="both"/>
                    <w:rPr>
                      <w:rFonts w:hint="eastAsia" w:ascii="宋体" w:hAnsi="宋体" w:eastAsia="宋体"/>
                      <w:color w:val="auto"/>
                      <w:sz w:val="18"/>
                      <w:szCs w:val="18"/>
                    </w:rPr>
                  </w:pPr>
                  <w:r>
                    <w:rPr>
                      <w:rFonts w:hint="eastAsia" w:ascii="宋体" w:hAnsi="宋体" w:eastAsia="宋体"/>
                      <w:color w:val="auto"/>
                      <w:sz w:val="18"/>
                      <w:szCs w:val="18"/>
                    </w:rPr>
                    <w:t>大气环境受体敏感重点管控区、水环境城镇生活污染重点</w:t>
                  </w:r>
                </w:p>
                <w:p>
                  <w:pPr>
                    <w:spacing w:beforeLines="0" w:afterLines="0"/>
                    <w:jc w:val="both"/>
                    <w:rPr>
                      <w:rFonts w:hint="eastAsia" w:ascii="宋体" w:hAnsi="宋体" w:eastAsia="宋体"/>
                      <w:color w:val="auto"/>
                      <w:sz w:val="18"/>
                      <w:szCs w:val="18"/>
                    </w:rPr>
                  </w:pPr>
                  <w:r>
                    <w:rPr>
                      <w:rFonts w:hint="eastAsia" w:ascii="宋体" w:hAnsi="宋体" w:eastAsia="宋体"/>
                      <w:color w:val="auto"/>
                      <w:sz w:val="18"/>
                      <w:szCs w:val="18"/>
                    </w:rPr>
                    <w:t>管控区、地</w:t>
                  </w:r>
                </w:p>
                <w:p>
                  <w:pPr>
                    <w:spacing w:beforeLines="0" w:afterLines="0"/>
                    <w:jc w:val="both"/>
                    <w:rPr>
                      <w:rFonts w:hint="default" w:ascii="Times New Roman" w:hAnsi="Times New Roman" w:eastAsia="宋体" w:cs="Times New Roman"/>
                      <w:color w:val="auto"/>
                      <w:sz w:val="18"/>
                      <w:szCs w:val="18"/>
                      <w:lang w:val="en-US" w:eastAsia="zh-CN"/>
                    </w:rPr>
                  </w:pPr>
                  <w:r>
                    <w:rPr>
                      <w:rFonts w:hint="eastAsia" w:ascii="宋体" w:hAnsi="宋体" w:eastAsia="宋体"/>
                      <w:color w:val="auto"/>
                      <w:sz w:val="18"/>
                      <w:szCs w:val="18"/>
                    </w:rPr>
                    <w:t>下水开采重点管控区、高污染燃料禁燃区</w:t>
                  </w:r>
                </w:p>
              </w:tc>
              <w:tc>
                <w:tcPr>
                  <w:tcW w:w="658"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53" w:leftChars="-25" w:right="-53" w:rightChars="-25"/>
                    <w:jc w:val="both"/>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大气环境布局敏感重点管控区、水环境城镇生活污染重点管控区、高污染燃料禁燃区</w:t>
                  </w:r>
                </w:p>
              </w:tc>
              <w:tc>
                <w:tcPr>
                  <w:tcW w:w="310"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53" w:leftChars="-25" w:right="-53" w:rightChars="-25"/>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空间布局约束</w:t>
                  </w:r>
                </w:p>
              </w:tc>
              <w:tc>
                <w:tcPr>
                  <w:tcW w:w="1126" w:type="pct"/>
                  <w:tcBorders>
                    <w:tl2br w:val="nil"/>
                    <w:tr2bl w:val="nil"/>
                  </w:tcBorders>
                  <w:shd w:val="clear" w:color="auto" w:fill="auto"/>
                  <w:noWrap/>
                  <w:vAlign w:val="center"/>
                </w:tcPr>
                <w:p>
                  <w:pPr>
                    <w:spacing w:beforeLines="0" w:afterLines="0"/>
                    <w:jc w:val="both"/>
                    <w:rPr>
                      <w:rFonts w:hint="eastAsia" w:ascii="宋体" w:hAnsi="宋体" w:eastAsia="宋体"/>
                      <w:color w:val="auto"/>
                      <w:sz w:val="18"/>
                      <w:szCs w:val="18"/>
                    </w:rPr>
                  </w:pPr>
                  <w:r>
                    <w:rPr>
                      <w:rFonts w:hint="eastAsia" w:cs="Times New Roman"/>
                      <w:color w:val="auto"/>
                      <w:sz w:val="18"/>
                      <w:szCs w:val="18"/>
                      <w:lang w:val="en-US" w:eastAsia="zh-CN"/>
                    </w:rPr>
                    <w:t>大气环境受体敏感重点管控区：1.严格控制新增</w:t>
                  </w:r>
                  <w:r>
                    <w:rPr>
                      <w:rFonts w:hint="eastAsia" w:ascii="宋体" w:hAnsi="宋体" w:eastAsia="宋体"/>
                      <w:color w:val="auto"/>
                      <w:sz w:val="18"/>
                      <w:szCs w:val="18"/>
                    </w:rPr>
                    <w:t>《陕西省</w:t>
                  </w:r>
                  <w:r>
                    <w:rPr>
                      <w:rFonts w:hint="eastAsia" w:ascii="Calibri" w:hAnsi="Calibri" w:eastAsia="宋体"/>
                      <w:color w:val="auto"/>
                      <w:sz w:val="18"/>
                      <w:szCs w:val="18"/>
                      <w:lang w:eastAsia="zh-CN"/>
                    </w:rPr>
                    <w:t>“</w:t>
                  </w:r>
                  <w:r>
                    <w:rPr>
                      <w:rFonts w:hint="eastAsia" w:ascii="宋体" w:hAnsi="宋体" w:eastAsia="宋体"/>
                      <w:color w:val="auto"/>
                      <w:sz w:val="18"/>
                      <w:szCs w:val="18"/>
                    </w:rPr>
                    <w:t>两高</w:t>
                  </w:r>
                  <w:r>
                    <w:rPr>
                      <w:rFonts w:hint="eastAsia" w:ascii="Calibri" w:hAnsi="Calibri" w:eastAsia="宋体"/>
                      <w:color w:val="auto"/>
                      <w:sz w:val="18"/>
                      <w:szCs w:val="18"/>
                      <w:lang w:eastAsia="zh-CN"/>
                    </w:rPr>
                    <w:t>”</w:t>
                  </w:r>
                  <w:r>
                    <w:rPr>
                      <w:rFonts w:hint="eastAsia" w:ascii="宋体" w:hAnsi="宋体" w:eastAsia="宋体"/>
                      <w:color w:val="auto"/>
                      <w:sz w:val="18"/>
                      <w:szCs w:val="18"/>
                    </w:rPr>
                    <w:t>项目管理暂行目录》行业项目（民生等项目除外，后续对</w:t>
                  </w:r>
                  <w:r>
                    <w:rPr>
                      <w:rFonts w:hint="eastAsia" w:ascii="Calibri" w:hAnsi="Calibri" w:eastAsia="宋体"/>
                      <w:color w:val="auto"/>
                      <w:sz w:val="18"/>
                      <w:szCs w:val="18"/>
                      <w:lang w:eastAsia="zh-CN"/>
                    </w:rPr>
                    <w:t>“</w:t>
                  </w:r>
                  <w:r>
                    <w:rPr>
                      <w:rFonts w:hint="eastAsia" w:ascii="宋体" w:hAnsi="宋体" w:eastAsia="宋体"/>
                      <w:color w:val="auto"/>
                      <w:sz w:val="18"/>
                      <w:szCs w:val="18"/>
                    </w:rPr>
                    <w:t>两高</w:t>
                  </w:r>
                  <w:r>
                    <w:rPr>
                      <w:rFonts w:hint="eastAsia" w:ascii="Calibri" w:hAnsi="Calibri" w:eastAsia="宋体"/>
                      <w:color w:val="auto"/>
                      <w:sz w:val="18"/>
                      <w:szCs w:val="18"/>
                      <w:lang w:eastAsia="zh-CN"/>
                    </w:rPr>
                    <w:t>”</w:t>
                  </w:r>
                  <w:r>
                    <w:rPr>
                      <w:rFonts w:hint="eastAsia" w:ascii="宋体" w:hAnsi="宋体" w:eastAsia="宋体"/>
                      <w:color w:val="auto"/>
                      <w:sz w:val="18"/>
                      <w:szCs w:val="18"/>
                    </w:rPr>
                    <w:t>范围国家如有新规定的，从其规定）。</w:t>
                  </w:r>
                  <w:r>
                    <w:rPr>
                      <w:rFonts w:hint="eastAsia" w:ascii="Calibri" w:hAnsi="Calibri" w:eastAsia="Calibri"/>
                      <w:color w:val="auto"/>
                      <w:sz w:val="18"/>
                      <w:szCs w:val="18"/>
                    </w:rPr>
                    <w:t>2.</w:t>
                  </w:r>
                  <w:r>
                    <w:rPr>
                      <w:rFonts w:hint="eastAsia" w:ascii="宋体" w:hAnsi="宋体" w:eastAsia="宋体"/>
                      <w:color w:val="auto"/>
                      <w:sz w:val="18"/>
                      <w:szCs w:val="18"/>
                    </w:rPr>
                    <w:t>严禁新增钢铁、焦化、水泥熟料、平板玻璃、电解铝、氧化铝、煤化工产能。</w:t>
                  </w:r>
                  <w:r>
                    <w:rPr>
                      <w:rFonts w:hint="eastAsia" w:ascii="Calibri" w:hAnsi="Calibri" w:eastAsia="Calibri"/>
                      <w:color w:val="auto"/>
                      <w:sz w:val="18"/>
                      <w:szCs w:val="18"/>
                    </w:rPr>
                    <w:t>3.</w:t>
                  </w:r>
                  <w:r>
                    <w:rPr>
                      <w:rFonts w:hint="eastAsia" w:ascii="宋体" w:hAnsi="宋体" w:eastAsia="宋体"/>
                      <w:color w:val="auto"/>
                      <w:sz w:val="18"/>
                      <w:szCs w:val="18"/>
                    </w:rPr>
                    <w:t>推动重污染企业搬迁入园或依法关闭。</w:t>
                  </w:r>
                </w:p>
                <w:p>
                  <w:pPr>
                    <w:spacing w:beforeLines="0" w:afterLines="0"/>
                    <w:jc w:val="both"/>
                    <w:rPr>
                      <w:rFonts w:hint="default" w:ascii="Times New Roman" w:hAnsi="Times New Roman" w:eastAsia="宋体" w:cs="Times New Roman"/>
                      <w:color w:val="auto"/>
                      <w:sz w:val="18"/>
                      <w:szCs w:val="18"/>
                      <w:lang w:val="en-US" w:eastAsia="zh-CN"/>
                    </w:rPr>
                  </w:pPr>
                  <w:r>
                    <w:rPr>
                      <w:rFonts w:hint="eastAsia" w:ascii="宋体" w:hAnsi="宋体" w:eastAsia="宋体"/>
                      <w:color w:val="auto"/>
                      <w:sz w:val="18"/>
                      <w:szCs w:val="18"/>
                    </w:rPr>
                    <w:t>水环境城镇生活污染重点管控区：</w:t>
                  </w:r>
                  <w:r>
                    <w:rPr>
                      <w:rFonts w:hint="eastAsia" w:ascii="Calibri" w:hAnsi="Calibri" w:eastAsia="Calibri"/>
                      <w:color w:val="auto"/>
                      <w:sz w:val="18"/>
                      <w:szCs w:val="18"/>
                    </w:rPr>
                    <w:t>1.</w:t>
                  </w:r>
                  <w:r>
                    <w:rPr>
                      <w:rFonts w:hint="eastAsia" w:ascii="宋体" w:hAnsi="宋体" w:eastAsia="宋体"/>
                      <w:color w:val="auto"/>
                      <w:sz w:val="18"/>
                      <w:szCs w:val="18"/>
                    </w:rPr>
                    <w:t>持续推进城中村、老旧城区、城乡结合部污水截流、收集和城市雨污管道新建、改建。</w:t>
                  </w:r>
                </w:p>
              </w:tc>
              <w:tc>
                <w:tcPr>
                  <w:tcW w:w="621"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53" w:leftChars="-25" w:right="-53" w:rightChars="-25"/>
                    <w:jc w:val="both"/>
                    <w:textAlignment w:val="auto"/>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1005.35</w:t>
                  </w:r>
                </w:p>
              </w:tc>
              <w:tc>
                <w:tcPr>
                  <w:tcW w:w="85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53" w:leftChars="-25" w:right="-53" w:rightChars="-25"/>
                    <w:jc w:val="both"/>
                    <w:textAlignment w:val="auto"/>
                    <w:rPr>
                      <w:rFonts w:hint="eastAsia" w:ascii="宋体" w:hAnsi="宋体"/>
                      <w:color w:val="auto"/>
                      <w:sz w:val="18"/>
                      <w:szCs w:val="18"/>
                      <w:lang w:eastAsia="zh-CN"/>
                    </w:rPr>
                  </w:pPr>
                  <w:r>
                    <w:rPr>
                      <w:rFonts w:hint="eastAsia" w:cs="Times New Roman"/>
                      <w:color w:val="auto"/>
                      <w:sz w:val="18"/>
                      <w:szCs w:val="18"/>
                      <w:lang w:val="en-US" w:eastAsia="zh-CN"/>
                    </w:rPr>
                    <w:t>本项目为眼科医院项目，不属于</w:t>
                  </w:r>
                  <w:r>
                    <w:rPr>
                      <w:rFonts w:hint="eastAsia" w:ascii="Calibri" w:hAnsi="Calibri" w:eastAsia="宋体"/>
                      <w:color w:val="auto"/>
                      <w:sz w:val="18"/>
                      <w:szCs w:val="18"/>
                      <w:lang w:eastAsia="zh-CN"/>
                    </w:rPr>
                    <w:t>“</w:t>
                  </w:r>
                  <w:r>
                    <w:rPr>
                      <w:rFonts w:hint="eastAsia" w:ascii="宋体" w:hAnsi="宋体" w:eastAsia="宋体"/>
                      <w:color w:val="auto"/>
                      <w:sz w:val="18"/>
                      <w:szCs w:val="18"/>
                    </w:rPr>
                    <w:t>两高</w:t>
                  </w:r>
                  <w:r>
                    <w:rPr>
                      <w:rFonts w:hint="eastAsia" w:ascii="Calibri" w:hAnsi="Calibri" w:eastAsia="宋体"/>
                      <w:color w:val="auto"/>
                      <w:sz w:val="18"/>
                      <w:szCs w:val="18"/>
                      <w:lang w:eastAsia="zh-CN"/>
                    </w:rPr>
                    <w:t>”</w:t>
                  </w:r>
                  <w:r>
                    <w:rPr>
                      <w:rFonts w:hint="eastAsia" w:ascii="宋体" w:hAnsi="宋体" w:eastAsia="宋体"/>
                      <w:color w:val="auto"/>
                      <w:sz w:val="18"/>
                      <w:szCs w:val="18"/>
                    </w:rPr>
                    <w:t>项目</w:t>
                  </w:r>
                  <w:r>
                    <w:rPr>
                      <w:rFonts w:hint="eastAsia" w:ascii="宋体" w:hAnsi="宋体"/>
                      <w:color w:val="auto"/>
                      <w:sz w:val="18"/>
                      <w:szCs w:val="18"/>
                      <w:lang w:eastAsia="zh-CN"/>
                    </w:rPr>
                    <w:t>，不属于</w:t>
                  </w:r>
                  <w:r>
                    <w:rPr>
                      <w:rFonts w:hint="eastAsia" w:ascii="宋体" w:hAnsi="宋体" w:eastAsia="宋体"/>
                      <w:color w:val="auto"/>
                      <w:sz w:val="18"/>
                      <w:szCs w:val="18"/>
                    </w:rPr>
                    <w:t>钢铁、焦化、水泥熟料、平板玻璃、电解铝、氧化铝、煤化工</w:t>
                  </w:r>
                  <w:r>
                    <w:rPr>
                      <w:rFonts w:hint="eastAsia" w:ascii="宋体" w:hAnsi="宋体"/>
                      <w:color w:val="auto"/>
                      <w:sz w:val="18"/>
                      <w:szCs w:val="18"/>
                      <w:lang w:eastAsia="zh-CN"/>
                    </w:rPr>
                    <w:t>项目，不属于重污染企业。</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53" w:leftChars="-25" w:right="-53" w:rightChars="-25"/>
                    <w:jc w:val="both"/>
                    <w:textAlignment w:val="auto"/>
                    <w:rPr>
                      <w:rFonts w:hint="eastAsia" w:ascii="宋体" w:hAnsi="宋体"/>
                      <w:color w:val="auto"/>
                      <w:sz w:val="18"/>
                      <w:szCs w:val="18"/>
                      <w:lang w:val="en-US" w:eastAsia="zh-CN"/>
                    </w:rPr>
                  </w:pPr>
                  <w:r>
                    <w:rPr>
                      <w:rFonts w:hint="eastAsia" w:ascii="宋体" w:hAnsi="宋体"/>
                      <w:color w:val="auto"/>
                      <w:sz w:val="18"/>
                      <w:szCs w:val="18"/>
                      <w:lang w:eastAsia="zh-CN"/>
                    </w:rPr>
                    <w:t>本项目产生的废水经过收集处理后排入城镇污水管网。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261"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53" w:leftChars="-25" w:right="-53" w:rightChars="-25"/>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2</w:t>
                  </w:r>
                </w:p>
              </w:tc>
              <w:tc>
                <w:tcPr>
                  <w:tcW w:w="29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53" w:leftChars="-25" w:right="-53" w:rightChars="-25"/>
                    <w:jc w:val="center"/>
                    <w:textAlignment w:val="auto"/>
                    <w:rPr>
                      <w:rFonts w:hint="eastAsia"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西安市</w:t>
                  </w:r>
                </w:p>
              </w:tc>
              <w:tc>
                <w:tcPr>
                  <w:tcW w:w="211"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53" w:leftChars="-25" w:right="-53" w:rightChars="-25"/>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53" w:leftChars="-25" w:right="-53" w:rightChars="-25"/>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c>
                <w:tcPr>
                  <w:tcW w:w="658"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53" w:leftChars="-25" w:right="-53" w:rightChars="-25"/>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c>
                <w:tcPr>
                  <w:tcW w:w="310"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53" w:leftChars="-25" w:right="-53" w:rightChars="-25"/>
                    <w:jc w:val="center"/>
                    <w:textAlignment w:val="auto"/>
                    <w:rPr>
                      <w:rFonts w:hint="eastAsia"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空间布局约束</w:t>
                  </w:r>
                </w:p>
              </w:tc>
              <w:tc>
                <w:tcPr>
                  <w:tcW w:w="1126" w:type="pct"/>
                  <w:tcBorders>
                    <w:tl2br w:val="nil"/>
                    <w:tr2bl w:val="nil"/>
                  </w:tcBorders>
                  <w:shd w:val="clear" w:color="auto" w:fill="auto"/>
                  <w:noWrap/>
                  <w:vAlign w:val="center"/>
                </w:tcPr>
                <w:p>
                  <w:pPr>
                    <w:spacing w:beforeLines="0" w:afterLines="0"/>
                    <w:jc w:val="both"/>
                    <w:rPr>
                      <w:rFonts w:hint="eastAsia" w:ascii="宋体" w:hAnsi="宋体" w:eastAsia="宋体"/>
                      <w:color w:val="auto"/>
                      <w:sz w:val="18"/>
                      <w:szCs w:val="18"/>
                    </w:rPr>
                  </w:pPr>
                  <w:r>
                    <w:rPr>
                      <w:rFonts w:hint="eastAsia" w:ascii="Calibri" w:hAnsi="Calibri" w:eastAsia="Calibri"/>
                      <w:color w:val="auto"/>
                      <w:sz w:val="18"/>
                      <w:szCs w:val="18"/>
                    </w:rPr>
                    <w:t xml:space="preserve">1 </w:t>
                  </w:r>
                  <w:r>
                    <w:rPr>
                      <w:rFonts w:hint="eastAsia" w:ascii="宋体" w:hAnsi="宋体" w:eastAsia="宋体"/>
                      <w:color w:val="auto"/>
                      <w:sz w:val="18"/>
                      <w:szCs w:val="18"/>
                    </w:rPr>
                    <w:t>执行国家及地方法律法规、规章对国家公园、自然保护区、风景名胜区、世界自然和文化遗产、饮用水水源保护区、生态保护红线、自然公园（森林公园、湿地公园、地质公园、沙漠公园等）、水产种质资源保护区、重要湿地、国家级公益林等保护区域的禁止性和限制性要求。</w:t>
                  </w:r>
                </w:p>
                <w:p>
                  <w:pPr>
                    <w:spacing w:beforeLines="0" w:afterLines="0"/>
                    <w:jc w:val="both"/>
                    <w:rPr>
                      <w:rFonts w:hint="default" w:ascii="宋体" w:hAnsi="宋体" w:eastAsia="宋体"/>
                      <w:color w:val="auto"/>
                      <w:sz w:val="18"/>
                      <w:szCs w:val="18"/>
                      <w:lang w:val="en-US" w:eastAsia="zh-CN"/>
                    </w:rPr>
                  </w:pPr>
                  <w:r>
                    <w:rPr>
                      <w:rFonts w:hint="eastAsia" w:ascii="Calibri" w:hAnsi="Calibri" w:eastAsia="Calibri"/>
                      <w:color w:val="auto"/>
                      <w:sz w:val="18"/>
                      <w:szCs w:val="18"/>
                    </w:rPr>
                    <w:t xml:space="preserve">2 </w:t>
                  </w:r>
                  <w:r>
                    <w:rPr>
                      <w:rFonts w:hint="eastAsia" w:ascii="宋体" w:hAnsi="宋体" w:eastAsia="宋体"/>
                      <w:color w:val="auto"/>
                      <w:sz w:val="18"/>
                      <w:szCs w:val="18"/>
                    </w:rPr>
                    <w:t>执行《市场准入负面清单（</w:t>
                  </w:r>
                  <w:r>
                    <w:rPr>
                      <w:rFonts w:hint="eastAsia" w:ascii="Calibri" w:hAnsi="Calibri" w:eastAsia="Calibri"/>
                      <w:color w:val="auto"/>
                      <w:sz w:val="18"/>
                      <w:szCs w:val="18"/>
                    </w:rPr>
                    <w:t xml:space="preserve">2022 </w:t>
                  </w:r>
                  <w:r>
                    <w:rPr>
                      <w:rFonts w:hint="eastAsia" w:ascii="宋体" w:hAnsi="宋体" w:eastAsia="宋体"/>
                      <w:color w:val="auto"/>
                      <w:sz w:val="18"/>
                      <w:szCs w:val="18"/>
                    </w:rPr>
                    <w:t>年版）》《产业结构调整指导目录（</w:t>
                  </w:r>
                  <w:r>
                    <w:rPr>
                      <w:rFonts w:hint="eastAsia" w:ascii="Calibri" w:hAnsi="Calibri" w:eastAsia="Calibri"/>
                      <w:color w:val="auto"/>
                      <w:sz w:val="18"/>
                      <w:szCs w:val="18"/>
                    </w:rPr>
                    <w:t xml:space="preserve">2019 </w:t>
                  </w:r>
                  <w:r>
                    <w:rPr>
                      <w:rFonts w:hint="eastAsia" w:ascii="宋体" w:hAnsi="宋体" w:eastAsia="宋体"/>
                      <w:color w:val="auto"/>
                      <w:sz w:val="18"/>
                      <w:szCs w:val="18"/>
                    </w:rPr>
                    <w:t>年本）》及《国家发展改革委关于修改</w:t>
                  </w:r>
                  <w:r>
                    <w:rPr>
                      <w:rFonts w:hint="eastAsia" w:ascii="Calibri" w:hAnsi="Calibri" w:eastAsia="Calibri"/>
                      <w:color w:val="auto"/>
                      <w:sz w:val="18"/>
                      <w:szCs w:val="18"/>
                    </w:rPr>
                    <w:t>&lt;</w:t>
                  </w:r>
                  <w:r>
                    <w:rPr>
                      <w:rFonts w:hint="eastAsia" w:ascii="宋体" w:hAnsi="宋体" w:eastAsia="宋体"/>
                      <w:color w:val="auto"/>
                      <w:sz w:val="18"/>
                      <w:szCs w:val="18"/>
                    </w:rPr>
                    <w:t>产业结构调整指导目录（</w:t>
                  </w:r>
                  <w:r>
                    <w:rPr>
                      <w:rFonts w:hint="eastAsia" w:ascii="Calibri" w:hAnsi="Calibri" w:eastAsia="Calibri"/>
                      <w:color w:val="auto"/>
                      <w:sz w:val="18"/>
                      <w:szCs w:val="18"/>
                    </w:rPr>
                    <w:t xml:space="preserve">2019 </w:t>
                  </w:r>
                  <w:r>
                    <w:rPr>
                      <w:rFonts w:hint="eastAsia" w:ascii="宋体" w:hAnsi="宋体" w:eastAsia="宋体"/>
                      <w:color w:val="auto"/>
                      <w:sz w:val="18"/>
                      <w:szCs w:val="18"/>
                    </w:rPr>
                    <w:t>年本）</w:t>
                  </w:r>
                  <w:r>
                    <w:rPr>
                      <w:rFonts w:hint="eastAsia" w:ascii="Calibri" w:hAnsi="Calibri" w:eastAsia="Calibri"/>
                      <w:color w:val="auto"/>
                      <w:sz w:val="18"/>
                      <w:szCs w:val="18"/>
                    </w:rPr>
                    <w:t>&gt;</w:t>
                  </w:r>
                  <w:r>
                    <w:rPr>
                      <w:rFonts w:hint="eastAsia" w:ascii="宋体" w:hAnsi="宋体" w:eastAsia="宋体"/>
                      <w:color w:val="auto"/>
                      <w:sz w:val="18"/>
                      <w:szCs w:val="18"/>
                    </w:rPr>
                    <w:t>的决定》。</w:t>
                  </w:r>
                </w:p>
              </w:tc>
              <w:tc>
                <w:tcPr>
                  <w:tcW w:w="621"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53" w:leftChars="-25" w:right="-53" w:rightChars="-25"/>
                    <w:jc w:val="both"/>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w:t>
                  </w:r>
                  <w:r>
                    <w:rPr>
                      <w:rFonts w:hint="eastAsia" w:cs="Times New Roman"/>
                      <w:color w:val="auto"/>
                      <w:sz w:val="18"/>
                      <w:szCs w:val="18"/>
                      <w:lang w:val="en-US" w:eastAsia="zh-CN"/>
                    </w:rPr>
                    <w:t>005.35</w:t>
                  </w:r>
                </w:p>
              </w:tc>
              <w:tc>
                <w:tcPr>
                  <w:tcW w:w="85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53" w:leftChars="-25" w:right="-53" w:rightChars="-25"/>
                    <w:jc w:val="both"/>
                    <w:textAlignment w:val="auto"/>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本项目</w:t>
                  </w:r>
                  <w:r>
                    <w:rPr>
                      <w:rFonts w:hint="eastAsia" w:cs="Times New Roman"/>
                      <w:color w:val="auto"/>
                      <w:sz w:val="18"/>
                      <w:szCs w:val="18"/>
                      <w:lang w:val="en-US" w:eastAsia="zh-CN"/>
                    </w:rPr>
                    <w:t>周边500m范围的敏感目标包括东侧180m处国家级文物保护单位：西安明城墙，本项目为眼科医院项目，各污染物经过处理后均能达标排放，不会对城墙产生影响</w:t>
                  </w:r>
                  <w:r>
                    <w:rPr>
                      <w:rFonts w:hint="eastAsia" w:ascii="Times New Roman" w:hAnsi="Times New Roman" w:eastAsia="宋体" w:cs="Times New Roman"/>
                      <w:color w:val="auto"/>
                      <w:sz w:val="18"/>
                      <w:szCs w:val="18"/>
                      <w:lang w:val="en-US"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53" w:leftChars="-25" w:right="-53" w:rightChars="-25"/>
                    <w:jc w:val="both"/>
                    <w:textAlignment w:val="auto"/>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本项目不属于负面清单内项目类型，属于允许类项目。</w:t>
                  </w:r>
                </w:p>
              </w:tc>
            </w:tr>
          </w:tbl>
          <w:p>
            <w:pPr>
              <w:pStyle w:val="39"/>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jc w:val="left"/>
              <w:textAlignment w:val="auto"/>
              <w:rPr>
                <w:rFonts w:hint="eastAsia" w:ascii="Times New Roman" w:hAnsi="Times New Roman" w:eastAsia="宋体" w:cs="Times New Roman"/>
                <w:color w:val="auto"/>
                <w:kern w:val="0"/>
                <w:sz w:val="24"/>
                <w:szCs w:val="21"/>
                <w:lang w:val="en-US" w:eastAsia="zh-CN" w:bidi="ar"/>
              </w:rPr>
            </w:pPr>
            <w:r>
              <w:rPr>
                <w:rFonts w:hint="eastAsia" w:ascii="Times New Roman" w:hAnsi="Times New Roman" w:eastAsia="宋体" w:cs="Times New Roman"/>
                <w:color w:val="auto"/>
                <w:kern w:val="0"/>
                <w:sz w:val="24"/>
                <w:szCs w:val="21"/>
                <w:lang w:val="en-US" w:eastAsia="zh-CN" w:bidi="ar"/>
              </w:rPr>
              <w:t>③“一说明”</w:t>
            </w:r>
          </w:p>
          <w:p>
            <w:pPr>
              <w:pStyle w:val="5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kern w:val="0"/>
                <w:sz w:val="24"/>
                <w:szCs w:val="24"/>
                <w:highlight w:val="none"/>
                <w:lang w:val="en-US" w:eastAsia="zh-CN" w:bidi="ar-SA"/>
              </w:rPr>
            </w:pPr>
            <w:r>
              <w:rPr>
                <w:rFonts w:hint="eastAsia" w:ascii="Calibri" w:hAnsi="Calibri" w:eastAsia="宋体" w:cs="宋体"/>
                <w:color w:val="auto"/>
                <w:kern w:val="0"/>
                <w:sz w:val="24"/>
                <w:szCs w:val="24"/>
                <w:highlight w:val="none"/>
                <w:lang w:val="en-US" w:eastAsia="zh-CN" w:bidi="ar-SA"/>
              </w:rPr>
              <w:t>本项目位于西安市莲湖区环城西路玉祥门盘道东南角，属于西安市“三线一单”生态环境管控单元中的“重点</w:t>
            </w:r>
            <w:r>
              <w:rPr>
                <w:rFonts w:hint="default" w:ascii="Times New Roman" w:hAnsi="Times New Roman" w:eastAsia="宋体" w:cs="Times New Roman"/>
                <w:color w:val="auto"/>
                <w:kern w:val="0"/>
                <w:sz w:val="24"/>
                <w:szCs w:val="24"/>
                <w:highlight w:val="none"/>
                <w:lang w:val="en-US" w:eastAsia="zh-CN" w:bidi="ar-SA"/>
              </w:rPr>
              <w:t>管控单元”。根据表1-1符合性分析，项目符合所在环境单元的管控要求。</w:t>
            </w:r>
          </w:p>
          <w:p>
            <w:pPr>
              <w:keepLines w:val="0"/>
              <w:pageBreakBefore w:val="0"/>
              <w:kinsoku/>
              <w:wordWrap/>
              <w:overflowPunct/>
              <w:topLinePunct w:val="0"/>
              <w:bidi w:val="0"/>
              <w:spacing w:line="360" w:lineRule="auto"/>
              <w:ind w:firstLine="480" w:firstLineChars="200"/>
              <w:rPr>
                <w:rFonts w:hint="eastAsia" w:ascii="Times New Roman" w:hAnsi="Times New Roman" w:cs="Times New Roman"/>
                <w:color w:val="auto"/>
                <w:sz w:val="24"/>
                <w:highlight w:val="none"/>
              </w:rPr>
            </w:pPr>
            <w:r>
              <w:rPr>
                <w:rFonts w:hint="default" w:ascii="Times New Roman" w:hAnsi="Times New Roman" w:cs="Times New Roman"/>
                <w:color w:val="auto"/>
                <w:kern w:val="0"/>
                <w:sz w:val="24"/>
                <w:highlight w:val="none"/>
              </w:rPr>
              <w:t>综上分析，本项目符合《</w:t>
            </w:r>
            <w:r>
              <w:rPr>
                <w:rFonts w:hint="eastAsia" w:ascii="Times New Roman" w:hAnsi="Times New Roman" w:cs="Times New Roman"/>
                <w:color w:val="auto"/>
                <w:kern w:val="0"/>
                <w:sz w:val="24"/>
                <w:highlight w:val="none"/>
                <w:lang w:eastAsia="zh-CN"/>
              </w:rPr>
              <w:t>西安</w:t>
            </w:r>
            <w:r>
              <w:rPr>
                <w:rFonts w:hint="default" w:ascii="Times New Roman" w:hAnsi="Times New Roman" w:cs="Times New Roman"/>
                <w:color w:val="auto"/>
                <w:kern w:val="0"/>
                <w:sz w:val="24"/>
                <w:highlight w:val="none"/>
              </w:rPr>
              <w:t>市人民政府关于印发</w:t>
            </w:r>
            <w:r>
              <w:rPr>
                <w:rFonts w:hint="eastAsia" w:ascii="Times New Roman" w:hAnsi="Times New Roman" w:cs="Times New Roman"/>
                <w:color w:val="auto"/>
                <w:kern w:val="0"/>
                <w:sz w:val="24"/>
                <w:highlight w:val="none"/>
                <w:lang w:eastAsia="zh-CN"/>
              </w:rPr>
              <w:t>西安</w:t>
            </w:r>
            <w:r>
              <w:rPr>
                <w:rFonts w:hint="default" w:ascii="Times New Roman" w:hAnsi="Times New Roman" w:cs="Times New Roman"/>
                <w:color w:val="auto"/>
                <w:kern w:val="0"/>
                <w:sz w:val="24"/>
                <w:highlight w:val="none"/>
              </w:rPr>
              <w:t>市</w:t>
            </w:r>
            <w:r>
              <w:rPr>
                <w:rFonts w:hint="eastAsia" w:ascii="Times New Roman" w:hAnsi="Times New Roman" w:cs="Times New Roman"/>
                <w:color w:val="auto"/>
                <w:kern w:val="0"/>
                <w:sz w:val="24"/>
                <w:highlight w:val="none"/>
                <w:lang w:eastAsia="zh-CN"/>
              </w:rPr>
              <w:t>“</w:t>
            </w:r>
            <w:r>
              <w:rPr>
                <w:rFonts w:hint="default" w:ascii="Times New Roman" w:hAnsi="Times New Roman" w:cs="Times New Roman"/>
                <w:color w:val="auto"/>
                <w:kern w:val="0"/>
                <w:sz w:val="24"/>
                <w:highlight w:val="none"/>
              </w:rPr>
              <w:t>三线一单</w:t>
            </w:r>
            <w:r>
              <w:rPr>
                <w:rFonts w:hint="eastAsia" w:ascii="Times New Roman" w:hAnsi="Times New Roman" w:cs="Times New Roman"/>
                <w:color w:val="auto"/>
                <w:kern w:val="0"/>
                <w:sz w:val="24"/>
                <w:highlight w:val="none"/>
                <w:lang w:eastAsia="zh-CN"/>
              </w:rPr>
              <w:t>”</w:t>
            </w:r>
            <w:r>
              <w:rPr>
                <w:rFonts w:hint="default" w:ascii="Times New Roman" w:hAnsi="Times New Roman" w:cs="Times New Roman"/>
                <w:color w:val="auto"/>
                <w:kern w:val="0"/>
                <w:sz w:val="24"/>
                <w:highlight w:val="none"/>
              </w:rPr>
              <w:t>生态环境分区管控方案的通知》（</w:t>
            </w:r>
            <w:r>
              <w:rPr>
                <w:rFonts w:hint="eastAsia" w:ascii="Times New Roman" w:hAnsi="Times New Roman" w:cs="Times New Roman"/>
                <w:color w:val="auto"/>
                <w:kern w:val="0"/>
                <w:sz w:val="24"/>
                <w:highlight w:val="none"/>
                <w:lang w:eastAsia="zh-CN"/>
              </w:rPr>
              <w:t>市</w:t>
            </w:r>
            <w:r>
              <w:rPr>
                <w:rFonts w:hint="default" w:ascii="Times New Roman" w:hAnsi="Times New Roman" w:cs="Times New Roman"/>
                <w:color w:val="auto"/>
                <w:kern w:val="0"/>
                <w:sz w:val="24"/>
                <w:highlight w:val="none"/>
              </w:rPr>
              <w:t>政</w:t>
            </w:r>
            <w:r>
              <w:rPr>
                <w:rFonts w:hint="default" w:ascii="Times New Roman" w:hAnsi="Times New Roman" w:cs="Times New Roman"/>
                <w:color w:val="auto"/>
                <w:sz w:val="24"/>
                <w:highlight w:val="none"/>
              </w:rPr>
              <w:t>发〔2021〕</w:t>
            </w:r>
            <w:r>
              <w:rPr>
                <w:rFonts w:hint="eastAsia" w:ascii="Times New Roman" w:hAnsi="Times New Roman" w:cs="Times New Roman"/>
                <w:color w:val="auto"/>
                <w:sz w:val="24"/>
                <w:highlight w:val="none"/>
                <w:lang w:val="en-US" w:eastAsia="zh-CN"/>
              </w:rPr>
              <w:t>22</w:t>
            </w:r>
            <w:r>
              <w:rPr>
                <w:rFonts w:hint="default" w:ascii="Times New Roman" w:hAnsi="Times New Roman" w:cs="Times New Roman"/>
                <w:color w:val="auto"/>
                <w:sz w:val="24"/>
                <w:highlight w:val="none"/>
              </w:rPr>
              <w:t>号）中</w:t>
            </w:r>
            <w:r>
              <w:rPr>
                <w:rFonts w:hint="eastAsia" w:ascii="Times New Roman" w:hAnsi="Times New Roman" w:eastAsia="宋体" w:cs="Times New Roman"/>
                <w:color w:val="auto"/>
                <w:sz w:val="24"/>
                <w:highlight w:val="none"/>
                <w:lang w:eastAsia="zh-CN"/>
              </w:rPr>
              <w:t>西安市</w:t>
            </w:r>
            <w:r>
              <w:rPr>
                <w:rFonts w:hint="eastAsia" w:ascii="Times New Roman" w:hAnsi="Times New Roman" w:cs="Times New Roman"/>
                <w:color w:val="auto"/>
                <w:sz w:val="24"/>
                <w:highlight w:val="none"/>
                <w:lang w:eastAsia="zh-CN"/>
              </w:rPr>
              <w:t>莲湖区重点管控单元</w:t>
            </w:r>
            <w:r>
              <w:rPr>
                <w:rFonts w:hint="eastAsia" w:ascii="Times New Roman" w:hAnsi="Times New Roman" w:cs="Times New Roman"/>
                <w:color w:val="auto"/>
                <w:sz w:val="24"/>
                <w:highlight w:val="none"/>
              </w:rPr>
              <w:t>相关要求。</w:t>
            </w:r>
          </w:p>
          <w:p>
            <w:pPr>
              <w:keepLines w:val="0"/>
              <w:pageBreakBefore w:val="0"/>
              <w:kinsoku/>
              <w:wordWrap/>
              <w:overflowPunct/>
              <w:topLinePunct w:val="0"/>
              <w:bidi w:val="0"/>
              <w:spacing w:line="360" w:lineRule="auto"/>
              <w:ind w:firstLine="482" w:firstLineChars="200"/>
              <w:rPr>
                <w:b/>
                <w:bCs/>
                <w:color w:val="auto"/>
                <w:sz w:val="24"/>
                <w:szCs w:val="24"/>
              </w:rPr>
            </w:pPr>
            <w:r>
              <w:rPr>
                <w:rFonts w:hint="eastAsia"/>
                <w:b/>
                <w:bCs/>
                <w:color w:val="auto"/>
                <w:sz w:val="24"/>
                <w:szCs w:val="24"/>
                <w:lang w:val="en-US" w:eastAsia="zh-CN"/>
              </w:rPr>
              <w:t>4</w:t>
            </w:r>
            <w:r>
              <w:rPr>
                <w:rFonts w:hint="eastAsia"/>
                <w:b/>
                <w:bCs/>
                <w:color w:val="auto"/>
                <w:sz w:val="24"/>
                <w:szCs w:val="24"/>
              </w:rPr>
              <w:t>、项目与相关政策符合性分析</w:t>
            </w:r>
          </w:p>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b/>
                <w:bCs/>
                <w:color w:val="auto"/>
                <w:kern w:val="21"/>
                <w:sz w:val="21"/>
                <w:szCs w:val="21"/>
              </w:rPr>
            </w:pPr>
            <w:r>
              <w:rPr>
                <w:rFonts w:hint="eastAsia"/>
                <w:b/>
                <w:bCs/>
                <w:color w:val="auto"/>
                <w:kern w:val="21"/>
                <w:sz w:val="21"/>
                <w:szCs w:val="21"/>
              </w:rPr>
              <w:t>表1-</w:t>
            </w:r>
            <w:r>
              <w:rPr>
                <w:rFonts w:hint="eastAsia"/>
                <w:b/>
                <w:bCs/>
                <w:color w:val="auto"/>
                <w:kern w:val="21"/>
                <w:sz w:val="21"/>
                <w:szCs w:val="21"/>
                <w:lang w:val="en-US" w:eastAsia="zh-CN"/>
              </w:rPr>
              <w:t xml:space="preserve">2 </w:t>
            </w:r>
            <w:r>
              <w:rPr>
                <w:rFonts w:hint="eastAsia"/>
                <w:b/>
                <w:bCs/>
                <w:color w:val="auto"/>
                <w:kern w:val="21"/>
                <w:sz w:val="21"/>
                <w:szCs w:val="21"/>
              </w:rPr>
              <w:t>本项目与相关政策符合性分析</w:t>
            </w:r>
          </w:p>
          <w:tbl>
            <w:tblPr>
              <w:tblStyle w:val="25"/>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2"/>
              <w:gridCol w:w="3778"/>
              <w:gridCol w:w="2032"/>
              <w:gridCol w:w="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991" w:type="pct"/>
                  <w:tcBorders>
                    <w:tl2br w:val="nil"/>
                    <w:tr2bl w:val="nil"/>
                  </w:tcBorders>
                  <w:vAlign w:val="center"/>
                </w:tcPr>
                <w:p>
                  <w:pPr>
                    <w:keepNext/>
                    <w:keepLines w:val="0"/>
                    <w:pageBreakBefore w:val="0"/>
                    <w:widowControl w:val="0"/>
                    <w:kinsoku/>
                    <w:wordWrap/>
                    <w:overflowPunct/>
                    <w:topLinePunct w:val="0"/>
                    <w:autoSpaceDE/>
                    <w:autoSpaceDN/>
                    <w:bidi w:val="0"/>
                    <w:spacing w:line="240" w:lineRule="auto"/>
                    <w:ind w:firstLine="0" w:firstLineChars="0"/>
                    <w:jc w:val="center"/>
                    <w:textAlignment w:val="auto"/>
                    <w:rPr>
                      <w:b/>
                      <w:bCs/>
                      <w:color w:val="auto"/>
                      <w:sz w:val="21"/>
                      <w:szCs w:val="21"/>
                    </w:rPr>
                  </w:pPr>
                  <w:r>
                    <w:rPr>
                      <w:b/>
                      <w:bCs/>
                      <w:color w:val="auto"/>
                      <w:sz w:val="21"/>
                      <w:szCs w:val="21"/>
                    </w:rPr>
                    <w:t>规划</w:t>
                  </w:r>
                </w:p>
              </w:tc>
              <w:tc>
                <w:tcPr>
                  <w:tcW w:w="2339" w:type="pct"/>
                  <w:tcBorders>
                    <w:tl2br w:val="nil"/>
                    <w:tr2bl w:val="nil"/>
                  </w:tcBorders>
                  <w:vAlign w:val="center"/>
                </w:tcPr>
                <w:p>
                  <w:pPr>
                    <w:keepNext/>
                    <w:keepLines w:val="0"/>
                    <w:pageBreakBefore w:val="0"/>
                    <w:widowControl w:val="0"/>
                    <w:kinsoku/>
                    <w:wordWrap/>
                    <w:overflowPunct/>
                    <w:topLinePunct w:val="0"/>
                    <w:autoSpaceDE/>
                    <w:autoSpaceDN/>
                    <w:bidi w:val="0"/>
                    <w:spacing w:line="240" w:lineRule="auto"/>
                    <w:ind w:firstLine="0" w:firstLineChars="0"/>
                    <w:jc w:val="center"/>
                    <w:textAlignment w:val="auto"/>
                    <w:rPr>
                      <w:b/>
                      <w:bCs/>
                      <w:color w:val="auto"/>
                      <w:sz w:val="21"/>
                      <w:szCs w:val="21"/>
                    </w:rPr>
                  </w:pPr>
                  <w:r>
                    <w:rPr>
                      <w:b/>
                      <w:bCs/>
                      <w:color w:val="auto"/>
                      <w:sz w:val="21"/>
                      <w:szCs w:val="21"/>
                    </w:rPr>
                    <w:t>规划内容</w:t>
                  </w:r>
                </w:p>
              </w:tc>
              <w:tc>
                <w:tcPr>
                  <w:tcW w:w="1258" w:type="pct"/>
                  <w:tcBorders>
                    <w:tl2br w:val="nil"/>
                    <w:tr2bl w:val="nil"/>
                  </w:tcBorders>
                  <w:vAlign w:val="center"/>
                </w:tcPr>
                <w:p>
                  <w:pPr>
                    <w:keepNext/>
                    <w:keepLines w:val="0"/>
                    <w:pageBreakBefore w:val="0"/>
                    <w:widowControl w:val="0"/>
                    <w:kinsoku/>
                    <w:wordWrap/>
                    <w:overflowPunct/>
                    <w:topLinePunct w:val="0"/>
                    <w:autoSpaceDE/>
                    <w:autoSpaceDN/>
                    <w:bidi w:val="0"/>
                    <w:spacing w:line="240" w:lineRule="auto"/>
                    <w:ind w:firstLine="0" w:firstLineChars="0"/>
                    <w:jc w:val="center"/>
                    <w:textAlignment w:val="auto"/>
                    <w:rPr>
                      <w:b/>
                      <w:bCs/>
                      <w:color w:val="auto"/>
                      <w:sz w:val="21"/>
                      <w:szCs w:val="21"/>
                    </w:rPr>
                  </w:pPr>
                  <w:r>
                    <w:rPr>
                      <w:b/>
                      <w:bCs/>
                      <w:color w:val="auto"/>
                      <w:sz w:val="21"/>
                      <w:szCs w:val="21"/>
                    </w:rPr>
                    <w:t>本项目情况</w:t>
                  </w:r>
                </w:p>
              </w:tc>
              <w:tc>
                <w:tcPr>
                  <w:tcW w:w="410" w:type="pct"/>
                  <w:tcBorders>
                    <w:tl2br w:val="nil"/>
                    <w:tr2bl w:val="nil"/>
                  </w:tcBorders>
                  <w:vAlign w:val="center"/>
                </w:tcPr>
                <w:p>
                  <w:pPr>
                    <w:keepNext/>
                    <w:keepLines w:val="0"/>
                    <w:pageBreakBefore w:val="0"/>
                    <w:widowControl w:val="0"/>
                    <w:kinsoku/>
                    <w:wordWrap/>
                    <w:overflowPunct/>
                    <w:topLinePunct w:val="0"/>
                    <w:autoSpaceDE/>
                    <w:autoSpaceDN/>
                    <w:bidi w:val="0"/>
                    <w:spacing w:line="240" w:lineRule="auto"/>
                    <w:ind w:firstLine="0" w:firstLineChars="0"/>
                    <w:jc w:val="center"/>
                    <w:textAlignment w:val="auto"/>
                    <w:rPr>
                      <w:b/>
                      <w:bCs/>
                      <w:color w:val="auto"/>
                      <w:sz w:val="21"/>
                      <w:szCs w:val="21"/>
                    </w:rPr>
                  </w:pPr>
                  <w:r>
                    <w:rPr>
                      <w:b/>
                      <w:bCs/>
                      <w:color w:val="auto"/>
                      <w:sz w:val="21"/>
                      <w:szCs w:val="21"/>
                    </w:rPr>
                    <w:t>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1" w:type="pct"/>
                  <w:tcBorders>
                    <w:tl2br w:val="nil"/>
                    <w:tr2bl w:val="nil"/>
                  </w:tcBorders>
                  <w:vAlign w:val="center"/>
                </w:tcPr>
                <w:p>
                  <w:pPr>
                    <w:keepNext/>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eastAsia="宋体"/>
                      <w:b w:val="0"/>
                      <w:bCs w:val="0"/>
                      <w:color w:val="auto"/>
                      <w:sz w:val="21"/>
                      <w:szCs w:val="21"/>
                      <w:lang w:val="en-US" w:eastAsia="zh-CN"/>
                    </w:rPr>
                  </w:pPr>
                  <w:r>
                    <w:rPr>
                      <w:rFonts w:hint="eastAsia"/>
                      <w:b w:val="0"/>
                      <w:bCs w:val="0"/>
                      <w:color w:val="auto"/>
                      <w:sz w:val="21"/>
                      <w:szCs w:val="21"/>
                      <w:lang w:val="en-US" w:eastAsia="zh-CN"/>
                    </w:rPr>
                    <w:t>《医疗废物管理条例》</w:t>
                  </w:r>
                </w:p>
              </w:tc>
              <w:tc>
                <w:tcPr>
                  <w:tcW w:w="2339" w:type="pct"/>
                  <w:tcBorders>
                    <w:tl2br w:val="nil"/>
                    <w:tr2bl w:val="nil"/>
                  </w:tcBorders>
                  <w:vAlign w:val="center"/>
                </w:tcPr>
                <w:p>
                  <w:pPr>
                    <w:pStyle w:val="24"/>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color w:val="auto"/>
                      <w:lang w:val="en-US" w:eastAsia="zh-CN"/>
                    </w:rPr>
                  </w:pPr>
                  <w:r>
                    <w:rPr>
                      <w:rFonts w:hint="eastAsia"/>
                      <w:color w:val="auto"/>
                    </w:rPr>
                    <w:t>医疗卫生机构和医疗废物集中处置单位，应当依照《中华人民共和国固体废物污染环境防治法》的规定，执行危险废物转移联单管理制度。</w:t>
                  </w:r>
                </w:p>
                <w:p>
                  <w:pPr>
                    <w:pStyle w:val="24"/>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color w:val="auto"/>
                    </w:rPr>
                  </w:pPr>
                  <w:r>
                    <w:rPr>
                      <w:rFonts w:hint="eastAsia"/>
                      <w:color w:val="auto"/>
                    </w:rPr>
                    <w:t>医疗卫生机构和医疗废物集中处置单位，应当对医疗废物进行登记，登记内容应当包括医疗废物的来源、种类、重量或者数量、交接时间、处置方法、最终去向以及经办人签名等项目。登记资料至少保存3年。</w:t>
                  </w:r>
                </w:p>
                <w:p>
                  <w:pPr>
                    <w:pStyle w:val="24"/>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color w:val="auto"/>
                    </w:rPr>
                  </w:pPr>
                  <w:r>
                    <w:rPr>
                      <w:rFonts w:hint="eastAsia"/>
                      <w:color w:val="auto"/>
                    </w:rPr>
                    <w:t>医疗卫生机构和医疗废物集中处置单位，应当采取有效措施，防止医疗废物流失、泄漏、扩散。</w:t>
                  </w:r>
                </w:p>
                <w:p>
                  <w:pPr>
                    <w:pStyle w:val="24"/>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color w:val="auto"/>
                    </w:rPr>
                  </w:pPr>
                  <w:r>
                    <w:rPr>
                      <w:rFonts w:hint="eastAsia"/>
                      <w:color w:val="auto"/>
                    </w:rPr>
                    <w:t>禁止任何单位和个人转让、买卖医疗废物。禁止在运送过程中丢弃医疗废物；禁止在非贮存地点倾倒、堆放医疗废物或者将医疗废物混入其他废物和生活垃圾。</w:t>
                  </w:r>
                </w:p>
                <w:p>
                  <w:pPr>
                    <w:pStyle w:val="24"/>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color w:val="auto"/>
                    </w:rPr>
                  </w:pPr>
                  <w:r>
                    <w:rPr>
                      <w:rFonts w:hint="eastAsia"/>
                      <w:color w:val="auto"/>
                    </w:rPr>
                    <w:t>禁止邮寄医疗废物。禁止通过铁路、航空运输医疗废物。有陆路通道的，禁止通过水路运输医疗废物；没有陆路通道必需经水路运输医疗废物的，应当经设区的市级以上人民政府环境保护行政主管部门批准，并采取严格的环境保护措施后，方可通过水路运输。禁止将医疗废物与旅客在同一运输工具上载运。禁止在饮用水源保护区的水体上运输医疗废物。</w:t>
                  </w:r>
                </w:p>
                <w:p>
                  <w:pPr>
                    <w:rPr>
                      <w:color w:val="auto"/>
                    </w:rPr>
                  </w:pPr>
                  <w:r>
                    <w:rPr>
                      <w:rFonts w:hint="eastAsia" w:ascii="Times New Roman" w:hAnsi="Times New Roman" w:eastAsia="宋体" w:cs="Times New Roman"/>
                      <w:color w:val="auto"/>
                      <w:kern w:val="2"/>
                      <w:sz w:val="21"/>
                      <w:szCs w:val="20"/>
                      <w:lang w:val="en-US" w:eastAsia="zh-CN" w:bidi="ar-SA"/>
                    </w:rPr>
                    <w:t>医疗卫生机构应当建立医疗废物的暂时贮存设施、设备，不得露天存放医疗废物；医疗废物暂时贮存的时间不得超过2天。</w:t>
                  </w:r>
                </w:p>
              </w:tc>
              <w:tc>
                <w:tcPr>
                  <w:tcW w:w="1258" w:type="pct"/>
                  <w:tcBorders>
                    <w:tl2br w:val="nil"/>
                    <w:tr2bl w:val="nil"/>
                  </w:tcBorders>
                  <w:vAlign w:val="center"/>
                </w:tcPr>
                <w:p>
                  <w:pPr>
                    <w:keepNext/>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eastAsia="宋体"/>
                      <w:b w:val="0"/>
                      <w:bCs w:val="0"/>
                      <w:color w:val="auto"/>
                      <w:sz w:val="21"/>
                      <w:szCs w:val="21"/>
                      <w:lang w:eastAsia="zh-CN"/>
                    </w:rPr>
                  </w:pPr>
                  <w:r>
                    <w:rPr>
                      <w:rFonts w:hint="eastAsia"/>
                      <w:b w:val="0"/>
                      <w:bCs w:val="0"/>
                      <w:color w:val="auto"/>
                      <w:sz w:val="21"/>
                      <w:szCs w:val="21"/>
                      <w:lang w:eastAsia="zh-CN"/>
                    </w:rPr>
                    <w:t>企业应按照《</w:t>
                  </w:r>
                  <w:r>
                    <w:rPr>
                      <w:rFonts w:hint="eastAsia"/>
                      <w:b w:val="0"/>
                      <w:bCs w:val="0"/>
                      <w:color w:val="auto"/>
                      <w:sz w:val="21"/>
                      <w:szCs w:val="21"/>
                      <w:lang w:val="en-US" w:eastAsia="zh-CN"/>
                    </w:rPr>
                    <w:t>医疗废物管理条例</w:t>
                  </w:r>
                  <w:r>
                    <w:rPr>
                      <w:rFonts w:hint="eastAsia"/>
                      <w:b w:val="0"/>
                      <w:bCs w:val="0"/>
                      <w:color w:val="auto"/>
                      <w:sz w:val="21"/>
                      <w:szCs w:val="21"/>
                      <w:lang w:eastAsia="zh-CN"/>
                    </w:rPr>
                    <w:t>》及其他的医废相关法律法规规定执行。</w:t>
                  </w:r>
                </w:p>
              </w:tc>
              <w:tc>
                <w:tcPr>
                  <w:tcW w:w="410" w:type="pct"/>
                  <w:tcBorders>
                    <w:tl2br w:val="nil"/>
                    <w:tr2bl w:val="nil"/>
                  </w:tcBorders>
                  <w:vAlign w:val="center"/>
                </w:tcPr>
                <w:p>
                  <w:pPr>
                    <w:keepNext/>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eastAsia="宋体"/>
                      <w:b w:val="0"/>
                      <w:bCs w:val="0"/>
                      <w:color w:val="auto"/>
                      <w:sz w:val="21"/>
                      <w:szCs w:val="21"/>
                      <w:lang w:eastAsia="zh-CN"/>
                    </w:rPr>
                  </w:pPr>
                  <w:r>
                    <w:rPr>
                      <w:rFonts w:hint="eastAsia"/>
                      <w:b w:val="0"/>
                      <w:bCs w:val="0"/>
                      <w:color w:val="auto"/>
                      <w:sz w:val="21"/>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jc w:val="center"/>
              </w:trPr>
              <w:tc>
                <w:tcPr>
                  <w:tcW w:w="99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kern w:val="0"/>
                      <w:sz w:val="21"/>
                      <w:szCs w:val="21"/>
                    </w:rPr>
                  </w:pPr>
                  <w:r>
                    <w:rPr>
                      <w:bCs/>
                      <w:color w:val="auto"/>
                      <w:sz w:val="21"/>
                      <w:szCs w:val="21"/>
                    </w:rPr>
                    <w:t>《医院污水处理工程技术规范》</w:t>
                  </w:r>
                  <w:r>
                    <w:rPr>
                      <w:color w:val="auto"/>
                      <w:kern w:val="0"/>
                      <w:sz w:val="21"/>
                      <w:szCs w:val="21"/>
                    </w:rPr>
                    <w:t>（HJ2029-</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color w:val="auto"/>
                      <w:kern w:val="0"/>
                      <w:sz w:val="21"/>
                      <w:szCs w:val="21"/>
                    </w:rPr>
                    <w:t>2013）</w:t>
                  </w:r>
                </w:p>
              </w:tc>
              <w:tc>
                <w:tcPr>
                  <w:tcW w:w="2339" w:type="pct"/>
                  <w:tcBorders>
                    <w:tl2br w:val="nil"/>
                    <w:tr2bl w:val="nil"/>
                  </w:tcBorders>
                  <w:vAlign w:val="center"/>
                </w:tcPr>
                <w:p>
                  <w:pPr>
                    <w:keepNext w:val="0"/>
                    <w:keepLines w:val="0"/>
                    <w:pageBreakBefore w:val="0"/>
                    <w:widowControl w:val="0"/>
                    <w:numPr>
                      <w:ilvl w:val="0"/>
                      <w:numId w:val="4"/>
                    </w:numPr>
                    <w:kinsoku/>
                    <w:wordWrap/>
                    <w:overflowPunct/>
                    <w:topLinePunct w:val="0"/>
                    <w:autoSpaceDE/>
                    <w:autoSpaceDN/>
                    <w:bidi w:val="0"/>
                    <w:adjustRightInd w:val="0"/>
                    <w:snapToGrid w:val="0"/>
                    <w:spacing w:line="240" w:lineRule="auto"/>
                    <w:ind w:firstLine="0" w:firstLineChars="0"/>
                    <w:jc w:val="left"/>
                    <w:textAlignment w:val="auto"/>
                    <w:rPr>
                      <w:rFonts w:hint="eastAsia" w:cs="Times New Roman"/>
                      <w:color w:val="auto"/>
                      <w:sz w:val="21"/>
                      <w:szCs w:val="21"/>
                      <w:lang w:val="en-US" w:eastAsia="zh-CN"/>
                    </w:rPr>
                  </w:pPr>
                  <w:r>
                    <w:rPr>
                      <w:rFonts w:hint="eastAsia" w:cs="Times New Roman"/>
                      <w:color w:val="auto"/>
                      <w:sz w:val="21"/>
                      <w:szCs w:val="21"/>
                      <w:lang w:val="en-US" w:eastAsia="zh-CN"/>
                    </w:rPr>
                    <w:t>医院污水处理工程应该采用成熟可靠的技术、工艺和设备。</w:t>
                  </w:r>
                </w:p>
                <w:p>
                  <w:pPr>
                    <w:keepNext w:val="0"/>
                    <w:keepLines w:val="0"/>
                    <w:pageBreakBefore w:val="0"/>
                    <w:widowControl w:val="0"/>
                    <w:numPr>
                      <w:ilvl w:val="0"/>
                      <w:numId w:val="4"/>
                    </w:numPr>
                    <w:kinsoku/>
                    <w:wordWrap/>
                    <w:overflowPunct/>
                    <w:topLinePunct w:val="0"/>
                    <w:autoSpaceDE/>
                    <w:autoSpaceDN/>
                    <w:bidi w:val="0"/>
                    <w:adjustRightInd w:val="0"/>
                    <w:snapToGrid w:val="0"/>
                    <w:spacing w:line="240" w:lineRule="auto"/>
                    <w:ind w:firstLine="0" w:firstLineChars="0"/>
                    <w:jc w:val="left"/>
                    <w:textAlignment w:val="auto"/>
                    <w:rPr>
                      <w:rFonts w:hint="default" w:cs="Times New Roman"/>
                      <w:color w:val="auto"/>
                      <w:sz w:val="21"/>
                      <w:szCs w:val="21"/>
                      <w:lang w:val="en-US" w:eastAsia="zh-CN"/>
                    </w:rPr>
                  </w:pPr>
                  <w:r>
                    <w:rPr>
                      <w:rFonts w:hint="eastAsia" w:cs="Times New Roman"/>
                      <w:color w:val="auto"/>
                      <w:sz w:val="21"/>
                      <w:szCs w:val="21"/>
                      <w:lang w:val="en-US" w:eastAsia="zh-CN"/>
                    </w:rPr>
                    <w:t>医院污水处理工程污染物排放应满足GB18466和地方污染物排放标准的有关要求。</w:t>
                  </w:r>
                </w:p>
              </w:tc>
              <w:tc>
                <w:tcPr>
                  <w:tcW w:w="1258" w:type="pc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eastAsia" w:cs="Times New Roman"/>
                      <w:b w:val="0"/>
                      <w:bCs w:val="0"/>
                      <w:color w:val="auto"/>
                      <w:sz w:val="21"/>
                      <w:szCs w:val="21"/>
                      <w:vertAlign w:val="baseline"/>
                      <w:lang w:val="en-US" w:eastAsia="zh-CN"/>
                    </w:rPr>
                  </w:pPr>
                  <w:r>
                    <w:rPr>
                      <w:rFonts w:hint="eastAsia"/>
                      <w:color w:val="auto"/>
                      <w:sz w:val="21"/>
                      <w:szCs w:val="21"/>
                      <w:lang w:val="en-US" w:eastAsia="zh-CN"/>
                    </w:rPr>
                    <w:t>本项目</w:t>
                  </w:r>
                  <w:r>
                    <w:rPr>
                      <w:rFonts w:hint="eastAsia"/>
                      <w:color w:val="auto"/>
                      <w:sz w:val="21"/>
                      <w:szCs w:val="21"/>
                      <w:lang w:eastAsia="zh-CN"/>
                    </w:rPr>
                    <w:t>医疗废水采用</w:t>
                  </w:r>
                  <w:r>
                    <w:rPr>
                      <w:rFonts w:ascii="Times New Roman" w:hAnsi="Times New Roman" w:eastAsia="宋体" w:cs="Times New Roman"/>
                      <w:color w:val="auto"/>
                      <w:sz w:val="21"/>
                      <w:szCs w:val="21"/>
                    </w:rPr>
                    <w:t>缺氧+好氧+沉降+消毒</w:t>
                  </w:r>
                  <w:r>
                    <w:rPr>
                      <w:rFonts w:hint="eastAsia" w:cs="Times New Roman"/>
                      <w:color w:val="auto"/>
                      <w:sz w:val="21"/>
                      <w:szCs w:val="21"/>
                      <w:lang w:eastAsia="zh-CN"/>
                    </w:rPr>
                    <w:t>，</w:t>
                  </w:r>
                  <w:r>
                    <w:rPr>
                      <w:rFonts w:ascii="Times New Roman" w:hAnsi="Times New Roman" w:eastAsia="宋体" w:cs="Times New Roman"/>
                      <w:color w:val="auto"/>
                      <w:sz w:val="21"/>
                      <w:szCs w:val="21"/>
                    </w:rPr>
                    <w:t>处理能力20t/d，</w:t>
                  </w:r>
                  <w:r>
                    <w:rPr>
                      <w:rFonts w:hint="eastAsia"/>
                      <w:color w:val="auto"/>
                      <w:sz w:val="21"/>
                      <w:szCs w:val="21"/>
                      <w:lang w:eastAsia="zh-CN"/>
                    </w:rPr>
                    <w:t>处理达标后通过市政管网进入</w:t>
                  </w:r>
                  <w:r>
                    <w:rPr>
                      <w:rFonts w:hint="eastAsia" w:ascii="Times New Roman" w:hAnsi="Times New Roman" w:eastAsia="宋体" w:cs="Times New Roman"/>
                      <w:b w:val="0"/>
                      <w:bCs w:val="0"/>
                      <w:color w:val="auto"/>
                      <w:sz w:val="21"/>
                      <w:szCs w:val="21"/>
                      <w:vertAlign w:val="baseline"/>
                      <w:lang w:val="en-US" w:eastAsia="zh-CN"/>
                    </w:rPr>
                    <w:t>西安市第一污水处理厂一期</w:t>
                  </w:r>
                  <w:r>
                    <w:rPr>
                      <w:rFonts w:hint="eastAsia" w:cs="Times New Roman"/>
                      <w:b w:val="0"/>
                      <w:bCs w:val="0"/>
                      <w:color w:val="auto"/>
                      <w:sz w:val="21"/>
                      <w:szCs w:val="21"/>
                      <w:vertAlign w:val="baseline"/>
                      <w:lang w:val="en-US" w:eastAsia="zh-CN"/>
                    </w:rPr>
                    <w:t>，该工艺为成熟可靠的技术。</w:t>
                  </w:r>
                </w:p>
              </w:tc>
              <w:tc>
                <w:tcPr>
                  <w:tcW w:w="410" w:type="pct"/>
                  <w:tcBorders>
                    <w:tl2br w:val="nil"/>
                    <w:tr2bl w:val="nil"/>
                  </w:tcBorders>
                  <w:vAlign w:val="center"/>
                </w:tcPr>
                <w:p>
                  <w:pPr>
                    <w:keepNext/>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eastAsia="宋体"/>
                      <w:color w:val="auto"/>
                      <w:sz w:val="21"/>
                      <w:szCs w:val="21"/>
                      <w:lang w:eastAsia="zh-CN"/>
                    </w:rPr>
                  </w:pPr>
                  <w:r>
                    <w:rPr>
                      <w:rFonts w:hint="eastAsia"/>
                      <w:color w:val="auto"/>
                      <w:sz w:val="21"/>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2" w:hRule="atLeast"/>
                <w:jc w:val="center"/>
              </w:trPr>
              <w:tc>
                <w:tcPr>
                  <w:tcW w:w="99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《关于印发医疗机构废弃物综合治理工作方案的通知》（国卫医发〔2020〕3号）</w:t>
                  </w:r>
                </w:p>
              </w:tc>
              <w:tc>
                <w:tcPr>
                  <w:tcW w:w="233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严禁混合医疗废物、生活垃圾和输液瓶（袋），严禁混放各类医疗废物。规范医疗废物贮存场所（设施）管理，不得露天存放。及时告知并将医疗废物交由持有危险废物经营许可证的集中处置单位，执行转移联单并做好交接登记，资料保存不少于3年。医疗废物集中处置单位要配备数量充足的收集、转运周转设施和具备相关资质的车辆，至少每2天到医疗机构收集、转运一次医疗废物。</w:t>
                  </w:r>
                </w:p>
              </w:tc>
              <w:tc>
                <w:tcPr>
                  <w:tcW w:w="12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eastAsia="zh-CN"/>
                    </w:rPr>
                  </w:pPr>
                  <w:r>
                    <w:rPr>
                      <w:rFonts w:hint="eastAsia" w:cs="Times New Roman"/>
                      <w:color w:val="auto"/>
                      <w:kern w:val="0"/>
                      <w:sz w:val="21"/>
                      <w:szCs w:val="21"/>
                      <w:lang w:eastAsia="zh-CN"/>
                    </w:rPr>
                    <w:t>本项目设置医废暂存间，医疗废物和输液瓶（袋）等均分类存放，定期交由危险废物单位进行处置。</w:t>
                  </w:r>
                  <w:r>
                    <w:rPr>
                      <w:rFonts w:hint="eastAsia"/>
                      <w:b w:val="0"/>
                      <w:bCs w:val="0"/>
                      <w:color w:val="auto"/>
                      <w:sz w:val="21"/>
                      <w:szCs w:val="21"/>
                      <w:lang w:eastAsia="zh-CN"/>
                    </w:rPr>
                    <w:t>企业应</w:t>
                  </w:r>
                  <w:r>
                    <w:rPr>
                      <w:rFonts w:hint="eastAsia" w:cs="Times New Roman"/>
                      <w:color w:val="auto"/>
                      <w:kern w:val="0"/>
                      <w:sz w:val="21"/>
                      <w:szCs w:val="21"/>
                      <w:lang w:eastAsia="zh-CN"/>
                    </w:rPr>
                    <w:t>做好医疗废物台账、转移联单等，并按照规定保存。</w:t>
                  </w:r>
                </w:p>
              </w:tc>
              <w:tc>
                <w:tcPr>
                  <w:tcW w:w="410" w:type="pct"/>
                  <w:tcBorders>
                    <w:tl2br w:val="nil"/>
                    <w:tr2bl w:val="nil"/>
                  </w:tcBorders>
                  <w:vAlign w:val="center"/>
                </w:tcPr>
                <w:p>
                  <w:pPr>
                    <w:keepNext/>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eastAsia="宋体"/>
                      <w:color w:val="auto"/>
                      <w:sz w:val="21"/>
                      <w:szCs w:val="21"/>
                      <w:lang w:eastAsia="zh-CN"/>
                    </w:rPr>
                  </w:pPr>
                  <w:r>
                    <w:rPr>
                      <w:rFonts w:hint="eastAsia"/>
                      <w:color w:val="auto"/>
                      <w:sz w:val="21"/>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2" w:hRule="atLeast"/>
                <w:jc w:val="center"/>
              </w:trPr>
              <w:tc>
                <w:tcPr>
                  <w:tcW w:w="99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《医疗机构管理条例》、《医疗机构管理条例实施细则》、《陕西省医疗机构管理条例实施办法》</w:t>
                  </w:r>
                </w:p>
              </w:tc>
              <w:tc>
                <w:tcPr>
                  <w:tcW w:w="233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根据西安市人民政府医疗机构设置审批的规定：对符合《医疗机构管理条例》、《医疗机构管理条例实施细则》以及《陕西省医疗机构管理条例实施办法》审批要求，同意设置的发给《设置医疗机构批准书》。</w:t>
                  </w:r>
                </w:p>
              </w:tc>
              <w:tc>
                <w:tcPr>
                  <w:tcW w:w="12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auto"/>
                      <w:kern w:val="0"/>
                      <w:sz w:val="21"/>
                      <w:szCs w:val="21"/>
                      <w:lang w:eastAsia="zh-CN"/>
                    </w:rPr>
                  </w:pPr>
                  <w:r>
                    <w:rPr>
                      <w:rFonts w:hint="eastAsia" w:cs="Times New Roman"/>
                      <w:color w:val="auto"/>
                      <w:kern w:val="0"/>
                      <w:sz w:val="21"/>
                      <w:szCs w:val="21"/>
                      <w:lang w:eastAsia="zh-CN"/>
                    </w:rPr>
                    <w:t>本项目为医疗机构新建项目，正在办理医疗机构手续。</w:t>
                  </w:r>
                </w:p>
              </w:tc>
              <w:tc>
                <w:tcPr>
                  <w:tcW w:w="410" w:type="pct"/>
                  <w:tcBorders>
                    <w:tl2br w:val="nil"/>
                    <w:tr2bl w:val="nil"/>
                  </w:tcBorders>
                  <w:vAlign w:val="center"/>
                </w:tcPr>
                <w:p>
                  <w:pPr>
                    <w:keepNext/>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color w:val="auto"/>
                      <w:sz w:val="21"/>
                      <w:szCs w:val="21"/>
                      <w:lang w:eastAsia="zh-CN"/>
                    </w:rPr>
                  </w:pPr>
                  <w:r>
                    <w:rPr>
                      <w:rFonts w:hint="eastAsia"/>
                      <w:color w:val="auto"/>
                      <w:sz w:val="21"/>
                      <w:szCs w:val="21"/>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2" w:hRule="atLeast"/>
                <w:jc w:val="center"/>
              </w:trPr>
              <w:tc>
                <w:tcPr>
                  <w:tcW w:w="99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2"/>
                      <w:sz w:val="21"/>
                      <w:szCs w:val="21"/>
                      <w:lang w:val="en-US" w:eastAsia="zh-CN" w:bidi="ar-SA"/>
                    </w:rPr>
                    <w:t>《西安市国民经济和社会发展第十四个五年规划和二O三五年远景目标纲要》</w:t>
                  </w:r>
                </w:p>
              </w:tc>
              <w:tc>
                <w:tcPr>
                  <w:tcW w:w="233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kern w:val="2"/>
                      <w:sz w:val="21"/>
                      <w:szCs w:val="21"/>
                      <w:lang w:val="en-US" w:eastAsia="zh-CN" w:bidi="ar-SA"/>
                    </w:rPr>
                    <w:t>把保障人民健康放在优先发展的战略位置，不断完善公共卫生服务体系，深化医药卫生体制改革，加大高质量医疗服务供给，建设高标准区域卫生健康中心。加强各级医疗卫生机构基础施和能力建设，加快优质医疗资源扩容。</w:t>
                  </w:r>
                </w:p>
              </w:tc>
              <w:tc>
                <w:tcPr>
                  <w:tcW w:w="1258" w:type="pct"/>
                  <w:tcBorders>
                    <w:tl2br w:val="nil"/>
                    <w:tr2bl w:val="nil"/>
                  </w:tcBorders>
                  <w:vAlign w:val="center"/>
                </w:tcPr>
                <w:p>
                  <w:pPr>
                    <w:keepLines w:val="0"/>
                    <w:pageBreakBefore w:val="0"/>
                    <w:widowControl w:val="0"/>
                    <w:kinsoku/>
                    <w:wordWrap/>
                    <w:overflowPunct/>
                    <w:topLinePunct w:val="0"/>
                    <w:autoSpaceDE/>
                    <w:autoSpaceDN/>
                    <w:bidi w:val="0"/>
                    <w:spacing w:line="240" w:lineRule="auto"/>
                    <w:textAlignment w:val="auto"/>
                    <w:rPr>
                      <w:rFonts w:hint="eastAsia" w:cs="Times New Roman"/>
                      <w:color w:val="auto"/>
                      <w:kern w:val="0"/>
                      <w:sz w:val="21"/>
                      <w:szCs w:val="21"/>
                      <w:lang w:eastAsia="zh-CN"/>
                    </w:rPr>
                  </w:pPr>
                  <w:r>
                    <w:rPr>
                      <w:rFonts w:hint="default" w:ascii="Times New Roman" w:hAnsi="Times New Roman" w:eastAsia="宋体" w:cs="Times New Roman"/>
                      <w:color w:val="auto"/>
                      <w:kern w:val="2"/>
                      <w:sz w:val="21"/>
                      <w:szCs w:val="21"/>
                      <w:lang w:val="en-US" w:eastAsia="zh-CN" w:bidi="ar-SA"/>
                    </w:rPr>
                    <w:t>本项目为</w:t>
                  </w:r>
                  <w:r>
                    <w:rPr>
                      <w:rFonts w:hint="eastAsia" w:ascii="Times New Roman" w:hAnsi="Times New Roman" w:cs="Times New Roman"/>
                      <w:color w:val="auto"/>
                      <w:kern w:val="2"/>
                      <w:sz w:val="21"/>
                      <w:szCs w:val="21"/>
                      <w:lang w:val="en-US" w:eastAsia="zh-CN" w:bidi="ar-SA"/>
                    </w:rPr>
                    <w:t>眼科专科医院建设项目</w:t>
                  </w:r>
                  <w:r>
                    <w:rPr>
                      <w:rFonts w:hint="default" w:ascii="Times New Roman" w:hAnsi="Times New Roman" w:eastAsia="宋体" w:cs="Times New Roman"/>
                      <w:color w:val="auto"/>
                      <w:kern w:val="2"/>
                      <w:sz w:val="21"/>
                      <w:szCs w:val="21"/>
                      <w:lang w:val="en-US" w:eastAsia="zh-CN" w:bidi="ar-SA"/>
                    </w:rPr>
                    <w:t>，本项目的建设有利于完善公共卫生服务体系，促进医疗卫生机构基础施和能力建设。</w:t>
                  </w:r>
                </w:p>
              </w:tc>
              <w:tc>
                <w:tcPr>
                  <w:tcW w:w="4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eastAsia="zh-CN"/>
                    </w:rPr>
                  </w:pPr>
                  <w:r>
                    <w:rPr>
                      <w:rFonts w:hint="eastAsia" w:ascii="Times New Roman" w:hAnsi="Times New Roman" w:eastAsia="宋体" w:cs="Times New Roman"/>
                      <w:color w:val="auto"/>
                      <w:sz w:val="21"/>
                      <w:szCs w:val="21"/>
                      <w:lang w:eastAsia="zh-CN"/>
                    </w:rPr>
                    <w:t>符合</w:t>
                  </w:r>
                </w:p>
              </w:tc>
            </w:tr>
          </w:tbl>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eastAsia" w:ascii="Times New Roman" w:cs="Times New Roman"/>
                <w:color w:val="auto"/>
                <w:kern w:val="2"/>
                <w:sz w:val="24"/>
                <w:szCs w:val="24"/>
              </w:rPr>
            </w:pPr>
            <w:r>
              <w:rPr>
                <w:rFonts w:hint="default" w:ascii="Times New Roman" w:hAnsi="Times New Roman" w:cs="Times New Roman"/>
                <w:color w:val="auto"/>
                <w:kern w:val="0"/>
                <w:sz w:val="24"/>
                <w:highlight w:val="none"/>
              </w:rPr>
              <w:t>综上分析，本项目符合</w:t>
            </w:r>
            <w:r>
              <w:rPr>
                <w:rFonts w:hint="eastAsia" w:ascii="Times New Roman" w:hAnsi="Times New Roman" w:cs="Times New Roman"/>
                <w:color w:val="auto"/>
                <w:kern w:val="0"/>
                <w:sz w:val="24"/>
                <w:highlight w:val="none"/>
                <w:lang w:eastAsia="zh-CN"/>
              </w:rPr>
              <w:t>相关政策要求</w:t>
            </w:r>
            <w:r>
              <w:rPr>
                <w:rFonts w:hint="eastAsia" w:ascii="Times New Roman" w:hAnsi="Times New Roman" w:cs="Times New Roman"/>
                <w:color w:val="auto"/>
                <w:sz w:val="24"/>
                <w:highlight w:val="none"/>
              </w:rPr>
              <w:t>。</w:t>
            </w:r>
          </w:p>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eastAsia" w:ascii="Times New Roman" w:cs="Times New Roman"/>
                <w:color w:val="auto"/>
                <w:kern w:val="2"/>
                <w:sz w:val="24"/>
                <w:szCs w:val="24"/>
              </w:rPr>
            </w:pPr>
          </w:p>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eastAsia" w:ascii="Times New Roman" w:cs="Times New Roman"/>
                <w:color w:val="auto"/>
                <w:kern w:val="2"/>
                <w:sz w:val="24"/>
                <w:szCs w:val="24"/>
              </w:rPr>
            </w:pPr>
          </w:p>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eastAsia" w:ascii="Times New Roman" w:cs="Times New Roman"/>
                <w:color w:val="auto"/>
                <w:kern w:val="2"/>
                <w:sz w:val="24"/>
                <w:szCs w:val="24"/>
              </w:rPr>
            </w:pPr>
          </w:p>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eastAsia" w:ascii="Times New Roman" w:cs="Times New Roman"/>
                <w:color w:val="auto"/>
                <w:kern w:val="2"/>
                <w:sz w:val="24"/>
                <w:szCs w:val="24"/>
              </w:rPr>
            </w:pPr>
          </w:p>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eastAsia" w:ascii="Times New Roman" w:cs="Times New Roman"/>
                <w:color w:val="auto"/>
                <w:kern w:val="2"/>
                <w:sz w:val="24"/>
                <w:szCs w:val="24"/>
              </w:rPr>
            </w:pPr>
          </w:p>
          <w:p>
            <w:pPr>
              <w:pStyle w:val="37"/>
              <w:keepLines w:val="0"/>
              <w:pageBreakBefore w:val="0"/>
              <w:kinsoku/>
              <w:wordWrap/>
              <w:overflowPunct/>
              <w:topLinePunct w:val="0"/>
              <w:bidi w:val="0"/>
              <w:spacing w:line="360" w:lineRule="auto"/>
              <w:rPr>
                <w:rFonts w:hint="eastAsia" w:ascii="Times New Roman" w:cs="Times New Roman"/>
                <w:color w:val="auto"/>
                <w:kern w:val="2"/>
                <w:sz w:val="24"/>
                <w:szCs w:val="24"/>
              </w:rPr>
            </w:pPr>
          </w:p>
          <w:p>
            <w:pPr>
              <w:pStyle w:val="37"/>
              <w:keepLines w:val="0"/>
              <w:pageBreakBefore w:val="0"/>
              <w:kinsoku/>
              <w:wordWrap/>
              <w:overflowPunct/>
              <w:topLinePunct w:val="0"/>
              <w:bidi w:val="0"/>
              <w:spacing w:line="360" w:lineRule="auto"/>
              <w:rPr>
                <w:rFonts w:hint="eastAsia" w:ascii="Times New Roman" w:cs="Times New Roman"/>
                <w:color w:val="auto"/>
                <w:kern w:val="2"/>
                <w:sz w:val="24"/>
                <w:szCs w:val="24"/>
              </w:rPr>
            </w:pPr>
          </w:p>
          <w:p>
            <w:pPr>
              <w:pStyle w:val="37"/>
              <w:keepLines w:val="0"/>
              <w:pageBreakBefore w:val="0"/>
              <w:kinsoku/>
              <w:wordWrap/>
              <w:overflowPunct/>
              <w:topLinePunct w:val="0"/>
              <w:bidi w:val="0"/>
              <w:spacing w:line="360" w:lineRule="auto"/>
              <w:rPr>
                <w:rFonts w:hint="eastAsia" w:ascii="Times New Roman" w:cs="Times New Roman"/>
                <w:color w:val="auto"/>
                <w:kern w:val="2"/>
                <w:sz w:val="24"/>
                <w:szCs w:val="24"/>
              </w:rPr>
            </w:pPr>
          </w:p>
          <w:p>
            <w:pPr>
              <w:pStyle w:val="37"/>
              <w:keepLines w:val="0"/>
              <w:pageBreakBefore w:val="0"/>
              <w:kinsoku/>
              <w:wordWrap/>
              <w:overflowPunct/>
              <w:topLinePunct w:val="0"/>
              <w:bidi w:val="0"/>
              <w:spacing w:line="360" w:lineRule="auto"/>
              <w:rPr>
                <w:rFonts w:hint="eastAsia" w:ascii="Times New Roman" w:cs="Times New Roman"/>
                <w:color w:val="auto"/>
                <w:kern w:val="2"/>
                <w:sz w:val="24"/>
                <w:szCs w:val="24"/>
              </w:rPr>
            </w:pPr>
          </w:p>
          <w:p>
            <w:pPr>
              <w:pStyle w:val="37"/>
              <w:keepLines w:val="0"/>
              <w:pageBreakBefore w:val="0"/>
              <w:kinsoku/>
              <w:wordWrap/>
              <w:overflowPunct/>
              <w:topLinePunct w:val="0"/>
              <w:bidi w:val="0"/>
              <w:spacing w:line="360" w:lineRule="auto"/>
              <w:rPr>
                <w:rFonts w:hint="eastAsia" w:ascii="Times New Roman" w:cs="Times New Roman"/>
                <w:color w:val="auto"/>
                <w:kern w:val="2"/>
                <w:sz w:val="24"/>
                <w:szCs w:val="24"/>
              </w:rPr>
            </w:pPr>
          </w:p>
          <w:p>
            <w:pPr>
              <w:pStyle w:val="37"/>
              <w:keepLines w:val="0"/>
              <w:pageBreakBefore w:val="0"/>
              <w:kinsoku/>
              <w:wordWrap/>
              <w:overflowPunct/>
              <w:topLinePunct w:val="0"/>
              <w:bidi w:val="0"/>
              <w:spacing w:line="360" w:lineRule="auto"/>
              <w:rPr>
                <w:rFonts w:hint="eastAsia" w:ascii="Times New Roman" w:cs="Times New Roman"/>
                <w:color w:val="auto"/>
                <w:kern w:val="2"/>
                <w:sz w:val="24"/>
                <w:szCs w:val="24"/>
              </w:rPr>
            </w:pPr>
          </w:p>
          <w:p>
            <w:pPr>
              <w:pStyle w:val="37"/>
              <w:keepLines w:val="0"/>
              <w:pageBreakBefore w:val="0"/>
              <w:kinsoku/>
              <w:wordWrap/>
              <w:overflowPunct/>
              <w:topLinePunct w:val="0"/>
              <w:bidi w:val="0"/>
              <w:spacing w:line="360" w:lineRule="auto"/>
              <w:rPr>
                <w:rFonts w:hint="eastAsia" w:ascii="Times New Roman" w:cs="Times New Roman"/>
                <w:color w:val="auto"/>
                <w:kern w:val="2"/>
                <w:sz w:val="24"/>
                <w:szCs w:val="24"/>
              </w:rPr>
            </w:pPr>
          </w:p>
          <w:p>
            <w:pPr>
              <w:pStyle w:val="37"/>
              <w:keepLines w:val="0"/>
              <w:pageBreakBefore w:val="0"/>
              <w:kinsoku/>
              <w:wordWrap/>
              <w:overflowPunct/>
              <w:topLinePunct w:val="0"/>
              <w:bidi w:val="0"/>
              <w:spacing w:line="360" w:lineRule="auto"/>
              <w:rPr>
                <w:rFonts w:hint="eastAsia" w:ascii="Times New Roman" w:cs="Times New Roman"/>
                <w:color w:val="auto"/>
                <w:kern w:val="2"/>
                <w:sz w:val="24"/>
                <w:szCs w:val="24"/>
              </w:rPr>
            </w:pPr>
          </w:p>
          <w:p>
            <w:pPr>
              <w:pStyle w:val="37"/>
              <w:keepLines w:val="0"/>
              <w:pageBreakBefore w:val="0"/>
              <w:kinsoku/>
              <w:wordWrap/>
              <w:overflowPunct/>
              <w:topLinePunct w:val="0"/>
              <w:bidi w:val="0"/>
              <w:spacing w:line="360" w:lineRule="auto"/>
              <w:rPr>
                <w:rFonts w:hint="eastAsia" w:ascii="Times New Roman" w:cs="Times New Roman"/>
                <w:color w:val="auto"/>
                <w:kern w:val="2"/>
                <w:sz w:val="24"/>
                <w:szCs w:val="24"/>
              </w:rPr>
            </w:pPr>
          </w:p>
          <w:p>
            <w:pPr>
              <w:pStyle w:val="37"/>
              <w:keepLines w:val="0"/>
              <w:pageBreakBefore w:val="0"/>
              <w:kinsoku/>
              <w:wordWrap/>
              <w:overflowPunct/>
              <w:topLinePunct w:val="0"/>
              <w:bidi w:val="0"/>
              <w:spacing w:line="360" w:lineRule="auto"/>
              <w:rPr>
                <w:rFonts w:hint="eastAsia" w:ascii="Times New Roman" w:cs="Times New Roman"/>
                <w:color w:val="auto"/>
                <w:kern w:val="2"/>
                <w:sz w:val="24"/>
                <w:szCs w:val="24"/>
              </w:rPr>
            </w:pPr>
          </w:p>
          <w:p>
            <w:pPr>
              <w:pStyle w:val="37"/>
              <w:keepLines w:val="0"/>
              <w:pageBreakBefore w:val="0"/>
              <w:kinsoku/>
              <w:wordWrap/>
              <w:overflowPunct/>
              <w:topLinePunct w:val="0"/>
              <w:bidi w:val="0"/>
              <w:spacing w:line="360" w:lineRule="auto"/>
              <w:rPr>
                <w:rFonts w:hint="eastAsia" w:ascii="Times New Roman" w:cs="Times New Roman"/>
                <w:color w:val="auto"/>
                <w:kern w:val="2"/>
                <w:sz w:val="24"/>
                <w:szCs w:val="24"/>
              </w:rPr>
            </w:pPr>
          </w:p>
          <w:p>
            <w:pPr>
              <w:pStyle w:val="37"/>
              <w:keepLines w:val="0"/>
              <w:pageBreakBefore w:val="0"/>
              <w:kinsoku/>
              <w:wordWrap/>
              <w:overflowPunct/>
              <w:topLinePunct w:val="0"/>
              <w:bidi w:val="0"/>
              <w:spacing w:line="360" w:lineRule="auto"/>
              <w:rPr>
                <w:rFonts w:hint="eastAsia" w:ascii="Times New Roman" w:cs="Times New Roman"/>
                <w:color w:val="auto"/>
                <w:kern w:val="2"/>
                <w:sz w:val="24"/>
                <w:szCs w:val="24"/>
              </w:rPr>
            </w:pPr>
          </w:p>
          <w:p>
            <w:pPr>
              <w:pStyle w:val="37"/>
              <w:keepLines w:val="0"/>
              <w:pageBreakBefore w:val="0"/>
              <w:kinsoku/>
              <w:wordWrap/>
              <w:overflowPunct/>
              <w:topLinePunct w:val="0"/>
              <w:bidi w:val="0"/>
              <w:spacing w:line="360" w:lineRule="auto"/>
              <w:rPr>
                <w:rFonts w:hint="eastAsia" w:ascii="Times New Roman" w:cs="Times New Roman"/>
                <w:color w:val="auto"/>
                <w:kern w:val="2"/>
                <w:sz w:val="24"/>
                <w:szCs w:val="24"/>
              </w:rPr>
            </w:pPr>
          </w:p>
          <w:p>
            <w:pPr>
              <w:pStyle w:val="37"/>
              <w:keepLines w:val="0"/>
              <w:pageBreakBefore w:val="0"/>
              <w:kinsoku/>
              <w:wordWrap/>
              <w:overflowPunct/>
              <w:topLinePunct w:val="0"/>
              <w:bidi w:val="0"/>
              <w:spacing w:line="360" w:lineRule="auto"/>
              <w:rPr>
                <w:rFonts w:hint="eastAsia" w:ascii="Times New Roman" w:cs="Times New Roman"/>
                <w:color w:val="auto"/>
                <w:kern w:val="2"/>
                <w:sz w:val="24"/>
                <w:szCs w:val="24"/>
              </w:rPr>
            </w:pPr>
          </w:p>
          <w:p>
            <w:pPr>
              <w:pStyle w:val="37"/>
              <w:keepLines w:val="0"/>
              <w:pageBreakBefore w:val="0"/>
              <w:kinsoku/>
              <w:wordWrap/>
              <w:overflowPunct/>
              <w:topLinePunct w:val="0"/>
              <w:bidi w:val="0"/>
              <w:spacing w:line="360" w:lineRule="auto"/>
              <w:rPr>
                <w:rFonts w:hint="eastAsia" w:ascii="Times New Roman" w:cs="Times New Roman"/>
                <w:color w:val="auto"/>
                <w:kern w:val="2"/>
                <w:sz w:val="24"/>
                <w:szCs w:val="24"/>
              </w:rPr>
            </w:pPr>
          </w:p>
          <w:p>
            <w:pPr>
              <w:pStyle w:val="37"/>
              <w:keepLines w:val="0"/>
              <w:pageBreakBefore w:val="0"/>
              <w:kinsoku/>
              <w:wordWrap/>
              <w:overflowPunct/>
              <w:topLinePunct w:val="0"/>
              <w:bidi w:val="0"/>
              <w:spacing w:line="360" w:lineRule="auto"/>
              <w:rPr>
                <w:rFonts w:hint="eastAsia" w:ascii="Times New Roman" w:cs="Times New Roman"/>
                <w:color w:val="auto"/>
                <w:kern w:val="2"/>
                <w:sz w:val="24"/>
                <w:szCs w:val="24"/>
              </w:rPr>
            </w:pPr>
          </w:p>
          <w:p>
            <w:pPr>
              <w:pStyle w:val="37"/>
              <w:keepLines w:val="0"/>
              <w:pageBreakBefore w:val="0"/>
              <w:kinsoku/>
              <w:wordWrap/>
              <w:overflowPunct/>
              <w:topLinePunct w:val="0"/>
              <w:bidi w:val="0"/>
              <w:spacing w:line="360" w:lineRule="auto"/>
              <w:rPr>
                <w:rFonts w:hint="eastAsia" w:ascii="Times New Roman" w:cs="Times New Roman"/>
                <w:color w:val="auto"/>
                <w:kern w:val="2"/>
                <w:sz w:val="24"/>
                <w:szCs w:val="24"/>
              </w:rPr>
            </w:pPr>
          </w:p>
          <w:p>
            <w:pPr>
              <w:pStyle w:val="37"/>
              <w:keepLines w:val="0"/>
              <w:pageBreakBefore w:val="0"/>
              <w:kinsoku/>
              <w:wordWrap/>
              <w:overflowPunct/>
              <w:topLinePunct w:val="0"/>
              <w:bidi w:val="0"/>
              <w:spacing w:line="360" w:lineRule="auto"/>
              <w:rPr>
                <w:rFonts w:hint="eastAsia" w:ascii="Times New Roman" w:eastAsia="宋体" w:cs="Times New Roman"/>
                <w:color w:val="auto"/>
                <w:kern w:val="2"/>
                <w:sz w:val="24"/>
                <w:szCs w:val="24"/>
                <w:lang w:val="en-US" w:eastAsia="zh-CN"/>
              </w:rPr>
            </w:pPr>
          </w:p>
        </w:tc>
      </w:tr>
    </w:tbl>
    <w:p>
      <w:pPr>
        <w:spacing w:line="360" w:lineRule="auto"/>
        <w:outlineLvl w:val="0"/>
        <w:rPr>
          <w:color w:val="auto"/>
          <w:kern w:val="21"/>
          <w:sz w:val="30"/>
        </w:rPr>
        <w:sectPr>
          <w:footerReference r:id="rId5" w:type="default"/>
          <w:pgSz w:w="11906" w:h="16838"/>
          <w:pgMar w:top="1440" w:right="1080" w:bottom="1440" w:left="1080" w:header="851" w:footer="1077" w:gutter="0"/>
          <w:pgNumType w:fmt="decimal" w:start="1"/>
          <w:cols w:space="720" w:num="1"/>
          <w:docGrid w:linePitch="312" w:charSpace="0"/>
        </w:sectPr>
      </w:pPr>
    </w:p>
    <w:p>
      <w:pPr>
        <w:pStyle w:val="23"/>
        <w:adjustRightInd w:val="0"/>
        <w:snapToGrid w:val="0"/>
        <w:spacing w:before="0" w:beforeAutospacing="0" w:after="0" w:afterAutospacing="0" w:line="360" w:lineRule="auto"/>
        <w:jc w:val="center"/>
        <w:outlineLvl w:val="0"/>
        <w:rPr>
          <w:rFonts w:ascii="Times New Roman" w:hAnsi="Times New Roman"/>
          <w:snapToGrid w:val="0"/>
          <w:color w:val="auto"/>
          <w:kern w:val="21"/>
          <w:sz w:val="30"/>
          <w:szCs w:val="30"/>
        </w:rPr>
      </w:pPr>
      <w:r>
        <w:rPr>
          <w:rFonts w:ascii="Times New Roman" w:hAnsi="Times New Roman"/>
          <w:snapToGrid w:val="0"/>
          <w:color w:val="auto"/>
          <w:kern w:val="21"/>
          <w:sz w:val="30"/>
          <w:szCs w:val="30"/>
        </w:rPr>
        <w:t>二、建设项目工程分析</w:t>
      </w:r>
    </w:p>
    <w:tbl>
      <w:tblPr>
        <w:tblStyle w:val="25"/>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5"/>
        <w:gridCol w:w="924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55" w:hRule="atLeast"/>
          <w:jc w:val="center"/>
        </w:trPr>
        <w:tc>
          <w:tcPr>
            <w:tcW w:w="359" w:type="pct"/>
            <w:vAlign w:val="center"/>
          </w:tcPr>
          <w:p>
            <w:pPr>
              <w:pStyle w:val="23"/>
              <w:adjustRightInd w:val="0"/>
              <w:snapToGrid w:val="0"/>
              <w:spacing w:before="0" w:beforeAutospacing="0" w:after="0" w:afterAutospacing="0"/>
              <w:jc w:val="center"/>
              <w:rPr>
                <w:rFonts w:ascii="Times New Roman" w:hAnsi="Times New Roman"/>
                <w:color w:val="auto"/>
                <w:kern w:val="21"/>
                <w:sz w:val="24"/>
                <w:szCs w:val="24"/>
              </w:rPr>
            </w:pPr>
            <w:r>
              <w:rPr>
                <w:rFonts w:ascii="Times New Roman" w:hAnsi="Times New Roman"/>
                <w:color w:val="auto"/>
                <w:kern w:val="21"/>
                <w:sz w:val="24"/>
                <w:szCs w:val="24"/>
              </w:rPr>
              <w:t>建设内容</w:t>
            </w:r>
          </w:p>
        </w:tc>
        <w:tc>
          <w:tcPr>
            <w:tcW w:w="4640" w:type="pct"/>
            <w:vAlign w:val="center"/>
          </w:tcPr>
          <w:p>
            <w:pPr>
              <w:spacing w:line="360" w:lineRule="auto"/>
              <w:ind w:firstLine="482" w:firstLineChars="200"/>
              <w:rPr>
                <w:b/>
                <w:bCs/>
                <w:color w:val="auto"/>
                <w:sz w:val="24"/>
                <w:szCs w:val="24"/>
              </w:rPr>
            </w:pPr>
            <w:r>
              <w:rPr>
                <w:b/>
                <w:bCs/>
                <w:color w:val="auto"/>
                <w:sz w:val="24"/>
                <w:szCs w:val="24"/>
              </w:rPr>
              <w:t>1、项目基本情况</w:t>
            </w:r>
          </w:p>
          <w:p>
            <w:pPr>
              <w:spacing w:line="360" w:lineRule="auto"/>
              <w:ind w:firstLine="482"/>
              <w:rPr>
                <w:rFonts w:hint="eastAsia" w:eastAsia="宋体"/>
                <w:color w:val="auto"/>
                <w:sz w:val="24"/>
                <w:szCs w:val="24"/>
                <w:lang w:eastAsia="zh-CN"/>
              </w:rPr>
            </w:pPr>
            <w:r>
              <w:rPr>
                <w:rFonts w:hint="eastAsia"/>
                <w:color w:val="auto"/>
                <w:sz w:val="24"/>
                <w:szCs w:val="24"/>
              </w:rPr>
              <w:t>（1）项目名称：</w:t>
            </w:r>
            <w:r>
              <w:rPr>
                <w:rFonts w:hint="eastAsia"/>
                <w:color w:val="auto"/>
                <w:sz w:val="24"/>
                <w:szCs w:val="24"/>
                <w:lang w:eastAsia="zh-CN"/>
              </w:rPr>
              <w:t>西安麦迪格眼科医院项目</w:t>
            </w:r>
          </w:p>
          <w:p>
            <w:pPr>
              <w:spacing w:line="360" w:lineRule="auto"/>
              <w:ind w:firstLine="482"/>
              <w:rPr>
                <w:rFonts w:hint="eastAsia" w:eastAsia="宋体"/>
                <w:color w:val="auto"/>
                <w:sz w:val="24"/>
                <w:szCs w:val="24"/>
                <w:lang w:eastAsia="zh-CN"/>
              </w:rPr>
            </w:pPr>
            <w:r>
              <w:rPr>
                <w:rFonts w:hint="eastAsia"/>
                <w:color w:val="auto"/>
                <w:sz w:val="24"/>
                <w:szCs w:val="24"/>
              </w:rPr>
              <w:t>（2）建设单位：</w:t>
            </w:r>
            <w:r>
              <w:rPr>
                <w:rFonts w:hint="eastAsia"/>
                <w:color w:val="auto"/>
                <w:sz w:val="24"/>
                <w:szCs w:val="24"/>
                <w:lang w:eastAsia="zh-CN"/>
              </w:rPr>
              <w:t>西安莲湖麦迪格眼科医院有限公司</w:t>
            </w:r>
          </w:p>
          <w:p>
            <w:pPr>
              <w:spacing w:line="360" w:lineRule="auto"/>
              <w:ind w:firstLine="482"/>
              <w:rPr>
                <w:rFonts w:hint="eastAsia"/>
                <w:color w:val="auto"/>
                <w:sz w:val="24"/>
                <w:szCs w:val="24"/>
                <w:lang w:eastAsia="zh-CN"/>
              </w:rPr>
            </w:pPr>
            <w:r>
              <w:rPr>
                <w:rFonts w:hint="eastAsia"/>
                <w:color w:val="auto"/>
                <w:sz w:val="24"/>
                <w:szCs w:val="24"/>
              </w:rPr>
              <w:t>（3）建设地点：</w:t>
            </w:r>
            <w:r>
              <w:rPr>
                <w:rFonts w:hint="eastAsia"/>
                <w:color w:val="auto"/>
                <w:sz w:val="24"/>
                <w:szCs w:val="24"/>
                <w:lang w:eastAsia="zh-CN"/>
              </w:rPr>
              <w:t>西安市莲湖区环城西路玉祥门盘道东南角</w:t>
            </w:r>
            <w:r>
              <w:rPr>
                <w:rFonts w:hint="eastAsia"/>
                <w:color w:val="auto"/>
                <w:sz w:val="24"/>
                <w:szCs w:val="24"/>
                <w:lang w:val="en-US" w:eastAsia="zh-CN"/>
              </w:rPr>
              <w:t>1幢</w:t>
            </w:r>
          </w:p>
          <w:p>
            <w:pPr>
              <w:spacing w:line="360" w:lineRule="auto"/>
              <w:ind w:firstLine="482"/>
              <w:rPr>
                <w:color w:val="auto"/>
                <w:sz w:val="24"/>
                <w:szCs w:val="24"/>
                <w:highlight w:val="none"/>
              </w:rPr>
            </w:pPr>
            <w:r>
              <w:rPr>
                <w:rFonts w:hint="eastAsia"/>
                <w:color w:val="auto"/>
                <w:sz w:val="24"/>
                <w:szCs w:val="24"/>
                <w:highlight w:val="none"/>
              </w:rPr>
              <w:t>（4）总投资：</w:t>
            </w:r>
            <w:r>
              <w:rPr>
                <w:rFonts w:hint="eastAsia"/>
                <w:color w:val="auto"/>
                <w:sz w:val="24"/>
                <w:szCs w:val="24"/>
                <w:highlight w:val="none"/>
                <w:lang w:val="en-US" w:eastAsia="zh-CN"/>
              </w:rPr>
              <w:t>3000</w:t>
            </w:r>
            <w:r>
              <w:rPr>
                <w:rFonts w:hint="eastAsia"/>
                <w:color w:val="auto"/>
                <w:sz w:val="24"/>
                <w:szCs w:val="24"/>
                <w:highlight w:val="none"/>
              </w:rPr>
              <w:t>万元</w:t>
            </w:r>
          </w:p>
          <w:p>
            <w:pPr>
              <w:spacing w:line="360" w:lineRule="auto"/>
              <w:ind w:firstLine="482"/>
              <w:rPr>
                <w:rFonts w:hint="default"/>
                <w:color w:val="auto"/>
                <w:sz w:val="24"/>
                <w:szCs w:val="24"/>
                <w:lang w:val="en-US" w:eastAsia="zh-CN"/>
              </w:rPr>
            </w:pPr>
            <w:r>
              <w:rPr>
                <w:rFonts w:hint="eastAsia"/>
                <w:color w:val="auto"/>
                <w:sz w:val="24"/>
                <w:szCs w:val="24"/>
              </w:rPr>
              <w:t>（5）建设内容：</w:t>
            </w:r>
            <w:r>
              <w:rPr>
                <w:rFonts w:hint="eastAsia"/>
                <w:color w:val="auto"/>
                <w:sz w:val="24"/>
                <w:szCs w:val="24"/>
                <w:lang w:eastAsia="zh-CN"/>
              </w:rPr>
              <w:t>本项目租赁西安市莲湖区环城西路玉祥门盘道东南角</w:t>
            </w:r>
            <w:r>
              <w:rPr>
                <w:rFonts w:hint="eastAsia"/>
                <w:color w:val="auto"/>
                <w:sz w:val="24"/>
                <w:szCs w:val="24"/>
                <w:lang w:val="en-US" w:eastAsia="zh-CN"/>
              </w:rPr>
              <w:t>1幢闲置用房建设眼科医院项目，项目</w:t>
            </w:r>
            <w:r>
              <w:rPr>
                <w:rFonts w:hint="eastAsia"/>
                <w:color w:val="auto"/>
                <w:sz w:val="24"/>
                <w:szCs w:val="24"/>
                <w:lang w:eastAsia="zh-CN"/>
              </w:rPr>
              <w:t>占地面积</w:t>
            </w:r>
            <w:r>
              <w:rPr>
                <w:rFonts w:hint="eastAsia"/>
                <w:color w:val="auto"/>
                <w:sz w:val="24"/>
                <w:szCs w:val="24"/>
                <w:lang w:val="en-US" w:eastAsia="zh-CN"/>
              </w:rPr>
              <w:t>1005.35m</w:t>
            </w:r>
            <w:r>
              <w:rPr>
                <w:rFonts w:hint="eastAsia"/>
                <w:color w:val="auto"/>
                <w:sz w:val="24"/>
                <w:szCs w:val="24"/>
                <w:vertAlign w:val="superscript"/>
                <w:lang w:val="en-US" w:eastAsia="zh-CN"/>
              </w:rPr>
              <w:t>2</w:t>
            </w:r>
            <w:r>
              <w:rPr>
                <w:rFonts w:hint="eastAsia"/>
                <w:color w:val="auto"/>
                <w:sz w:val="24"/>
                <w:szCs w:val="24"/>
                <w:lang w:val="en-US" w:eastAsia="zh-CN"/>
              </w:rPr>
              <w:t>，共四层，一层主要为门诊区，二层主要为检验区，三层主要为手术室，四层为病房及办公区，项目建成后总床位60张，日最大接待量为160人。</w:t>
            </w:r>
          </w:p>
          <w:p>
            <w:pPr>
              <w:spacing w:line="360" w:lineRule="auto"/>
              <w:ind w:firstLine="482" w:firstLineChars="200"/>
              <w:rPr>
                <w:b/>
                <w:bCs/>
                <w:color w:val="auto"/>
                <w:sz w:val="24"/>
                <w:szCs w:val="24"/>
              </w:rPr>
            </w:pPr>
            <w:r>
              <w:rPr>
                <w:rFonts w:hint="eastAsia"/>
                <w:b/>
                <w:bCs/>
                <w:color w:val="auto"/>
                <w:sz w:val="24"/>
                <w:szCs w:val="24"/>
                <w:lang w:val="en-US" w:eastAsia="zh-CN"/>
              </w:rPr>
              <w:t>2</w:t>
            </w:r>
            <w:r>
              <w:rPr>
                <w:b/>
                <w:bCs/>
                <w:color w:val="auto"/>
                <w:sz w:val="24"/>
                <w:szCs w:val="24"/>
              </w:rPr>
              <w:t>、工程规模与建设内容</w:t>
            </w:r>
          </w:p>
          <w:p>
            <w:pPr>
              <w:pStyle w:val="24"/>
              <w:spacing w:line="360" w:lineRule="auto"/>
              <w:ind w:left="0" w:leftChars="0"/>
              <w:rPr>
                <w:color w:val="auto"/>
                <w:sz w:val="24"/>
                <w:szCs w:val="24"/>
              </w:rPr>
            </w:pPr>
            <w:r>
              <w:rPr>
                <w:color w:val="auto"/>
                <w:sz w:val="24"/>
                <w:szCs w:val="24"/>
              </w:rPr>
              <w:t>本项目由主体工程、辅助工程</w:t>
            </w:r>
            <w:r>
              <w:rPr>
                <w:rFonts w:hint="eastAsia"/>
                <w:color w:val="auto"/>
                <w:sz w:val="24"/>
                <w:szCs w:val="24"/>
              </w:rPr>
              <w:t>、</w:t>
            </w:r>
            <w:r>
              <w:rPr>
                <w:color w:val="auto"/>
                <w:sz w:val="24"/>
                <w:szCs w:val="24"/>
              </w:rPr>
              <w:t>公用工程和环保工程组成，详见表</w:t>
            </w:r>
            <w:r>
              <w:rPr>
                <w:rFonts w:hint="eastAsia"/>
                <w:color w:val="auto"/>
                <w:sz w:val="24"/>
                <w:szCs w:val="24"/>
              </w:rPr>
              <w:t>2</w:t>
            </w:r>
            <w:r>
              <w:rPr>
                <w:color w:val="auto"/>
                <w:sz w:val="24"/>
                <w:szCs w:val="24"/>
              </w:rPr>
              <w:t>-</w:t>
            </w:r>
            <w:r>
              <w:rPr>
                <w:rFonts w:hint="eastAsia"/>
                <w:color w:val="auto"/>
                <w:sz w:val="24"/>
                <w:szCs w:val="24"/>
              </w:rPr>
              <w:t>1</w:t>
            </w:r>
            <w:r>
              <w:rPr>
                <w:color w:val="auto"/>
                <w:sz w:val="24"/>
                <w:szCs w:val="24"/>
              </w:rPr>
              <w:t>。</w:t>
            </w:r>
          </w:p>
          <w:p>
            <w:pPr>
              <w:pStyle w:val="24"/>
              <w:ind w:left="0" w:leftChars="0" w:firstLine="0" w:firstLineChars="0"/>
              <w:jc w:val="center"/>
              <w:rPr>
                <w:b/>
                <w:bCs/>
                <w:color w:val="auto"/>
                <w:sz w:val="21"/>
                <w:szCs w:val="21"/>
              </w:rPr>
            </w:pPr>
            <w:r>
              <w:rPr>
                <w:b/>
                <w:bCs/>
                <w:color w:val="auto"/>
                <w:sz w:val="21"/>
                <w:szCs w:val="21"/>
              </w:rPr>
              <w:t>表</w:t>
            </w:r>
            <w:r>
              <w:rPr>
                <w:rFonts w:hint="eastAsia"/>
                <w:b/>
                <w:bCs/>
                <w:color w:val="auto"/>
                <w:sz w:val="21"/>
                <w:szCs w:val="21"/>
              </w:rPr>
              <w:t>2-1项目</w:t>
            </w:r>
            <w:r>
              <w:rPr>
                <w:b/>
                <w:bCs/>
                <w:color w:val="auto"/>
                <w:sz w:val="21"/>
                <w:szCs w:val="21"/>
              </w:rPr>
              <w:t>工程组成一览表</w:t>
            </w:r>
          </w:p>
          <w:tbl>
            <w:tblPr>
              <w:tblStyle w:val="26"/>
              <w:tblW w:w="90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5"/>
              <w:gridCol w:w="733"/>
              <w:gridCol w:w="650"/>
              <w:gridCol w:w="717"/>
              <w:gridCol w:w="5481"/>
              <w:gridCol w:w="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86" w:type="pct"/>
                  <w:gridSpan w:val="2"/>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b/>
                      <w:bCs/>
                      <w:color w:val="auto"/>
                      <w:sz w:val="21"/>
                      <w:szCs w:val="21"/>
                    </w:rPr>
                  </w:pPr>
                  <w:bookmarkStart w:id="2" w:name="_Hlk27156311"/>
                  <w:r>
                    <w:rPr>
                      <w:b/>
                      <w:bCs/>
                      <w:color w:val="auto"/>
                      <w:sz w:val="21"/>
                      <w:szCs w:val="21"/>
                    </w:rPr>
                    <w:t>工程类别</w:t>
                  </w:r>
                </w:p>
              </w:tc>
              <w:tc>
                <w:tcPr>
                  <w:tcW w:w="3799" w:type="pct"/>
                  <w:gridSpan w:val="3"/>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b/>
                      <w:bCs/>
                      <w:color w:val="auto"/>
                      <w:sz w:val="21"/>
                      <w:szCs w:val="21"/>
                    </w:rPr>
                  </w:pPr>
                  <w:r>
                    <w:rPr>
                      <w:b/>
                      <w:bCs/>
                      <w:color w:val="auto"/>
                      <w:sz w:val="21"/>
                      <w:szCs w:val="21"/>
                    </w:rPr>
                    <w:t>工程内容</w:t>
                  </w:r>
                </w:p>
              </w:tc>
              <w:tc>
                <w:tcPr>
                  <w:tcW w:w="413" w:type="pct"/>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rFonts w:hint="eastAsia" w:eastAsia="宋体"/>
                      <w:b/>
                      <w:bCs/>
                      <w:color w:val="auto"/>
                      <w:sz w:val="21"/>
                      <w:szCs w:val="21"/>
                      <w:lang w:eastAsia="zh-CN"/>
                    </w:rPr>
                  </w:pPr>
                  <w:r>
                    <w:rPr>
                      <w:rFonts w:hint="eastAsia"/>
                      <w:b/>
                      <w:bCs/>
                      <w:color w:val="auto"/>
                      <w:sz w:val="21"/>
                      <w:szCs w:val="21"/>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0" w:type="pct"/>
                  <w:vMerge w:val="restart"/>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color w:val="auto"/>
                      <w:sz w:val="21"/>
                      <w:szCs w:val="21"/>
                    </w:rPr>
                  </w:pPr>
                  <w:r>
                    <w:rPr>
                      <w:color w:val="auto"/>
                      <w:sz w:val="21"/>
                      <w:szCs w:val="21"/>
                    </w:rPr>
                    <w:t>主体工程</w:t>
                  </w:r>
                </w:p>
              </w:tc>
              <w:tc>
                <w:tcPr>
                  <w:tcW w:w="406"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eastAsia="宋体"/>
                      <w:color w:val="auto"/>
                      <w:sz w:val="21"/>
                      <w:szCs w:val="21"/>
                      <w:lang w:eastAsia="zh-CN"/>
                    </w:rPr>
                  </w:pPr>
                  <w:r>
                    <w:rPr>
                      <w:rFonts w:hint="eastAsia"/>
                      <w:color w:val="auto"/>
                      <w:sz w:val="21"/>
                      <w:szCs w:val="21"/>
                      <w:lang w:eastAsia="zh-CN"/>
                    </w:rPr>
                    <w:t>一层</w:t>
                  </w:r>
                </w:p>
              </w:tc>
              <w:tc>
                <w:tcPr>
                  <w:tcW w:w="3799" w:type="pct"/>
                  <w:gridSpan w:val="3"/>
                  <w:tcBorders>
                    <w:tl2br w:val="nil"/>
                    <w:tr2bl w:val="nil"/>
                  </w:tcBorders>
                  <w:vAlign w:val="center"/>
                </w:tcPr>
                <w:p>
                  <w:pPr>
                    <w:pStyle w:val="3"/>
                    <w:pageBreakBefore w:val="0"/>
                    <w:widowControl w:val="0"/>
                    <w:kinsoku/>
                    <w:wordWrap/>
                    <w:overflowPunct/>
                    <w:topLinePunct w:val="0"/>
                    <w:autoSpaceDE/>
                    <w:autoSpaceDN/>
                    <w:bidi w:val="0"/>
                    <w:adjustRightInd/>
                    <w:snapToGrid/>
                    <w:textAlignment w:val="auto"/>
                    <w:rPr>
                      <w:rFonts w:hint="default"/>
                      <w:color w:val="auto"/>
                      <w:sz w:val="21"/>
                      <w:szCs w:val="21"/>
                      <w:lang w:val="en-US" w:eastAsia="zh-CN"/>
                    </w:rPr>
                  </w:pPr>
                  <w:r>
                    <w:rPr>
                      <w:rFonts w:hint="eastAsia"/>
                      <w:b w:val="0"/>
                      <w:bCs w:val="0"/>
                      <w:color w:val="auto"/>
                      <w:sz w:val="21"/>
                      <w:szCs w:val="21"/>
                      <w:lang w:eastAsia="zh-CN"/>
                    </w:rPr>
                    <w:t>一层主要为门诊区，中间区域为验光区，东侧为咨询室及仓库，东南角为污水处理间，南侧自东向西依次为污水处理间、仓库、发货区、会议室、消防值班室；北侧自东向西依次为功能室、咨询室、急救室及体验区、医疗废物暂存室等。</w:t>
                  </w:r>
                </w:p>
              </w:tc>
              <w:tc>
                <w:tcPr>
                  <w:tcW w:w="413" w:type="pct"/>
                  <w:vMerge w:val="restart"/>
                  <w:tcBorders>
                    <w:tl2br w:val="nil"/>
                    <w:tr2bl w:val="nil"/>
                  </w:tcBorders>
                  <w:vAlign w:val="center"/>
                </w:tcPr>
                <w:p>
                  <w:pPr>
                    <w:pStyle w:val="3"/>
                    <w:pageBreakBefore w:val="0"/>
                    <w:widowControl w:val="0"/>
                    <w:kinsoku/>
                    <w:wordWrap/>
                    <w:overflowPunct/>
                    <w:topLinePunct w:val="0"/>
                    <w:autoSpaceDE/>
                    <w:autoSpaceDN/>
                    <w:bidi w:val="0"/>
                    <w:adjustRightInd/>
                    <w:snapToGrid/>
                    <w:textAlignment w:val="auto"/>
                    <w:rPr>
                      <w:rFonts w:hint="eastAsia"/>
                      <w:b w:val="0"/>
                      <w:bCs w:val="0"/>
                      <w:color w:val="auto"/>
                      <w:sz w:val="21"/>
                      <w:szCs w:val="21"/>
                      <w:lang w:eastAsia="zh-CN"/>
                    </w:rPr>
                  </w:pPr>
                  <w:r>
                    <w:rPr>
                      <w:rFonts w:hint="eastAsia"/>
                      <w:b w:val="0"/>
                      <w:bCs w:val="0"/>
                      <w:color w:val="auto"/>
                      <w:sz w:val="21"/>
                      <w:szCs w:val="21"/>
                      <w:lang w:eastAsia="zh-CN"/>
                    </w:rPr>
                    <w:t>已完成装修，拟进行设备安装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0" w:type="pct"/>
                  <w:vMerge w:val="continue"/>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color w:val="auto"/>
                      <w:sz w:val="21"/>
                      <w:szCs w:val="21"/>
                    </w:rPr>
                  </w:pPr>
                </w:p>
              </w:tc>
              <w:tc>
                <w:tcPr>
                  <w:tcW w:w="406"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color w:val="auto"/>
                      <w:sz w:val="21"/>
                      <w:szCs w:val="21"/>
                      <w:lang w:eastAsia="zh-CN"/>
                    </w:rPr>
                  </w:pPr>
                  <w:r>
                    <w:rPr>
                      <w:rFonts w:hint="eastAsia"/>
                      <w:color w:val="auto"/>
                      <w:sz w:val="21"/>
                      <w:szCs w:val="21"/>
                      <w:lang w:eastAsia="zh-CN"/>
                    </w:rPr>
                    <w:t>二层</w:t>
                  </w:r>
                </w:p>
              </w:tc>
              <w:tc>
                <w:tcPr>
                  <w:tcW w:w="3799" w:type="pct"/>
                  <w:gridSpan w:val="3"/>
                  <w:tcBorders>
                    <w:tl2br w:val="nil"/>
                    <w:tr2bl w:val="nil"/>
                  </w:tcBorders>
                  <w:vAlign w:val="center"/>
                </w:tcPr>
                <w:p>
                  <w:pPr>
                    <w:pStyle w:val="3"/>
                    <w:pageBreakBefore w:val="0"/>
                    <w:widowControl w:val="0"/>
                    <w:kinsoku/>
                    <w:wordWrap/>
                    <w:overflowPunct/>
                    <w:topLinePunct w:val="0"/>
                    <w:autoSpaceDE/>
                    <w:autoSpaceDN/>
                    <w:bidi w:val="0"/>
                    <w:adjustRightInd/>
                    <w:snapToGrid/>
                    <w:textAlignment w:val="auto"/>
                    <w:rPr>
                      <w:rFonts w:hint="eastAsia"/>
                      <w:b w:val="0"/>
                      <w:bCs/>
                      <w:color w:val="auto"/>
                      <w:sz w:val="21"/>
                      <w:szCs w:val="21"/>
                      <w:lang w:val="en-US" w:eastAsia="zh-CN"/>
                    </w:rPr>
                  </w:pPr>
                  <w:r>
                    <w:rPr>
                      <w:rFonts w:hint="eastAsia"/>
                      <w:b w:val="0"/>
                      <w:bCs/>
                      <w:color w:val="auto"/>
                      <w:sz w:val="21"/>
                      <w:szCs w:val="21"/>
                      <w:lang w:val="en-US" w:eastAsia="zh-CN"/>
                    </w:rPr>
                    <w:t>二层主要为主要为检验区：包括除蛋白、治疗室、视功能训练室、特检室等。</w:t>
                  </w:r>
                </w:p>
              </w:tc>
              <w:tc>
                <w:tcPr>
                  <w:tcW w:w="413" w:type="pct"/>
                  <w:vMerge w:val="continue"/>
                  <w:tcBorders>
                    <w:tl2br w:val="nil"/>
                    <w:tr2bl w:val="nil"/>
                  </w:tcBorders>
                  <w:vAlign w:val="center"/>
                </w:tcPr>
                <w:p>
                  <w:pPr>
                    <w:pStyle w:val="3"/>
                    <w:pageBreakBefore w:val="0"/>
                    <w:widowControl w:val="0"/>
                    <w:kinsoku/>
                    <w:wordWrap/>
                    <w:overflowPunct/>
                    <w:topLinePunct w:val="0"/>
                    <w:autoSpaceDE/>
                    <w:autoSpaceDN/>
                    <w:bidi w:val="0"/>
                    <w:adjustRightInd/>
                    <w:snapToGrid/>
                    <w:textAlignment w:val="auto"/>
                    <w:rPr>
                      <w:rFonts w:hint="eastAsia"/>
                      <w:b w:val="0"/>
                      <w:bCs/>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0" w:type="pct"/>
                  <w:vMerge w:val="continue"/>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color w:val="auto"/>
                      <w:sz w:val="21"/>
                      <w:szCs w:val="21"/>
                    </w:rPr>
                  </w:pPr>
                </w:p>
              </w:tc>
              <w:tc>
                <w:tcPr>
                  <w:tcW w:w="406"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color w:val="auto"/>
                      <w:sz w:val="21"/>
                      <w:szCs w:val="21"/>
                      <w:lang w:eastAsia="zh-CN"/>
                    </w:rPr>
                  </w:pPr>
                  <w:r>
                    <w:rPr>
                      <w:rFonts w:hint="eastAsia"/>
                      <w:color w:val="auto"/>
                      <w:sz w:val="21"/>
                      <w:szCs w:val="21"/>
                      <w:lang w:eastAsia="zh-CN"/>
                    </w:rPr>
                    <w:t>三层</w:t>
                  </w:r>
                </w:p>
              </w:tc>
              <w:tc>
                <w:tcPr>
                  <w:tcW w:w="3799" w:type="pct"/>
                  <w:gridSpan w:val="3"/>
                  <w:tcBorders>
                    <w:tl2br w:val="nil"/>
                    <w:tr2bl w:val="nil"/>
                  </w:tcBorders>
                  <w:vAlign w:val="center"/>
                </w:tcPr>
                <w:p>
                  <w:pPr>
                    <w:pStyle w:val="3"/>
                    <w:pageBreakBefore w:val="0"/>
                    <w:widowControl w:val="0"/>
                    <w:kinsoku/>
                    <w:wordWrap/>
                    <w:overflowPunct/>
                    <w:topLinePunct w:val="0"/>
                    <w:autoSpaceDE/>
                    <w:autoSpaceDN/>
                    <w:bidi w:val="0"/>
                    <w:adjustRightInd/>
                    <w:snapToGrid/>
                    <w:textAlignment w:val="auto"/>
                    <w:rPr>
                      <w:rFonts w:hint="eastAsia"/>
                      <w:b w:val="0"/>
                      <w:bCs/>
                      <w:color w:val="auto"/>
                      <w:sz w:val="21"/>
                      <w:szCs w:val="21"/>
                      <w:lang w:val="en-US" w:eastAsia="zh-CN"/>
                    </w:rPr>
                  </w:pPr>
                  <w:r>
                    <w:rPr>
                      <w:rFonts w:hint="eastAsia"/>
                      <w:b w:val="0"/>
                      <w:bCs/>
                      <w:color w:val="auto"/>
                      <w:sz w:val="21"/>
                      <w:szCs w:val="21"/>
                      <w:lang w:val="en-US" w:eastAsia="zh-CN"/>
                    </w:rPr>
                    <w:t>三层主要为手术室：包括普通手术室、百级手术室、污物暂存间、临床检验室以及诊室等。</w:t>
                  </w:r>
                </w:p>
              </w:tc>
              <w:tc>
                <w:tcPr>
                  <w:tcW w:w="413" w:type="pct"/>
                  <w:vMerge w:val="continue"/>
                  <w:tcBorders>
                    <w:tl2br w:val="nil"/>
                    <w:tr2bl w:val="nil"/>
                  </w:tcBorders>
                  <w:vAlign w:val="center"/>
                </w:tcPr>
                <w:p>
                  <w:pPr>
                    <w:pStyle w:val="3"/>
                    <w:pageBreakBefore w:val="0"/>
                    <w:widowControl w:val="0"/>
                    <w:kinsoku/>
                    <w:wordWrap/>
                    <w:overflowPunct/>
                    <w:topLinePunct w:val="0"/>
                    <w:autoSpaceDE/>
                    <w:autoSpaceDN/>
                    <w:bidi w:val="0"/>
                    <w:adjustRightInd/>
                    <w:snapToGrid/>
                    <w:textAlignment w:val="auto"/>
                    <w:rPr>
                      <w:rFonts w:hint="eastAsia"/>
                      <w:b w:val="0"/>
                      <w:bCs/>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0" w:type="pct"/>
                  <w:vMerge w:val="continue"/>
                  <w:tcBorders>
                    <w:tl2br w:val="nil"/>
                    <w:tr2bl w:val="nil"/>
                  </w:tcBorders>
                  <w:vAlign w:val="center"/>
                </w:tcPr>
                <w:p>
                  <w:pPr>
                    <w:pageBreakBefore w:val="0"/>
                    <w:widowControl w:val="0"/>
                    <w:kinsoku/>
                    <w:wordWrap/>
                    <w:overflowPunct/>
                    <w:topLinePunct w:val="0"/>
                    <w:autoSpaceDE/>
                    <w:autoSpaceDN/>
                    <w:bidi w:val="0"/>
                    <w:adjustRightInd/>
                    <w:snapToGrid/>
                    <w:jc w:val="left"/>
                    <w:textAlignment w:val="auto"/>
                    <w:rPr>
                      <w:color w:val="auto"/>
                      <w:sz w:val="21"/>
                      <w:szCs w:val="21"/>
                    </w:rPr>
                  </w:pPr>
                </w:p>
              </w:tc>
              <w:tc>
                <w:tcPr>
                  <w:tcW w:w="406"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eastAsia="宋体"/>
                      <w:color w:val="auto"/>
                      <w:sz w:val="21"/>
                      <w:szCs w:val="21"/>
                      <w:lang w:eastAsia="zh-CN"/>
                    </w:rPr>
                  </w:pPr>
                  <w:r>
                    <w:rPr>
                      <w:rFonts w:hint="eastAsia"/>
                      <w:color w:val="auto"/>
                      <w:sz w:val="21"/>
                      <w:szCs w:val="21"/>
                      <w:lang w:eastAsia="zh-CN"/>
                    </w:rPr>
                    <w:t>四层</w:t>
                  </w:r>
                </w:p>
              </w:tc>
              <w:tc>
                <w:tcPr>
                  <w:tcW w:w="3799" w:type="pct"/>
                  <w:gridSpan w:val="3"/>
                  <w:tcBorders>
                    <w:tl2br w:val="nil"/>
                    <w:tr2bl w:val="nil"/>
                  </w:tcBorders>
                  <w:vAlign w:val="center"/>
                </w:tcPr>
                <w:p>
                  <w:pPr>
                    <w:pStyle w:val="3"/>
                    <w:pageBreakBefore w:val="0"/>
                    <w:widowControl w:val="0"/>
                    <w:kinsoku/>
                    <w:wordWrap/>
                    <w:overflowPunct/>
                    <w:topLinePunct w:val="0"/>
                    <w:autoSpaceDE/>
                    <w:autoSpaceDN/>
                    <w:bidi w:val="0"/>
                    <w:adjustRightInd/>
                    <w:snapToGrid/>
                    <w:textAlignment w:val="auto"/>
                    <w:rPr>
                      <w:rFonts w:hint="default"/>
                      <w:color w:val="auto"/>
                      <w:sz w:val="21"/>
                      <w:szCs w:val="21"/>
                      <w:lang w:val="en-US" w:eastAsia="zh-CN"/>
                    </w:rPr>
                  </w:pPr>
                  <w:r>
                    <w:rPr>
                      <w:rFonts w:hint="eastAsia"/>
                      <w:b w:val="0"/>
                      <w:bCs w:val="0"/>
                      <w:color w:val="auto"/>
                      <w:sz w:val="21"/>
                      <w:szCs w:val="21"/>
                      <w:lang w:eastAsia="zh-CN"/>
                    </w:rPr>
                    <w:t>四层主要为</w:t>
                  </w:r>
                  <w:r>
                    <w:rPr>
                      <w:rFonts w:hint="eastAsia"/>
                      <w:b w:val="0"/>
                      <w:bCs/>
                      <w:color w:val="auto"/>
                      <w:sz w:val="21"/>
                      <w:szCs w:val="21"/>
                      <w:lang w:val="en-US" w:eastAsia="zh-CN"/>
                    </w:rPr>
                    <w:t>病房及办公区。</w:t>
                  </w:r>
                </w:p>
              </w:tc>
              <w:tc>
                <w:tcPr>
                  <w:tcW w:w="413" w:type="pct"/>
                  <w:vMerge w:val="continue"/>
                  <w:tcBorders>
                    <w:tl2br w:val="nil"/>
                    <w:tr2bl w:val="nil"/>
                  </w:tcBorders>
                  <w:vAlign w:val="center"/>
                </w:tcPr>
                <w:p>
                  <w:pPr>
                    <w:pStyle w:val="3"/>
                    <w:pageBreakBefore w:val="0"/>
                    <w:widowControl w:val="0"/>
                    <w:kinsoku/>
                    <w:wordWrap/>
                    <w:overflowPunct/>
                    <w:topLinePunct w:val="0"/>
                    <w:autoSpaceDE/>
                    <w:autoSpaceDN/>
                    <w:bidi w:val="0"/>
                    <w:adjustRightInd/>
                    <w:snapToGrid/>
                    <w:textAlignment w:val="auto"/>
                    <w:rPr>
                      <w:rFonts w:hint="eastAsia"/>
                      <w:b w:val="0"/>
                      <w:bCs w:val="0"/>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0" w:type="pct"/>
                  <w:vMerge w:val="restart"/>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color w:val="auto"/>
                      <w:sz w:val="21"/>
                      <w:szCs w:val="21"/>
                    </w:rPr>
                  </w:pPr>
                  <w:r>
                    <w:rPr>
                      <w:color w:val="auto"/>
                      <w:sz w:val="21"/>
                      <w:szCs w:val="21"/>
                    </w:rPr>
                    <w:t>辅助工程</w:t>
                  </w:r>
                </w:p>
              </w:tc>
              <w:tc>
                <w:tcPr>
                  <w:tcW w:w="406" w:type="pct"/>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color w:val="auto"/>
                      <w:sz w:val="21"/>
                      <w:szCs w:val="21"/>
                    </w:rPr>
                  </w:pPr>
                  <w:r>
                    <w:rPr>
                      <w:color w:val="auto"/>
                      <w:sz w:val="21"/>
                      <w:szCs w:val="21"/>
                    </w:rPr>
                    <w:t>办公区</w:t>
                  </w:r>
                </w:p>
              </w:tc>
              <w:tc>
                <w:tcPr>
                  <w:tcW w:w="3799" w:type="pct"/>
                  <w:gridSpan w:val="3"/>
                  <w:tcBorders>
                    <w:tl2br w:val="nil"/>
                    <w:tr2bl w:val="nil"/>
                  </w:tcBorders>
                  <w:vAlign w:val="center"/>
                </w:tcPr>
                <w:p>
                  <w:pPr>
                    <w:pageBreakBefore w:val="0"/>
                    <w:widowControl w:val="0"/>
                    <w:kinsoku/>
                    <w:wordWrap/>
                    <w:overflowPunct/>
                    <w:topLinePunct w:val="0"/>
                    <w:autoSpaceDE/>
                    <w:autoSpaceDN/>
                    <w:bidi w:val="0"/>
                    <w:adjustRightInd/>
                    <w:snapToGrid/>
                    <w:textAlignment w:val="auto"/>
                    <w:rPr>
                      <w:color w:val="auto"/>
                      <w:sz w:val="21"/>
                      <w:szCs w:val="21"/>
                    </w:rPr>
                  </w:pPr>
                  <w:r>
                    <w:rPr>
                      <w:rFonts w:hint="eastAsia"/>
                      <w:color w:val="auto"/>
                      <w:sz w:val="21"/>
                      <w:szCs w:val="21"/>
                      <w:lang w:eastAsia="zh-CN"/>
                    </w:rPr>
                    <w:t>门诊住院综合楼每层均设置办公室，</w:t>
                  </w:r>
                  <w:r>
                    <w:rPr>
                      <w:rFonts w:hint="eastAsia"/>
                      <w:color w:val="auto"/>
                      <w:sz w:val="21"/>
                      <w:szCs w:val="21"/>
                    </w:rPr>
                    <w:t>用于员工办公和休息。</w:t>
                  </w:r>
                </w:p>
              </w:tc>
              <w:tc>
                <w:tcPr>
                  <w:tcW w:w="413" w:type="pct"/>
                  <w:vMerge w:val="continue"/>
                  <w:tcBorders>
                    <w:tl2br w:val="nil"/>
                    <w:tr2bl w:val="nil"/>
                  </w:tcBorders>
                  <w:vAlign w:val="center"/>
                </w:tcPr>
                <w:p>
                  <w:pPr>
                    <w:pageBreakBefore w:val="0"/>
                    <w:widowControl w:val="0"/>
                    <w:kinsoku/>
                    <w:wordWrap/>
                    <w:overflowPunct/>
                    <w:topLinePunct w:val="0"/>
                    <w:autoSpaceDE/>
                    <w:autoSpaceDN/>
                    <w:bidi w:val="0"/>
                    <w:adjustRightInd/>
                    <w:snapToGrid/>
                    <w:textAlignment w:val="auto"/>
                    <w:rPr>
                      <w:rFonts w:hint="eastAsia"/>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0" w:type="pct"/>
                  <w:vMerge w:val="continue"/>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color w:val="auto"/>
                      <w:sz w:val="21"/>
                      <w:szCs w:val="21"/>
                    </w:rPr>
                  </w:pPr>
                </w:p>
              </w:tc>
              <w:tc>
                <w:tcPr>
                  <w:tcW w:w="406" w:type="pct"/>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rFonts w:hint="eastAsia" w:eastAsia="宋体"/>
                      <w:color w:val="auto"/>
                      <w:sz w:val="21"/>
                      <w:szCs w:val="21"/>
                      <w:lang w:eastAsia="zh-CN"/>
                    </w:rPr>
                  </w:pPr>
                  <w:r>
                    <w:rPr>
                      <w:rFonts w:hint="eastAsia"/>
                      <w:color w:val="auto"/>
                      <w:sz w:val="21"/>
                      <w:szCs w:val="21"/>
                      <w:lang w:eastAsia="zh-CN"/>
                    </w:rPr>
                    <w:t>应急备用电源</w:t>
                  </w:r>
                </w:p>
              </w:tc>
              <w:tc>
                <w:tcPr>
                  <w:tcW w:w="3799" w:type="pct"/>
                  <w:gridSpan w:val="3"/>
                  <w:tcBorders>
                    <w:tl2br w:val="nil"/>
                    <w:tr2bl w:val="nil"/>
                  </w:tcBorders>
                  <w:vAlign w:val="center"/>
                </w:tcPr>
                <w:p>
                  <w:pPr>
                    <w:pageBreakBefore w:val="0"/>
                    <w:widowControl w:val="0"/>
                    <w:kinsoku/>
                    <w:wordWrap/>
                    <w:overflowPunct/>
                    <w:topLinePunct w:val="0"/>
                    <w:autoSpaceDE/>
                    <w:autoSpaceDN/>
                    <w:bidi w:val="0"/>
                    <w:adjustRightInd/>
                    <w:snapToGrid/>
                    <w:textAlignment w:val="auto"/>
                    <w:rPr>
                      <w:rFonts w:hint="default" w:eastAsia="宋体"/>
                      <w:color w:val="auto"/>
                      <w:sz w:val="21"/>
                      <w:szCs w:val="21"/>
                      <w:lang w:val="en-US" w:eastAsia="zh-CN"/>
                    </w:rPr>
                  </w:pPr>
                  <w:r>
                    <w:rPr>
                      <w:rFonts w:hint="eastAsia"/>
                      <w:color w:val="auto"/>
                      <w:sz w:val="21"/>
                      <w:szCs w:val="21"/>
                      <w:lang w:val="en-US" w:eastAsia="zh-CN"/>
                    </w:rPr>
                    <w:t>使用UPS备用电源设备</w:t>
                  </w:r>
                </w:p>
              </w:tc>
              <w:tc>
                <w:tcPr>
                  <w:tcW w:w="413" w:type="pct"/>
                  <w:vMerge w:val="continue"/>
                  <w:tcBorders>
                    <w:tl2br w:val="nil"/>
                    <w:tr2bl w:val="nil"/>
                  </w:tcBorders>
                  <w:vAlign w:val="center"/>
                </w:tcPr>
                <w:p>
                  <w:pPr>
                    <w:pageBreakBefore w:val="0"/>
                    <w:widowControl w:val="0"/>
                    <w:kinsoku/>
                    <w:wordWrap/>
                    <w:overflowPunct/>
                    <w:topLinePunct w:val="0"/>
                    <w:autoSpaceDE/>
                    <w:autoSpaceDN/>
                    <w:bidi w:val="0"/>
                    <w:adjustRightInd/>
                    <w:snapToGrid/>
                    <w:textAlignment w:val="auto"/>
                    <w:rPr>
                      <w:rFonts w:hint="eastAsia"/>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0" w:type="pct"/>
                  <w:vMerge w:val="restart"/>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color w:val="auto"/>
                      <w:sz w:val="21"/>
                      <w:szCs w:val="21"/>
                    </w:rPr>
                  </w:pPr>
                  <w:r>
                    <w:rPr>
                      <w:color w:val="auto"/>
                      <w:sz w:val="21"/>
                      <w:szCs w:val="21"/>
                    </w:rPr>
                    <w:t>公用工程</w:t>
                  </w:r>
                </w:p>
              </w:tc>
              <w:tc>
                <w:tcPr>
                  <w:tcW w:w="406" w:type="pct"/>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color w:val="auto"/>
                      <w:sz w:val="21"/>
                      <w:szCs w:val="21"/>
                    </w:rPr>
                  </w:pPr>
                  <w:r>
                    <w:rPr>
                      <w:color w:val="auto"/>
                      <w:sz w:val="21"/>
                      <w:szCs w:val="21"/>
                    </w:rPr>
                    <w:t>供水</w:t>
                  </w:r>
                </w:p>
              </w:tc>
              <w:tc>
                <w:tcPr>
                  <w:tcW w:w="3799" w:type="pct"/>
                  <w:gridSpan w:val="3"/>
                  <w:tcBorders>
                    <w:tl2br w:val="nil"/>
                    <w:tr2bl w:val="nil"/>
                  </w:tcBorders>
                  <w:vAlign w:val="center"/>
                </w:tcPr>
                <w:p>
                  <w:pPr>
                    <w:pageBreakBefore w:val="0"/>
                    <w:widowControl w:val="0"/>
                    <w:kinsoku/>
                    <w:wordWrap/>
                    <w:overflowPunct/>
                    <w:topLinePunct w:val="0"/>
                    <w:autoSpaceDE/>
                    <w:autoSpaceDN/>
                    <w:bidi w:val="0"/>
                    <w:adjustRightInd/>
                    <w:snapToGrid/>
                    <w:textAlignment w:val="auto"/>
                    <w:rPr>
                      <w:color w:val="auto"/>
                      <w:sz w:val="21"/>
                      <w:szCs w:val="21"/>
                    </w:rPr>
                  </w:pPr>
                  <w:r>
                    <w:rPr>
                      <w:color w:val="auto"/>
                      <w:sz w:val="21"/>
                      <w:szCs w:val="21"/>
                    </w:rPr>
                    <w:t>由当地市政管网供给。</w:t>
                  </w:r>
                </w:p>
              </w:tc>
              <w:tc>
                <w:tcPr>
                  <w:tcW w:w="413" w:type="pct"/>
                  <w:vMerge w:val="restart"/>
                  <w:tcBorders>
                    <w:tl2br w:val="nil"/>
                    <w:tr2bl w:val="nil"/>
                  </w:tcBorders>
                  <w:vAlign w:val="center"/>
                </w:tcPr>
                <w:p>
                  <w:pPr>
                    <w:pageBreakBefore w:val="0"/>
                    <w:widowControl w:val="0"/>
                    <w:kinsoku/>
                    <w:wordWrap/>
                    <w:overflowPunct/>
                    <w:topLinePunct w:val="0"/>
                    <w:autoSpaceDE/>
                    <w:autoSpaceDN/>
                    <w:bidi w:val="0"/>
                    <w:adjustRightInd/>
                    <w:snapToGrid/>
                    <w:textAlignment w:val="auto"/>
                    <w:rPr>
                      <w:rFonts w:hint="eastAsia" w:eastAsia="宋体"/>
                      <w:color w:val="auto"/>
                      <w:sz w:val="21"/>
                      <w:szCs w:val="21"/>
                      <w:lang w:eastAsia="zh-CN"/>
                    </w:rPr>
                  </w:pPr>
                  <w:r>
                    <w:rPr>
                      <w:rFonts w:hint="eastAsia"/>
                      <w:color w:val="auto"/>
                      <w:sz w:val="21"/>
                      <w:szCs w:val="21"/>
                      <w:lang w:eastAsia="zh-CN"/>
                    </w:rPr>
                    <w:t>改造现有，已改造完成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0" w:type="pct"/>
                  <w:vMerge w:val="continue"/>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color w:val="auto"/>
                      <w:sz w:val="21"/>
                      <w:szCs w:val="21"/>
                    </w:rPr>
                  </w:pPr>
                </w:p>
              </w:tc>
              <w:tc>
                <w:tcPr>
                  <w:tcW w:w="406" w:type="pct"/>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color w:val="auto"/>
                      <w:sz w:val="21"/>
                      <w:szCs w:val="21"/>
                    </w:rPr>
                  </w:pPr>
                  <w:r>
                    <w:rPr>
                      <w:color w:val="auto"/>
                      <w:sz w:val="21"/>
                      <w:szCs w:val="21"/>
                    </w:rPr>
                    <w:t>排水</w:t>
                  </w:r>
                </w:p>
              </w:tc>
              <w:tc>
                <w:tcPr>
                  <w:tcW w:w="3799" w:type="pct"/>
                  <w:gridSpan w:val="3"/>
                  <w:tcBorders>
                    <w:tl2br w:val="nil"/>
                    <w:tr2bl w:val="nil"/>
                  </w:tcBorders>
                  <w:vAlign w:val="center"/>
                </w:tcPr>
                <w:p>
                  <w:pPr>
                    <w:pageBreakBefore w:val="0"/>
                    <w:widowControl w:val="0"/>
                    <w:kinsoku/>
                    <w:wordWrap/>
                    <w:overflowPunct/>
                    <w:topLinePunct w:val="0"/>
                    <w:autoSpaceDE/>
                    <w:autoSpaceDN/>
                    <w:bidi w:val="0"/>
                    <w:adjustRightInd/>
                    <w:snapToGrid/>
                    <w:textAlignment w:val="auto"/>
                    <w:rPr>
                      <w:color w:val="auto"/>
                      <w:sz w:val="21"/>
                      <w:szCs w:val="21"/>
                    </w:rPr>
                  </w:pPr>
                  <w:r>
                    <w:rPr>
                      <w:rFonts w:hint="eastAsia" w:cs="Times New Roman"/>
                      <w:b w:val="0"/>
                      <w:bCs w:val="0"/>
                      <w:color w:val="auto"/>
                      <w:sz w:val="21"/>
                      <w:szCs w:val="21"/>
                      <w:vertAlign w:val="baseline"/>
                      <w:lang w:val="en-US" w:eastAsia="zh-CN"/>
                    </w:rPr>
                    <w:t>院区雨污分流，</w:t>
                  </w:r>
                  <w:r>
                    <w:rPr>
                      <w:rFonts w:hint="eastAsia" w:ascii="Times New Roman" w:hAnsi="Times New Roman" w:eastAsia="宋体" w:cs="Times New Roman"/>
                      <w:b w:val="0"/>
                      <w:bCs w:val="0"/>
                      <w:color w:val="auto"/>
                      <w:sz w:val="21"/>
                      <w:szCs w:val="21"/>
                      <w:vertAlign w:val="baseline"/>
                      <w:lang w:val="en-US" w:eastAsia="zh-CN"/>
                    </w:rPr>
                    <w:t>项目住院部、医护人员、行政人员产生的生活污水经化粪池处理后与化验室</w:t>
                  </w:r>
                  <w:r>
                    <w:rPr>
                      <w:rFonts w:hint="eastAsia" w:cs="Times New Roman"/>
                      <w:b w:val="0"/>
                      <w:bCs w:val="0"/>
                      <w:color w:val="auto"/>
                      <w:sz w:val="21"/>
                      <w:szCs w:val="21"/>
                      <w:vertAlign w:val="baseline"/>
                      <w:lang w:val="en-US" w:eastAsia="zh-CN"/>
                    </w:rPr>
                    <w:t>废水、</w:t>
                  </w:r>
                  <w:r>
                    <w:rPr>
                      <w:rFonts w:hint="eastAsia" w:ascii="Times New Roman" w:hAnsi="Times New Roman" w:eastAsia="宋体" w:cs="Times New Roman"/>
                      <w:b w:val="0"/>
                      <w:bCs w:val="0"/>
                      <w:color w:val="auto"/>
                      <w:sz w:val="21"/>
                      <w:szCs w:val="21"/>
                      <w:vertAlign w:val="baseline"/>
                      <w:lang w:val="en-US" w:eastAsia="zh-CN"/>
                    </w:rPr>
                    <w:t>门诊废水一同经污水处理</w:t>
                  </w:r>
                  <w:r>
                    <w:rPr>
                      <w:rFonts w:hint="eastAsia" w:cs="Times New Roman"/>
                      <w:b w:val="0"/>
                      <w:bCs w:val="0"/>
                      <w:color w:val="auto"/>
                      <w:sz w:val="21"/>
                      <w:szCs w:val="21"/>
                      <w:vertAlign w:val="baseline"/>
                      <w:lang w:val="en-US" w:eastAsia="zh-CN"/>
                    </w:rPr>
                    <w:t>站</w:t>
                  </w:r>
                  <w:r>
                    <w:rPr>
                      <w:rFonts w:hint="eastAsia" w:ascii="Times New Roman" w:hAnsi="Times New Roman" w:eastAsia="宋体" w:cs="Times New Roman"/>
                      <w:b w:val="0"/>
                      <w:bCs w:val="0"/>
                      <w:color w:val="auto"/>
                      <w:sz w:val="21"/>
                      <w:szCs w:val="21"/>
                      <w:vertAlign w:val="baseline"/>
                      <w:lang w:val="en-US" w:eastAsia="zh-CN"/>
                    </w:rPr>
                    <w:t>处理后通过市政管网进入西安市第一污水处理厂一期。</w:t>
                  </w:r>
                </w:p>
              </w:tc>
              <w:tc>
                <w:tcPr>
                  <w:tcW w:w="413" w:type="pct"/>
                  <w:vMerge w:val="continue"/>
                  <w:tcBorders>
                    <w:tl2br w:val="nil"/>
                    <w:tr2bl w:val="nil"/>
                  </w:tcBorders>
                  <w:vAlign w:val="center"/>
                </w:tcPr>
                <w:p>
                  <w:pPr>
                    <w:pageBreakBefore w:val="0"/>
                    <w:widowControl w:val="0"/>
                    <w:kinsoku/>
                    <w:wordWrap/>
                    <w:overflowPunct/>
                    <w:topLinePunct w:val="0"/>
                    <w:autoSpaceDE/>
                    <w:autoSpaceDN/>
                    <w:bidi w:val="0"/>
                    <w:adjustRightInd/>
                    <w:snapToGrid/>
                    <w:textAlignment w:val="auto"/>
                    <w:rPr>
                      <w:rFonts w:hint="eastAsia" w:cs="Times New Roman"/>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0" w:type="pct"/>
                  <w:vMerge w:val="continue"/>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color w:val="auto"/>
                      <w:sz w:val="21"/>
                      <w:szCs w:val="21"/>
                    </w:rPr>
                  </w:pPr>
                </w:p>
              </w:tc>
              <w:tc>
                <w:tcPr>
                  <w:tcW w:w="406" w:type="pct"/>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color w:val="auto"/>
                      <w:sz w:val="21"/>
                      <w:szCs w:val="21"/>
                    </w:rPr>
                  </w:pPr>
                  <w:r>
                    <w:rPr>
                      <w:color w:val="auto"/>
                      <w:sz w:val="21"/>
                      <w:szCs w:val="21"/>
                    </w:rPr>
                    <w:t>供电</w:t>
                  </w:r>
                </w:p>
              </w:tc>
              <w:tc>
                <w:tcPr>
                  <w:tcW w:w="3799" w:type="pct"/>
                  <w:gridSpan w:val="3"/>
                  <w:tcBorders>
                    <w:tl2br w:val="nil"/>
                    <w:tr2bl w:val="nil"/>
                  </w:tcBorders>
                  <w:vAlign w:val="center"/>
                </w:tcPr>
                <w:p>
                  <w:pPr>
                    <w:pageBreakBefore w:val="0"/>
                    <w:widowControl w:val="0"/>
                    <w:kinsoku/>
                    <w:wordWrap/>
                    <w:overflowPunct/>
                    <w:topLinePunct w:val="0"/>
                    <w:autoSpaceDE/>
                    <w:autoSpaceDN/>
                    <w:bidi w:val="0"/>
                    <w:adjustRightInd/>
                    <w:snapToGrid/>
                    <w:textAlignment w:val="auto"/>
                    <w:rPr>
                      <w:color w:val="auto"/>
                      <w:sz w:val="21"/>
                      <w:szCs w:val="21"/>
                    </w:rPr>
                  </w:pPr>
                  <w:r>
                    <w:rPr>
                      <w:rFonts w:hint="eastAsia"/>
                      <w:bCs/>
                      <w:color w:val="auto"/>
                      <w:sz w:val="21"/>
                      <w:szCs w:val="21"/>
                    </w:rPr>
                    <w:t>市政供电。</w:t>
                  </w:r>
                </w:p>
              </w:tc>
              <w:tc>
                <w:tcPr>
                  <w:tcW w:w="413" w:type="pct"/>
                  <w:vMerge w:val="continue"/>
                  <w:tcBorders>
                    <w:tl2br w:val="nil"/>
                    <w:tr2bl w:val="nil"/>
                  </w:tcBorders>
                  <w:vAlign w:val="center"/>
                </w:tcPr>
                <w:p>
                  <w:pPr>
                    <w:pageBreakBefore w:val="0"/>
                    <w:widowControl w:val="0"/>
                    <w:kinsoku/>
                    <w:wordWrap/>
                    <w:overflowPunct/>
                    <w:topLinePunct w:val="0"/>
                    <w:autoSpaceDE/>
                    <w:autoSpaceDN/>
                    <w:bidi w:val="0"/>
                    <w:adjustRightInd/>
                    <w:snapToGrid/>
                    <w:textAlignment w:val="auto"/>
                    <w:rPr>
                      <w:rFonts w:hint="eastAsia"/>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0" w:type="pct"/>
                  <w:vMerge w:val="continue"/>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color w:val="auto"/>
                      <w:sz w:val="21"/>
                      <w:szCs w:val="21"/>
                    </w:rPr>
                  </w:pPr>
                </w:p>
              </w:tc>
              <w:tc>
                <w:tcPr>
                  <w:tcW w:w="406"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color w:val="auto"/>
                      <w:sz w:val="21"/>
                      <w:szCs w:val="21"/>
                    </w:rPr>
                  </w:pPr>
                  <w:r>
                    <w:rPr>
                      <w:rFonts w:hint="eastAsia"/>
                      <w:color w:val="auto"/>
                      <w:sz w:val="21"/>
                      <w:szCs w:val="21"/>
                      <w:lang w:eastAsia="zh-CN"/>
                    </w:rPr>
                    <w:t>供</w:t>
                  </w:r>
                  <w:r>
                    <w:rPr>
                      <w:color w:val="auto"/>
                      <w:sz w:val="21"/>
                      <w:szCs w:val="21"/>
                    </w:rPr>
                    <w:t>暖</w:t>
                  </w:r>
                </w:p>
                <w:p>
                  <w:pPr>
                    <w:keepNext w:val="0"/>
                    <w:keepLines w:val="0"/>
                    <w:pageBreakBefore w:val="0"/>
                    <w:widowControl w:val="0"/>
                    <w:kinsoku/>
                    <w:wordWrap/>
                    <w:overflowPunct/>
                    <w:topLinePunct w:val="0"/>
                    <w:autoSpaceDE/>
                    <w:autoSpaceDN/>
                    <w:bidi w:val="0"/>
                    <w:adjustRightInd/>
                    <w:snapToGrid/>
                    <w:jc w:val="center"/>
                    <w:textAlignment w:val="auto"/>
                    <w:rPr>
                      <w:color w:val="auto"/>
                      <w:sz w:val="21"/>
                      <w:szCs w:val="21"/>
                    </w:rPr>
                  </w:pPr>
                  <w:r>
                    <w:rPr>
                      <w:color w:val="auto"/>
                      <w:sz w:val="21"/>
                      <w:szCs w:val="21"/>
                    </w:rPr>
                    <w:t>、制冷</w:t>
                  </w:r>
                </w:p>
              </w:tc>
              <w:tc>
                <w:tcPr>
                  <w:tcW w:w="3799" w:type="pct"/>
                  <w:gridSpan w:val="3"/>
                  <w:tcBorders>
                    <w:tl2br w:val="nil"/>
                    <w:tr2bl w:val="nil"/>
                  </w:tcBorders>
                  <w:vAlign w:val="center"/>
                </w:tcPr>
                <w:p>
                  <w:pPr>
                    <w:pageBreakBefore w:val="0"/>
                    <w:widowControl w:val="0"/>
                    <w:kinsoku/>
                    <w:wordWrap/>
                    <w:overflowPunct/>
                    <w:topLinePunct w:val="0"/>
                    <w:autoSpaceDE/>
                    <w:autoSpaceDN/>
                    <w:bidi w:val="0"/>
                    <w:adjustRightInd/>
                    <w:snapToGrid/>
                    <w:textAlignment w:val="auto"/>
                    <w:rPr>
                      <w:color w:val="auto"/>
                      <w:sz w:val="21"/>
                      <w:szCs w:val="21"/>
                    </w:rPr>
                  </w:pPr>
                  <w:r>
                    <w:rPr>
                      <w:rFonts w:hint="eastAsia"/>
                      <w:color w:val="auto"/>
                      <w:sz w:val="21"/>
                      <w:szCs w:val="21"/>
                      <w:lang w:val="en-US" w:eastAsia="zh-CN"/>
                    </w:rPr>
                    <w:t>门诊、住院、化验室及职工办公区</w:t>
                  </w:r>
                  <w:r>
                    <w:rPr>
                      <w:color w:val="auto"/>
                      <w:sz w:val="21"/>
                      <w:szCs w:val="21"/>
                    </w:rPr>
                    <w:t>供暖、制冷采用空调。</w:t>
                  </w:r>
                </w:p>
              </w:tc>
              <w:tc>
                <w:tcPr>
                  <w:tcW w:w="413" w:type="pct"/>
                  <w:tcBorders>
                    <w:tl2br w:val="nil"/>
                    <w:tr2bl w:val="nil"/>
                  </w:tcBorders>
                  <w:vAlign w:val="center"/>
                </w:tcPr>
                <w:p>
                  <w:pPr>
                    <w:pageBreakBefore w:val="0"/>
                    <w:widowControl w:val="0"/>
                    <w:kinsoku/>
                    <w:wordWrap/>
                    <w:overflowPunct/>
                    <w:topLinePunct w:val="0"/>
                    <w:autoSpaceDE/>
                    <w:autoSpaceDN/>
                    <w:bidi w:val="0"/>
                    <w:adjustRightInd/>
                    <w:snapToGrid/>
                    <w:textAlignment w:val="auto"/>
                    <w:rPr>
                      <w:rFonts w:hint="eastAsia"/>
                      <w:color w:val="auto"/>
                      <w:sz w:val="21"/>
                      <w:szCs w:val="21"/>
                      <w:lang w:val="en-US" w:eastAsia="zh-CN"/>
                    </w:rPr>
                  </w:pPr>
                  <w:r>
                    <w:rPr>
                      <w:rFonts w:hint="eastAsia"/>
                      <w:b w:val="0"/>
                      <w:bCs w:val="0"/>
                      <w:color w:val="auto"/>
                      <w:sz w:val="21"/>
                      <w:szCs w:val="21"/>
                      <w:lang w:eastAsia="zh-CN"/>
                    </w:rPr>
                    <w:t>拟进行设备安装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0" w:type="pct"/>
                  <w:vMerge w:val="restart"/>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color w:val="auto"/>
                      <w:sz w:val="21"/>
                      <w:szCs w:val="21"/>
                    </w:rPr>
                  </w:pPr>
                  <w:r>
                    <w:rPr>
                      <w:color w:val="auto"/>
                      <w:sz w:val="21"/>
                      <w:szCs w:val="21"/>
                    </w:rPr>
                    <w:t>环保工程</w:t>
                  </w:r>
                </w:p>
              </w:tc>
              <w:tc>
                <w:tcPr>
                  <w:tcW w:w="406" w:type="pct"/>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color w:val="auto"/>
                      <w:sz w:val="21"/>
                      <w:szCs w:val="21"/>
                    </w:rPr>
                  </w:pPr>
                  <w:r>
                    <w:rPr>
                      <w:color w:val="auto"/>
                      <w:sz w:val="21"/>
                      <w:szCs w:val="21"/>
                    </w:rPr>
                    <w:t>废气</w:t>
                  </w:r>
                </w:p>
              </w:tc>
              <w:tc>
                <w:tcPr>
                  <w:tcW w:w="758" w:type="pct"/>
                  <w:gridSpan w:val="2"/>
                  <w:tcBorders>
                    <w:tl2br w:val="nil"/>
                    <w:tr2bl w:val="nil"/>
                  </w:tcBorders>
                  <w:vAlign w:val="center"/>
                </w:tcPr>
                <w:p>
                  <w:pPr>
                    <w:pStyle w:val="3"/>
                    <w:pageBreakBefore w:val="0"/>
                    <w:widowControl w:val="0"/>
                    <w:kinsoku/>
                    <w:wordWrap/>
                    <w:overflowPunct/>
                    <w:topLinePunct w:val="0"/>
                    <w:autoSpaceDE/>
                    <w:autoSpaceDN/>
                    <w:bidi w:val="0"/>
                    <w:adjustRightInd/>
                    <w:snapToGrid/>
                    <w:jc w:val="center"/>
                    <w:textAlignment w:val="auto"/>
                    <w:rPr>
                      <w:rFonts w:hint="eastAsia"/>
                      <w:b w:val="0"/>
                      <w:bCs/>
                      <w:color w:val="auto"/>
                      <w:sz w:val="21"/>
                      <w:szCs w:val="21"/>
                      <w:lang w:eastAsia="zh-CN"/>
                    </w:rPr>
                  </w:pPr>
                  <w:r>
                    <w:rPr>
                      <w:rFonts w:hint="eastAsia"/>
                      <w:b w:val="0"/>
                      <w:bCs/>
                      <w:color w:val="auto"/>
                      <w:sz w:val="21"/>
                      <w:szCs w:val="21"/>
                      <w:lang w:eastAsia="zh-CN"/>
                    </w:rPr>
                    <w:t>污水处理站废气</w:t>
                  </w:r>
                </w:p>
              </w:tc>
              <w:tc>
                <w:tcPr>
                  <w:tcW w:w="3040" w:type="pct"/>
                  <w:tcBorders>
                    <w:tl2br w:val="nil"/>
                    <w:tr2bl w:val="nil"/>
                  </w:tcBorders>
                  <w:vAlign w:val="center"/>
                </w:tcPr>
                <w:p>
                  <w:pPr>
                    <w:pStyle w:val="3"/>
                    <w:pageBreakBefore w:val="0"/>
                    <w:widowControl w:val="0"/>
                    <w:kinsoku/>
                    <w:wordWrap/>
                    <w:overflowPunct/>
                    <w:topLinePunct w:val="0"/>
                    <w:autoSpaceDE/>
                    <w:autoSpaceDN/>
                    <w:bidi w:val="0"/>
                    <w:adjustRightInd/>
                    <w:snapToGrid/>
                    <w:textAlignment w:val="auto"/>
                    <w:rPr>
                      <w:rFonts w:hint="eastAsia"/>
                      <w:b w:val="0"/>
                      <w:bCs/>
                      <w:color w:val="auto"/>
                      <w:sz w:val="21"/>
                      <w:szCs w:val="21"/>
                      <w:lang w:eastAsia="zh-CN"/>
                    </w:rPr>
                  </w:pPr>
                  <w:r>
                    <w:rPr>
                      <w:rFonts w:hint="eastAsia"/>
                      <w:b w:val="0"/>
                      <w:bCs/>
                      <w:color w:val="auto"/>
                      <w:sz w:val="21"/>
                      <w:szCs w:val="21"/>
                      <w:lang w:eastAsia="zh-CN"/>
                    </w:rPr>
                    <w:t>污水处理站各水箱均加盖密闭并投放除臭剂，产生的臭气对环境影响较小。</w:t>
                  </w:r>
                </w:p>
              </w:tc>
              <w:tc>
                <w:tcPr>
                  <w:tcW w:w="413" w:type="pct"/>
                  <w:vMerge w:val="restart"/>
                  <w:tcBorders>
                    <w:tl2br w:val="nil"/>
                    <w:tr2bl w:val="nil"/>
                  </w:tcBorders>
                  <w:vAlign w:val="center"/>
                </w:tcPr>
                <w:p>
                  <w:pPr>
                    <w:pStyle w:val="3"/>
                    <w:pageBreakBefore w:val="0"/>
                    <w:widowControl w:val="0"/>
                    <w:kinsoku/>
                    <w:wordWrap/>
                    <w:overflowPunct/>
                    <w:topLinePunct w:val="0"/>
                    <w:autoSpaceDE/>
                    <w:autoSpaceDN/>
                    <w:bidi w:val="0"/>
                    <w:adjustRightInd/>
                    <w:snapToGrid/>
                    <w:textAlignment w:val="auto"/>
                    <w:rPr>
                      <w:rFonts w:hint="eastAsia"/>
                      <w:b w:val="0"/>
                      <w:bCs/>
                      <w:color w:val="auto"/>
                      <w:sz w:val="21"/>
                      <w:szCs w:val="21"/>
                      <w:lang w:eastAsia="zh-CN"/>
                    </w:rPr>
                  </w:pPr>
                  <w:r>
                    <w:rPr>
                      <w:rFonts w:hint="eastAsia"/>
                      <w:b w:val="0"/>
                      <w:bCs w:val="0"/>
                      <w:color w:val="auto"/>
                      <w:sz w:val="21"/>
                      <w:szCs w:val="21"/>
                      <w:lang w:eastAsia="zh-CN"/>
                    </w:rPr>
                    <w:t>正在进行设备安装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0" w:type="pct"/>
                  <w:vMerge w:val="continue"/>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color w:val="auto"/>
                      <w:sz w:val="21"/>
                      <w:szCs w:val="21"/>
                    </w:rPr>
                  </w:pPr>
                </w:p>
              </w:tc>
              <w:tc>
                <w:tcPr>
                  <w:tcW w:w="406" w:type="pct"/>
                  <w:vMerge w:val="restart"/>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color w:val="auto"/>
                      <w:sz w:val="21"/>
                      <w:szCs w:val="21"/>
                    </w:rPr>
                  </w:pPr>
                  <w:r>
                    <w:rPr>
                      <w:color w:val="auto"/>
                      <w:sz w:val="21"/>
                      <w:szCs w:val="21"/>
                    </w:rPr>
                    <w:t>废水</w:t>
                  </w:r>
                </w:p>
              </w:tc>
              <w:tc>
                <w:tcPr>
                  <w:tcW w:w="758" w:type="pct"/>
                  <w:gridSpan w:val="2"/>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rFonts w:hint="eastAsia" w:eastAsia="宋体"/>
                      <w:color w:val="auto"/>
                      <w:sz w:val="21"/>
                      <w:szCs w:val="21"/>
                      <w:lang w:eastAsia="zh-CN"/>
                    </w:rPr>
                  </w:pPr>
                  <w:r>
                    <w:rPr>
                      <w:rFonts w:hint="eastAsia"/>
                      <w:color w:val="auto"/>
                      <w:sz w:val="21"/>
                      <w:szCs w:val="21"/>
                      <w:lang w:eastAsia="zh-CN"/>
                    </w:rPr>
                    <w:t>检验废水、门诊废水</w:t>
                  </w:r>
                </w:p>
              </w:tc>
              <w:tc>
                <w:tcPr>
                  <w:tcW w:w="304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color w:val="auto"/>
                      <w:sz w:val="21"/>
                      <w:szCs w:val="21"/>
                      <w:lang w:val="en-US" w:eastAsia="zh-CN"/>
                    </w:rPr>
                  </w:pPr>
                  <w:r>
                    <w:rPr>
                      <w:rFonts w:hint="eastAsia"/>
                      <w:color w:val="auto"/>
                      <w:sz w:val="21"/>
                      <w:szCs w:val="21"/>
                      <w:lang w:eastAsia="zh-CN"/>
                    </w:rPr>
                    <w:t>化验室产生的医疗废水经污水处理站（</w:t>
                  </w:r>
                  <w:r>
                    <w:rPr>
                      <w:rFonts w:ascii="Times New Roman" w:hAnsi="Times New Roman" w:eastAsia="宋体" w:cs="Times New Roman"/>
                      <w:color w:val="auto"/>
                      <w:sz w:val="21"/>
                      <w:szCs w:val="21"/>
                    </w:rPr>
                    <w:t>缺氧+好氧+沉降+消毒，处理能力20t/d</w:t>
                  </w:r>
                  <w:r>
                    <w:rPr>
                      <w:rFonts w:hint="eastAsia"/>
                      <w:color w:val="auto"/>
                      <w:sz w:val="21"/>
                      <w:szCs w:val="21"/>
                      <w:lang w:eastAsia="zh-CN"/>
                    </w:rPr>
                    <w:t>）处理达标后通过市政管网进入</w:t>
                  </w:r>
                  <w:r>
                    <w:rPr>
                      <w:rFonts w:hint="eastAsia" w:ascii="Times New Roman" w:hAnsi="Times New Roman" w:eastAsia="宋体" w:cs="Times New Roman"/>
                      <w:b w:val="0"/>
                      <w:bCs w:val="0"/>
                      <w:color w:val="auto"/>
                      <w:sz w:val="21"/>
                      <w:szCs w:val="21"/>
                      <w:vertAlign w:val="baseline"/>
                      <w:lang w:val="en-US" w:eastAsia="zh-CN"/>
                    </w:rPr>
                    <w:t>西安市第一污水处理厂一期</w:t>
                  </w:r>
                  <w:r>
                    <w:rPr>
                      <w:rFonts w:hint="eastAsia"/>
                      <w:color w:val="auto"/>
                      <w:sz w:val="21"/>
                      <w:szCs w:val="21"/>
                      <w:lang w:eastAsia="zh-CN"/>
                    </w:rPr>
                    <w:t>。污水处理站位于一层东南角，占地面积</w:t>
                  </w:r>
                  <w:r>
                    <w:rPr>
                      <w:rFonts w:hint="eastAsia"/>
                      <w:color w:val="auto"/>
                      <w:sz w:val="21"/>
                      <w:szCs w:val="21"/>
                      <w:lang w:val="en-US" w:eastAsia="zh-CN"/>
                    </w:rPr>
                    <w:t>13m</w:t>
                  </w:r>
                  <w:r>
                    <w:rPr>
                      <w:rFonts w:hint="eastAsia"/>
                      <w:color w:val="auto"/>
                      <w:sz w:val="21"/>
                      <w:szCs w:val="21"/>
                      <w:vertAlign w:val="superscript"/>
                      <w:lang w:val="en-US" w:eastAsia="zh-CN"/>
                    </w:rPr>
                    <w:t>2</w:t>
                  </w:r>
                  <w:r>
                    <w:rPr>
                      <w:rFonts w:hint="eastAsia"/>
                      <w:color w:val="auto"/>
                      <w:sz w:val="21"/>
                      <w:szCs w:val="21"/>
                      <w:lang w:val="en-US" w:eastAsia="zh-CN"/>
                    </w:rPr>
                    <w:t>。</w:t>
                  </w:r>
                </w:p>
              </w:tc>
              <w:tc>
                <w:tcPr>
                  <w:tcW w:w="413"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380" w:type="pct"/>
                  <w:vMerge w:val="continue"/>
                  <w:tcBorders>
                    <w:tl2br w:val="nil"/>
                    <w:tr2bl w:val="nil"/>
                  </w:tcBorders>
                  <w:vAlign w:val="center"/>
                </w:tcPr>
                <w:p>
                  <w:pPr>
                    <w:pageBreakBefore w:val="0"/>
                    <w:widowControl w:val="0"/>
                    <w:kinsoku/>
                    <w:wordWrap/>
                    <w:overflowPunct/>
                    <w:topLinePunct w:val="0"/>
                    <w:autoSpaceDE/>
                    <w:autoSpaceDN/>
                    <w:bidi w:val="0"/>
                    <w:adjustRightInd/>
                    <w:snapToGrid/>
                    <w:textAlignment w:val="auto"/>
                    <w:rPr>
                      <w:color w:val="auto"/>
                      <w:sz w:val="21"/>
                      <w:szCs w:val="21"/>
                    </w:rPr>
                  </w:pPr>
                </w:p>
              </w:tc>
              <w:tc>
                <w:tcPr>
                  <w:tcW w:w="406" w:type="pct"/>
                  <w:vMerge w:val="continue"/>
                  <w:tcBorders>
                    <w:tl2br w:val="nil"/>
                    <w:tr2bl w:val="nil"/>
                  </w:tcBorders>
                  <w:vAlign w:val="center"/>
                </w:tcPr>
                <w:p>
                  <w:pPr>
                    <w:pageBreakBefore w:val="0"/>
                    <w:widowControl w:val="0"/>
                    <w:kinsoku/>
                    <w:wordWrap/>
                    <w:overflowPunct/>
                    <w:topLinePunct w:val="0"/>
                    <w:autoSpaceDE/>
                    <w:autoSpaceDN/>
                    <w:bidi w:val="0"/>
                    <w:adjustRightInd/>
                    <w:snapToGrid/>
                    <w:textAlignment w:val="auto"/>
                    <w:rPr>
                      <w:color w:val="auto"/>
                      <w:sz w:val="21"/>
                      <w:szCs w:val="21"/>
                    </w:rPr>
                  </w:pPr>
                </w:p>
              </w:tc>
              <w:tc>
                <w:tcPr>
                  <w:tcW w:w="758" w:type="pct"/>
                  <w:gridSpan w:val="2"/>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rFonts w:hint="eastAsia"/>
                      <w:color w:val="auto"/>
                      <w:sz w:val="21"/>
                      <w:szCs w:val="21"/>
                      <w:lang w:eastAsia="zh-CN"/>
                    </w:rPr>
                  </w:pPr>
                  <w:r>
                    <w:rPr>
                      <w:rFonts w:hint="eastAsia" w:cs="Times New Roman"/>
                      <w:color w:val="auto"/>
                      <w:sz w:val="21"/>
                      <w:szCs w:val="21"/>
                      <w:lang w:eastAsia="zh-CN"/>
                    </w:rPr>
                    <w:t>行政办公人员生活污水、医护人员生活污水、病房废水</w:t>
                  </w:r>
                </w:p>
              </w:tc>
              <w:tc>
                <w:tcPr>
                  <w:tcW w:w="3040" w:type="pct"/>
                  <w:tcBorders>
                    <w:tl2br w:val="nil"/>
                    <w:tr2bl w:val="nil"/>
                  </w:tcBorders>
                  <w:vAlign w:val="center"/>
                </w:tcPr>
                <w:p>
                  <w:pPr>
                    <w:keepNext w:val="0"/>
                    <w:keepLines w:val="0"/>
                    <w:pageBreakBefore w:val="0"/>
                    <w:widowControl w:val="0"/>
                    <w:tabs>
                      <w:tab w:val="left" w:pos="1778"/>
                    </w:tabs>
                    <w:kinsoku/>
                    <w:wordWrap/>
                    <w:overflowPunct/>
                    <w:topLinePunct w:val="0"/>
                    <w:autoSpaceDE/>
                    <w:autoSpaceDN/>
                    <w:bidi w:val="0"/>
                    <w:adjustRightInd/>
                    <w:snapToGrid/>
                    <w:textAlignment w:val="auto"/>
                    <w:rPr>
                      <w:rFonts w:hint="default"/>
                      <w:color w:val="auto"/>
                      <w:sz w:val="21"/>
                      <w:szCs w:val="21"/>
                      <w:lang w:val="en-US" w:eastAsia="zh-CN"/>
                    </w:rPr>
                  </w:pPr>
                  <w:r>
                    <w:rPr>
                      <w:rFonts w:hint="eastAsia"/>
                      <w:color w:val="auto"/>
                      <w:sz w:val="21"/>
                      <w:szCs w:val="21"/>
                      <w:lang w:eastAsia="zh-CN"/>
                    </w:rPr>
                    <w:t>经过化粪池处理后排入污水处理站（</w:t>
                  </w:r>
                  <w:r>
                    <w:rPr>
                      <w:rFonts w:ascii="Times New Roman" w:hAnsi="Times New Roman" w:eastAsia="宋体" w:cs="Times New Roman"/>
                      <w:color w:val="auto"/>
                      <w:sz w:val="21"/>
                      <w:szCs w:val="21"/>
                    </w:rPr>
                    <w:t>缺氧+好氧+沉降+消毒，处理能力20t/d</w:t>
                  </w:r>
                  <w:r>
                    <w:rPr>
                      <w:rFonts w:hint="eastAsia"/>
                      <w:color w:val="auto"/>
                      <w:sz w:val="21"/>
                      <w:szCs w:val="21"/>
                      <w:lang w:eastAsia="zh-CN"/>
                    </w:rPr>
                    <w:t>）处理达标后通过市政管网进入</w:t>
                  </w:r>
                  <w:r>
                    <w:rPr>
                      <w:rFonts w:hint="eastAsia" w:ascii="Times New Roman" w:hAnsi="Times New Roman" w:eastAsia="宋体" w:cs="Times New Roman"/>
                      <w:b w:val="0"/>
                      <w:bCs w:val="0"/>
                      <w:color w:val="auto"/>
                      <w:sz w:val="21"/>
                      <w:szCs w:val="21"/>
                      <w:vertAlign w:val="baseline"/>
                      <w:lang w:val="en-US" w:eastAsia="zh-CN"/>
                    </w:rPr>
                    <w:t>西安市第一污水处理厂一期</w:t>
                  </w:r>
                  <w:r>
                    <w:rPr>
                      <w:rFonts w:hint="eastAsia"/>
                      <w:color w:val="auto"/>
                      <w:sz w:val="21"/>
                      <w:szCs w:val="21"/>
                      <w:lang w:eastAsia="zh-CN"/>
                    </w:rPr>
                    <w:t>。</w:t>
                  </w:r>
                </w:p>
              </w:tc>
              <w:tc>
                <w:tcPr>
                  <w:tcW w:w="413" w:type="pct"/>
                  <w:vMerge w:val="continue"/>
                  <w:tcBorders>
                    <w:tl2br w:val="nil"/>
                    <w:tr2bl w:val="nil"/>
                  </w:tcBorders>
                  <w:vAlign w:val="center"/>
                </w:tcPr>
                <w:p>
                  <w:pPr>
                    <w:keepNext w:val="0"/>
                    <w:keepLines w:val="0"/>
                    <w:pageBreakBefore w:val="0"/>
                    <w:widowControl w:val="0"/>
                    <w:tabs>
                      <w:tab w:val="left" w:pos="1778"/>
                    </w:tabs>
                    <w:kinsoku/>
                    <w:wordWrap/>
                    <w:overflowPunct/>
                    <w:topLinePunct w:val="0"/>
                    <w:autoSpaceDE/>
                    <w:autoSpaceDN/>
                    <w:bidi w:val="0"/>
                    <w:adjustRightInd/>
                    <w:snapToGrid/>
                    <w:textAlignment w:val="auto"/>
                    <w:rPr>
                      <w:rFonts w:hint="eastAsia"/>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0" w:type="pct"/>
                  <w:vMerge w:val="continue"/>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color w:val="auto"/>
                      <w:sz w:val="21"/>
                      <w:szCs w:val="21"/>
                    </w:rPr>
                  </w:pPr>
                </w:p>
              </w:tc>
              <w:tc>
                <w:tcPr>
                  <w:tcW w:w="406" w:type="pct"/>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color w:val="auto"/>
                      <w:sz w:val="21"/>
                      <w:szCs w:val="21"/>
                    </w:rPr>
                  </w:pPr>
                  <w:r>
                    <w:rPr>
                      <w:color w:val="auto"/>
                      <w:sz w:val="21"/>
                      <w:szCs w:val="21"/>
                    </w:rPr>
                    <w:t>噪声</w:t>
                  </w:r>
                </w:p>
              </w:tc>
              <w:tc>
                <w:tcPr>
                  <w:tcW w:w="3799" w:type="pct"/>
                  <w:gridSpan w:val="3"/>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color w:val="auto"/>
                      <w:kern w:val="0"/>
                      <w:sz w:val="21"/>
                      <w:szCs w:val="21"/>
                    </w:rPr>
                  </w:pPr>
                  <w:r>
                    <w:rPr>
                      <w:color w:val="auto"/>
                      <w:kern w:val="0"/>
                      <w:sz w:val="21"/>
                      <w:szCs w:val="21"/>
                    </w:rPr>
                    <w:t>设备运行过程产生噪声，通过</w:t>
                  </w:r>
                  <w:r>
                    <w:rPr>
                      <w:rFonts w:hint="eastAsia"/>
                      <w:color w:val="auto"/>
                      <w:kern w:val="0"/>
                      <w:sz w:val="21"/>
                      <w:szCs w:val="21"/>
                      <w:lang w:val="en-US" w:eastAsia="zh-CN"/>
                    </w:rPr>
                    <w:t>分别</w:t>
                  </w:r>
                  <w:r>
                    <w:rPr>
                      <w:color w:val="auto"/>
                      <w:kern w:val="0"/>
                      <w:sz w:val="21"/>
                      <w:szCs w:val="21"/>
                    </w:rPr>
                    <w:t>设置基础减振、</w:t>
                  </w:r>
                  <w:r>
                    <w:rPr>
                      <w:rFonts w:hint="eastAsia"/>
                      <w:color w:val="auto"/>
                      <w:kern w:val="0"/>
                      <w:sz w:val="21"/>
                      <w:szCs w:val="21"/>
                      <w:lang w:val="en-US" w:eastAsia="zh-CN"/>
                    </w:rPr>
                    <w:t>建筑</w:t>
                  </w:r>
                  <w:r>
                    <w:rPr>
                      <w:color w:val="auto"/>
                      <w:kern w:val="0"/>
                      <w:sz w:val="21"/>
                      <w:szCs w:val="21"/>
                    </w:rPr>
                    <w:t>隔声等措施降低噪声影响。</w:t>
                  </w:r>
                </w:p>
              </w:tc>
              <w:tc>
                <w:tcPr>
                  <w:tcW w:w="413" w:type="pct"/>
                  <w:vMerge w:val="continue"/>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0" w:type="pct"/>
                  <w:vMerge w:val="continue"/>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color w:val="auto"/>
                      <w:sz w:val="21"/>
                      <w:szCs w:val="21"/>
                      <w:highlight w:val="yellow"/>
                    </w:rPr>
                  </w:pPr>
                </w:p>
              </w:tc>
              <w:tc>
                <w:tcPr>
                  <w:tcW w:w="406" w:type="pct"/>
                  <w:vMerge w:val="restart"/>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color w:val="auto"/>
                      <w:sz w:val="21"/>
                      <w:szCs w:val="21"/>
                    </w:rPr>
                  </w:pPr>
                  <w:r>
                    <w:rPr>
                      <w:color w:val="auto"/>
                      <w:sz w:val="21"/>
                      <w:szCs w:val="21"/>
                    </w:rPr>
                    <w:t>固废</w:t>
                  </w:r>
                </w:p>
              </w:tc>
              <w:tc>
                <w:tcPr>
                  <w:tcW w:w="758" w:type="pct"/>
                  <w:gridSpan w:val="2"/>
                  <w:tcBorders>
                    <w:tl2br w:val="nil"/>
                    <w:tr2bl w:val="nil"/>
                  </w:tcBorders>
                  <w:vAlign w:val="center"/>
                </w:tcPr>
                <w:p>
                  <w:pPr>
                    <w:pageBreakBefore w:val="0"/>
                    <w:widowControl w:val="0"/>
                    <w:kinsoku/>
                    <w:wordWrap/>
                    <w:overflowPunct/>
                    <w:topLinePunct w:val="0"/>
                    <w:autoSpaceDE/>
                    <w:autoSpaceDN/>
                    <w:bidi w:val="0"/>
                    <w:adjustRightInd/>
                    <w:snapToGrid/>
                    <w:jc w:val="center"/>
                    <w:textAlignment w:val="auto"/>
                    <w:rPr>
                      <w:rFonts w:hint="eastAsia" w:eastAsia="宋体"/>
                      <w:b w:val="0"/>
                      <w:bCs/>
                      <w:color w:val="auto"/>
                      <w:sz w:val="21"/>
                      <w:szCs w:val="21"/>
                      <w:lang w:eastAsia="zh-CN"/>
                    </w:rPr>
                  </w:pPr>
                  <w:r>
                    <w:rPr>
                      <w:rFonts w:hint="eastAsia"/>
                      <w:color w:val="auto"/>
                      <w:sz w:val="21"/>
                      <w:szCs w:val="21"/>
                    </w:rPr>
                    <w:t>生活垃圾</w:t>
                  </w:r>
                </w:p>
              </w:tc>
              <w:tc>
                <w:tcPr>
                  <w:tcW w:w="3040" w:type="pct"/>
                  <w:tcBorders>
                    <w:tl2br w:val="nil"/>
                    <w:tr2bl w:val="nil"/>
                  </w:tcBorders>
                  <w:vAlign w:val="center"/>
                </w:tcPr>
                <w:p>
                  <w:pPr>
                    <w:pStyle w:val="3"/>
                    <w:pageBreakBefore w:val="0"/>
                    <w:widowControl w:val="0"/>
                    <w:kinsoku/>
                    <w:wordWrap/>
                    <w:overflowPunct/>
                    <w:topLinePunct w:val="0"/>
                    <w:autoSpaceDE/>
                    <w:autoSpaceDN/>
                    <w:bidi w:val="0"/>
                    <w:adjustRightInd/>
                    <w:snapToGrid/>
                    <w:textAlignment w:val="auto"/>
                    <w:rPr>
                      <w:rFonts w:hint="eastAsia"/>
                      <w:b w:val="0"/>
                      <w:bCs/>
                      <w:color w:val="auto"/>
                      <w:sz w:val="21"/>
                      <w:szCs w:val="21"/>
                      <w:lang w:eastAsia="zh-CN"/>
                    </w:rPr>
                  </w:pPr>
                  <w:r>
                    <w:rPr>
                      <w:rFonts w:hint="eastAsia"/>
                      <w:b w:val="0"/>
                      <w:bCs/>
                      <w:color w:val="auto"/>
                      <w:sz w:val="21"/>
                      <w:szCs w:val="21"/>
                      <w:lang w:eastAsia="zh-CN"/>
                    </w:rPr>
                    <w:t>设分类垃圾桶分类收集，定期交由环卫部门外运处置。</w:t>
                  </w:r>
                </w:p>
              </w:tc>
              <w:tc>
                <w:tcPr>
                  <w:tcW w:w="413" w:type="pct"/>
                  <w:vMerge w:val="continue"/>
                  <w:tcBorders>
                    <w:tl2br w:val="nil"/>
                    <w:tr2bl w:val="nil"/>
                  </w:tcBorders>
                  <w:vAlign w:val="center"/>
                </w:tcPr>
                <w:p>
                  <w:pPr>
                    <w:pStyle w:val="3"/>
                    <w:pageBreakBefore w:val="0"/>
                    <w:widowControl w:val="0"/>
                    <w:kinsoku/>
                    <w:wordWrap/>
                    <w:overflowPunct/>
                    <w:topLinePunct w:val="0"/>
                    <w:autoSpaceDE/>
                    <w:autoSpaceDN/>
                    <w:bidi w:val="0"/>
                    <w:adjustRightInd/>
                    <w:snapToGrid/>
                    <w:textAlignment w:val="auto"/>
                    <w:rPr>
                      <w:rFonts w:hint="eastAsia"/>
                      <w:b w:val="0"/>
                      <w:bCs/>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0" w:type="pct"/>
                  <w:vMerge w:val="continue"/>
                  <w:tcBorders>
                    <w:tl2br w:val="nil"/>
                    <w:tr2bl w:val="nil"/>
                  </w:tcBorders>
                  <w:vAlign w:val="center"/>
                </w:tcPr>
                <w:p>
                  <w:pPr>
                    <w:pStyle w:val="3"/>
                    <w:pageBreakBefore w:val="0"/>
                    <w:widowControl w:val="0"/>
                    <w:kinsoku/>
                    <w:wordWrap/>
                    <w:overflowPunct/>
                    <w:topLinePunct w:val="0"/>
                    <w:autoSpaceDE/>
                    <w:autoSpaceDN/>
                    <w:bidi w:val="0"/>
                    <w:adjustRightInd/>
                    <w:snapToGrid/>
                    <w:textAlignment w:val="auto"/>
                    <w:rPr>
                      <w:color w:val="auto"/>
                      <w:sz w:val="21"/>
                      <w:szCs w:val="21"/>
                    </w:rPr>
                  </w:pPr>
                </w:p>
              </w:tc>
              <w:tc>
                <w:tcPr>
                  <w:tcW w:w="406" w:type="pct"/>
                  <w:vMerge w:val="continue"/>
                  <w:tcBorders>
                    <w:tl2br w:val="nil"/>
                    <w:tr2bl w:val="nil"/>
                  </w:tcBorders>
                  <w:vAlign w:val="center"/>
                </w:tcPr>
                <w:p>
                  <w:pPr>
                    <w:pStyle w:val="3"/>
                    <w:pageBreakBefore w:val="0"/>
                    <w:widowControl w:val="0"/>
                    <w:kinsoku/>
                    <w:wordWrap/>
                    <w:overflowPunct/>
                    <w:topLinePunct w:val="0"/>
                    <w:autoSpaceDE/>
                    <w:autoSpaceDN/>
                    <w:bidi w:val="0"/>
                    <w:adjustRightInd/>
                    <w:snapToGrid/>
                    <w:textAlignment w:val="auto"/>
                    <w:rPr>
                      <w:color w:val="auto"/>
                      <w:sz w:val="21"/>
                      <w:szCs w:val="21"/>
                    </w:rPr>
                  </w:pPr>
                </w:p>
              </w:tc>
              <w:tc>
                <w:tcPr>
                  <w:tcW w:w="360" w:type="pct"/>
                  <w:vMerge w:val="restart"/>
                  <w:tcBorders>
                    <w:tl2br w:val="nil"/>
                    <w:tr2bl w:val="nil"/>
                  </w:tcBorders>
                  <w:vAlign w:val="center"/>
                </w:tcPr>
                <w:p>
                  <w:pPr>
                    <w:pStyle w:val="3"/>
                    <w:pageBreakBefore w:val="0"/>
                    <w:widowControl w:val="0"/>
                    <w:kinsoku/>
                    <w:wordWrap/>
                    <w:overflowPunct/>
                    <w:topLinePunct w:val="0"/>
                    <w:autoSpaceDE/>
                    <w:autoSpaceDN/>
                    <w:bidi w:val="0"/>
                    <w:adjustRightInd/>
                    <w:snapToGrid/>
                    <w:jc w:val="center"/>
                    <w:textAlignment w:val="auto"/>
                    <w:rPr>
                      <w:rFonts w:hint="eastAsia" w:eastAsia="宋体"/>
                      <w:b w:val="0"/>
                      <w:bCs/>
                      <w:color w:val="auto"/>
                      <w:sz w:val="21"/>
                      <w:szCs w:val="21"/>
                      <w:lang w:eastAsia="zh-CN"/>
                    </w:rPr>
                  </w:pPr>
                  <w:r>
                    <w:rPr>
                      <w:rFonts w:hint="eastAsia"/>
                      <w:b w:val="0"/>
                      <w:bCs/>
                      <w:color w:val="auto"/>
                      <w:sz w:val="21"/>
                      <w:szCs w:val="21"/>
                      <w:lang w:eastAsia="zh-CN"/>
                    </w:rPr>
                    <w:t>危险废物</w:t>
                  </w:r>
                </w:p>
              </w:tc>
              <w:tc>
                <w:tcPr>
                  <w:tcW w:w="397" w:type="pct"/>
                  <w:tcBorders>
                    <w:tl2br w:val="nil"/>
                    <w:tr2bl w:val="nil"/>
                  </w:tcBorders>
                  <w:vAlign w:val="center"/>
                </w:tcPr>
                <w:p>
                  <w:pPr>
                    <w:pStyle w:val="3"/>
                    <w:pageBreakBefore w:val="0"/>
                    <w:widowControl w:val="0"/>
                    <w:kinsoku/>
                    <w:wordWrap/>
                    <w:overflowPunct/>
                    <w:topLinePunct w:val="0"/>
                    <w:autoSpaceDE/>
                    <w:autoSpaceDN/>
                    <w:bidi w:val="0"/>
                    <w:adjustRightInd/>
                    <w:snapToGrid/>
                    <w:jc w:val="center"/>
                    <w:textAlignment w:val="auto"/>
                    <w:rPr>
                      <w:rFonts w:hint="eastAsia"/>
                      <w:b w:val="0"/>
                      <w:bCs/>
                      <w:color w:val="auto"/>
                      <w:sz w:val="21"/>
                      <w:szCs w:val="21"/>
                      <w:lang w:eastAsia="zh-CN"/>
                    </w:rPr>
                  </w:pPr>
                  <w:r>
                    <w:rPr>
                      <w:rFonts w:hint="eastAsia"/>
                      <w:b w:val="0"/>
                      <w:bCs/>
                      <w:color w:val="auto"/>
                      <w:sz w:val="21"/>
                      <w:szCs w:val="21"/>
                      <w:lang w:eastAsia="zh-CN"/>
                    </w:rPr>
                    <w:t>医疗废物</w:t>
                  </w:r>
                </w:p>
              </w:tc>
              <w:tc>
                <w:tcPr>
                  <w:tcW w:w="3040" w:type="pct"/>
                  <w:tcBorders>
                    <w:tl2br w:val="nil"/>
                    <w:tr2bl w:val="nil"/>
                  </w:tcBorders>
                  <w:vAlign w:val="center"/>
                </w:tcPr>
                <w:p>
                  <w:pPr>
                    <w:pStyle w:val="3"/>
                    <w:pageBreakBefore w:val="0"/>
                    <w:widowControl w:val="0"/>
                    <w:kinsoku/>
                    <w:wordWrap/>
                    <w:overflowPunct/>
                    <w:topLinePunct w:val="0"/>
                    <w:autoSpaceDE/>
                    <w:autoSpaceDN/>
                    <w:bidi w:val="0"/>
                    <w:adjustRightInd/>
                    <w:snapToGrid/>
                    <w:textAlignment w:val="auto"/>
                    <w:rPr>
                      <w:rFonts w:hint="eastAsia" w:eastAsia="宋体"/>
                      <w:b w:val="0"/>
                      <w:bCs/>
                      <w:color w:val="auto"/>
                      <w:sz w:val="21"/>
                      <w:szCs w:val="21"/>
                      <w:lang w:eastAsia="zh-CN"/>
                    </w:rPr>
                  </w:pPr>
                  <w:r>
                    <w:rPr>
                      <w:rFonts w:hint="eastAsia" w:eastAsia="宋体"/>
                      <w:b w:val="0"/>
                      <w:bCs/>
                      <w:color w:val="auto"/>
                      <w:sz w:val="21"/>
                      <w:szCs w:val="21"/>
                      <w:lang w:eastAsia="zh-CN"/>
                    </w:rPr>
                    <w:t>设</w:t>
                  </w:r>
                  <w:r>
                    <w:rPr>
                      <w:rFonts w:hint="eastAsia"/>
                      <w:b w:val="0"/>
                      <w:bCs/>
                      <w:color w:val="auto"/>
                      <w:sz w:val="21"/>
                      <w:szCs w:val="21"/>
                      <w:lang w:eastAsia="zh-CN"/>
                    </w:rPr>
                    <w:t>危废储存间</w:t>
                  </w:r>
                  <w:r>
                    <w:rPr>
                      <w:rFonts w:hint="eastAsia" w:eastAsia="宋体"/>
                      <w:b w:val="0"/>
                      <w:bCs/>
                      <w:color w:val="auto"/>
                      <w:sz w:val="21"/>
                      <w:szCs w:val="21"/>
                      <w:lang w:eastAsia="zh-CN"/>
                    </w:rPr>
                    <w:t>一间，面积</w:t>
                  </w:r>
                  <w:r>
                    <w:rPr>
                      <w:rFonts w:hint="eastAsia"/>
                      <w:b w:val="0"/>
                      <w:bCs/>
                      <w:color w:val="auto"/>
                      <w:sz w:val="21"/>
                      <w:szCs w:val="21"/>
                      <w:lang w:val="en-US" w:eastAsia="zh-CN"/>
                    </w:rPr>
                    <w:t>19</w:t>
                  </w:r>
                  <w:r>
                    <w:rPr>
                      <w:rFonts w:hint="eastAsia" w:eastAsia="宋体"/>
                      <w:b w:val="0"/>
                      <w:bCs/>
                      <w:color w:val="auto"/>
                      <w:sz w:val="21"/>
                      <w:szCs w:val="21"/>
                      <w:lang w:eastAsia="zh-CN"/>
                    </w:rPr>
                    <w:t>m</w:t>
                  </w:r>
                  <w:r>
                    <w:rPr>
                      <w:rFonts w:hint="eastAsia" w:eastAsia="宋体"/>
                      <w:b w:val="0"/>
                      <w:bCs/>
                      <w:color w:val="auto"/>
                      <w:sz w:val="21"/>
                      <w:szCs w:val="21"/>
                      <w:vertAlign w:val="superscript"/>
                      <w:lang w:eastAsia="zh-CN"/>
                    </w:rPr>
                    <w:t>2</w:t>
                  </w:r>
                  <w:r>
                    <w:rPr>
                      <w:rFonts w:hint="eastAsia" w:eastAsia="宋体"/>
                      <w:b w:val="0"/>
                      <w:bCs/>
                      <w:color w:val="auto"/>
                      <w:sz w:val="21"/>
                      <w:szCs w:val="21"/>
                      <w:lang w:eastAsia="zh-CN"/>
                    </w:rPr>
                    <w:t>，位于一层</w:t>
                  </w:r>
                  <w:r>
                    <w:rPr>
                      <w:rFonts w:hint="eastAsia"/>
                      <w:b w:val="0"/>
                      <w:bCs/>
                      <w:color w:val="auto"/>
                      <w:sz w:val="21"/>
                      <w:szCs w:val="21"/>
                      <w:lang w:eastAsia="zh-CN"/>
                    </w:rPr>
                    <w:t>北</w:t>
                  </w:r>
                  <w:r>
                    <w:rPr>
                      <w:rFonts w:hint="eastAsia" w:eastAsia="宋体"/>
                      <w:b w:val="0"/>
                      <w:bCs/>
                      <w:color w:val="auto"/>
                      <w:sz w:val="21"/>
                      <w:szCs w:val="21"/>
                      <w:lang w:eastAsia="zh-CN"/>
                    </w:rPr>
                    <w:t>侧楼梯下，地面采取防渗措施，并分类存放，定期委托有资质单位进行处置</w:t>
                  </w:r>
                  <w:r>
                    <w:rPr>
                      <w:rFonts w:hint="eastAsia"/>
                      <w:b w:val="0"/>
                      <w:bCs/>
                      <w:color w:val="auto"/>
                      <w:sz w:val="21"/>
                      <w:szCs w:val="21"/>
                      <w:lang w:eastAsia="zh-CN"/>
                    </w:rPr>
                    <w:t>。</w:t>
                  </w:r>
                </w:p>
              </w:tc>
              <w:tc>
                <w:tcPr>
                  <w:tcW w:w="413" w:type="pct"/>
                  <w:vMerge w:val="restart"/>
                  <w:tcBorders>
                    <w:tl2br w:val="nil"/>
                    <w:tr2bl w:val="nil"/>
                  </w:tcBorders>
                  <w:vAlign w:val="center"/>
                </w:tcPr>
                <w:p>
                  <w:pPr>
                    <w:pStyle w:val="3"/>
                    <w:pageBreakBefore w:val="0"/>
                    <w:widowControl w:val="0"/>
                    <w:kinsoku/>
                    <w:wordWrap/>
                    <w:overflowPunct/>
                    <w:topLinePunct w:val="0"/>
                    <w:autoSpaceDE/>
                    <w:autoSpaceDN/>
                    <w:bidi w:val="0"/>
                    <w:adjustRightInd/>
                    <w:snapToGrid/>
                    <w:textAlignment w:val="auto"/>
                    <w:rPr>
                      <w:rFonts w:hint="eastAsia" w:eastAsia="宋体"/>
                      <w:b w:val="0"/>
                      <w:bCs/>
                      <w:color w:val="auto"/>
                      <w:sz w:val="21"/>
                      <w:szCs w:val="21"/>
                      <w:lang w:eastAsia="zh-CN"/>
                    </w:rPr>
                  </w:pPr>
                  <w:r>
                    <w:rPr>
                      <w:rFonts w:hint="eastAsia"/>
                      <w:b w:val="0"/>
                      <w:bCs/>
                      <w:color w:val="auto"/>
                      <w:sz w:val="21"/>
                      <w:szCs w:val="21"/>
                      <w:lang w:eastAsia="zh-CN"/>
                    </w:rPr>
                    <w:t>在建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0" w:type="pct"/>
                  <w:vMerge w:val="continue"/>
                  <w:tcBorders>
                    <w:tl2br w:val="nil"/>
                    <w:tr2bl w:val="nil"/>
                  </w:tcBorders>
                  <w:vAlign w:val="center"/>
                </w:tcPr>
                <w:p>
                  <w:pPr>
                    <w:pStyle w:val="3"/>
                    <w:pageBreakBefore w:val="0"/>
                    <w:widowControl w:val="0"/>
                    <w:kinsoku/>
                    <w:wordWrap/>
                    <w:overflowPunct/>
                    <w:topLinePunct w:val="0"/>
                    <w:autoSpaceDE/>
                    <w:autoSpaceDN/>
                    <w:bidi w:val="0"/>
                    <w:adjustRightInd/>
                    <w:snapToGrid/>
                    <w:textAlignment w:val="auto"/>
                    <w:rPr>
                      <w:color w:val="auto"/>
                      <w:sz w:val="21"/>
                      <w:szCs w:val="21"/>
                    </w:rPr>
                  </w:pPr>
                </w:p>
              </w:tc>
              <w:tc>
                <w:tcPr>
                  <w:tcW w:w="406" w:type="pct"/>
                  <w:vMerge w:val="continue"/>
                  <w:tcBorders>
                    <w:tl2br w:val="nil"/>
                    <w:tr2bl w:val="nil"/>
                  </w:tcBorders>
                  <w:vAlign w:val="center"/>
                </w:tcPr>
                <w:p>
                  <w:pPr>
                    <w:pStyle w:val="3"/>
                    <w:pageBreakBefore w:val="0"/>
                    <w:widowControl w:val="0"/>
                    <w:kinsoku/>
                    <w:wordWrap/>
                    <w:overflowPunct/>
                    <w:topLinePunct w:val="0"/>
                    <w:autoSpaceDE/>
                    <w:autoSpaceDN/>
                    <w:bidi w:val="0"/>
                    <w:adjustRightInd/>
                    <w:snapToGrid/>
                    <w:textAlignment w:val="auto"/>
                    <w:rPr>
                      <w:color w:val="auto"/>
                      <w:sz w:val="21"/>
                      <w:szCs w:val="21"/>
                    </w:rPr>
                  </w:pPr>
                </w:p>
              </w:tc>
              <w:tc>
                <w:tcPr>
                  <w:tcW w:w="360" w:type="pct"/>
                  <w:vMerge w:val="continue"/>
                  <w:tcBorders>
                    <w:tl2br w:val="nil"/>
                    <w:tr2bl w:val="nil"/>
                  </w:tcBorders>
                  <w:vAlign w:val="center"/>
                </w:tcPr>
                <w:p>
                  <w:pPr>
                    <w:pStyle w:val="3"/>
                    <w:pageBreakBefore w:val="0"/>
                    <w:widowControl w:val="0"/>
                    <w:kinsoku/>
                    <w:wordWrap/>
                    <w:overflowPunct/>
                    <w:topLinePunct w:val="0"/>
                    <w:autoSpaceDE/>
                    <w:autoSpaceDN/>
                    <w:bidi w:val="0"/>
                    <w:adjustRightInd/>
                    <w:snapToGrid/>
                    <w:jc w:val="center"/>
                    <w:textAlignment w:val="auto"/>
                    <w:rPr>
                      <w:rFonts w:hint="eastAsia"/>
                      <w:b w:val="0"/>
                      <w:bCs/>
                      <w:color w:val="auto"/>
                      <w:sz w:val="21"/>
                      <w:szCs w:val="21"/>
                      <w:lang w:eastAsia="zh-CN"/>
                    </w:rPr>
                  </w:pPr>
                </w:p>
              </w:tc>
              <w:tc>
                <w:tcPr>
                  <w:tcW w:w="397" w:type="pct"/>
                  <w:tcBorders>
                    <w:tl2br w:val="nil"/>
                    <w:tr2bl w:val="nil"/>
                  </w:tcBorders>
                  <w:vAlign w:val="center"/>
                </w:tcPr>
                <w:p>
                  <w:pPr>
                    <w:pStyle w:val="3"/>
                    <w:pageBreakBefore w:val="0"/>
                    <w:widowControl w:val="0"/>
                    <w:kinsoku/>
                    <w:wordWrap/>
                    <w:overflowPunct/>
                    <w:topLinePunct w:val="0"/>
                    <w:autoSpaceDE/>
                    <w:autoSpaceDN/>
                    <w:bidi w:val="0"/>
                    <w:adjustRightInd/>
                    <w:snapToGrid/>
                    <w:jc w:val="center"/>
                    <w:textAlignment w:val="auto"/>
                    <w:rPr>
                      <w:rFonts w:hint="eastAsia"/>
                      <w:b w:val="0"/>
                      <w:bCs/>
                      <w:color w:val="auto"/>
                      <w:sz w:val="21"/>
                      <w:szCs w:val="21"/>
                      <w:lang w:eastAsia="zh-CN"/>
                    </w:rPr>
                  </w:pPr>
                  <w:r>
                    <w:rPr>
                      <w:rFonts w:hint="eastAsia"/>
                      <w:b w:val="0"/>
                      <w:bCs/>
                      <w:color w:val="auto"/>
                      <w:sz w:val="21"/>
                      <w:szCs w:val="21"/>
                      <w:lang w:eastAsia="zh-CN"/>
                    </w:rPr>
                    <w:t>污泥</w:t>
                  </w:r>
                </w:p>
              </w:tc>
              <w:tc>
                <w:tcPr>
                  <w:tcW w:w="3040" w:type="pct"/>
                  <w:tcBorders>
                    <w:tl2br w:val="nil"/>
                    <w:tr2bl w:val="nil"/>
                  </w:tcBorders>
                  <w:vAlign w:val="center"/>
                </w:tcPr>
                <w:p>
                  <w:pPr>
                    <w:pStyle w:val="3"/>
                    <w:pageBreakBefore w:val="0"/>
                    <w:widowControl w:val="0"/>
                    <w:kinsoku/>
                    <w:wordWrap/>
                    <w:overflowPunct/>
                    <w:topLinePunct w:val="0"/>
                    <w:autoSpaceDE/>
                    <w:autoSpaceDN/>
                    <w:bidi w:val="0"/>
                    <w:adjustRightInd/>
                    <w:snapToGrid/>
                    <w:textAlignment w:val="auto"/>
                    <w:rPr>
                      <w:rFonts w:hint="eastAsia"/>
                      <w:b w:val="0"/>
                      <w:bCs/>
                      <w:color w:val="auto"/>
                      <w:sz w:val="21"/>
                      <w:szCs w:val="21"/>
                      <w:lang w:eastAsia="zh-CN"/>
                    </w:rPr>
                  </w:pPr>
                  <w:r>
                    <w:rPr>
                      <w:rFonts w:hint="eastAsia"/>
                      <w:b w:val="0"/>
                      <w:bCs/>
                      <w:color w:val="auto"/>
                      <w:sz w:val="21"/>
                      <w:szCs w:val="21"/>
                      <w:lang w:eastAsia="zh-CN"/>
                    </w:rPr>
                    <w:t>定期清掏，脱水后直接</w:t>
                  </w:r>
                  <w:r>
                    <w:rPr>
                      <w:rFonts w:hint="eastAsia" w:eastAsia="宋体"/>
                      <w:b w:val="0"/>
                      <w:bCs/>
                      <w:color w:val="auto"/>
                      <w:sz w:val="21"/>
                      <w:szCs w:val="21"/>
                      <w:lang w:eastAsia="zh-CN"/>
                    </w:rPr>
                    <w:t>委托有资质单位进行处置，不在院内储存</w:t>
                  </w:r>
                  <w:r>
                    <w:rPr>
                      <w:rFonts w:hint="eastAsia"/>
                      <w:b w:val="0"/>
                      <w:bCs/>
                      <w:color w:val="auto"/>
                      <w:sz w:val="21"/>
                      <w:szCs w:val="21"/>
                      <w:lang w:eastAsia="zh-CN"/>
                    </w:rPr>
                    <w:t>。</w:t>
                  </w:r>
                </w:p>
              </w:tc>
              <w:tc>
                <w:tcPr>
                  <w:tcW w:w="413" w:type="pct"/>
                  <w:vMerge w:val="continue"/>
                  <w:tcBorders>
                    <w:tl2br w:val="nil"/>
                    <w:tr2bl w:val="nil"/>
                  </w:tcBorders>
                  <w:vAlign w:val="center"/>
                </w:tcPr>
                <w:p>
                  <w:pPr>
                    <w:pStyle w:val="3"/>
                    <w:pageBreakBefore w:val="0"/>
                    <w:widowControl w:val="0"/>
                    <w:kinsoku/>
                    <w:wordWrap/>
                    <w:overflowPunct/>
                    <w:topLinePunct w:val="0"/>
                    <w:autoSpaceDE/>
                    <w:autoSpaceDN/>
                    <w:bidi w:val="0"/>
                    <w:adjustRightInd/>
                    <w:snapToGrid/>
                    <w:textAlignment w:val="auto"/>
                    <w:rPr>
                      <w:rFonts w:hint="eastAsia"/>
                      <w:b w:val="0"/>
                      <w:bCs/>
                      <w:color w:val="auto"/>
                      <w:sz w:val="21"/>
                      <w:szCs w:val="21"/>
                      <w:lang w:eastAsia="zh-CN"/>
                    </w:rPr>
                  </w:pPr>
                </w:p>
              </w:tc>
            </w:tr>
            <w:bookmarkEnd w:id="2"/>
          </w:tbl>
          <w:p>
            <w:pPr>
              <w:spacing w:before="120" w:beforeLines="50" w:line="360" w:lineRule="auto"/>
              <w:ind w:firstLine="482" w:firstLineChars="200"/>
              <w:rPr>
                <w:rFonts w:hint="eastAsia"/>
                <w:b/>
                <w:bCs/>
                <w:color w:val="auto"/>
                <w:sz w:val="24"/>
                <w:szCs w:val="24"/>
                <w:lang w:val="en-US" w:eastAsia="zh-CN"/>
              </w:rPr>
            </w:pPr>
            <w:r>
              <w:rPr>
                <w:rFonts w:hint="eastAsia"/>
                <w:b/>
                <w:bCs/>
                <w:color w:val="auto"/>
                <w:sz w:val="24"/>
                <w:szCs w:val="24"/>
                <w:lang w:val="en-US" w:eastAsia="zh-CN"/>
              </w:rPr>
              <w:t>现场实际建设情况见下图：</w:t>
            </w:r>
          </w:p>
          <w:tbl>
            <w:tblPr>
              <w:tblStyle w:val="26"/>
              <w:tblW w:w="90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3"/>
              <w:gridCol w:w="45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color w:val="auto"/>
                      <w:sz w:val="21"/>
                      <w:szCs w:val="21"/>
                      <w:vertAlign w:val="baseline"/>
                      <w:lang w:val="en-US" w:eastAsia="zh-CN"/>
                    </w:rPr>
                  </w:pPr>
                  <w:r>
                    <w:rPr>
                      <w:rFonts w:hint="eastAsia"/>
                      <w:b/>
                      <w:bCs/>
                      <w:color w:val="auto"/>
                      <w:sz w:val="21"/>
                      <w:szCs w:val="21"/>
                      <w:vertAlign w:val="baseline"/>
                      <w:lang w:val="en-US" w:eastAsia="zh-CN"/>
                    </w:rPr>
                    <w:drawing>
                      <wp:inline distT="0" distB="0" distL="114300" distR="114300">
                        <wp:extent cx="2713990" cy="2034540"/>
                        <wp:effectExtent l="0" t="0" r="10160" b="3810"/>
                        <wp:docPr id="1" name="图片 1" descr="1be4bfae7a6e89479451e7f2810ef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be4bfae7a6e89479451e7f2810eff5"/>
                                <pic:cNvPicPr>
                                  <a:picLocks noChangeAspect="1"/>
                                </pic:cNvPicPr>
                              </pic:nvPicPr>
                              <pic:blipFill>
                                <a:blip r:embed="rId9"/>
                                <a:stretch>
                                  <a:fillRect/>
                                </a:stretch>
                              </pic:blipFill>
                              <pic:spPr>
                                <a:xfrm>
                                  <a:off x="0" y="0"/>
                                  <a:ext cx="2713990" cy="2034540"/>
                                </a:xfrm>
                                <a:prstGeom prst="rect">
                                  <a:avLst/>
                                </a:prstGeom>
                              </pic:spPr>
                            </pic:pic>
                          </a:graphicData>
                        </a:graphic>
                      </wp:inline>
                    </w:drawing>
                  </w:r>
                </w:p>
              </w:tc>
              <w:tc>
                <w:tcPr>
                  <w:tcW w:w="45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color w:val="auto"/>
                      <w:sz w:val="21"/>
                      <w:szCs w:val="21"/>
                      <w:vertAlign w:val="baseline"/>
                      <w:lang w:val="en-US" w:eastAsia="zh-CN"/>
                    </w:rPr>
                  </w:pPr>
                  <w:r>
                    <w:rPr>
                      <w:rFonts w:hint="eastAsia"/>
                      <w:b/>
                      <w:bCs/>
                      <w:color w:val="auto"/>
                      <w:sz w:val="21"/>
                      <w:szCs w:val="21"/>
                      <w:vertAlign w:val="baseline"/>
                      <w:lang w:val="en-US" w:eastAsia="zh-CN"/>
                    </w:rPr>
                    <w:drawing>
                      <wp:inline distT="0" distB="0" distL="114300" distR="114300">
                        <wp:extent cx="2713990" cy="2034540"/>
                        <wp:effectExtent l="0" t="0" r="10160" b="3810"/>
                        <wp:docPr id="5" name="图片 5" descr="d1c895d54efa824f94f43eb081063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d1c895d54efa824f94f43eb081063fa"/>
                                <pic:cNvPicPr>
                                  <a:picLocks noChangeAspect="1"/>
                                </pic:cNvPicPr>
                              </pic:nvPicPr>
                              <pic:blipFill>
                                <a:blip r:embed="rId10"/>
                                <a:stretch>
                                  <a:fillRect/>
                                </a:stretch>
                              </pic:blipFill>
                              <pic:spPr>
                                <a:xfrm>
                                  <a:off x="0" y="0"/>
                                  <a:ext cx="2713990" cy="20345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color w:val="auto"/>
                      <w:sz w:val="21"/>
                      <w:szCs w:val="21"/>
                      <w:vertAlign w:val="baseline"/>
                      <w:lang w:val="en-US" w:eastAsia="zh-CN"/>
                    </w:rPr>
                  </w:pPr>
                  <w:r>
                    <w:rPr>
                      <w:rFonts w:hint="eastAsia"/>
                      <w:b w:val="0"/>
                      <w:bCs w:val="0"/>
                      <w:color w:val="auto"/>
                      <w:sz w:val="21"/>
                      <w:szCs w:val="21"/>
                      <w:vertAlign w:val="baseline"/>
                      <w:lang w:val="en-US" w:eastAsia="zh-CN"/>
                    </w:rPr>
                    <w:t>医院门头</w:t>
                  </w:r>
                </w:p>
              </w:tc>
              <w:tc>
                <w:tcPr>
                  <w:tcW w:w="45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color w:val="auto"/>
                      <w:sz w:val="21"/>
                      <w:szCs w:val="21"/>
                      <w:vertAlign w:val="baseline"/>
                      <w:lang w:val="en-US" w:eastAsia="zh-CN"/>
                    </w:rPr>
                  </w:pPr>
                  <w:r>
                    <w:rPr>
                      <w:rFonts w:hint="eastAsia"/>
                      <w:b w:val="0"/>
                      <w:bCs w:val="0"/>
                      <w:color w:val="auto"/>
                      <w:sz w:val="21"/>
                      <w:szCs w:val="21"/>
                      <w:vertAlign w:val="baseline"/>
                      <w:lang w:val="en-US" w:eastAsia="zh-CN"/>
                    </w:rPr>
                    <w:t>医院内部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color w:val="auto"/>
                      <w:sz w:val="21"/>
                      <w:szCs w:val="21"/>
                      <w:vertAlign w:val="baseline"/>
                      <w:lang w:val="en-US" w:eastAsia="zh-CN"/>
                    </w:rPr>
                  </w:pPr>
                  <w:r>
                    <w:rPr>
                      <w:rFonts w:hint="eastAsia"/>
                      <w:b/>
                      <w:bCs/>
                      <w:color w:val="auto"/>
                      <w:sz w:val="21"/>
                      <w:szCs w:val="21"/>
                      <w:vertAlign w:val="baseline"/>
                      <w:lang w:val="en-US" w:eastAsia="zh-CN"/>
                    </w:rPr>
                    <w:drawing>
                      <wp:inline distT="0" distB="0" distL="114300" distR="114300">
                        <wp:extent cx="2713990" cy="2034540"/>
                        <wp:effectExtent l="0" t="0" r="10160" b="3810"/>
                        <wp:docPr id="8" name="图片 8" descr="0ebbf945d4edf64e095b12d4316f1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0ebbf945d4edf64e095b12d4316f1c2"/>
                                <pic:cNvPicPr>
                                  <a:picLocks noChangeAspect="1"/>
                                </pic:cNvPicPr>
                              </pic:nvPicPr>
                              <pic:blipFill>
                                <a:blip r:embed="rId11"/>
                                <a:stretch>
                                  <a:fillRect/>
                                </a:stretch>
                              </pic:blipFill>
                              <pic:spPr>
                                <a:xfrm>
                                  <a:off x="0" y="0"/>
                                  <a:ext cx="2713990" cy="2034540"/>
                                </a:xfrm>
                                <a:prstGeom prst="rect">
                                  <a:avLst/>
                                </a:prstGeom>
                              </pic:spPr>
                            </pic:pic>
                          </a:graphicData>
                        </a:graphic>
                      </wp:inline>
                    </w:drawing>
                  </w:r>
                </w:p>
              </w:tc>
              <w:tc>
                <w:tcPr>
                  <w:tcW w:w="45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color w:val="auto"/>
                      <w:sz w:val="21"/>
                      <w:szCs w:val="21"/>
                      <w:vertAlign w:val="baseline"/>
                      <w:lang w:val="en-US" w:eastAsia="zh-CN"/>
                    </w:rPr>
                  </w:pPr>
                  <w:r>
                    <w:rPr>
                      <w:rFonts w:hint="eastAsia"/>
                      <w:b/>
                      <w:bCs/>
                      <w:color w:val="auto"/>
                      <w:sz w:val="21"/>
                      <w:szCs w:val="21"/>
                      <w:vertAlign w:val="baseline"/>
                      <w:lang w:val="en-US" w:eastAsia="zh-CN"/>
                    </w:rPr>
                    <w:drawing>
                      <wp:inline distT="0" distB="0" distL="114300" distR="114300">
                        <wp:extent cx="2713990" cy="2034540"/>
                        <wp:effectExtent l="0" t="0" r="10160" b="3810"/>
                        <wp:docPr id="10" name="图片 10" descr="14297de5a63b3fee5e9cf135cf2b8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4297de5a63b3fee5e9cf135cf2b8e2"/>
                                <pic:cNvPicPr>
                                  <a:picLocks noChangeAspect="1"/>
                                </pic:cNvPicPr>
                              </pic:nvPicPr>
                              <pic:blipFill>
                                <a:blip r:embed="rId12"/>
                                <a:stretch>
                                  <a:fillRect/>
                                </a:stretch>
                              </pic:blipFill>
                              <pic:spPr>
                                <a:xfrm>
                                  <a:off x="0" y="0"/>
                                  <a:ext cx="2713990" cy="20345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51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color w:val="auto"/>
                      <w:sz w:val="21"/>
                      <w:szCs w:val="21"/>
                      <w:vertAlign w:val="baseline"/>
                      <w:lang w:val="en-US" w:eastAsia="zh-CN"/>
                    </w:rPr>
                  </w:pPr>
                  <w:r>
                    <w:rPr>
                      <w:rFonts w:hint="eastAsia"/>
                      <w:b w:val="0"/>
                      <w:bCs w:val="0"/>
                      <w:color w:val="auto"/>
                      <w:sz w:val="21"/>
                      <w:szCs w:val="21"/>
                      <w:vertAlign w:val="baseline"/>
                      <w:lang w:val="en-US" w:eastAsia="zh-CN"/>
                    </w:rPr>
                    <w:t>危废储存间（在建）</w:t>
                  </w:r>
                </w:p>
              </w:tc>
              <w:tc>
                <w:tcPr>
                  <w:tcW w:w="45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color w:val="auto"/>
                      <w:sz w:val="21"/>
                      <w:szCs w:val="21"/>
                      <w:vertAlign w:val="baseline"/>
                      <w:lang w:val="en-US" w:eastAsia="zh-CN"/>
                    </w:rPr>
                  </w:pPr>
                  <w:r>
                    <w:rPr>
                      <w:rFonts w:hint="eastAsia"/>
                      <w:b w:val="0"/>
                      <w:bCs w:val="0"/>
                      <w:color w:val="auto"/>
                      <w:sz w:val="21"/>
                      <w:szCs w:val="21"/>
                      <w:vertAlign w:val="baseline"/>
                      <w:lang w:val="en-US" w:eastAsia="zh-CN"/>
                    </w:rPr>
                    <w:t>医疗废物管理规章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color w:val="auto"/>
                      <w:sz w:val="21"/>
                      <w:szCs w:val="21"/>
                      <w:vertAlign w:val="baseline"/>
                      <w:lang w:val="en-US" w:eastAsia="zh-CN"/>
                    </w:rPr>
                  </w:pPr>
                  <w:r>
                    <w:rPr>
                      <w:rFonts w:hint="eastAsia"/>
                      <w:b/>
                      <w:bCs/>
                      <w:color w:val="auto"/>
                      <w:sz w:val="21"/>
                      <w:szCs w:val="21"/>
                      <w:vertAlign w:val="baseline"/>
                      <w:lang w:val="en-US" w:eastAsia="zh-CN"/>
                    </w:rPr>
                    <w:drawing>
                      <wp:inline distT="0" distB="0" distL="114300" distR="114300">
                        <wp:extent cx="2713990" cy="2034540"/>
                        <wp:effectExtent l="0" t="0" r="10160" b="3810"/>
                        <wp:docPr id="6" name="图片 6" descr="d0c46c1b6b94462c6b6b35152bafc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d0c46c1b6b94462c6b6b35152bafc42"/>
                                <pic:cNvPicPr>
                                  <a:picLocks noChangeAspect="1"/>
                                </pic:cNvPicPr>
                              </pic:nvPicPr>
                              <pic:blipFill>
                                <a:blip r:embed="rId13"/>
                                <a:stretch>
                                  <a:fillRect/>
                                </a:stretch>
                              </pic:blipFill>
                              <pic:spPr>
                                <a:xfrm>
                                  <a:off x="0" y="0"/>
                                  <a:ext cx="2713990" cy="2034540"/>
                                </a:xfrm>
                                <a:prstGeom prst="rect">
                                  <a:avLst/>
                                </a:prstGeom>
                              </pic:spPr>
                            </pic:pic>
                          </a:graphicData>
                        </a:graphic>
                      </wp:inline>
                    </w:drawing>
                  </w:r>
                </w:p>
              </w:tc>
              <w:tc>
                <w:tcPr>
                  <w:tcW w:w="45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color w:val="auto"/>
                      <w:sz w:val="21"/>
                      <w:szCs w:val="21"/>
                      <w:vertAlign w:val="baseline"/>
                      <w:lang w:val="en-US" w:eastAsia="zh-CN"/>
                    </w:rPr>
                  </w:pPr>
                  <w:r>
                    <w:rPr>
                      <w:rFonts w:hint="eastAsia"/>
                      <w:b/>
                      <w:bCs/>
                      <w:color w:val="auto"/>
                      <w:sz w:val="21"/>
                      <w:szCs w:val="21"/>
                      <w:vertAlign w:val="baseline"/>
                      <w:lang w:val="en-US" w:eastAsia="zh-CN"/>
                    </w:rPr>
                    <w:drawing>
                      <wp:inline distT="0" distB="0" distL="114300" distR="114300">
                        <wp:extent cx="2713990" cy="2034540"/>
                        <wp:effectExtent l="0" t="0" r="10160" b="3810"/>
                        <wp:docPr id="13" name="图片 13" descr="6233de73ecefb80230dc12d67071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6233de73ecefb80230dc12d67071791"/>
                                <pic:cNvPicPr>
                                  <a:picLocks noChangeAspect="1"/>
                                </pic:cNvPicPr>
                              </pic:nvPicPr>
                              <pic:blipFill>
                                <a:blip r:embed="rId14"/>
                                <a:stretch>
                                  <a:fillRect/>
                                </a:stretch>
                              </pic:blipFill>
                              <pic:spPr>
                                <a:xfrm>
                                  <a:off x="0" y="0"/>
                                  <a:ext cx="2713990" cy="20345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color w:val="auto"/>
                      <w:sz w:val="21"/>
                      <w:szCs w:val="21"/>
                      <w:vertAlign w:val="baseline"/>
                      <w:lang w:val="en-US" w:eastAsia="zh-CN"/>
                    </w:rPr>
                  </w:pPr>
                  <w:r>
                    <w:rPr>
                      <w:rFonts w:hint="eastAsia"/>
                      <w:b w:val="0"/>
                      <w:bCs w:val="0"/>
                      <w:color w:val="auto"/>
                      <w:sz w:val="21"/>
                      <w:szCs w:val="21"/>
                      <w:vertAlign w:val="baseline"/>
                      <w:lang w:val="en-US" w:eastAsia="zh-CN"/>
                    </w:rPr>
                    <w:t>污水处理站（在建）</w:t>
                  </w:r>
                </w:p>
              </w:tc>
              <w:tc>
                <w:tcPr>
                  <w:tcW w:w="45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color w:val="auto"/>
                      <w:sz w:val="21"/>
                      <w:szCs w:val="21"/>
                      <w:vertAlign w:val="baseline"/>
                      <w:lang w:val="en-US" w:eastAsia="zh-CN"/>
                    </w:rPr>
                  </w:pPr>
                  <w:r>
                    <w:rPr>
                      <w:rFonts w:hint="eastAsia"/>
                      <w:b w:val="0"/>
                      <w:bCs w:val="0"/>
                      <w:color w:val="auto"/>
                      <w:sz w:val="21"/>
                      <w:szCs w:val="21"/>
                      <w:vertAlign w:val="baseline"/>
                      <w:lang w:val="en-US" w:eastAsia="zh-CN"/>
                    </w:rPr>
                    <w:t>办公室</w:t>
                  </w:r>
                </w:p>
              </w:tc>
            </w:tr>
          </w:tbl>
          <w:p>
            <w:pPr>
              <w:spacing w:before="120" w:beforeLines="50" w:line="360" w:lineRule="auto"/>
              <w:ind w:firstLine="482" w:firstLineChars="200"/>
              <w:rPr>
                <w:b/>
                <w:bCs/>
                <w:color w:val="auto"/>
                <w:sz w:val="24"/>
                <w:szCs w:val="24"/>
                <w:lang w:val="zh-CN"/>
              </w:rPr>
            </w:pPr>
            <w:r>
              <w:rPr>
                <w:rFonts w:hint="eastAsia"/>
                <w:b/>
                <w:bCs/>
                <w:color w:val="auto"/>
                <w:sz w:val="24"/>
                <w:szCs w:val="24"/>
                <w:lang w:val="en-US" w:eastAsia="zh-CN"/>
              </w:rPr>
              <w:t>3</w:t>
            </w:r>
            <w:r>
              <w:rPr>
                <w:b/>
                <w:bCs/>
                <w:color w:val="auto"/>
                <w:sz w:val="24"/>
                <w:szCs w:val="24"/>
                <w:lang w:val="zh-CN"/>
              </w:rPr>
              <w:t>、主要设备</w:t>
            </w:r>
          </w:p>
          <w:p>
            <w:pPr>
              <w:tabs>
                <w:tab w:val="left" w:pos="2130"/>
              </w:tabs>
              <w:snapToGrid w:val="0"/>
              <w:spacing w:line="360" w:lineRule="auto"/>
              <w:ind w:firstLine="480" w:firstLineChars="200"/>
              <w:rPr>
                <w:color w:val="auto"/>
                <w:sz w:val="24"/>
                <w:szCs w:val="24"/>
              </w:rPr>
            </w:pPr>
            <w:r>
              <w:rPr>
                <w:color w:val="auto"/>
                <w:sz w:val="24"/>
                <w:szCs w:val="24"/>
              </w:rPr>
              <w:t>根据建设单位提供，本项目主要设备见表</w:t>
            </w:r>
            <w:r>
              <w:rPr>
                <w:rFonts w:hint="eastAsia"/>
                <w:color w:val="auto"/>
                <w:sz w:val="24"/>
                <w:szCs w:val="24"/>
              </w:rPr>
              <w:t>2-2</w:t>
            </w:r>
            <w:r>
              <w:rPr>
                <w:color w:val="auto"/>
                <w:sz w:val="24"/>
                <w:szCs w:val="24"/>
              </w:rPr>
              <w:t>。</w:t>
            </w:r>
          </w:p>
          <w:p>
            <w:pPr>
              <w:jc w:val="center"/>
              <w:rPr>
                <w:b/>
                <w:bCs/>
                <w:color w:val="auto"/>
                <w:sz w:val="21"/>
                <w:szCs w:val="21"/>
              </w:rPr>
            </w:pPr>
            <w:r>
              <w:rPr>
                <w:b/>
                <w:bCs/>
                <w:color w:val="auto"/>
                <w:sz w:val="21"/>
                <w:szCs w:val="21"/>
              </w:rPr>
              <w:t>表</w:t>
            </w:r>
            <w:r>
              <w:rPr>
                <w:rFonts w:hint="eastAsia"/>
                <w:b/>
                <w:bCs/>
                <w:color w:val="auto"/>
                <w:sz w:val="21"/>
                <w:szCs w:val="21"/>
              </w:rPr>
              <w:t>2-2</w:t>
            </w:r>
            <w:r>
              <w:rPr>
                <w:b/>
                <w:bCs/>
                <w:color w:val="auto"/>
                <w:sz w:val="21"/>
                <w:szCs w:val="21"/>
              </w:rPr>
              <w:t>工程主要工艺设备一览表</w:t>
            </w:r>
          </w:p>
          <w:tbl>
            <w:tblPr>
              <w:tblStyle w:val="25"/>
              <w:tblW w:w="499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7"/>
              <w:gridCol w:w="3296"/>
              <w:gridCol w:w="2114"/>
              <w:gridCol w:w="1539"/>
              <w:gridCol w:w="14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序号</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设备名称</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设备型号</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数量</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科室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t>医疗设备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1</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角膜地形图仪</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E300USB</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视光科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2</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插片箱</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视光科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3</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电脑验光仪</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ARK-1</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视光科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4</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眼科裂隙灯显微镜检查仪</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rPr>
                  </w:pPr>
                  <w:r>
                    <w:rPr>
                      <w:rFonts w:hint="default" w:ascii="Times New Roman" w:hAnsi="Times New Roman" w:eastAsia="宋体" w:cs="Times New Roman"/>
                      <w:i w:val="0"/>
                      <w:iCs w:val="0"/>
                      <w:color w:val="auto"/>
                      <w:kern w:val="0"/>
                      <w:sz w:val="21"/>
                      <w:szCs w:val="21"/>
                      <w:u w:val="none"/>
                      <w:lang w:val="en-US" w:eastAsia="zh-CN" w:bidi="ar"/>
                    </w:rPr>
                    <w:t>LS-</w:t>
                  </w:r>
                  <w:r>
                    <w:rPr>
                      <w:rFonts w:hint="eastAsia" w:ascii="Times New Roman" w:hAnsi="Times New Roman" w:eastAsia="宋体" w:cs="Times New Roman"/>
                      <w:i w:val="0"/>
                      <w:iCs w:val="0"/>
                      <w:color w:val="auto"/>
                      <w:kern w:val="0"/>
                      <w:sz w:val="21"/>
                      <w:szCs w:val="21"/>
                      <w:u w:val="none"/>
                      <w:lang w:val="en-US" w:eastAsia="zh-CN" w:bidi="ar"/>
                    </w:rPr>
                    <w:t>3-6</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Times New Roman" w:hAnsi="Times New Roman" w:eastAsia="宋体" w:cs="Times New Roman"/>
                      <w:i w:val="0"/>
                      <w:iCs w:val="0"/>
                      <w:color w:val="auto"/>
                      <w:kern w:val="0"/>
                      <w:sz w:val="21"/>
                      <w:szCs w:val="21"/>
                      <w:u w:val="none"/>
                      <w:lang w:val="en-US" w:eastAsia="zh-CN" w:bidi="ar"/>
                    </w:rPr>
                    <w:t>7</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视光科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5</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检眼镜</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YZ6F</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视光科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6</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Style w:val="59"/>
                      <w:color w:val="auto"/>
                      <w:sz w:val="21"/>
                      <w:szCs w:val="21"/>
                      <w:lang w:val="en-US" w:eastAsia="zh-CN" w:bidi="ar"/>
                    </w:rPr>
                    <w:t>视功能检查仪</w:t>
                  </w:r>
                  <w:r>
                    <w:rPr>
                      <w:rStyle w:val="60"/>
                      <w:rFonts w:eastAsia="宋体"/>
                      <w:color w:val="auto"/>
                      <w:sz w:val="21"/>
                      <w:szCs w:val="21"/>
                      <w:lang w:val="en-US" w:eastAsia="zh-CN" w:bidi="ar"/>
                    </w:rPr>
                    <w:t>(</w:t>
                  </w:r>
                  <w:r>
                    <w:rPr>
                      <w:rStyle w:val="59"/>
                      <w:color w:val="auto"/>
                      <w:sz w:val="21"/>
                      <w:szCs w:val="21"/>
                      <w:lang w:val="en-US" w:eastAsia="zh-CN" w:bidi="ar"/>
                    </w:rPr>
                    <w:t>综合验光仪）</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SSC-370</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Times New Roman" w:hAnsi="Times New Roman" w:eastAsia="宋体" w:cs="Times New Roman"/>
                      <w:i w:val="0"/>
                      <w:iCs w:val="0"/>
                      <w:color w:val="auto"/>
                      <w:kern w:val="0"/>
                      <w:sz w:val="21"/>
                      <w:szCs w:val="21"/>
                      <w:u w:val="none"/>
                      <w:lang w:val="en-US" w:eastAsia="zh-CN" w:bidi="ar"/>
                    </w:rPr>
                    <w:t>2</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视光科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7</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焦度计</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TL-6800</w:t>
                  </w:r>
                  <w:r>
                    <w:rPr>
                      <w:rFonts w:hint="eastAsia" w:ascii="Times New Roman" w:hAnsi="Times New Roman" w:eastAsia="宋体"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JD-2000B</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Times New Roman" w:hAnsi="Times New Roman" w:eastAsia="宋体" w:cs="Times New Roman"/>
                      <w:i w:val="0"/>
                      <w:iCs w:val="0"/>
                      <w:color w:val="auto"/>
                      <w:kern w:val="0"/>
                      <w:sz w:val="21"/>
                      <w:szCs w:val="21"/>
                      <w:u w:val="none"/>
                      <w:lang w:val="en-US" w:eastAsia="zh-CN" w:bidi="ar"/>
                    </w:rPr>
                    <w:t>2</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视光科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8</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手持验光仪</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AR-20</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视光科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9</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同视机</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YZ23B</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视光科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10</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福盛康视力复健仪</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3003</w:t>
                  </w:r>
                  <w:r>
                    <w:rPr>
                      <w:rFonts w:hint="eastAsia" w:ascii="宋体" w:hAnsi="宋体" w:eastAsia="宋体" w:cs="宋体"/>
                      <w:i w:val="0"/>
                      <w:iCs w:val="0"/>
                      <w:color w:val="auto"/>
                      <w:kern w:val="0"/>
                      <w:sz w:val="21"/>
                      <w:szCs w:val="21"/>
                      <w:u w:val="none"/>
                      <w:lang w:val="en-US" w:eastAsia="zh-CN" w:bidi="ar"/>
                    </w:rPr>
                    <w:t>型</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视光科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11</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紫外线消毒车</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ZXC</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视光科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12</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电脑验光仪</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ARK-1</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视光科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13</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角膜地形图仪</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E300USB</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Times New Roman" w:hAnsi="Times New Roman" w:eastAsia="宋体" w:cs="Times New Roman"/>
                      <w:i w:val="0"/>
                      <w:iCs w:val="0"/>
                      <w:color w:val="auto"/>
                      <w:kern w:val="0"/>
                      <w:sz w:val="21"/>
                      <w:szCs w:val="21"/>
                      <w:u w:val="none"/>
                      <w:lang w:val="en-US" w:eastAsia="zh-CN" w:bidi="ar"/>
                    </w:rPr>
                    <w:t>2</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视光科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14</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检眼镜</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YZ6F</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视光科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15</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插片箱</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Times New Roman" w:hAnsi="Times New Roman" w:eastAsia="宋体" w:cs="Times New Roman"/>
                      <w:i w:val="0"/>
                      <w:iCs w:val="0"/>
                      <w:color w:val="auto"/>
                      <w:kern w:val="0"/>
                      <w:sz w:val="21"/>
                      <w:szCs w:val="21"/>
                      <w:u w:val="none"/>
                      <w:lang w:val="en-US" w:eastAsia="zh-CN" w:bidi="ar"/>
                    </w:rPr>
                    <w:t>2</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视光科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16</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Style w:val="61"/>
                      <w:color w:val="auto"/>
                      <w:sz w:val="21"/>
                      <w:szCs w:val="21"/>
                      <w:lang w:val="en-US" w:eastAsia="zh-CN" w:bidi="ar"/>
                    </w:rPr>
                    <w:t>裂隙灯显微镜</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YT2B</w:t>
                  </w:r>
                  <w:r>
                    <w:rPr>
                      <w:rFonts w:hint="eastAsia" w:ascii="Times New Roman" w:hAnsi="Times New Roman" w:eastAsia="宋体"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YZ5J</w:t>
                  </w:r>
                  <w:r>
                    <w:rPr>
                      <w:rFonts w:hint="eastAsia" w:ascii="Times New Roman" w:hAnsi="Times New Roman" w:eastAsia="宋体"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S39L</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Times New Roman" w:hAnsi="Times New Roman" w:eastAsia="宋体" w:cs="Times New Roman"/>
                      <w:i w:val="0"/>
                      <w:iCs w:val="0"/>
                      <w:color w:val="auto"/>
                      <w:kern w:val="0"/>
                      <w:sz w:val="21"/>
                      <w:szCs w:val="21"/>
                      <w:u w:val="none"/>
                      <w:lang w:val="en-US" w:eastAsia="zh-CN" w:bidi="ar"/>
                    </w:rPr>
                    <w:t>3</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视光科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17</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检眼镜</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YZ11D</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视光科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18</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电脑验光仪</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ARK-1</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视光科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19</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医用生物数码显微镜</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XSP-30</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视光科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20</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电动对焦数码裂隙灯显微镜</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S390h</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视光科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21</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紫外线消毒车</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ZXC</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视光科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22</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光干涉式眼轴长测量仪</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AL-Scam</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23</w:t>
                  </w:r>
                </w:p>
              </w:tc>
              <w:tc>
                <w:tcPr>
                  <w:tcW w:w="18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Canon</w:t>
                  </w:r>
                  <w:r>
                    <w:rPr>
                      <w:rFonts w:hint="eastAsia" w:ascii="宋体" w:hAnsi="宋体" w:eastAsia="宋体" w:cs="宋体"/>
                      <w:i w:val="0"/>
                      <w:iCs w:val="0"/>
                      <w:color w:val="auto"/>
                      <w:kern w:val="0"/>
                      <w:sz w:val="21"/>
                      <w:szCs w:val="21"/>
                      <w:u w:val="none"/>
                      <w:lang w:val="en-US" w:eastAsia="zh-CN" w:bidi="ar"/>
                    </w:rPr>
                    <w:t>全自动散瞳眼底照相机</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CR-2AF</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24</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视野计</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M700USB</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25</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视力诊察仪</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BSJ-100</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26</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角膜地形图</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SIRIUS SYSTEM</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27</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激光扫描检眼镜</w:t>
                  </w:r>
                  <w:r>
                    <w:rPr>
                      <w:rStyle w:val="62"/>
                      <w:rFonts w:eastAsia="宋体"/>
                      <w:color w:val="auto"/>
                      <w:sz w:val="21"/>
                      <w:szCs w:val="21"/>
                      <w:lang w:val="en-US" w:eastAsia="zh-CN" w:bidi="ar"/>
                    </w:rPr>
                    <w:t>(</w:t>
                  </w:r>
                  <w:r>
                    <w:rPr>
                      <w:rFonts w:hint="eastAsia" w:ascii="宋体" w:hAnsi="宋体" w:eastAsia="宋体" w:cs="宋体"/>
                      <w:i w:val="0"/>
                      <w:iCs w:val="0"/>
                      <w:color w:val="auto"/>
                      <w:kern w:val="0"/>
                      <w:sz w:val="21"/>
                      <w:szCs w:val="21"/>
                      <w:u w:val="none"/>
                      <w:lang w:val="en-US" w:eastAsia="zh-CN" w:bidi="ar"/>
                    </w:rPr>
                    <w:t>欧堡</w:t>
                  </w:r>
                  <w:r>
                    <w:rPr>
                      <w:rStyle w:val="62"/>
                      <w:rFonts w:eastAsia="宋体"/>
                      <w:color w:val="auto"/>
                      <w:sz w:val="21"/>
                      <w:szCs w:val="21"/>
                      <w:lang w:val="en-US" w:eastAsia="zh-CN" w:bidi="ar"/>
                    </w:rPr>
                    <w:t>)</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Daytona(P200T)</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28</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OCT</w:t>
                  </w:r>
                  <w:r>
                    <w:rPr>
                      <w:rFonts w:hint="eastAsia"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光相干断层扫描仪）</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5000</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29</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非接触眼压计</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NT-510</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30</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眼科倍频激光</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31</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光干涉式眼轴长测量仪</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AL-Scam</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32</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角膜内皮细胞显微镜</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EM-4000</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33</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Style w:val="59"/>
                      <w:color w:val="auto"/>
                      <w:sz w:val="21"/>
                      <w:szCs w:val="21"/>
                      <w:lang w:val="en-US" w:eastAsia="zh-CN" w:bidi="ar"/>
                    </w:rPr>
                    <w:t>视功能检查仪</w:t>
                  </w:r>
                  <w:r>
                    <w:rPr>
                      <w:rStyle w:val="60"/>
                      <w:rFonts w:eastAsia="宋体"/>
                      <w:color w:val="auto"/>
                      <w:sz w:val="21"/>
                      <w:szCs w:val="21"/>
                      <w:lang w:val="en-US" w:eastAsia="zh-CN" w:bidi="ar"/>
                    </w:rPr>
                    <w:t>(</w:t>
                  </w:r>
                  <w:r>
                    <w:rPr>
                      <w:rStyle w:val="59"/>
                      <w:color w:val="auto"/>
                      <w:sz w:val="21"/>
                      <w:szCs w:val="21"/>
                      <w:lang w:val="en-US" w:eastAsia="zh-CN" w:bidi="ar"/>
                    </w:rPr>
                    <w:t>综合验光仪）</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SSC-370</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34</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鱼跃电动吸引器</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7A-23D</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35</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鱼跃洗胃机</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7D</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36</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心电图机</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ECG-2303B</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37</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紫外线消毒车</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ZXC</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38</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眼科裂隙灯显微镜检查仪</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rPr>
                  </w:pPr>
                  <w:r>
                    <w:rPr>
                      <w:rFonts w:hint="default" w:ascii="Times New Roman" w:hAnsi="Times New Roman" w:eastAsia="宋体" w:cs="Times New Roman"/>
                      <w:i w:val="0"/>
                      <w:iCs w:val="0"/>
                      <w:color w:val="auto"/>
                      <w:kern w:val="0"/>
                      <w:sz w:val="21"/>
                      <w:szCs w:val="21"/>
                      <w:u w:val="none"/>
                      <w:lang w:val="en-US" w:eastAsia="zh-CN" w:bidi="ar"/>
                    </w:rPr>
                    <w:t>LS-</w:t>
                  </w:r>
                  <w:r>
                    <w:rPr>
                      <w:rFonts w:hint="eastAsia" w:ascii="Times New Roman" w:hAnsi="Times New Roman" w:eastAsia="宋体" w:cs="Times New Roman"/>
                      <w:i w:val="0"/>
                      <w:iCs w:val="0"/>
                      <w:color w:val="auto"/>
                      <w:kern w:val="0"/>
                      <w:sz w:val="21"/>
                      <w:szCs w:val="21"/>
                      <w:u w:val="none"/>
                      <w:lang w:val="en-US" w:eastAsia="zh-CN" w:bidi="ar"/>
                    </w:rPr>
                    <w:t>4-6</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39</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检眼镜</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YZ6F</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40</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非接触眼压计</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NT-510</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41</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电脑验光仪</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ARK-1</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42</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准分子激光角膜屈光治疗仪</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SCHWIND AMARIS 1050RS</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43</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紫外线消毒车</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ZXC</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44</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激光角膜手术仪</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iFS</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45</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飞秒激光角膜屈光治疗仪</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VisuMax</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46</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手术显微镜</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Leica M220 F12</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47</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手术显微镜</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蔡司</w:t>
                  </w:r>
                  <w:r>
                    <w:rPr>
                      <w:rStyle w:val="62"/>
                      <w:rFonts w:eastAsia="宋体"/>
                      <w:color w:val="auto"/>
                      <w:sz w:val="21"/>
                      <w:szCs w:val="21"/>
                      <w:lang w:val="en-US" w:eastAsia="zh-CN" w:bidi="ar"/>
                    </w:rPr>
                    <w:t>S88</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48</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紫外线消毒车</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ZXC</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49</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A\B</w:t>
                  </w:r>
                  <w:r>
                    <w:rPr>
                      <w:rFonts w:hint="eastAsia" w:ascii="宋体" w:hAnsi="宋体" w:eastAsia="宋体" w:cs="宋体"/>
                      <w:i w:val="0"/>
                      <w:iCs w:val="0"/>
                      <w:color w:val="auto"/>
                      <w:kern w:val="0"/>
                      <w:sz w:val="21"/>
                      <w:szCs w:val="21"/>
                      <w:u w:val="none"/>
                      <w:lang w:val="en-US" w:eastAsia="zh-CN" w:bidi="ar"/>
                    </w:rPr>
                    <w:t>超声诊断仪</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屈光科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50</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Style w:val="63"/>
                      <w:color w:val="auto"/>
                      <w:sz w:val="21"/>
                      <w:szCs w:val="21"/>
                      <w:lang w:val="en-US" w:eastAsia="zh-CN" w:bidi="ar"/>
                    </w:rPr>
                    <w:t>血液细胞分析仪</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SMART-II</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检验科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51</w:t>
                  </w:r>
                </w:p>
              </w:tc>
              <w:tc>
                <w:tcPr>
                  <w:tcW w:w="18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Style w:val="63"/>
                      <w:color w:val="auto"/>
                      <w:sz w:val="21"/>
                      <w:szCs w:val="21"/>
                      <w:lang w:val="en-US" w:eastAsia="zh-CN" w:bidi="ar"/>
                    </w:rPr>
                    <w:t>全自动凝血分析仪</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MC-500</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检验科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52</w:t>
                  </w:r>
                </w:p>
              </w:tc>
              <w:tc>
                <w:tcPr>
                  <w:tcW w:w="18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Style w:val="63"/>
                      <w:color w:val="auto"/>
                      <w:sz w:val="21"/>
                      <w:szCs w:val="21"/>
                      <w:lang w:val="en-US" w:eastAsia="zh-CN" w:bidi="ar"/>
                    </w:rPr>
                    <w:t>半自动干化学尿液分析仪</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KH-100</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检验科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53</w:t>
                  </w:r>
                </w:p>
              </w:tc>
              <w:tc>
                <w:tcPr>
                  <w:tcW w:w="18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Style w:val="63"/>
                      <w:color w:val="auto"/>
                      <w:sz w:val="21"/>
                      <w:szCs w:val="21"/>
                      <w:lang w:val="en-US" w:eastAsia="zh-CN" w:bidi="ar"/>
                    </w:rPr>
                    <w:t>生物安全柜</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BSC-1100IIA 2-X</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检验科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54</w:t>
                  </w:r>
                </w:p>
              </w:tc>
              <w:tc>
                <w:tcPr>
                  <w:tcW w:w="18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立式压力蒸汽灭菌器</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BKQ-Z301</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检验科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55</w:t>
                  </w:r>
                </w:p>
              </w:tc>
              <w:tc>
                <w:tcPr>
                  <w:tcW w:w="18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医用离心机</w:t>
                  </w:r>
                </w:p>
              </w:tc>
              <w:tc>
                <w:tcPr>
                  <w:tcW w:w="11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TL80-2</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检验科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5000" w:type="pct"/>
                  <w:gridSpan w:val="5"/>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t>污水处理站设备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53"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w:t>
                  </w:r>
                </w:p>
              </w:tc>
              <w:tc>
                <w:tcPr>
                  <w:tcW w:w="1827"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集水池</w:t>
                  </w:r>
                </w:p>
              </w:tc>
              <w:tc>
                <w:tcPr>
                  <w:tcW w:w="1172"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color w:val="auto"/>
                      <w:sz w:val="21"/>
                      <w:szCs w:val="21"/>
                    </w:rPr>
                    <w:t>1</w:t>
                  </w:r>
                  <w:r>
                    <w:rPr>
                      <w:rFonts w:hint="eastAsia"/>
                      <w:color w:val="auto"/>
                      <w:sz w:val="21"/>
                      <w:szCs w:val="21"/>
                      <w:lang w:val="en-US" w:eastAsia="zh-CN"/>
                    </w:rPr>
                    <w:t>.2</w:t>
                  </w:r>
                  <w:r>
                    <w:rPr>
                      <w:color w:val="auto"/>
                      <w:sz w:val="21"/>
                      <w:szCs w:val="21"/>
                    </w:rPr>
                    <w:t>×</w:t>
                  </w:r>
                  <w:r>
                    <w:rPr>
                      <w:rFonts w:hint="eastAsia"/>
                      <w:color w:val="auto"/>
                      <w:sz w:val="21"/>
                      <w:szCs w:val="21"/>
                      <w:lang w:val="en-US" w:eastAsia="zh-CN"/>
                    </w:rPr>
                    <w:t>0.75</w:t>
                  </w:r>
                  <w:r>
                    <w:rPr>
                      <w:color w:val="auto"/>
                      <w:sz w:val="21"/>
                      <w:szCs w:val="21"/>
                    </w:rPr>
                    <w:t>×</w:t>
                  </w:r>
                  <w:r>
                    <w:rPr>
                      <w:rFonts w:hint="eastAsia"/>
                      <w:color w:val="auto"/>
                      <w:sz w:val="21"/>
                      <w:szCs w:val="21"/>
                      <w:lang w:val="en-US" w:eastAsia="zh-CN"/>
                    </w:rPr>
                    <w:t>1.5</w:t>
                  </w:r>
                </w:p>
              </w:tc>
              <w:tc>
                <w:tcPr>
                  <w:tcW w:w="853"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color w:val="auto"/>
                      <w:sz w:val="21"/>
                      <w:szCs w:val="21"/>
                    </w:rPr>
                    <w:t>1</w:t>
                  </w:r>
                </w:p>
              </w:tc>
              <w:tc>
                <w:tcPr>
                  <w:tcW w:w="793"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63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w:t>
                  </w:r>
                </w:p>
              </w:tc>
              <w:tc>
                <w:tcPr>
                  <w:tcW w:w="33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eastAsia="zh-CN"/>
                    </w:rPr>
                    <w:t>厌</w:t>
                  </w:r>
                  <w:r>
                    <w:rPr>
                      <w:color w:val="auto"/>
                      <w:sz w:val="21"/>
                      <w:szCs w:val="21"/>
                    </w:rPr>
                    <w:t>氧池</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color w:val="auto"/>
                      <w:sz w:val="21"/>
                      <w:szCs w:val="21"/>
                    </w:rPr>
                    <w:t>1</w:t>
                  </w:r>
                  <w:r>
                    <w:rPr>
                      <w:rFonts w:hint="eastAsia"/>
                      <w:color w:val="auto"/>
                      <w:sz w:val="21"/>
                      <w:szCs w:val="21"/>
                      <w:lang w:val="en-US" w:eastAsia="zh-CN"/>
                    </w:rPr>
                    <w:t>.5</w:t>
                  </w:r>
                  <w:r>
                    <w:rPr>
                      <w:color w:val="auto"/>
                      <w:sz w:val="21"/>
                      <w:szCs w:val="21"/>
                    </w:rPr>
                    <w:t>×</w:t>
                  </w:r>
                  <w:r>
                    <w:rPr>
                      <w:rFonts w:hint="eastAsia"/>
                      <w:color w:val="auto"/>
                      <w:sz w:val="21"/>
                      <w:szCs w:val="21"/>
                      <w:lang w:val="en-US" w:eastAsia="zh-CN"/>
                    </w:rPr>
                    <w:t>0.75</w:t>
                  </w:r>
                  <w:r>
                    <w:rPr>
                      <w:color w:val="auto"/>
                      <w:sz w:val="21"/>
                      <w:szCs w:val="21"/>
                    </w:rPr>
                    <w:t>×</w:t>
                  </w:r>
                  <w:r>
                    <w:rPr>
                      <w:rFonts w:hint="eastAsia"/>
                      <w:color w:val="auto"/>
                      <w:sz w:val="21"/>
                      <w:szCs w:val="21"/>
                      <w:lang w:val="en-US" w:eastAsia="zh-CN"/>
                    </w:rPr>
                    <w:t>1.8</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color w:val="auto"/>
                      <w:sz w:val="21"/>
                      <w:szCs w:val="21"/>
                    </w:rPr>
                    <w:t>1</w:t>
                  </w:r>
                </w:p>
              </w:tc>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63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w:t>
                  </w:r>
                </w:p>
              </w:tc>
              <w:tc>
                <w:tcPr>
                  <w:tcW w:w="33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好氧池</w:t>
                  </w:r>
                  <w:r>
                    <w:rPr>
                      <w:rFonts w:hint="eastAsia"/>
                      <w:color w:val="auto"/>
                      <w:sz w:val="21"/>
                      <w:szCs w:val="21"/>
                      <w:lang w:val="en-US" w:eastAsia="zh-CN"/>
                    </w:rPr>
                    <w:t>1</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color w:val="auto"/>
                      <w:sz w:val="21"/>
                      <w:szCs w:val="21"/>
                    </w:rPr>
                    <w:t>1</w:t>
                  </w:r>
                  <w:r>
                    <w:rPr>
                      <w:rFonts w:hint="eastAsia"/>
                      <w:color w:val="auto"/>
                      <w:sz w:val="21"/>
                      <w:szCs w:val="21"/>
                      <w:lang w:val="en-US" w:eastAsia="zh-CN"/>
                    </w:rPr>
                    <w:t>.5</w:t>
                  </w:r>
                  <w:r>
                    <w:rPr>
                      <w:color w:val="auto"/>
                      <w:sz w:val="21"/>
                      <w:szCs w:val="21"/>
                    </w:rPr>
                    <w:t>×</w:t>
                  </w:r>
                  <w:r>
                    <w:rPr>
                      <w:rFonts w:hint="eastAsia"/>
                      <w:color w:val="auto"/>
                      <w:sz w:val="21"/>
                      <w:szCs w:val="21"/>
                      <w:lang w:val="en-US" w:eastAsia="zh-CN"/>
                    </w:rPr>
                    <w:t>0.75</w:t>
                  </w:r>
                  <w:r>
                    <w:rPr>
                      <w:color w:val="auto"/>
                      <w:sz w:val="21"/>
                      <w:szCs w:val="21"/>
                    </w:rPr>
                    <w:t>×</w:t>
                  </w:r>
                  <w:r>
                    <w:rPr>
                      <w:rFonts w:hint="eastAsia"/>
                      <w:color w:val="auto"/>
                      <w:sz w:val="21"/>
                      <w:szCs w:val="21"/>
                      <w:lang w:val="en-US" w:eastAsia="zh-CN"/>
                    </w:rPr>
                    <w:t>1.8</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color w:val="auto"/>
                      <w:sz w:val="21"/>
                      <w:szCs w:val="21"/>
                    </w:rPr>
                    <w:t>1</w:t>
                  </w:r>
                </w:p>
              </w:tc>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3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4</w:t>
                  </w:r>
                </w:p>
              </w:tc>
              <w:tc>
                <w:tcPr>
                  <w:tcW w:w="33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好氧池</w:t>
                  </w:r>
                  <w:r>
                    <w:rPr>
                      <w:rFonts w:hint="eastAsia"/>
                      <w:color w:val="auto"/>
                      <w:sz w:val="21"/>
                      <w:szCs w:val="21"/>
                      <w:lang w:val="en-US" w:eastAsia="zh-CN"/>
                    </w:rPr>
                    <w:t>2</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color w:val="auto"/>
                      <w:sz w:val="21"/>
                      <w:szCs w:val="21"/>
                    </w:rPr>
                    <w:t>1</w:t>
                  </w:r>
                  <w:r>
                    <w:rPr>
                      <w:rFonts w:hint="eastAsia"/>
                      <w:color w:val="auto"/>
                      <w:sz w:val="21"/>
                      <w:szCs w:val="21"/>
                      <w:lang w:val="en-US" w:eastAsia="zh-CN"/>
                    </w:rPr>
                    <w:t>.5</w:t>
                  </w:r>
                  <w:r>
                    <w:rPr>
                      <w:color w:val="auto"/>
                      <w:sz w:val="21"/>
                      <w:szCs w:val="21"/>
                    </w:rPr>
                    <w:t>×</w:t>
                  </w:r>
                  <w:r>
                    <w:rPr>
                      <w:rFonts w:hint="eastAsia"/>
                      <w:color w:val="auto"/>
                      <w:sz w:val="21"/>
                      <w:szCs w:val="21"/>
                      <w:lang w:val="en-US" w:eastAsia="zh-CN"/>
                    </w:rPr>
                    <w:t>0.75</w:t>
                  </w:r>
                  <w:r>
                    <w:rPr>
                      <w:color w:val="auto"/>
                      <w:sz w:val="21"/>
                      <w:szCs w:val="21"/>
                    </w:rPr>
                    <w:t>×</w:t>
                  </w:r>
                  <w:r>
                    <w:rPr>
                      <w:rFonts w:hint="eastAsia"/>
                      <w:color w:val="auto"/>
                      <w:sz w:val="21"/>
                      <w:szCs w:val="21"/>
                      <w:lang w:val="en-US" w:eastAsia="zh-CN"/>
                    </w:rPr>
                    <w:t>1.8</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color w:val="auto"/>
                      <w:sz w:val="21"/>
                      <w:szCs w:val="21"/>
                    </w:rPr>
                    <w:t>1</w:t>
                  </w:r>
                </w:p>
              </w:tc>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3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5</w:t>
                  </w:r>
                </w:p>
              </w:tc>
              <w:tc>
                <w:tcPr>
                  <w:tcW w:w="33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eastAsia="zh-CN"/>
                    </w:rPr>
                    <w:t>沉淀池</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color w:val="auto"/>
                      <w:sz w:val="21"/>
                      <w:szCs w:val="21"/>
                    </w:rPr>
                    <w:t>1</w:t>
                  </w:r>
                  <w:r>
                    <w:rPr>
                      <w:rFonts w:hint="eastAsia"/>
                      <w:color w:val="auto"/>
                      <w:sz w:val="21"/>
                      <w:szCs w:val="21"/>
                      <w:lang w:val="en-US" w:eastAsia="zh-CN"/>
                    </w:rPr>
                    <w:t>.5</w:t>
                  </w:r>
                  <w:r>
                    <w:rPr>
                      <w:color w:val="auto"/>
                      <w:sz w:val="21"/>
                      <w:szCs w:val="21"/>
                    </w:rPr>
                    <w:t>×</w:t>
                  </w:r>
                  <w:r>
                    <w:rPr>
                      <w:rFonts w:hint="eastAsia"/>
                      <w:color w:val="auto"/>
                      <w:sz w:val="21"/>
                      <w:szCs w:val="21"/>
                      <w:lang w:val="en-US" w:eastAsia="zh-CN"/>
                    </w:rPr>
                    <w:t>0.75</w:t>
                  </w:r>
                  <w:r>
                    <w:rPr>
                      <w:color w:val="auto"/>
                      <w:sz w:val="21"/>
                      <w:szCs w:val="21"/>
                    </w:rPr>
                    <w:t>×</w:t>
                  </w:r>
                  <w:r>
                    <w:rPr>
                      <w:rFonts w:hint="eastAsia"/>
                      <w:color w:val="auto"/>
                      <w:sz w:val="21"/>
                      <w:szCs w:val="21"/>
                      <w:lang w:val="en-US" w:eastAsia="zh-CN"/>
                    </w:rPr>
                    <w:t>1.8</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color w:val="auto"/>
                      <w:sz w:val="21"/>
                      <w:szCs w:val="21"/>
                    </w:rPr>
                    <w:t>1</w:t>
                  </w:r>
                </w:p>
              </w:tc>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3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6</w:t>
                  </w:r>
                </w:p>
              </w:tc>
              <w:tc>
                <w:tcPr>
                  <w:tcW w:w="33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电控</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color w:val="auto"/>
                      <w:sz w:val="21"/>
                      <w:szCs w:val="21"/>
                    </w:rPr>
                    <w:t>1</w:t>
                  </w:r>
                </w:p>
              </w:tc>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3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7</w:t>
                  </w:r>
                </w:p>
              </w:tc>
              <w:tc>
                <w:tcPr>
                  <w:tcW w:w="33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提升泵</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color w:val="auto"/>
                      <w:sz w:val="21"/>
                      <w:szCs w:val="21"/>
                    </w:rPr>
                    <w:t>/</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color w:val="auto"/>
                      <w:sz w:val="21"/>
                      <w:szCs w:val="21"/>
                    </w:rPr>
                    <w:t>1</w:t>
                  </w:r>
                </w:p>
              </w:tc>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3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8</w:t>
                  </w:r>
                </w:p>
              </w:tc>
              <w:tc>
                <w:tcPr>
                  <w:tcW w:w="33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回转风机</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color w:val="auto"/>
                      <w:sz w:val="21"/>
                      <w:szCs w:val="21"/>
                    </w:rPr>
                    <w:t>2</w:t>
                  </w:r>
                </w:p>
              </w:tc>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3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9</w:t>
                  </w:r>
                </w:p>
              </w:tc>
              <w:tc>
                <w:tcPr>
                  <w:tcW w:w="33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降噪设施</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color w:val="auto"/>
                      <w:sz w:val="21"/>
                      <w:szCs w:val="21"/>
                    </w:rPr>
                    <w:t>2</w:t>
                  </w:r>
                </w:p>
              </w:tc>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3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10</w:t>
                  </w:r>
                </w:p>
              </w:tc>
              <w:tc>
                <w:tcPr>
                  <w:tcW w:w="33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混合液回流泵</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color w:val="auto"/>
                      <w:sz w:val="21"/>
                      <w:szCs w:val="21"/>
                    </w:rPr>
                    <w:t>1</w:t>
                  </w:r>
                </w:p>
              </w:tc>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3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11</w:t>
                  </w:r>
                </w:p>
              </w:tc>
              <w:tc>
                <w:tcPr>
                  <w:tcW w:w="33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污泥回流泵</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color w:val="auto"/>
                      <w:sz w:val="21"/>
                      <w:szCs w:val="21"/>
                    </w:rPr>
                    <w:t>1</w:t>
                  </w:r>
                </w:p>
              </w:tc>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3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12</w:t>
                  </w:r>
                </w:p>
              </w:tc>
              <w:tc>
                <w:tcPr>
                  <w:tcW w:w="33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除臭设备</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color w:val="auto"/>
                      <w:sz w:val="21"/>
                      <w:szCs w:val="21"/>
                    </w:rPr>
                    <w:t>1</w:t>
                  </w:r>
                </w:p>
              </w:tc>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3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13</w:t>
                  </w:r>
                </w:p>
              </w:tc>
              <w:tc>
                <w:tcPr>
                  <w:tcW w:w="33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eastAsia="zh-CN"/>
                    </w:rPr>
                    <w:t>离心式污泥脱水机</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color w:val="auto"/>
                      <w:sz w:val="21"/>
                      <w:szCs w:val="21"/>
                    </w:rPr>
                    <w:t>1</w:t>
                  </w:r>
                </w:p>
              </w:tc>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kern w:val="2"/>
                      <w:sz w:val="21"/>
                      <w:szCs w:val="21"/>
                      <w:lang w:val="en-US" w:eastAsia="zh-CN" w:bidi="ar-SA"/>
                    </w:rPr>
                  </w:pPr>
                  <w:r>
                    <w:rPr>
                      <w:color w:val="auto"/>
                      <w:sz w:val="21"/>
                      <w:szCs w:val="21"/>
                    </w:rPr>
                    <w:t>套</w:t>
                  </w:r>
                </w:p>
              </w:tc>
            </w:tr>
          </w:tbl>
          <w:p>
            <w:pPr>
              <w:tabs>
                <w:tab w:val="left" w:pos="2130"/>
              </w:tabs>
              <w:snapToGrid w:val="0"/>
              <w:spacing w:before="120" w:beforeLines="50" w:line="360" w:lineRule="auto"/>
              <w:ind w:firstLine="482" w:firstLineChars="200"/>
              <w:rPr>
                <w:rFonts w:hint="default"/>
                <w:color w:val="auto"/>
                <w:sz w:val="24"/>
                <w:szCs w:val="24"/>
                <w:lang w:val="en-US"/>
              </w:rPr>
            </w:pPr>
            <w:r>
              <w:rPr>
                <w:rFonts w:hint="eastAsia"/>
                <w:b/>
                <w:color w:val="auto"/>
                <w:sz w:val="24"/>
                <w:szCs w:val="24"/>
                <w:lang w:val="en-US" w:eastAsia="zh-CN"/>
              </w:rPr>
              <w:t>4</w:t>
            </w:r>
            <w:r>
              <w:rPr>
                <w:b/>
                <w:color w:val="auto"/>
                <w:sz w:val="24"/>
                <w:szCs w:val="24"/>
              </w:rPr>
              <w:t>、</w:t>
            </w:r>
            <w:r>
              <w:rPr>
                <w:rFonts w:hint="eastAsia"/>
                <w:b/>
                <w:color w:val="auto"/>
                <w:sz w:val="24"/>
                <w:szCs w:val="24"/>
                <w:lang w:val="en-US" w:eastAsia="zh-CN"/>
              </w:rPr>
              <w:t>服务情况</w:t>
            </w:r>
          </w:p>
          <w:p>
            <w:pPr>
              <w:spacing w:line="360" w:lineRule="auto"/>
              <w:ind w:firstLine="480" w:firstLineChars="200"/>
              <w:rPr>
                <w:rFonts w:hint="eastAsia"/>
                <w:color w:val="auto"/>
                <w:sz w:val="24"/>
                <w:szCs w:val="24"/>
                <w:lang w:val="en-US" w:eastAsia="zh-CN"/>
              </w:rPr>
            </w:pPr>
            <w:r>
              <w:rPr>
                <w:rFonts w:hint="eastAsia"/>
                <w:color w:val="auto"/>
                <w:sz w:val="24"/>
                <w:szCs w:val="24"/>
                <w:lang w:eastAsia="zh-CN"/>
              </w:rPr>
              <w:t>本项目为眼科专科医院项目，根据建设单位提供资料，本项目全年工作</w:t>
            </w:r>
            <w:r>
              <w:rPr>
                <w:rFonts w:hint="eastAsia"/>
                <w:color w:val="auto"/>
                <w:sz w:val="24"/>
                <w:szCs w:val="24"/>
                <w:lang w:val="en-US" w:eastAsia="zh-CN"/>
              </w:rPr>
              <w:t>365天，门诊最大服务量为160人，病床数为60张。</w:t>
            </w:r>
          </w:p>
          <w:p>
            <w:pPr>
              <w:spacing w:line="360" w:lineRule="auto"/>
              <w:ind w:firstLine="482" w:firstLineChars="200"/>
              <w:rPr>
                <w:b/>
                <w:bCs/>
                <w:color w:val="auto"/>
                <w:sz w:val="24"/>
                <w:szCs w:val="24"/>
              </w:rPr>
            </w:pPr>
            <w:r>
              <w:rPr>
                <w:rFonts w:hint="eastAsia"/>
                <w:b/>
                <w:color w:val="auto"/>
                <w:sz w:val="24"/>
                <w:szCs w:val="24"/>
                <w:lang w:val="en-US" w:eastAsia="zh-CN"/>
              </w:rPr>
              <w:t>5</w:t>
            </w:r>
            <w:r>
              <w:rPr>
                <w:b/>
                <w:color w:val="auto"/>
                <w:sz w:val="24"/>
                <w:szCs w:val="24"/>
              </w:rPr>
              <w:t>、主要原辅材</w:t>
            </w:r>
            <w:r>
              <w:rPr>
                <w:b/>
                <w:bCs/>
                <w:color w:val="auto"/>
                <w:sz w:val="24"/>
                <w:szCs w:val="24"/>
              </w:rPr>
              <w:t>料</w:t>
            </w:r>
          </w:p>
          <w:p>
            <w:pPr>
              <w:spacing w:line="360" w:lineRule="auto"/>
              <w:ind w:firstLine="480" w:firstLineChars="200"/>
              <w:rPr>
                <w:bCs/>
                <w:color w:val="auto"/>
                <w:sz w:val="24"/>
                <w:szCs w:val="24"/>
              </w:rPr>
            </w:pPr>
            <w:r>
              <w:rPr>
                <w:color w:val="auto"/>
                <w:sz w:val="24"/>
                <w:szCs w:val="24"/>
              </w:rPr>
              <w:t>根据建设单位提供资料，</w:t>
            </w:r>
            <w:r>
              <w:rPr>
                <w:bCs/>
                <w:color w:val="auto"/>
                <w:sz w:val="24"/>
                <w:szCs w:val="24"/>
              </w:rPr>
              <w:t>本</w:t>
            </w:r>
            <w:r>
              <w:rPr>
                <w:color w:val="auto"/>
                <w:sz w:val="24"/>
                <w:szCs w:val="24"/>
              </w:rPr>
              <w:t>项目能耗和主要原辅材料一览表</w:t>
            </w:r>
            <w:r>
              <w:rPr>
                <w:bCs/>
                <w:color w:val="auto"/>
                <w:sz w:val="24"/>
                <w:szCs w:val="24"/>
              </w:rPr>
              <w:t>见下表。</w:t>
            </w:r>
          </w:p>
          <w:p>
            <w:pPr>
              <w:jc w:val="center"/>
              <w:rPr>
                <w:b/>
                <w:bCs/>
                <w:color w:val="auto"/>
                <w:sz w:val="21"/>
                <w:szCs w:val="21"/>
              </w:rPr>
            </w:pPr>
            <w:r>
              <w:rPr>
                <w:b/>
                <w:bCs/>
                <w:color w:val="auto"/>
                <w:sz w:val="21"/>
                <w:szCs w:val="21"/>
              </w:rPr>
              <w:t>表</w:t>
            </w:r>
            <w:r>
              <w:rPr>
                <w:rFonts w:hint="eastAsia"/>
                <w:b/>
                <w:bCs/>
                <w:color w:val="auto"/>
                <w:sz w:val="21"/>
                <w:szCs w:val="21"/>
              </w:rPr>
              <w:t>2-</w:t>
            </w:r>
            <w:r>
              <w:rPr>
                <w:rFonts w:hint="eastAsia"/>
                <w:b/>
                <w:bCs/>
                <w:color w:val="auto"/>
                <w:sz w:val="21"/>
                <w:szCs w:val="21"/>
                <w:lang w:val="en-US" w:eastAsia="zh-CN"/>
              </w:rPr>
              <w:t xml:space="preserve">3 </w:t>
            </w:r>
            <w:r>
              <w:rPr>
                <w:b/>
                <w:bCs/>
                <w:color w:val="auto"/>
                <w:sz w:val="21"/>
                <w:szCs w:val="21"/>
              </w:rPr>
              <w:t>主要原辅材料一览表</w:t>
            </w:r>
          </w:p>
          <w:tbl>
            <w:tblPr>
              <w:tblStyle w:val="25"/>
              <w:tblW w:w="90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4"/>
              <w:gridCol w:w="3387"/>
              <w:gridCol w:w="2384"/>
              <w:gridCol w:w="1100"/>
              <w:gridCol w:w="10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b/>
                      <w:bCs/>
                      <w:i w:val="0"/>
                      <w:iCs w:val="0"/>
                      <w:color w:val="auto"/>
                      <w:sz w:val="21"/>
                      <w:szCs w:val="21"/>
                      <w:u w:val="none"/>
                    </w:rPr>
                  </w:pPr>
                  <w:r>
                    <w:rPr>
                      <w:rFonts w:hint="default" w:ascii="Times New Roman" w:hAnsi="Times New Roman" w:cs="Times New Roman" w:eastAsiaTheme="minorEastAsia"/>
                      <w:b/>
                      <w:bCs/>
                      <w:i w:val="0"/>
                      <w:iCs w:val="0"/>
                      <w:color w:val="auto"/>
                      <w:kern w:val="0"/>
                      <w:sz w:val="21"/>
                      <w:szCs w:val="21"/>
                      <w:u w:val="none"/>
                      <w:lang w:val="en-US" w:eastAsia="zh-CN" w:bidi="ar"/>
                    </w:rPr>
                    <w:t>序号</w:t>
                  </w:r>
                </w:p>
              </w:tc>
              <w:tc>
                <w:tcPr>
                  <w:tcW w:w="18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b/>
                      <w:bCs/>
                      <w:i w:val="0"/>
                      <w:iCs w:val="0"/>
                      <w:color w:val="auto"/>
                      <w:sz w:val="21"/>
                      <w:szCs w:val="21"/>
                      <w:u w:val="none"/>
                    </w:rPr>
                  </w:pPr>
                  <w:r>
                    <w:rPr>
                      <w:rFonts w:hint="default" w:ascii="Times New Roman" w:hAnsi="Times New Roman" w:cs="Times New Roman" w:eastAsiaTheme="minorEastAsia"/>
                      <w:b/>
                      <w:bCs/>
                      <w:i w:val="0"/>
                      <w:iCs w:val="0"/>
                      <w:color w:val="auto"/>
                      <w:kern w:val="0"/>
                      <w:sz w:val="21"/>
                      <w:szCs w:val="21"/>
                      <w:u w:val="none"/>
                      <w:lang w:val="en-US" w:eastAsia="zh-CN" w:bidi="ar"/>
                    </w:rPr>
                    <w:t>品名</w:t>
                  </w:r>
                </w:p>
              </w:tc>
              <w:tc>
                <w:tcPr>
                  <w:tcW w:w="132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b/>
                      <w:bCs/>
                      <w:i w:val="0"/>
                      <w:iCs w:val="0"/>
                      <w:color w:val="auto"/>
                      <w:sz w:val="21"/>
                      <w:szCs w:val="21"/>
                      <w:u w:val="none"/>
                    </w:rPr>
                  </w:pPr>
                  <w:r>
                    <w:rPr>
                      <w:rFonts w:hint="default" w:ascii="Times New Roman" w:hAnsi="Times New Roman" w:cs="Times New Roman" w:eastAsiaTheme="minorEastAsia"/>
                      <w:b/>
                      <w:bCs/>
                      <w:i w:val="0"/>
                      <w:iCs w:val="0"/>
                      <w:color w:val="auto"/>
                      <w:kern w:val="0"/>
                      <w:sz w:val="21"/>
                      <w:szCs w:val="21"/>
                      <w:u w:val="none"/>
                      <w:lang w:val="en-US" w:eastAsia="zh-CN" w:bidi="ar"/>
                    </w:rPr>
                    <w:t>规格</w:t>
                  </w:r>
                </w:p>
              </w:tc>
              <w:tc>
                <w:tcPr>
                  <w:tcW w:w="6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b/>
                      <w:bCs/>
                      <w:i w:val="0"/>
                      <w:iCs w:val="0"/>
                      <w:color w:val="auto"/>
                      <w:sz w:val="21"/>
                      <w:szCs w:val="21"/>
                      <w:u w:val="none"/>
                    </w:rPr>
                  </w:pPr>
                  <w:r>
                    <w:rPr>
                      <w:rFonts w:hint="default" w:ascii="Times New Roman" w:hAnsi="Times New Roman" w:cs="Times New Roman" w:eastAsiaTheme="minorEastAsia"/>
                      <w:b/>
                      <w:bCs/>
                      <w:i w:val="0"/>
                      <w:iCs w:val="0"/>
                      <w:color w:val="auto"/>
                      <w:kern w:val="0"/>
                      <w:sz w:val="21"/>
                      <w:szCs w:val="21"/>
                      <w:u w:val="none"/>
                      <w:lang w:val="en-US" w:eastAsia="zh-CN" w:bidi="ar"/>
                    </w:rPr>
                    <w:t>单位</w:t>
                  </w:r>
                </w:p>
              </w:tc>
              <w:tc>
                <w:tcPr>
                  <w:tcW w:w="59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b/>
                      <w:bCs/>
                      <w:i w:val="0"/>
                      <w:iCs w:val="0"/>
                      <w:color w:val="auto"/>
                      <w:sz w:val="21"/>
                      <w:szCs w:val="21"/>
                      <w:u w:val="none"/>
                    </w:rPr>
                  </w:pPr>
                  <w:r>
                    <w:rPr>
                      <w:rFonts w:hint="default" w:ascii="Times New Roman" w:hAnsi="Times New Roman" w:cs="Times New Roman" w:eastAsiaTheme="minorEastAsia"/>
                      <w:b/>
                      <w:bCs/>
                      <w:i w:val="0"/>
                      <w:iCs w:val="0"/>
                      <w:color w:val="auto"/>
                      <w:kern w:val="0"/>
                      <w:sz w:val="21"/>
                      <w:szCs w:val="21"/>
                      <w:u w:val="none"/>
                      <w:lang w:val="en-US" w:eastAsia="zh-CN" w:bidi="ar"/>
                    </w:rPr>
                    <w:t>消耗量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6"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b/>
                      <w:bCs/>
                      <w:i w:val="0"/>
                      <w:iCs w:val="0"/>
                      <w:color w:val="auto"/>
                      <w:kern w:val="0"/>
                      <w:sz w:val="21"/>
                      <w:szCs w:val="21"/>
                      <w:u w:val="none"/>
                      <w:lang w:val="en-US" w:eastAsia="zh-CN" w:bidi="ar"/>
                    </w:rPr>
                  </w:pPr>
                  <w:r>
                    <w:rPr>
                      <w:rFonts w:hint="eastAsia" w:cs="Times New Roman" w:eastAsiaTheme="minorEastAsia"/>
                      <w:b/>
                      <w:bCs/>
                      <w:i w:val="0"/>
                      <w:iCs w:val="0"/>
                      <w:color w:val="auto"/>
                      <w:kern w:val="0"/>
                      <w:sz w:val="21"/>
                      <w:szCs w:val="21"/>
                      <w:u w:val="none"/>
                      <w:lang w:val="en-US" w:eastAsia="zh-CN" w:bidi="ar"/>
                    </w:rPr>
                    <w:t>门诊及手术用品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eastAsia"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1</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医用棉签(10cm)</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10cm</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包</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rPr>
                  </w:pPr>
                  <w:r>
                    <w:rPr>
                      <w:rFonts w:hint="eastAsia" w:ascii="Times New Roman" w:hAnsi="Times New Roman" w:cs="Times New Roman" w:eastAsiaTheme="minorEastAsia"/>
                      <w:i w:val="0"/>
                      <w:iCs w:val="0"/>
                      <w:color w:val="auto"/>
                      <w:kern w:val="0"/>
                      <w:sz w:val="21"/>
                      <w:szCs w:val="21"/>
                      <w:u w:val="none"/>
                      <w:lang w:val="en-US" w:eastAsia="zh-CN" w:bidi="ar"/>
                    </w:rPr>
                    <w:t>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eastAsia"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2</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一次性使用溶药注射器（带针）</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20ml</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支</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rPr>
                  </w:pPr>
                  <w:r>
                    <w:rPr>
                      <w:rFonts w:hint="eastAsia" w:ascii="Times New Roman" w:hAnsi="Times New Roman" w:cs="Times New Roman" w:eastAsiaTheme="minorEastAsia"/>
                      <w:i w:val="0"/>
                      <w:iCs w:val="0"/>
                      <w:color w:val="auto"/>
                      <w:kern w:val="0"/>
                      <w:sz w:val="21"/>
                      <w:szCs w:val="21"/>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eastAsia"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3</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医废封口扎带</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100条/包</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包</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169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eastAsia"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4</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灭菌盒</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2000型</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台</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rPr>
                  </w:pPr>
                  <w:r>
                    <w:rPr>
                      <w:rFonts w:hint="eastAsia" w:ascii="Times New Roman" w:hAnsi="Times New Roman" w:cs="Times New Roman" w:eastAsiaTheme="minorEastAsia"/>
                      <w:i w:val="0"/>
                      <w:iCs w:val="0"/>
                      <w:color w:val="auto"/>
                      <w:kern w:val="0"/>
                      <w:sz w:val="21"/>
                      <w:szCs w:val="21"/>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eastAsia"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5</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一次性使用输液器</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0.55</w:t>
                  </w:r>
                  <w:r>
                    <w:rPr>
                      <w:rFonts w:hint="eastAsia" w:cs="Times New Roman" w:eastAsiaTheme="minorEastAsia"/>
                      <w:i w:val="0"/>
                      <w:iCs w:val="0"/>
                      <w:color w:val="auto"/>
                      <w:kern w:val="0"/>
                      <w:sz w:val="21"/>
                      <w:szCs w:val="21"/>
                      <w:u w:val="none"/>
                      <w:lang w:val="en-US" w:eastAsia="zh-CN" w:bidi="ar"/>
                    </w:rPr>
                    <w:t>×</w:t>
                  </w:r>
                  <w:r>
                    <w:rPr>
                      <w:rFonts w:hint="default" w:ascii="Times New Roman" w:hAnsi="Times New Roman" w:cs="Times New Roman" w:eastAsiaTheme="minorEastAsia"/>
                      <w:i w:val="0"/>
                      <w:iCs w:val="0"/>
                      <w:color w:val="auto"/>
                      <w:kern w:val="0"/>
                      <w:sz w:val="21"/>
                      <w:szCs w:val="21"/>
                      <w:u w:val="none"/>
                      <w:lang w:val="en-US" w:eastAsia="zh-CN" w:bidi="ar"/>
                    </w:rPr>
                    <w:t>25支</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支</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eastAsia"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6</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紫外线强度指示卡</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100片</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片</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10</w:t>
                  </w:r>
                  <w:r>
                    <w:rPr>
                      <w:rFonts w:hint="eastAsia" w:ascii="Times New Roman" w:hAnsi="Times New Roman" w:cs="Times New Roman" w:eastAsiaTheme="minorEastAsia"/>
                      <w:i w:val="0"/>
                      <w:iCs w:val="0"/>
                      <w:color w:val="auto"/>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eastAsia"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7</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医用外科口罩</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个</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个</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rPr>
                  </w:pPr>
                  <w:r>
                    <w:rPr>
                      <w:rFonts w:hint="eastAsia" w:ascii="Times New Roman" w:hAnsi="Times New Roman" w:cs="Times New Roman" w:eastAsiaTheme="minorEastAsia"/>
                      <w:i w:val="0"/>
                      <w:iCs w:val="0"/>
                      <w:color w:val="auto"/>
                      <w:kern w:val="0"/>
                      <w:sz w:val="21"/>
                      <w:szCs w:val="21"/>
                      <w:u w:val="none"/>
                      <w:lang w:val="en-US" w:eastAsia="zh-CN" w:bidi="ar"/>
                    </w:rPr>
                    <w:t>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eastAsia"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8</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一次性使用眼科手术刀 3.0 45°</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3.0</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盒</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rPr>
                  </w:pPr>
                  <w:r>
                    <w:rPr>
                      <w:rFonts w:hint="eastAsia" w:ascii="Times New Roman" w:hAnsi="Times New Roman" w:cs="Times New Roman" w:eastAsiaTheme="minorEastAsia"/>
                      <w:i w:val="0"/>
                      <w:iCs w:val="0"/>
                      <w:color w:val="auto"/>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eastAsia"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9</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一次性使用手术衣（医生）</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中号</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件</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463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10</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一次性使用眼科洞巾</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HK-1-D型(800mm</w:t>
                  </w:r>
                  <w:r>
                    <w:rPr>
                      <w:rFonts w:hint="eastAsia" w:cs="Times New Roman" w:eastAsiaTheme="minorEastAsia"/>
                      <w:i w:val="0"/>
                      <w:iCs w:val="0"/>
                      <w:color w:val="auto"/>
                      <w:kern w:val="0"/>
                      <w:sz w:val="21"/>
                      <w:szCs w:val="21"/>
                      <w:u w:val="none"/>
                      <w:lang w:val="en-US" w:eastAsia="zh-CN" w:bidi="ar"/>
                    </w:rPr>
                    <w:t>×</w:t>
                  </w:r>
                  <w:r>
                    <w:rPr>
                      <w:rFonts w:hint="default" w:ascii="Times New Roman" w:hAnsi="Times New Roman" w:cs="Times New Roman" w:eastAsiaTheme="minorEastAsia"/>
                      <w:i w:val="0"/>
                      <w:iCs w:val="0"/>
                      <w:color w:val="auto"/>
                      <w:kern w:val="0"/>
                      <w:sz w:val="21"/>
                      <w:szCs w:val="21"/>
                      <w:u w:val="none"/>
                      <w:lang w:val="en-US" w:eastAsia="zh-CN" w:bidi="ar"/>
                    </w:rPr>
                    <w:t>1000mm)</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枚</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11</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免洗外科手消毒凝胶II型（葡清）</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500ml</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瓶</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12</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一次性医用中单100</w:t>
                  </w:r>
                  <w:r>
                    <w:rPr>
                      <w:rFonts w:hint="eastAsia" w:cs="Times New Roman" w:eastAsiaTheme="minorEastAsia"/>
                      <w:i w:val="0"/>
                      <w:iCs w:val="0"/>
                      <w:color w:val="auto"/>
                      <w:kern w:val="0"/>
                      <w:sz w:val="21"/>
                      <w:szCs w:val="21"/>
                      <w:u w:val="none"/>
                      <w:lang w:val="en-US" w:eastAsia="zh-CN" w:bidi="ar"/>
                    </w:rPr>
                    <w:t>×</w:t>
                  </w:r>
                  <w:r>
                    <w:rPr>
                      <w:rFonts w:hint="default" w:ascii="Times New Roman" w:hAnsi="Times New Roman" w:cs="Times New Roman" w:eastAsiaTheme="minorEastAsia"/>
                      <w:i w:val="0"/>
                      <w:iCs w:val="0"/>
                      <w:color w:val="auto"/>
                      <w:kern w:val="0"/>
                      <w:sz w:val="21"/>
                      <w:szCs w:val="21"/>
                      <w:u w:val="none"/>
                      <w:lang w:val="en-US" w:eastAsia="zh-CN" w:bidi="ar"/>
                    </w:rPr>
                    <w:t>200</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100</w:t>
                  </w:r>
                  <w:r>
                    <w:rPr>
                      <w:rFonts w:hint="eastAsia" w:cs="Times New Roman" w:eastAsiaTheme="minorEastAsia"/>
                      <w:i w:val="0"/>
                      <w:iCs w:val="0"/>
                      <w:color w:val="auto"/>
                      <w:kern w:val="0"/>
                      <w:sz w:val="21"/>
                      <w:szCs w:val="21"/>
                      <w:u w:val="none"/>
                      <w:lang w:val="en-US" w:eastAsia="zh-CN" w:bidi="ar"/>
                    </w:rPr>
                    <w:t>×</w:t>
                  </w:r>
                  <w:r>
                    <w:rPr>
                      <w:rFonts w:hint="default" w:ascii="Times New Roman" w:hAnsi="Times New Roman" w:cs="Times New Roman" w:eastAsiaTheme="minorEastAsia"/>
                      <w:i w:val="0"/>
                      <w:iCs w:val="0"/>
                      <w:color w:val="auto"/>
                      <w:kern w:val="0"/>
                      <w:sz w:val="21"/>
                      <w:szCs w:val="21"/>
                      <w:u w:val="none"/>
                      <w:lang w:val="en-US" w:eastAsia="zh-CN" w:bidi="ar"/>
                    </w:rPr>
                    <w:t>200cm</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条</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rPr>
                  </w:pPr>
                  <w:r>
                    <w:rPr>
                      <w:rFonts w:hint="eastAsia" w:ascii="Times New Roman" w:hAnsi="Times New Roman" w:cs="Times New Roman" w:eastAsiaTheme="minorEastAsia"/>
                      <w:i w:val="0"/>
                      <w:iCs w:val="0"/>
                      <w:color w:val="auto"/>
                      <w:kern w:val="0"/>
                      <w:sz w:val="21"/>
                      <w:szCs w:val="21"/>
                      <w:u w:val="none"/>
                      <w:lang w:val="en-US" w:eastAsia="zh-CN" w:bidi="ar"/>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13</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名德泡腾消毒片</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100瓶/箱</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瓶</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rPr>
                  </w:pPr>
                  <w:r>
                    <w:rPr>
                      <w:rFonts w:hint="eastAsia" w:ascii="Times New Roman" w:hAnsi="Times New Roman" w:cs="Times New Roman" w:eastAsiaTheme="minorEastAsia"/>
                      <w:i w:val="0"/>
                      <w:iCs w:val="0"/>
                      <w:color w:val="auto"/>
                      <w:kern w:val="0"/>
                      <w:sz w:val="21"/>
                      <w:szCs w:val="21"/>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14</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鞋套</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II型</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双</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2810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15</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一次性使用眼科手术刀 15°</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15°</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盒</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16</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一次性使用无菌医用海绵</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SS-96A</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包</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rPr>
                  </w:pPr>
                  <w:r>
                    <w:rPr>
                      <w:rFonts w:hint="eastAsia" w:ascii="Times New Roman" w:hAnsi="Times New Roman" w:cs="Times New Roman" w:eastAsiaTheme="minorEastAsia"/>
                      <w:i w:val="0"/>
                      <w:iCs w:val="0"/>
                      <w:color w:val="auto"/>
                      <w:kern w:val="0"/>
                      <w:sz w:val="21"/>
                      <w:szCs w:val="21"/>
                      <w:u w:val="none"/>
                      <w:lang w:val="en-US" w:eastAsia="zh-CN" w:bidi="ar"/>
                    </w:rPr>
                    <w:t>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17</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医用棉球</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中号0.6g</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包</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780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18</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葡清天然皂液</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500ml</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瓶</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188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19</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聚维酮碘消毒液</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60ml</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瓶</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rPr>
                  </w:pPr>
                  <w:r>
                    <w:rPr>
                      <w:rFonts w:hint="eastAsia" w:ascii="Times New Roman" w:hAnsi="Times New Roman" w:cs="Times New Roman" w:eastAsiaTheme="minorEastAsia"/>
                      <w:i w:val="0"/>
                      <w:iCs w:val="0"/>
                      <w:color w:val="auto"/>
                      <w:kern w:val="0"/>
                      <w:sz w:val="21"/>
                      <w:szCs w:val="21"/>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20</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一次性无菌治疗包（负压环）</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小号（FLAP）</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个</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21</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一次性使用帽子（圆帽）</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圆帽</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个</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2232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80"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22</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一次性使用灭菌橡胶外科手套（7.0</w:t>
                  </w:r>
                  <w:r>
                    <w:rPr>
                      <w:rFonts w:hint="eastAsia" w:cs="Times New Roman" w:eastAsiaTheme="minorEastAsia"/>
                      <w:i w:val="0"/>
                      <w:iCs w:val="0"/>
                      <w:color w:val="auto"/>
                      <w:kern w:val="0"/>
                      <w:sz w:val="21"/>
                      <w:szCs w:val="21"/>
                      <w:u w:val="none"/>
                      <w:lang w:val="en-US" w:eastAsia="zh-CN" w:bidi="ar"/>
                    </w:rPr>
                    <w:t>×</w:t>
                  </w:r>
                  <w:r>
                    <w:rPr>
                      <w:rFonts w:hint="default" w:ascii="Times New Roman" w:hAnsi="Times New Roman" w:cs="Times New Roman" w:eastAsiaTheme="minorEastAsia"/>
                      <w:i w:val="0"/>
                      <w:iCs w:val="0"/>
                      <w:color w:val="auto"/>
                      <w:kern w:val="0"/>
                      <w:sz w:val="21"/>
                      <w:szCs w:val="21"/>
                      <w:u w:val="none"/>
                      <w:lang w:val="en-US" w:eastAsia="zh-CN" w:bidi="ar"/>
                    </w:rPr>
                    <w:t>无粉）</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7.0</w:t>
                  </w:r>
                  <w:r>
                    <w:rPr>
                      <w:rFonts w:hint="eastAsia" w:cs="Times New Roman" w:eastAsiaTheme="minorEastAsia"/>
                      <w:i w:val="0"/>
                      <w:iCs w:val="0"/>
                      <w:color w:val="auto"/>
                      <w:kern w:val="0"/>
                      <w:sz w:val="21"/>
                      <w:szCs w:val="21"/>
                      <w:u w:val="none"/>
                      <w:lang w:val="en-US" w:eastAsia="zh-CN" w:bidi="ar"/>
                    </w:rPr>
                    <w:t>×</w:t>
                  </w:r>
                  <w:r>
                    <w:rPr>
                      <w:rFonts w:hint="default" w:ascii="Times New Roman" w:hAnsi="Times New Roman" w:cs="Times New Roman" w:eastAsiaTheme="minorEastAsia"/>
                      <w:i w:val="0"/>
                      <w:iCs w:val="0"/>
                      <w:color w:val="auto"/>
                      <w:kern w:val="0"/>
                      <w:sz w:val="21"/>
                      <w:szCs w:val="21"/>
                      <w:u w:val="none"/>
                      <w:lang w:val="en-US" w:eastAsia="zh-CN" w:bidi="ar"/>
                    </w:rPr>
                    <w:t>无粉</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枚</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rPr>
                  </w:pPr>
                  <w:r>
                    <w:rPr>
                      <w:rFonts w:hint="eastAsia" w:ascii="Times New Roman" w:hAnsi="Times New Roman" w:cs="Times New Roman" w:eastAsiaTheme="minorEastAsia"/>
                      <w:i w:val="0"/>
                      <w:iCs w:val="0"/>
                      <w:color w:val="auto"/>
                      <w:kern w:val="0"/>
                      <w:sz w:val="21"/>
                      <w:szCs w:val="21"/>
                      <w:u w:val="none"/>
                      <w:lang w:val="en-US" w:eastAsia="zh-CN" w:bidi="ar"/>
                    </w:rPr>
                    <w:t>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23</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酒精棉片</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60mm</w:t>
                  </w:r>
                  <w:r>
                    <w:rPr>
                      <w:rFonts w:hint="eastAsia" w:cs="Times New Roman" w:eastAsiaTheme="minorEastAsia"/>
                      <w:i w:val="0"/>
                      <w:iCs w:val="0"/>
                      <w:color w:val="auto"/>
                      <w:kern w:val="0"/>
                      <w:sz w:val="21"/>
                      <w:szCs w:val="21"/>
                      <w:u w:val="none"/>
                      <w:lang w:val="en-US" w:eastAsia="zh-CN" w:bidi="ar"/>
                    </w:rPr>
                    <w:t>×</w:t>
                  </w:r>
                  <w:r>
                    <w:rPr>
                      <w:rFonts w:hint="default" w:ascii="Times New Roman" w:hAnsi="Times New Roman" w:cs="Times New Roman" w:eastAsiaTheme="minorEastAsia"/>
                      <w:i w:val="0"/>
                      <w:iCs w:val="0"/>
                      <w:color w:val="auto"/>
                      <w:kern w:val="0"/>
                      <w:sz w:val="21"/>
                      <w:szCs w:val="21"/>
                      <w:u w:val="none"/>
                      <w:lang w:val="en-US" w:eastAsia="zh-CN" w:bidi="ar"/>
                    </w:rPr>
                    <w:t>90mm</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片</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5850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24</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一次性使用输液器（带针）</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0.55</w:t>
                  </w:r>
                  <w:r>
                    <w:rPr>
                      <w:rFonts w:hint="eastAsia" w:cs="Times New Roman" w:eastAsiaTheme="minorEastAsia"/>
                      <w:i w:val="0"/>
                      <w:iCs w:val="0"/>
                      <w:color w:val="auto"/>
                      <w:kern w:val="0"/>
                      <w:sz w:val="21"/>
                      <w:szCs w:val="21"/>
                      <w:u w:val="none"/>
                      <w:lang w:val="en-US" w:eastAsia="zh-CN" w:bidi="ar"/>
                    </w:rPr>
                    <w:t>×</w:t>
                  </w:r>
                  <w:r>
                    <w:rPr>
                      <w:rFonts w:hint="default" w:ascii="Times New Roman" w:hAnsi="Times New Roman" w:cs="Times New Roman" w:eastAsiaTheme="minorEastAsia"/>
                      <w:i w:val="0"/>
                      <w:iCs w:val="0"/>
                      <w:color w:val="auto"/>
                      <w:kern w:val="0"/>
                      <w:sz w:val="21"/>
                      <w:szCs w:val="21"/>
                      <w:u w:val="none"/>
                      <w:lang w:val="en-US" w:eastAsia="zh-CN" w:bidi="ar"/>
                    </w:rPr>
                    <w:t>25</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套</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25</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病人接口组件（压平镜）</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IntralasePatientInterface</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个</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26</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一次性眼科手术刀3.0</w:t>
                  </w:r>
                  <w:r>
                    <w:rPr>
                      <w:rFonts w:hint="eastAsia" w:cs="Times New Roman" w:eastAsiaTheme="minorEastAsia"/>
                      <w:i w:val="0"/>
                      <w:iCs w:val="0"/>
                      <w:color w:val="auto"/>
                      <w:kern w:val="0"/>
                      <w:sz w:val="21"/>
                      <w:szCs w:val="21"/>
                      <w:u w:val="none"/>
                      <w:lang w:val="en-US" w:eastAsia="zh-CN" w:bidi="ar"/>
                    </w:rPr>
                    <w:t>×</w:t>
                  </w:r>
                  <w:r>
                    <w:rPr>
                      <w:rFonts w:hint="default" w:ascii="Times New Roman" w:hAnsi="Times New Roman" w:cs="Times New Roman" w:eastAsiaTheme="minorEastAsia"/>
                      <w:i w:val="0"/>
                      <w:iCs w:val="0"/>
                      <w:color w:val="auto"/>
                      <w:kern w:val="0"/>
                      <w:sz w:val="21"/>
                      <w:szCs w:val="21"/>
                      <w:u w:val="none"/>
                      <w:lang w:val="en-US" w:eastAsia="zh-CN" w:bidi="ar"/>
                    </w:rPr>
                    <w:t>45°</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3.0</w:t>
                  </w:r>
                  <w:r>
                    <w:rPr>
                      <w:rFonts w:hint="eastAsia" w:cs="Times New Roman" w:eastAsiaTheme="minorEastAsia"/>
                      <w:i w:val="0"/>
                      <w:iCs w:val="0"/>
                      <w:color w:val="auto"/>
                      <w:kern w:val="0"/>
                      <w:sz w:val="21"/>
                      <w:szCs w:val="21"/>
                      <w:u w:val="none"/>
                      <w:lang w:val="en-US" w:eastAsia="zh-CN" w:bidi="ar"/>
                    </w:rPr>
                    <w:t>×</w:t>
                  </w:r>
                  <w:r>
                    <w:rPr>
                      <w:rFonts w:hint="default" w:ascii="Times New Roman" w:hAnsi="Times New Roman" w:cs="Times New Roman" w:eastAsiaTheme="minorEastAsia"/>
                      <w:i w:val="0"/>
                      <w:iCs w:val="0"/>
                      <w:color w:val="auto"/>
                      <w:kern w:val="0"/>
                      <w:sz w:val="21"/>
                      <w:szCs w:val="21"/>
                      <w:u w:val="none"/>
                      <w:lang w:val="en-US" w:eastAsia="zh-CN" w:bidi="ar"/>
                    </w:rPr>
                    <w:t>45°</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把</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27</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眼科专用手术薄膜</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SY1814-Y</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张</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rPr>
                  </w:pPr>
                  <w:r>
                    <w:rPr>
                      <w:rFonts w:hint="eastAsia" w:ascii="Times New Roman" w:hAnsi="Times New Roman" w:cs="Times New Roman" w:eastAsiaTheme="minorEastAsia"/>
                      <w:i w:val="0"/>
                      <w:iCs w:val="0"/>
                      <w:color w:val="auto"/>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80"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28</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一次性无菌冲洗针头（平头）</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0.45</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支</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1175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29</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医用脱脂纱布块</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80mm</w:t>
                  </w:r>
                  <w:r>
                    <w:rPr>
                      <w:rFonts w:hint="eastAsia" w:cs="Times New Roman" w:eastAsiaTheme="minorEastAsia"/>
                      <w:i w:val="0"/>
                      <w:iCs w:val="0"/>
                      <w:color w:val="auto"/>
                      <w:kern w:val="0"/>
                      <w:sz w:val="21"/>
                      <w:szCs w:val="21"/>
                      <w:u w:val="none"/>
                      <w:lang w:val="en-US" w:eastAsia="zh-CN" w:bidi="ar"/>
                    </w:rPr>
                    <w:t>×</w:t>
                  </w:r>
                  <w:r>
                    <w:rPr>
                      <w:rFonts w:hint="default" w:ascii="Times New Roman" w:hAnsi="Times New Roman" w:cs="Times New Roman" w:eastAsiaTheme="minorEastAsia"/>
                      <w:i w:val="0"/>
                      <w:iCs w:val="0"/>
                      <w:color w:val="auto"/>
                      <w:kern w:val="0"/>
                      <w:sz w:val="21"/>
                      <w:szCs w:val="21"/>
                      <w:u w:val="none"/>
                      <w:lang w:val="en-US" w:eastAsia="zh-CN" w:bidi="ar"/>
                    </w:rPr>
                    <w:t>100mm</w:t>
                  </w:r>
                  <w:r>
                    <w:rPr>
                      <w:rFonts w:hint="eastAsia" w:cs="Times New Roman" w:eastAsiaTheme="minorEastAsia"/>
                      <w:i w:val="0"/>
                      <w:iCs w:val="0"/>
                      <w:color w:val="auto"/>
                      <w:kern w:val="0"/>
                      <w:sz w:val="21"/>
                      <w:szCs w:val="21"/>
                      <w:u w:val="none"/>
                      <w:lang w:val="en-US" w:eastAsia="zh-CN" w:bidi="ar"/>
                    </w:rPr>
                    <w:t>×</w:t>
                  </w:r>
                  <w:r>
                    <w:rPr>
                      <w:rFonts w:hint="default" w:ascii="Times New Roman" w:hAnsi="Times New Roman" w:cs="Times New Roman" w:eastAsiaTheme="minorEastAsia"/>
                      <w:i w:val="0"/>
                      <w:iCs w:val="0"/>
                      <w:color w:val="auto"/>
                      <w:kern w:val="0"/>
                      <w:sz w:val="21"/>
                      <w:szCs w:val="21"/>
                      <w:u w:val="none"/>
                      <w:lang w:val="en-US" w:eastAsia="zh-CN" w:bidi="ar"/>
                    </w:rPr>
                    <w:t>8</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块</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1019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30</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一次性眼科手术刀15°</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15°</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把</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31</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一次性使用无菌治疗包（负压环）</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小号(SMILE)</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个</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20"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32</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医用擦手纸</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I型17.5cm</w:t>
                  </w:r>
                  <w:r>
                    <w:rPr>
                      <w:rFonts w:hint="eastAsia" w:cs="Times New Roman" w:eastAsiaTheme="minorEastAsia"/>
                      <w:i w:val="0"/>
                      <w:iCs w:val="0"/>
                      <w:color w:val="auto"/>
                      <w:kern w:val="0"/>
                      <w:sz w:val="21"/>
                      <w:szCs w:val="21"/>
                      <w:u w:val="none"/>
                      <w:lang w:val="en-US" w:eastAsia="zh-CN" w:bidi="ar"/>
                    </w:rPr>
                    <w:t>×</w:t>
                  </w:r>
                  <w:r>
                    <w:rPr>
                      <w:rFonts w:hint="default" w:ascii="Times New Roman" w:hAnsi="Times New Roman" w:cs="Times New Roman" w:eastAsiaTheme="minorEastAsia"/>
                      <w:i w:val="0"/>
                      <w:iCs w:val="0"/>
                      <w:color w:val="auto"/>
                      <w:kern w:val="0"/>
                      <w:sz w:val="21"/>
                      <w:szCs w:val="21"/>
                      <w:u w:val="none"/>
                      <w:lang w:val="en-US" w:eastAsia="zh-CN" w:bidi="ar"/>
                    </w:rPr>
                    <w:t>15cm-4p</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袋</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275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33</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一次性医用中单100</w:t>
                  </w:r>
                  <w:r>
                    <w:rPr>
                      <w:rFonts w:hint="eastAsia" w:cs="Times New Roman" w:eastAsiaTheme="minorEastAsia"/>
                      <w:i w:val="0"/>
                      <w:iCs w:val="0"/>
                      <w:color w:val="auto"/>
                      <w:kern w:val="0"/>
                      <w:sz w:val="21"/>
                      <w:szCs w:val="21"/>
                      <w:u w:val="none"/>
                      <w:lang w:val="en-US" w:eastAsia="zh-CN" w:bidi="ar"/>
                    </w:rPr>
                    <w:t>×</w:t>
                  </w:r>
                  <w:r>
                    <w:rPr>
                      <w:rFonts w:hint="default" w:ascii="Times New Roman" w:hAnsi="Times New Roman" w:cs="Times New Roman" w:eastAsiaTheme="minorEastAsia"/>
                      <w:i w:val="0"/>
                      <w:iCs w:val="0"/>
                      <w:color w:val="auto"/>
                      <w:kern w:val="0"/>
                      <w:sz w:val="21"/>
                      <w:szCs w:val="21"/>
                      <w:u w:val="none"/>
                      <w:lang w:val="en-US" w:eastAsia="zh-CN" w:bidi="ar"/>
                    </w:rPr>
                    <w:t>200mm</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100</w:t>
                  </w:r>
                  <w:r>
                    <w:rPr>
                      <w:rFonts w:hint="eastAsia" w:cs="Times New Roman" w:eastAsiaTheme="minorEastAsia"/>
                      <w:i w:val="0"/>
                      <w:iCs w:val="0"/>
                      <w:color w:val="auto"/>
                      <w:kern w:val="0"/>
                      <w:sz w:val="21"/>
                      <w:szCs w:val="21"/>
                      <w:u w:val="none"/>
                      <w:lang w:val="en-US" w:eastAsia="zh-CN" w:bidi="ar"/>
                    </w:rPr>
                    <w:t>×</w:t>
                  </w:r>
                  <w:r>
                    <w:rPr>
                      <w:rFonts w:hint="default" w:ascii="Times New Roman" w:hAnsi="Times New Roman" w:cs="Times New Roman" w:eastAsiaTheme="minorEastAsia"/>
                      <w:i w:val="0"/>
                      <w:iCs w:val="0"/>
                      <w:color w:val="auto"/>
                      <w:kern w:val="0"/>
                      <w:sz w:val="21"/>
                      <w:szCs w:val="21"/>
                      <w:u w:val="none"/>
                      <w:lang w:val="en-US" w:eastAsia="zh-CN" w:bidi="ar"/>
                    </w:rPr>
                    <w:t>200</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条</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333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34</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一次性识别手腕带</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100个/盒</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个</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rPr>
                  </w:pPr>
                  <w:r>
                    <w:rPr>
                      <w:rFonts w:hint="default" w:ascii="Times New Roman" w:hAnsi="Times New Roman" w:cs="Times New Roman" w:eastAsiaTheme="minorEastAsia"/>
                      <w:i w:val="0"/>
                      <w:iCs w:val="0"/>
                      <w:color w:val="auto"/>
                      <w:kern w:val="0"/>
                      <w:sz w:val="21"/>
                      <w:szCs w:val="21"/>
                      <w:u w:val="none"/>
                      <w:lang w:val="en-US" w:eastAsia="zh-CN" w:bidi="ar"/>
                    </w:rPr>
                    <w:t>100</w:t>
                  </w:r>
                  <w:r>
                    <w:rPr>
                      <w:rFonts w:hint="eastAsia" w:ascii="Times New Roman" w:hAnsi="Times New Roman" w:cs="Times New Roman" w:eastAsiaTheme="minorEastAsia"/>
                      <w:i w:val="0"/>
                      <w:iCs w:val="0"/>
                      <w:color w:val="auto"/>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35</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一次性洗手衣（患者）</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中号</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个</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1326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36</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软性角膜接触镜（绷带镜 强生）</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8.8</w:t>
                  </w:r>
                  <w:r>
                    <w:rPr>
                      <w:rFonts w:hint="eastAsia" w:cs="Times New Roman" w:eastAsiaTheme="minorEastAsia"/>
                      <w:i w:val="0"/>
                      <w:iCs w:val="0"/>
                      <w:color w:val="auto"/>
                      <w:kern w:val="0"/>
                      <w:sz w:val="21"/>
                      <w:szCs w:val="21"/>
                      <w:u w:val="none"/>
                      <w:lang w:val="en-US" w:eastAsia="zh-CN" w:bidi="ar"/>
                    </w:rPr>
                    <w:t>×</w:t>
                  </w:r>
                  <w:r>
                    <w:rPr>
                      <w:rFonts w:hint="default" w:ascii="Times New Roman" w:hAnsi="Times New Roman" w:cs="Times New Roman" w:eastAsiaTheme="minorEastAsia"/>
                      <w:i w:val="0"/>
                      <w:iCs w:val="0"/>
                      <w:color w:val="auto"/>
                      <w:kern w:val="0"/>
                      <w:sz w:val="21"/>
                      <w:szCs w:val="21"/>
                      <w:u w:val="none"/>
                      <w:lang w:val="en-US" w:eastAsia="zh-CN" w:bidi="ar"/>
                    </w:rPr>
                    <w:t>1片</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盒</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122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37</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一次性使用眼科手术包（白内障）</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KE-207A3</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个</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38</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一次性使用无菌眼科手术包（TPY-JB2）</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TPY-JB2</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枚</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950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ascii="Times New Roman" w:hAnsi="Times New Roman" w:cs="Times New Roman" w:eastAsiaTheme="minorEastAsia"/>
                      <w:i w:val="0"/>
                      <w:iCs w:val="0"/>
                      <w:color w:val="auto"/>
                      <w:sz w:val="21"/>
                      <w:szCs w:val="21"/>
                      <w:u w:val="none"/>
                      <w:lang w:val="en-US" w:eastAsia="zh-CN"/>
                    </w:rPr>
                    <w:t>39</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利尔康75%酒精</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500ml</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瓶</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142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b/>
                      <w:bCs/>
                      <w:i w:val="0"/>
                      <w:iCs w:val="0"/>
                      <w:color w:val="auto"/>
                      <w:kern w:val="0"/>
                      <w:sz w:val="21"/>
                      <w:szCs w:val="21"/>
                      <w:u w:val="none"/>
                      <w:lang w:val="en-US" w:eastAsia="zh-CN" w:bidi="ar"/>
                    </w:rPr>
                    <w:t>检验科室医疗用品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cs="Times New Roman" w:eastAsiaTheme="minorEastAsia"/>
                      <w:i w:val="0"/>
                      <w:iCs w:val="0"/>
                      <w:color w:val="auto"/>
                      <w:sz w:val="21"/>
                      <w:szCs w:val="21"/>
                      <w:u w:val="none"/>
                      <w:lang w:val="en-US" w:eastAsia="zh-CN"/>
                    </w:rPr>
                    <w:t>1</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ascii="宋体" w:hAnsi="宋体" w:eastAsia="宋体"/>
                      <w:color w:val="auto"/>
                      <w:sz w:val="21"/>
                      <w:szCs w:val="24"/>
                    </w:rPr>
                    <w:t>血液分析仪用稀释液</w:t>
                  </w:r>
                  <w:r>
                    <w:rPr>
                      <w:rFonts w:hint="eastAsia" w:ascii="TimesNewRomanPSMT" w:hAnsi="TimesNewRomanPSMT" w:eastAsia="TimesNewRomanPSMT"/>
                      <w:color w:val="auto"/>
                      <w:sz w:val="21"/>
                      <w:szCs w:val="24"/>
                    </w:rPr>
                    <w:t>EPK</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ascii="Times New Roman" w:hAnsi="Times New Roman" w:cs="Times New Roman" w:eastAsiaTheme="minorEastAsia"/>
                      <w:i w:val="0"/>
                      <w:iCs w:val="0"/>
                      <w:color w:val="auto"/>
                      <w:kern w:val="0"/>
                      <w:sz w:val="21"/>
                      <w:szCs w:val="21"/>
                      <w:u w:val="none"/>
                      <w:lang w:val="en-US" w:eastAsia="zh-CN" w:bidi="ar"/>
                    </w:rPr>
                    <w:t>30L</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箱</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cs="Times New Roman" w:eastAsiaTheme="minorEastAsia"/>
                      <w:i w:val="0"/>
                      <w:iCs w:val="0"/>
                      <w:color w:val="auto"/>
                      <w:sz w:val="21"/>
                      <w:szCs w:val="21"/>
                      <w:u w:val="none"/>
                      <w:lang w:val="en-US" w:eastAsia="zh-CN"/>
                    </w:rPr>
                    <w:t>2</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eastAsia="宋体" w:cs="Times New Roman"/>
                      <w:i w:val="0"/>
                      <w:iCs w:val="0"/>
                      <w:color w:val="auto"/>
                      <w:kern w:val="0"/>
                      <w:sz w:val="21"/>
                      <w:szCs w:val="21"/>
                      <w:u w:val="none"/>
                      <w:lang w:val="en-US" w:eastAsia="zh-CN" w:bidi="ar"/>
                    </w:rPr>
                  </w:pPr>
                  <w:r>
                    <w:rPr>
                      <w:rFonts w:hint="eastAsia" w:ascii="宋体" w:hAnsi="宋体" w:eastAsia="宋体"/>
                      <w:color w:val="auto"/>
                      <w:sz w:val="21"/>
                      <w:szCs w:val="24"/>
                    </w:rPr>
                    <w:t>全自动血液分析仪用溶血剂</w:t>
                  </w:r>
                  <w:r>
                    <w:rPr>
                      <w:rFonts w:hint="eastAsia" w:ascii="宋体" w:hAnsi="宋体" w:eastAsia="宋体"/>
                      <w:color w:val="auto"/>
                      <w:sz w:val="21"/>
                      <w:szCs w:val="24"/>
                      <w:lang w:val="en-US" w:eastAsia="zh-CN"/>
                    </w:rPr>
                    <w:t>FFD</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ascii="Times New Roman" w:hAnsi="Times New Roman" w:cs="Times New Roman" w:eastAsiaTheme="minorEastAsia"/>
                      <w:i w:val="0"/>
                      <w:iCs w:val="0"/>
                      <w:color w:val="auto"/>
                      <w:kern w:val="0"/>
                      <w:sz w:val="21"/>
                      <w:szCs w:val="21"/>
                      <w:u w:val="none"/>
                      <w:lang w:val="en-US" w:eastAsia="zh-CN" w:bidi="ar"/>
                    </w:rPr>
                    <w:t>5L</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箱</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cs="Times New Roman" w:eastAsiaTheme="minorEastAsia"/>
                      <w:i w:val="0"/>
                      <w:iCs w:val="0"/>
                      <w:color w:val="auto"/>
                      <w:sz w:val="21"/>
                      <w:szCs w:val="21"/>
                      <w:u w:val="none"/>
                      <w:lang w:val="en-US" w:eastAsia="zh-CN"/>
                    </w:rPr>
                    <w:t>3</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eastAsia" w:ascii="Times New Roman" w:hAnsi="Times New Roman" w:eastAsia="宋体" w:cs="Times New Roman"/>
                      <w:i w:val="0"/>
                      <w:iCs w:val="0"/>
                      <w:color w:val="auto"/>
                      <w:kern w:val="0"/>
                      <w:sz w:val="21"/>
                      <w:szCs w:val="21"/>
                      <w:u w:val="none"/>
                      <w:lang w:val="en-US" w:eastAsia="zh-CN" w:bidi="ar"/>
                    </w:rPr>
                  </w:pPr>
                  <w:r>
                    <w:rPr>
                      <w:rFonts w:hint="eastAsia" w:ascii="宋体" w:hAnsi="宋体" w:eastAsia="宋体"/>
                      <w:color w:val="auto"/>
                      <w:sz w:val="21"/>
                      <w:szCs w:val="24"/>
                    </w:rPr>
                    <w:t>糖化血红蛋白试剂</w:t>
                  </w:r>
                  <w:r>
                    <w:rPr>
                      <w:rFonts w:hint="eastAsia" w:ascii="宋体" w:hAnsi="宋体" w:eastAsia="宋体"/>
                      <w:color w:val="auto"/>
                      <w:sz w:val="21"/>
                      <w:szCs w:val="24"/>
                      <w:lang w:eastAsia="zh-CN"/>
                    </w:rPr>
                    <w:t>盒</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ascii="Times New Roman" w:hAnsi="Times New Roman" w:cs="Times New Roman" w:eastAsiaTheme="minorEastAsia"/>
                      <w:i w:val="0"/>
                      <w:iCs w:val="0"/>
                      <w:color w:val="auto"/>
                      <w:kern w:val="0"/>
                      <w:sz w:val="21"/>
                      <w:szCs w:val="21"/>
                      <w:u w:val="none"/>
                      <w:lang w:val="en-US" w:eastAsia="zh-CN" w:bidi="ar"/>
                    </w:rPr>
                    <w:t>3.42L</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盒</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cs="Times New Roman" w:eastAsiaTheme="minorEastAsia"/>
                      <w:i w:val="0"/>
                      <w:iCs w:val="0"/>
                      <w:color w:val="auto"/>
                      <w:sz w:val="21"/>
                      <w:szCs w:val="21"/>
                      <w:u w:val="none"/>
                      <w:lang w:val="en-US" w:eastAsia="zh-CN"/>
                    </w:rPr>
                    <w:t>4</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ascii="Times New Roman" w:hAnsi="Times New Roman" w:cs="Times New Roman" w:eastAsiaTheme="minorEastAsia"/>
                      <w:i w:val="0"/>
                      <w:iCs w:val="0"/>
                      <w:color w:val="auto"/>
                      <w:kern w:val="0"/>
                      <w:sz w:val="21"/>
                      <w:szCs w:val="21"/>
                      <w:u w:val="none"/>
                      <w:lang w:val="en-US" w:eastAsia="zh-CN" w:bidi="ar"/>
                    </w:rPr>
                    <w:t>凝血时间（TT）</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ascii="Times New Roman" w:hAnsi="Times New Roman" w:cs="Times New Roman" w:eastAsiaTheme="minorEastAsia"/>
                      <w:i w:val="0"/>
                      <w:iCs w:val="0"/>
                      <w:color w:val="auto"/>
                      <w:kern w:val="0"/>
                      <w:sz w:val="21"/>
                      <w:szCs w:val="21"/>
                      <w:u w:val="none"/>
                      <w:lang w:val="en-US" w:eastAsia="zh-CN" w:bidi="ar"/>
                    </w:rPr>
                    <w:t>5mL</w:t>
                  </w:r>
                  <w:r>
                    <w:rPr>
                      <w:rFonts w:hint="eastAsia" w:ascii="微软雅黑" w:hAnsi="微软雅黑" w:eastAsia="微软雅黑" w:cs="微软雅黑"/>
                      <w:i w:val="0"/>
                      <w:iCs w:val="0"/>
                      <w:color w:val="auto"/>
                      <w:kern w:val="0"/>
                      <w:sz w:val="21"/>
                      <w:szCs w:val="21"/>
                      <w:u w:val="none"/>
                      <w:lang w:val="en-US" w:eastAsia="zh-CN" w:bidi="ar"/>
                    </w:rPr>
                    <w:t>×</w:t>
                  </w:r>
                  <w:r>
                    <w:rPr>
                      <w:rFonts w:hint="eastAsia" w:ascii="Times New Roman" w:hAnsi="Times New Roman" w:cs="Times New Roman" w:eastAsiaTheme="minorEastAsia"/>
                      <w:i w:val="0"/>
                      <w:iCs w:val="0"/>
                      <w:color w:val="auto"/>
                      <w:kern w:val="0"/>
                      <w:sz w:val="21"/>
                      <w:szCs w:val="21"/>
                      <w:u w:val="none"/>
                      <w:lang w:val="en-US" w:eastAsia="zh-CN" w:bidi="ar"/>
                    </w:rPr>
                    <w:t>10</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盒</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cs="Times New Roman" w:eastAsiaTheme="minorEastAsia"/>
                      <w:i w:val="0"/>
                      <w:iCs w:val="0"/>
                      <w:color w:val="auto"/>
                      <w:sz w:val="21"/>
                      <w:szCs w:val="21"/>
                      <w:u w:val="none"/>
                      <w:lang w:val="en-US" w:eastAsia="zh-CN"/>
                    </w:rPr>
                    <w:t>5</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ascii="Times New Roman" w:hAnsi="Times New Roman" w:cs="Times New Roman" w:eastAsiaTheme="minorEastAsia"/>
                      <w:i w:val="0"/>
                      <w:iCs w:val="0"/>
                      <w:color w:val="auto"/>
                      <w:kern w:val="0"/>
                      <w:sz w:val="21"/>
                      <w:szCs w:val="21"/>
                      <w:u w:val="none"/>
                      <w:lang w:val="en-US" w:eastAsia="zh-CN" w:bidi="ar"/>
                    </w:rPr>
                    <w:t>凝血酶原时间（PT）</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ascii="Times New Roman" w:hAnsi="Times New Roman" w:cs="Times New Roman" w:eastAsiaTheme="minorEastAsia"/>
                      <w:i w:val="0"/>
                      <w:iCs w:val="0"/>
                      <w:color w:val="auto"/>
                      <w:kern w:val="0"/>
                      <w:sz w:val="21"/>
                      <w:szCs w:val="21"/>
                      <w:u w:val="none"/>
                      <w:lang w:val="en-US" w:eastAsia="zh-CN" w:bidi="ar"/>
                    </w:rPr>
                    <w:t>4mL</w:t>
                  </w:r>
                  <w:r>
                    <w:rPr>
                      <w:rFonts w:hint="eastAsia" w:ascii="微软雅黑" w:hAnsi="微软雅黑" w:eastAsia="微软雅黑" w:cs="微软雅黑"/>
                      <w:i w:val="0"/>
                      <w:iCs w:val="0"/>
                      <w:color w:val="auto"/>
                      <w:kern w:val="0"/>
                      <w:sz w:val="21"/>
                      <w:szCs w:val="21"/>
                      <w:u w:val="none"/>
                      <w:lang w:val="en-US" w:eastAsia="zh-CN" w:bidi="ar"/>
                    </w:rPr>
                    <w:t>×</w:t>
                  </w:r>
                  <w:r>
                    <w:rPr>
                      <w:rFonts w:hint="eastAsia" w:ascii="Times New Roman" w:hAnsi="Times New Roman" w:cs="Times New Roman" w:eastAsiaTheme="minorEastAsia"/>
                      <w:i w:val="0"/>
                      <w:iCs w:val="0"/>
                      <w:color w:val="auto"/>
                      <w:kern w:val="0"/>
                      <w:sz w:val="21"/>
                      <w:szCs w:val="21"/>
                      <w:u w:val="none"/>
                      <w:lang w:val="en-US" w:eastAsia="zh-CN" w:bidi="ar"/>
                    </w:rPr>
                    <w:t>10</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盒</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cs="Times New Roman" w:eastAsiaTheme="minorEastAsia"/>
                      <w:i w:val="0"/>
                      <w:iCs w:val="0"/>
                      <w:color w:val="auto"/>
                      <w:sz w:val="21"/>
                      <w:szCs w:val="21"/>
                      <w:u w:val="none"/>
                      <w:lang w:val="en-US" w:eastAsia="zh-CN"/>
                    </w:rPr>
                    <w:t>6</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ascii="Times New Roman" w:hAnsi="Times New Roman" w:cs="Times New Roman" w:eastAsiaTheme="minorEastAsia"/>
                      <w:i w:val="0"/>
                      <w:iCs w:val="0"/>
                      <w:color w:val="auto"/>
                      <w:kern w:val="0"/>
                      <w:sz w:val="21"/>
                      <w:szCs w:val="21"/>
                      <w:u w:val="none"/>
                      <w:lang w:val="en-US" w:eastAsia="zh-CN" w:bidi="ar"/>
                    </w:rPr>
                    <w:t>APTT活化部分凝血活酶时间</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eastAsia" w:ascii="Times New Roman" w:hAnsi="Times New Roman" w:cs="Times New Roman" w:eastAsiaTheme="minorEastAsia"/>
                      <w:i w:val="0"/>
                      <w:iCs w:val="0"/>
                      <w:color w:val="auto"/>
                      <w:kern w:val="0"/>
                      <w:sz w:val="21"/>
                      <w:szCs w:val="21"/>
                      <w:u w:val="none"/>
                      <w:lang w:val="en-US" w:eastAsia="zh-CN" w:bidi="ar"/>
                    </w:rPr>
                  </w:pPr>
                  <w:r>
                    <w:rPr>
                      <w:rFonts w:hint="eastAsia" w:ascii="Times New Roman" w:hAnsi="Times New Roman" w:cs="Times New Roman" w:eastAsiaTheme="minorEastAsia"/>
                      <w:i w:val="0"/>
                      <w:iCs w:val="0"/>
                      <w:color w:val="auto"/>
                      <w:kern w:val="0"/>
                      <w:sz w:val="21"/>
                      <w:szCs w:val="21"/>
                      <w:u w:val="none"/>
                      <w:lang w:val="en-US" w:eastAsia="zh-CN" w:bidi="ar"/>
                    </w:rPr>
                    <w:t>4mL</w:t>
                  </w:r>
                  <w:r>
                    <w:rPr>
                      <w:rFonts w:hint="eastAsia" w:ascii="微软雅黑" w:hAnsi="微软雅黑" w:eastAsia="微软雅黑" w:cs="微软雅黑"/>
                      <w:i w:val="0"/>
                      <w:iCs w:val="0"/>
                      <w:color w:val="auto"/>
                      <w:kern w:val="0"/>
                      <w:sz w:val="21"/>
                      <w:szCs w:val="21"/>
                      <w:u w:val="none"/>
                      <w:lang w:val="en-US" w:eastAsia="zh-CN" w:bidi="ar"/>
                    </w:rPr>
                    <w:t>×</w:t>
                  </w:r>
                  <w:r>
                    <w:rPr>
                      <w:rFonts w:hint="eastAsia" w:ascii="Times New Roman" w:hAnsi="Times New Roman" w:cs="Times New Roman" w:eastAsiaTheme="minorEastAsia"/>
                      <w:i w:val="0"/>
                      <w:iCs w:val="0"/>
                      <w:color w:val="auto"/>
                      <w:kern w:val="0"/>
                      <w:sz w:val="21"/>
                      <w:szCs w:val="21"/>
                      <w:u w:val="none"/>
                      <w:lang w:val="en-US" w:eastAsia="zh-CN" w:bidi="ar"/>
                    </w:rPr>
                    <w:t>10</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盒</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cs="Times New Roman" w:eastAsiaTheme="minorEastAsia"/>
                      <w:i w:val="0"/>
                      <w:iCs w:val="0"/>
                      <w:color w:val="auto"/>
                      <w:sz w:val="21"/>
                      <w:szCs w:val="21"/>
                      <w:u w:val="none"/>
                      <w:lang w:val="en-US" w:eastAsia="zh-CN"/>
                    </w:rPr>
                    <w:t>7</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ascii="Times New Roman" w:hAnsi="Times New Roman" w:cs="Times New Roman" w:eastAsiaTheme="minorEastAsia"/>
                      <w:i w:val="0"/>
                      <w:iCs w:val="0"/>
                      <w:color w:val="auto"/>
                      <w:kern w:val="0"/>
                      <w:sz w:val="21"/>
                      <w:szCs w:val="21"/>
                      <w:u w:val="none"/>
                      <w:lang w:val="en-US" w:eastAsia="zh-CN" w:bidi="ar"/>
                    </w:rPr>
                    <w:t>FIB纤维蛋白原</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eastAsia" w:ascii="Times New Roman" w:hAnsi="Times New Roman" w:cs="Times New Roman" w:eastAsiaTheme="minorEastAsia"/>
                      <w:i w:val="0"/>
                      <w:iCs w:val="0"/>
                      <w:color w:val="auto"/>
                      <w:kern w:val="0"/>
                      <w:sz w:val="21"/>
                      <w:szCs w:val="21"/>
                      <w:u w:val="none"/>
                      <w:lang w:val="en-US" w:eastAsia="zh-CN" w:bidi="ar"/>
                    </w:rPr>
                  </w:pPr>
                  <w:r>
                    <w:rPr>
                      <w:rFonts w:hint="eastAsia" w:ascii="Times New Roman" w:hAnsi="Times New Roman" w:cs="Times New Roman" w:eastAsiaTheme="minorEastAsia"/>
                      <w:i w:val="0"/>
                      <w:iCs w:val="0"/>
                      <w:color w:val="auto"/>
                      <w:kern w:val="0"/>
                      <w:sz w:val="21"/>
                      <w:szCs w:val="21"/>
                      <w:u w:val="none"/>
                      <w:lang w:val="en-US" w:eastAsia="zh-CN" w:bidi="ar"/>
                    </w:rPr>
                    <w:t>2mL</w:t>
                  </w:r>
                  <w:r>
                    <w:rPr>
                      <w:rFonts w:hint="eastAsia" w:ascii="微软雅黑" w:hAnsi="微软雅黑" w:eastAsia="微软雅黑" w:cs="微软雅黑"/>
                      <w:i w:val="0"/>
                      <w:iCs w:val="0"/>
                      <w:color w:val="auto"/>
                      <w:kern w:val="0"/>
                      <w:sz w:val="21"/>
                      <w:szCs w:val="21"/>
                      <w:u w:val="none"/>
                      <w:lang w:val="en-US" w:eastAsia="zh-CN" w:bidi="ar"/>
                    </w:rPr>
                    <w:t>×</w:t>
                  </w:r>
                  <w:r>
                    <w:rPr>
                      <w:rFonts w:hint="eastAsia" w:ascii="Times New Roman" w:hAnsi="Times New Roman" w:cs="Times New Roman" w:eastAsiaTheme="minorEastAsia"/>
                      <w:i w:val="0"/>
                      <w:iCs w:val="0"/>
                      <w:color w:val="auto"/>
                      <w:kern w:val="0"/>
                      <w:sz w:val="21"/>
                      <w:szCs w:val="21"/>
                      <w:u w:val="none"/>
                      <w:lang w:val="en-US" w:eastAsia="zh-CN" w:bidi="ar"/>
                    </w:rPr>
                    <w:t>5</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盒</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cs="Times New Roman" w:eastAsiaTheme="minorEastAsia"/>
                      <w:i w:val="0"/>
                      <w:iCs w:val="0"/>
                      <w:color w:val="auto"/>
                      <w:sz w:val="21"/>
                      <w:szCs w:val="21"/>
                      <w:u w:val="none"/>
                      <w:lang w:val="en-US" w:eastAsia="zh-CN"/>
                    </w:rPr>
                    <w:t>8</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eastAsia" w:ascii="Times New Roman" w:hAnsi="Times New Roman" w:cs="Times New Roman" w:eastAsiaTheme="minorEastAsia"/>
                      <w:i w:val="0"/>
                      <w:iCs w:val="0"/>
                      <w:color w:val="auto"/>
                      <w:kern w:val="0"/>
                      <w:sz w:val="21"/>
                      <w:szCs w:val="21"/>
                      <w:u w:val="none"/>
                      <w:lang w:val="en-US" w:eastAsia="zh-CN" w:bidi="ar"/>
                    </w:rPr>
                  </w:pPr>
                  <w:r>
                    <w:rPr>
                      <w:rFonts w:hint="eastAsia" w:ascii="Times New Roman" w:hAnsi="Times New Roman" w:cs="Times New Roman" w:eastAsiaTheme="minorEastAsia"/>
                      <w:i w:val="0"/>
                      <w:iCs w:val="0"/>
                      <w:color w:val="auto"/>
                      <w:kern w:val="0"/>
                      <w:sz w:val="21"/>
                      <w:szCs w:val="21"/>
                      <w:u w:val="none"/>
                      <w:lang w:val="en-US" w:eastAsia="zh-CN" w:bidi="ar"/>
                    </w:rPr>
                    <w:t>丙肝抗体（金标）</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eastAsia" w:ascii="Times New Roman" w:hAnsi="Times New Roman" w:cs="Times New Roman" w:eastAsiaTheme="minorEastAsia"/>
                      <w:i w:val="0"/>
                      <w:iCs w:val="0"/>
                      <w:color w:val="auto"/>
                      <w:kern w:val="0"/>
                      <w:sz w:val="21"/>
                      <w:szCs w:val="21"/>
                      <w:u w:val="none"/>
                      <w:lang w:val="en-US" w:eastAsia="zh-CN" w:bidi="ar"/>
                    </w:rPr>
                  </w:pPr>
                  <w:r>
                    <w:rPr>
                      <w:rFonts w:hint="eastAsia" w:ascii="Times New Roman" w:hAnsi="Times New Roman" w:cs="Times New Roman" w:eastAsiaTheme="minorEastAsia"/>
                      <w:i w:val="0"/>
                      <w:iCs w:val="0"/>
                      <w:color w:val="auto"/>
                      <w:kern w:val="0"/>
                      <w:sz w:val="21"/>
                      <w:szCs w:val="21"/>
                      <w:u w:val="none"/>
                      <w:lang w:val="en-US" w:eastAsia="zh-CN" w:bidi="ar"/>
                    </w:rPr>
                    <w:t>40/测试</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盒</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cs="Times New Roman" w:eastAsiaTheme="minorEastAsia"/>
                      <w:i w:val="0"/>
                      <w:iCs w:val="0"/>
                      <w:color w:val="auto"/>
                      <w:sz w:val="21"/>
                      <w:szCs w:val="21"/>
                      <w:u w:val="none"/>
                      <w:lang w:val="en-US" w:eastAsia="zh-CN"/>
                    </w:rPr>
                    <w:t>9</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eastAsia" w:ascii="Times New Roman" w:hAnsi="Times New Roman" w:cs="Times New Roman" w:eastAsiaTheme="minorEastAsia"/>
                      <w:i w:val="0"/>
                      <w:iCs w:val="0"/>
                      <w:color w:val="auto"/>
                      <w:kern w:val="0"/>
                      <w:sz w:val="21"/>
                      <w:szCs w:val="21"/>
                      <w:u w:val="none"/>
                      <w:lang w:val="en-US" w:eastAsia="zh-CN" w:bidi="ar"/>
                    </w:rPr>
                  </w:pPr>
                  <w:r>
                    <w:rPr>
                      <w:rFonts w:hint="eastAsia" w:ascii="Times New Roman" w:hAnsi="Times New Roman" w:cs="Times New Roman" w:eastAsiaTheme="minorEastAsia"/>
                      <w:i w:val="0"/>
                      <w:iCs w:val="0"/>
                      <w:color w:val="auto"/>
                      <w:kern w:val="0"/>
                      <w:sz w:val="21"/>
                      <w:szCs w:val="21"/>
                      <w:u w:val="none"/>
                      <w:lang w:val="en-US" w:eastAsia="zh-CN" w:bidi="ar"/>
                    </w:rPr>
                    <w:t>艾滋病抗体（金标）</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eastAsia" w:ascii="Times New Roman" w:hAnsi="Times New Roman" w:cs="Times New Roman" w:eastAsiaTheme="minorEastAsia"/>
                      <w:i w:val="0"/>
                      <w:iCs w:val="0"/>
                      <w:color w:val="auto"/>
                      <w:kern w:val="0"/>
                      <w:sz w:val="21"/>
                      <w:szCs w:val="21"/>
                      <w:u w:val="none"/>
                      <w:lang w:val="en-US" w:eastAsia="zh-CN" w:bidi="ar"/>
                    </w:rPr>
                  </w:pPr>
                  <w:r>
                    <w:rPr>
                      <w:rFonts w:hint="eastAsia" w:ascii="Times New Roman" w:hAnsi="Times New Roman" w:cs="Times New Roman" w:eastAsiaTheme="minorEastAsia"/>
                      <w:i w:val="0"/>
                      <w:iCs w:val="0"/>
                      <w:color w:val="auto"/>
                      <w:kern w:val="0"/>
                      <w:sz w:val="21"/>
                      <w:szCs w:val="21"/>
                      <w:u w:val="none"/>
                      <w:lang w:val="en-US" w:eastAsia="zh-CN" w:bidi="ar"/>
                    </w:rPr>
                    <w:t>50/测试</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盒</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cs="Times New Roman" w:eastAsiaTheme="minorEastAsia"/>
                      <w:i w:val="0"/>
                      <w:iCs w:val="0"/>
                      <w:color w:val="auto"/>
                      <w:sz w:val="21"/>
                      <w:szCs w:val="21"/>
                      <w:u w:val="none"/>
                      <w:lang w:val="en-US" w:eastAsia="zh-CN"/>
                    </w:rPr>
                    <w:t>10</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eastAsia" w:ascii="Times New Roman" w:hAnsi="Times New Roman" w:cs="Times New Roman" w:eastAsiaTheme="minorEastAsia"/>
                      <w:i w:val="0"/>
                      <w:iCs w:val="0"/>
                      <w:color w:val="auto"/>
                      <w:kern w:val="0"/>
                      <w:sz w:val="21"/>
                      <w:szCs w:val="21"/>
                      <w:u w:val="none"/>
                      <w:lang w:val="en-US" w:eastAsia="zh-CN" w:bidi="ar"/>
                    </w:rPr>
                  </w:pPr>
                  <w:r>
                    <w:rPr>
                      <w:rFonts w:hint="eastAsia" w:ascii="Times New Roman" w:hAnsi="Times New Roman" w:cs="Times New Roman" w:eastAsiaTheme="minorEastAsia"/>
                      <w:i w:val="0"/>
                      <w:iCs w:val="0"/>
                      <w:color w:val="auto"/>
                      <w:kern w:val="0"/>
                      <w:sz w:val="21"/>
                      <w:szCs w:val="21"/>
                      <w:u w:val="none"/>
                      <w:lang w:val="en-US" w:eastAsia="zh-CN" w:bidi="ar"/>
                    </w:rPr>
                    <w:t>梅毒螺旋体抗体（金标）</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eastAsia" w:ascii="Times New Roman" w:hAnsi="Times New Roman" w:cs="Times New Roman" w:eastAsiaTheme="minorEastAsia"/>
                      <w:i w:val="0"/>
                      <w:iCs w:val="0"/>
                      <w:color w:val="auto"/>
                      <w:kern w:val="0"/>
                      <w:sz w:val="21"/>
                      <w:szCs w:val="21"/>
                      <w:u w:val="none"/>
                      <w:lang w:val="en-US" w:eastAsia="zh-CN" w:bidi="ar"/>
                    </w:rPr>
                  </w:pPr>
                  <w:r>
                    <w:rPr>
                      <w:rFonts w:hint="eastAsia" w:ascii="Times New Roman" w:hAnsi="Times New Roman" w:cs="Times New Roman" w:eastAsiaTheme="minorEastAsia"/>
                      <w:i w:val="0"/>
                      <w:iCs w:val="0"/>
                      <w:color w:val="auto"/>
                      <w:kern w:val="0"/>
                      <w:sz w:val="21"/>
                      <w:szCs w:val="21"/>
                      <w:u w:val="none"/>
                      <w:lang w:val="en-US" w:eastAsia="zh-CN" w:bidi="ar"/>
                    </w:rPr>
                    <w:t>40/测试</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盒</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cs="Times New Roman" w:eastAsiaTheme="minorEastAsia"/>
                      <w:i w:val="0"/>
                      <w:iCs w:val="0"/>
                      <w:color w:val="auto"/>
                      <w:sz w:val="21"/>
                      <w:szCs w:val="21"/>
                      <w:u w:val="none"/>
                      <w:lang w:val="en-US" w:eastAsia="zh-CN"/>
                    </w:rPr>
                    <w:t>11</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eastAsia" w:ascii="Times New Roman" w:hAnsi="Times New Roman" w:cs="Times New Roman" w:eastAsiaTheme="minorEastAsia"/>
                      <w:i w:val="0"/>
                      <w:iCs w:val="0"/>
                      <w:color w:val="auto"/>
                      <w:kern w:val="0"/>
                      <w:sz w:val="21"/>
                      <w:szCs w:val="21"/>
                      <w:u w:val="none"/>
                      <w:lang w:val="en-US" w:eastAsia="zh-CN" w:bidi="ar"/>
                    </w:rPr>
                  </w:pPr>
                  <w:r>
                    <w:rPr>
                      <w:rFonts w:hint="eastAsia" w:ascii="Times New Roman" w:hAnsi="Times New Roman" w:cs="Times New Roman" w:eastAsiaTheme="minorEastAsia"/>
                      <w:i w:val="0"/>
                      <w:iCs w:val="0"/>
                      <w:color w:val="auto"/>
                      <w:kern w:val="0"/>
                      <w:sz w:val="21"/>
                      <w:szCs w:val="21"/>
                      <w:u w:val="none"/>
                      <w:lang w:val="en-US" w:eastAsia="zh-CN" w:bidi="ar"/>
                    </w:rPr>
                    <w:t>乙肝五项（金标）</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eastAsia" w:ascii="Times New Roman" w:hAnsi="Times New Roman" w:cs="Times New Roman" w:eastAsiaTheme="minorEastAsia"/>
                      <w:i w:val="0"/>
                      <w:iCs w:val="0"/>
                      <w:color w:val="auto"/>
                      <w:kern w:val="0"/>
                      <w:sz w:val="21"/>
                      <w:szCs w:val="21"/>
                      <w:u w:val="none"/>
                      <w:lang w:val="en-US" w:eastAsia="zh-CN" w:bidi="ar"/>
                    </w:rPr>
                  </w:pPr>
                  <w:r>
                    <w:rPr>
                      <w:rFonts w:hint="eastAsia" w:ascii="Times New Roman" w:hAnsi="Times New Roman" w:cs="Times New Roman" w:eastAsiaTheme="minorEastAsia"/>
                      <w:i w:val="0"/>
                      <w:iCs w:val="0"/>
                      <w:color w:val="auto"/>
                      <w:kern w:val="0"/>
                      <w:sz w:val="21"/>
                      <w:szCs w:val="21"/>
                      <w:u w:val="none"/>
                      <w:lang w:val="en-US" w:eastAsia="zh-CN" w:bidi="ar"/>
                    </w:rPr>
                    <w:t>25/测试</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盒</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b/>
                      <w:bCs/>
                      <w:i w:val="0"/>
                      <w:iCs w:val="0"/>
                      <w:color w:val="auto"/>
                      <w:kern w:val="0"/>
                      <w:sz w:val="21"/>
                      <w:szCs w:val="21"/>
                      <w:u w:val="none"/>
                      <w:lang w:val="en-US" w:eastAsia="zh-CN" w:bidi="ar"/>
                    </w:rPr>
                    <w:t>主要能源及其他原辅材料使用情况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cs="Times New Roman" w:eastAsiaTheme="minorEastAsia"/>
                      <w:i w:val="0"/>
                      <w:iCs w:val="0"/>
                      <w:color w:val="auto"/>
                      <w:sz w:val="21"/>
                      <w:szCs w:val="21"/>
                      <w:u w:val="none"/>
                      <w:lang w:val="en-US" w:eastAsia="zh-CN"/>
                    </w:rPr>
                    <w:t>1</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eastAsia"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生物除臭剂</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t/a</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2"/>
                      <w:sz w:val="21"/>
                      <w:szCs w:val="21"/>
                      <w:u w:val="none"/>
                      <w:lang w:val="en-US" w:eastAsia="zh-CN" w:bidi="ar-SA"/>
                    </w:rPr>
                  </w:pPr>
                  <w:r>
                    <w:rPr>
                      <w:rFonts w:hint="eastAsia" w:cs="Times New Roman" w:eastAsiaTheme="minorEastAsia"/>
                      <w:i w:val="0"/>
                      <w:iCs w:val="0"/>
                      <w:color w:val="auto"/>
                      <w:kern w:val="2"/>
                      <w:sz w:val="21"/>
                      <w:szCs w:val="21"/>
                      <w:u w:val="none"/>
                      <w:lang w:val="en-US" w:eastAsia="zh-CN" w:bidi="ar-SA"/>
                    </w:rPr>
                    <w:t>2</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eastAsia" w:ascii="Times New Roman" w:hAnsi="Times New Roman" w:cs="Times New Roman" w:eastAsiaTheme="minorEastAsia"/>
                      <w:i w:val="0"/>
                      <w:iCs w:val="0"/>
                      <w:color w:val="auto"/>
                      <w:kern w:val="0"/>
                      <w:sz w:val="21"/>
                      <w:szCs w:val="21"/>
                      <w:u w:val="none"/>
                      <w:lang w:val="en-US" w:eastAsia="zh-CN" w:bidi="ar"/>
                    </w:rPr>
                  </w:pPr>
                  <w:r>
                    <w:rPr>
                      <w:rFonts w:hint="eastAsia" w:ascii="Times New Roman" w:hAnsi="Times New Roman" w:cs="Times New Roman" w:eastAsiaTheme="minorEastAsia"/>
                      <w:i w:val="0"/>
                      <w:iCs w:val="0"/>
                      <w:color w:val="auto"/>
                      <w:kern w:val="0"/>
                      <w:sz w:val="21"/>
                      <w:szCs w:val="21"/>
                      <w:u w:val="none"/>
                      <w:lang w:val="en-US" w:eastAsia="zh-CN" w:bidi="ar"/>
                    </w:rPr>
                    <w:t>水</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eastAsia" w:ascii="Times New Roman" w:hAnsi="Times New Roman" w:cs="Times New Roman" w:eastAsiaTheme="minorEastAsia"/>
                      <w:i w:val="0"/>
                      <w:iCs w:val="0"/>
                      <w:color w:val="auto"/>
                      <w:kern w:val="0"/>
                      <w:sz w:val="21"/>
                      <w:szCs w:val="21"/>
                      <w:u w:val="none"/>
                      <w:lang w:val="en-US" w:eastAsia="zh-CN" w:bidi="ar"/>
                    </w:rPr>
                  </w:pPr>
                  <w:r>
                    <w:rPr>
                      <w:rFonts w:hint="eastAsia" w:ascii="Times New Roman" w:hAnsi="Times New Roman" w:cs="Times New Roman" w:eastAsiaTheme="minorEastAsia"/>
                      <w:i w:val="0"/>
                      <w:iCs w:val="0"/>
                      <w:color w:val="auto"/>
                      <w:kern w:val="0"/>
                      <w:sz w:val="21"/>
                      <w:szCs w:val="21"/>
                      <w:u w:val="none"/>
                      <w:lang w:val="en-US" w:eastAsia="zh-CN" w:bidi="ar"/>
                    </w:rPr>
                    <w:t>/</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eastAsia" w:ascii="Times New Roman" w:hAnsi="Times New Roman" w:cs="Times New Roman" w:eastAsiaTheme="minorEastAsia"/>
                      <w:i w:val="0"/>
                      <w:iCs w:val="0"/>
                      <w:color w:val="auto"/>
                      <w:kern w:val="0"/>
                      <w:sz w:val="21"/>
                      <w:szCs w:val="21"/>
                      <w:u w:val="none"/>
                      <w:lang w:val="en-US" w:eastAsia="zh-CN" w:bidi="ar"/>
                    </w:rPr>
                  </w:pPr>
                  <w:r>
                    <w:rPr>
                      <w:rFonts w:hint="eastAsia" w:ascii="Times New Roman" w:hAnsi="Times New Roman" w:cs="Times New Roman" w:eastAsiaTheme="minorEastAsia"/>
                      <w:i w:val="0"/>
                      <w:iCs w:val="0"/>
                      <w:color w:val="auto"/>
                      <w:kern w:val="0"/>
                      <w:sz w:val="21"/>
                      <w:szCs w:val="21"/>
                      <w:u w:val="none"/>
                      <w:lang w:val="en-US" w:eastAsia="zh-CN" w:bidi="ar"/>
                    </w:rPr>
                    <w:t>m</w:t>
                  </w:r>
                  <w:r>
                    <w:rPr>
                      <w:rFonts w:hint="eastAsia" w:ascii="Times New Roman" w:hAnsi="Times New Roman" w:cs="Times New Roman" w:eastAsiaTheme="minorEastAsia"/>
                      <w:i w:val="0"/>
                      <w:iCs w:val="0"/>
                      <w:color w:val="auto"/>
                      <w:kern w:val="0"/>
                      <w:sz w:val="21"/>
                      <w:szCs w:val="21"/>
                      <w:u w:val="none"/>
                      <w:vertAlign w:val="superscript"/>
                      <w:lang w:val="en-US" w:eastAsia="zh-CN" w:bidi="ar"/>
                    </w:rPr>
                    <w:t>3</w:t>
                  </w:r>
                  <w:r>
                    <w:rPr>
                      <w:rFonts w:hint="eastAsia" w:ascii="Times New Roman" w:hAnsi="Times New Roman" w:cs="Times New Roman" w:eastAsiaTheme="minorEastAsia"/>
                      <w:i w:val="0"/>
                      <w:iCs w:val="0"/>
                      <w:color w:val="auto"/>
                      <w:kern w:val="0"/>
                      <w:sz w:val="21"/>
                      <w:szCs w:val="21"/>
                      <w:u w:val="none"/>
                      <w:lang w:val="en-US" w:eastAsia="zh-CN" w:bidi="ar"/>
                    </w:rPr>
                    <w:t>/a</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eastAsia"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5178.8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sz w:val="21"/>
                      <w:szCs w:val="21"/>
                      <w:u w:val="none"/>
                      <w:lang w:val="en-US" w:eastAsia="zh-CN"/>
                    </w:rPr>
                  </w:pPr>
                  <w:r>
                    <w:rPr>
                      <w:rFonts w:hint="eastAsia" w:cs="Times New Roman" w:eastAsiaTheme="minorEastAsia"/>
                      <w:i w:val="0"/>
                      <w:iCs w:val="0"/>
                      <w:color w:val="auto"/>
                      <w:sz w:val="21"/>
                      <w:szCs w:val="21"/>
                      <w:u w:val="none"/>
                      <w:lang w:val="en-US" w:eastAsia="zh-CN"/>
                    </w:rPr>
                    <w:t>3</w:t>
                  </w:r>
                </w:p>
              </w:tc>
              <w:tc>
                <w:tcPr>
                  <w:tcW w:w="18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eastAsia" w:ascii="Times New Roman" w:hAnsi="Times New Roman" w:cs="Times New Roman" w:eastAsiaTheme="minorEastAsia"/>
                      <w:i w:val="0"/>
                      <w:iCs w:val="0"/>
                      <w:color w:val="auto"/>
                      <w:kern w:val="0"/>
                      <w:sz w:val="21"/>
                      <w:szCs w:val="21"/>
                      <w:u w:val="none"/>
                      <w:lang w:val="en-US" w:eastAsia="zh-CN" w:bidi="ar"/>
                    </w:rPr>
                  </w:pPr>
                  <w:r>
                    <w:rPr>
                      <w:rFonts w:hint="eastAsia" w:ascii="Times New Roman" w:hAnsi="Times New Roman" w:cs="Times New Roman" w:eastAsiaTheme="minorEastAsia"/>
                      <w:i w:val="0"/>
                      <w:iCs w:val="0"/>
                      <w:color w:val="auto"/>
                      <w:kern w:val="0"/>
                      <w:sz w:val="21"/>
                      <w:szCs w:val="21"/>
                      <w:u w:val="none"/>
                      <w:lang w:val="en-US" w:eastAsia="zh-CN" w:bidi="ar"/>
                    </w:rPr>
                    <w:t>电</w:t>
                  </w:r>
                </w:p>
              </w:tc>
              <w:tc>
                <w:tcPr>
                  <w:tcW w:w="13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ascii="Times New Roman" w:hAnsi="Times New Roman" w:cs="Times New Roman" w:eastAsiaTheme="minorEastAsia"/>
                      <w:i w:val="0"/>
                      <w:iCs w:val="0"/>
                      <w:color w:val="auto"/>
                      <w:kern w:val="0"/>
                      <w:sz w:val="21"/>
                      <w:szCs w:val="21"/>
                      <w:u w:val="none"/>
                      <w:lang w:val="en-US" w:eastAsia="zh-CN" w:bidi="ar"/>
                    </w:rPr>
                    <w:t>/</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ascii="Times New Roman" w:hAnsi="Times New Roman" w:cs="Times New Roman" w:eastAsiaTheme="minorEastAsia"/>
                      <w:i w:val="0"/>
                      <w:iCs w:val="0"/>
                      <w:color w:val="auto"/>
                      <w:kern w:val="0"/>
                      <w:sz w:val="21"/>
                      <w:szCs w:val="21"/>
                      <w:u w:val="none"/>
                      <w:lang w:val="en-US" w:eastAsia="zh-CN" w:bidi="ar"/>
                    </w:rPr>
                    <w:t>kW.h/a</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top"/>
                    <w:rPr>
                      <w:rFonts w:hint="default" w:ascii="Times New Roman" w:hAnsi="Times New Roman" w:cs="Times New Roman" w:eastAsiaTheme="minorEastAsia"/>
                      <w:i w:val="0"/>
                      <w:iCs w:val="0"/>
                      <w:color w:val="auto"/>
                      <w:kern w:val="0"/>
                      <w:sz w:val="21"/>
                      <w:szCs w:val="21"/>
                      <w:u w:val="none"/>
                      <w:lang w:val="en-US" w:eastAsia="zh-CN" w:bidi="ar"/>
                    </w:rPr>
                  </w:pPr>
                  <w:r>
                    <w:rPr>
                      <w:rFonts w:hint="eastAsia" w:cs="Times New Roman" w:eastAsiaTheme="minorEastAsia"/>
                      <w:i w:val="0"/>
                      <w:iCs w:val="0"/>
                      <w:color w:val="auto"/>
                      <w:kern w:val="0"/>
                      <w:sz w:val="21"/>
                      <w:szCs w:val="21"/>
                      <w:u w:val="none"/>
                      <w:lang w:val="en-US" w:eastAsia="zh-CN" w:bidi="ar"/>
                    </w:rPr>
                    <w:t>18万</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Autospacing="0" w:line="360" w:lineRule="auto"/>
              <w:ind w:left="0" w:right="0" w:firstLine="480" w:firstLineChars="200"/>
              <w:jc w:val="left"/>
              <w:textAlignment w:val="auto"/>
              <w:rPr>
                <w:rFonts w:hint="eastAsia" w:ascii="Times New Roman" w:hAnsi="Times New Roman" w:eastAsia="宋体" w:cs="Times New Roman"/>
                <w:i w:val="0"/>
                <w:iCs w:val="0"/>
                <w:caps w:val="0"/>
                <w:color w:val="auto"/>
                <w:spacing w:val="0"/>
                <w:sz w:val="24"/>
                <w:szCs w:val="24"/>
                <w:shd w:val="clear" w:fill="FFFFFF"/>
                <w:lang w:eastAsia="zh-CN"/>
              </w:rPr>
            </w:pPr>
            <w:r>
              <w:rPr>
                <w:rFonts w:hint="default" w:ascii="Times New Roman" w:hAnsi="Times New Roman" w:eastAsia="宋体" w:cs="Times New Roman"/>
                <w:b w:val="0"/>
                <w:bCs w:val="0"/>
                <w:color w:val="auto"/>
                <w:sz w:val="24"/>
                <w:szCs w:val="24"/>
                <w:lang w:eastAsia="zh-CN"/>
              </w:rPr>
              <w:t>酒精：</w:t>
            </w:r>
            <w:r>
              <w:rPr>
                <w:rFonts w:hint="default" w:ascii="Times New Roman" w:hAnsi="Times New Roman" w:eastAsia="宋体" w:cs="Times New Roman"/>
                <w:b w:val="0"/>
                <w:bCs w:val="0"/>
                <w:color w:val="auto"/>
                <w:sz w:val="24"/>
                <w:szCs w:val="24"/>
                <w:lang w:val="en-US" w:eastAsia="zh-CN"/>
              </w:rPr>
              <w:t>透明液体，有酒香味。分子量46.07，相对密度0.789（20℃），熔点-114.1℃，沸点78.3℃，闪点14.0℃，与水混溶，可混溶于乙醚、氯仿、甘油、甲醇等多数有机溶剂。毒理毒性：</w:t>
            </w:r>
            <w:r>
              <w:rPr>
                <w:rFonts w:hint="default" w:ascii="Times New Roman" w:hAnsi="Times New Roman" w:eastAsia="宋体" w:cs="Times New Roman"/>
                <w:i w:val="0"/>
                <w:iCs w:val="0"/>
                <w:caps w:val="0"/>
                <w:color w:val="auto"/>
                <w:spacing w:val="0"/>
                <w:kern w:val="0"/>
                <w:sz w:val="24"/>
                <w:szCs w:val="24"/>
                <w:shd w:val="clear" w:fill="FFFFFF"/>
                <w:lang w:val="en-US" w:eastAsia="zh-CN" w:bidi="ar"/>
              </w:rPr>
              <w:t>吸入：可能刺激呼吸道和黏膜。可能引起危害中枢神经系统的作用，症状包括兴奋、陶醉、头痛、头昏眼花、困倦、视觉模糊、疲劳、战栗、痉挛、丧失意识、昏睡、呼吸停止和死亡。皮肤：轻微刺激。眼睛：暴露于液体、蒸汽、熏烟或雾滴可能引起中度刺激。直接接触可能引起刺激、痛、角膜可能会发炎甚至受到损害。食入：可能引起危害中枢神经系统的作用，症状如</w:t>
            </w:r>
            <w:r>
              <w:rPr>
                <w:rFonts w:hint="eastAsia" w:ascii="Times New Roman" w:hAnsi="Times New Roman" w:eastAsia="宋体" w:cs="Times New Roman"/>
                <w:i w:val="0"/>
                <w:iCs w:val="0"/>
                <w:caps w:val="0"/>
                <w:color w:val="auto"/>
                <w:spacing w:val="0"/>
                <w:kern w:val="0"/>
                <w:sz w:val="24"/>
                <w:szCs w:val="24"/>
                <w:shd w:val="clear" w:fill="FFFFFF"/>
                <w:lang w:val="en-US" w:eastAsia="zh-CN" w:bidi="ar"/>
              </w:rPr>
              <w:t>“</w:t>
            </w:r>
            <w:r>
              <w:rPr>
                <w:rFonts w:hint="default" w:ascii="Times New Roman" w:hAnsi="Times New Roman" w:eastAsia="宋体" w:cs="Times New Roman"/>
                <w:i w:val="0"/>
                <w:iCs w:val="0"/>
                <w:caps w:val="0"/>
                <w:color w:val="auto"/>
                <w:spacing w:val="0"/>
                <w:kern w:val="0"/>
                <w:sz w:val="24"/>
                <w:szCs w:val="24"/>
                <w:shd w:val="clear" w:fill="FFFFFF"/>
                <w:lang w:val="en-US" w:eastAsia="zh-CN" w:bidi="ar"/>
              </w:rPr>
              <w:t>吸入</w:t>
            </w:r>
            <w:r>
              <w:rPr>
                <w:rFonts w:hint="eastAsia" w:ascii="Times New Roman" w:hAnsi="Times New Roman" w:eastAsia="宋体" w:cs="Times New Roman"/>
                <w:i w:val="0"/>
                <w:iCs w:val="0"/>
                <w:caps w:val="0"/>
                <w:color w:val="auto"/>
                <w:spacing w:val="0"/>
                <w:kern w:val="0"/>
                <w:sz w:val="24"/>
                <w:szCs w:val="24"/>
                <w:shd w:val="clear" w:fill="FFFFFF"/>
                <w:lang w:val="en-US" w:eastAsia="zh-CN" w:bidi="ar"/>
              </w:rPr>
              <w:t>”</w:t>
            </w:r>
            <w:r>
              <w:rPr>
                <w:rFonts w:hint="default" w:ascii="Times New Roman" w:hAnsi="Times New Roman" w:eastAsia="宋体" w:cs="Times New Roman"/>
                <w:i w:val="0"/>
                <w:iCs w:val="0"/>
                <w:caps w:val="0"/>
                <w:color w:val="auto"/>
                <w:spacing w:val="0"/>
                <w:kern w:val="0"/>
                <w:sz w:val="24"/>
                <w:szCs w:val="24"/>
                <w:shd w:val="clear" w:fill="FFFFFF"/>
                <w:lang w:val="en-US" w:eastAsia="zh-CN" w:bidi="ar"/>
              </w:rPr>
              <w:t>所列举</w:t>
            </w:r>
            <w:r>
              <w:rPr>
                <w:rFonts w:hint="eastAsia" w:ascii="Times New Roman" w:hAnsi="Times New Roman" w:eastAsia="宋体" w:cs="Times New Roman"/>
                <w:i w:val="0"/>
                <w:iCs w:val="0"/>
                <w:caps w:val="0"/>
                <w:color w:val="auto"/>
                <w:spacing w:val="0"/>
                <w:kern w:val="0"/>
                <w:sz w:val="24"/>
                <w:szCs w:val="24"/>
                <w:shd w:val="clear" w:fill="FFFFFF"/>
                <w:lang w:val="en-US" w:eastAsia="zh-CN" w:bidi="ar"/>
              </w:rPr>
              <w:t>；</w:t>
            </w:r>
            <w:r>
              <w:rPr>
                <w:rFonts w:hint="default" w:ascii="Times New Roman" w:hAnsi="Times New Roman" w:eastAsia="宋体" w:cs="Times New Roman"/>
                <w:i w:val="0"/>
                <w:iCs w:val="0"/>
                <w:caps w:val="0"/>
                <w:color w:val="auto"/>
                <w:spacing w:val="0"/>
                <w:kern w:val="0"/>
                <w:sz w:val="24"/>
                <w:szCs w:val="24"/>
                <w:shd w:val="clear" w:fill="FFFFFF"/>
                <w:lang w:val="en-US" w:eastAsia="zh-CN" w:bidi="ar"/>
              </w:rPr>
              <w:t>严重急性中毒可能引起血糖过低、体温过低和伸肌僵硬</w:t>
            </w:r>
            <w:r>
              <w:rPr>
                <w:rFonts w:hint="eastAsia" w:ascii="Times New Roman" w:hAnsi="Times New Roman" w:eastAsia="宋体" w:cs="Times New Roman"/>
                <w:i w:val="0"/>
                <w:iCs w:val="0"/>
                <w:caps w:val="0"/>
                <w:color w:val="auto"/>
                <w:spacing w:val="0"/>
                <w:kern w:val="0"/>
                <w:sz w:val="24"/>
                <w:szCs w:val="24"/>
                <w:shd w:val="clear" w:fill="FFFFFF"/>
                <w:lang w:val="en-US" w:eastAsia="zh-CN" w:bidi="ar"/>
              </w:rPr>
              <w:t>；</w:t>
            </w:r>
            <w:r>
              <w:rPr>
                <w:rFonts w:hint="default" w:ascii="Times New Roman" w:hAnsi="Times New Roman" w:eastAsia="宋体" w:cs="Times New Roman"/>
                <w:i w:val="0"/>
                <w:iCs w:val="0"/>
                <w:caps w:val="0"/>
                <w:color w:val="auto"/>
                <w:spacing w:val="0"/>
                <w:kern w:val="0"/>
                <w:sz w:val="24"/>
                <w:szCs w:val="24"/>
                <w:shd w:val="clear" w:fill="FFFFFF"/>
                <w:lang w:val="en-US" w:eastAsia="zh-CN" w:bidi="ar"/>
              </w:rPr>
              <w:t>吸入肺部可能引起肺炎。</w:t>
            </w:r>
            <w:r>
              <w:rPr>
                <w:rFonts w:hint="default" w:ascii="Times New Roman" w:hAnsi="Times New Roman" w:eastAsia="宋体" w:cs="Times New Roman"/>
                <w:i w:val="0"/>
                <w:iCs w:val="0"/>
                <w:caps w:val="0"/>
                <w:color w:val="auto"/>
                <w:spacing w:val="0"/>
                <w:sz w:val="24"/>
                <w:szCs w:val="24"/>
                <w:shd w:val="clear" w:fill="FFFFFF"/>
              </w:rPr>
              <w:t>LD50(测试动物、暴露途径) ：7060 mg/kg</w:t>
            </w:r>
            <w:r>
              <w:rPr>
                <w:rFonts w:hint="eastAsia" w:ascii="Times New Roman" w:hAnsi="Times New Roman" w:eastAsia="宋体" w:cs="Times New Roman"/>
                <w:i w:val="0"/>
                <w:iCs w:val="0"/>
                <w:caps w:val="0"/>
                <w:color w:val="auto"/>
                <w:spacing w:val="0"/>
                <w:sz w:val="24"/>
                <w:szCs w:val="24"/>
                <w:shd w:val="clear" w:fill="FFFFFF"/>
                <w:lang w:eastAsia="zh-CN"/>
              </w:rPr>
              <w:t>（</w:t>
            </w:r>
            <w:r>
              <w:rPr>
                <w:rFonts w:hint="default" w:ascii="Times New Roman" w:hAnsi="Times New Roman" w:eastAsia="宋体" w:cs="Times New Roman"/>
                <w:i w:val="0"/>
                <w:iCs w:val="0"/>
                <w:caps w:val="0"/>
                <w:color w:val="auto"/>
                <w:spacing w:val="0"/>
                <w:sz w:val="24"/>
                <w:szCs w:val="24"/>
                <w:shd w:val="clear" w:fill="FFFFFF"/>
              </w:rPr>
              <w:t>大鼠，吞食</w:t>
            </w:r>
            <w:r>
              <w:rPr>
                <w:rFonts w:hint="eastAsia" w:ascii="Times New Roman" w:hAnsi="Times New Roman" w:eastAsia="宋体" w:cs="Times New Roman"/>
                <w:i w:val="0"/>
                <w:iCs w:val="0"/>
                <w:caps w:val="0"/>
                <w:color w:val="auto"/>
                <w:spacing w:val="0"/>
                <w:sz w:val="24"/>
                <w:szCs w:val="24"/>
                <w:shd w:val="clear" w:fill="FFFFFF"/>
                <w:lang w:eastAsia="zh-CN"/>
              </w:rPr>
              <w:t>）</w:t>
            </w:r>
            <w:r>
              <w:rPr>
                <w:rFonts w:hint="default" w:ascii="Times New Roman" w:hAnsi="Times New Roman" w:eastAsia="宋体" w:cs="Times New Roman"/>
                <w:i w:val="0"/>
                <w:iCs w:val="0"/>
                <w:caps w:val="0"/>
                <w:color w:val="auto"/>
                <w:spacing w:val="0"/>
                <w:sz w:val="24"/>
                <w:szCs w:val="24"/>
                <w:shd w:val="clear" w:fill="FFFFFF"/>
                <w:lang w:eastAsia="zh-CN"/>
              </w:rPr>
              <w:t>；</w:t>
            </w:r>
            <w:r>
              <w:rPr>
                <w:rFonts w:hint="default" w:ascii="Times New Roman" w:hAnsi="Times New Roman" w:eastAsia="宋体" w:cs="Times New Roman"/>
                <w:i w:val="0"/>
                <w:iCs w:val="0"/>
                <w:caps w:val="0"/>
                <w:color w:val="auto"/>
                <w:spacing w:val="0"/>
                <w:sz w:val="24"/>
                <w:szCs w:val="24"/>
                <w:shd w:val="clear" w:fill="FFFFFF"/>
              </w:rPr>
              <w:t>LC50</w:t>
            </w:r>
            <w:r>
              <w:rPr>
                <w:rFonts w:hint="eastAsia" w:ascii="Times New Roman" w:hAnsi="Times New Roman" w:eastAsia="宋体" w:cs="Times New Roman"/>
                <w:i w:val="0"/>
                <w:iCs w:val="0"/>
                <w:caps w:val="0"/>
                <w:color w:val="auto"/>
                <w:spacing w:val="0"/>
                <w:sz w:val="24"/>
                <w:szCs w:val="24"/>
                <w:shd w:val="clear" w:fill="FFFFFF"/>
                <w:lang w:eastAsia="zh-CN"/>
              </w:rPr>
              <w:t>（</w:t>
            </w:r>
            <w:r>
              <w:rPr>
                <w:rFonts w:hint="default" w:ascii="Times New Roman" w:hAnsi="Times New Roman" w:eastAsia="宋体" w:cs="Times New Roman"/>
                <w:i w:val="0"/>
                <w:iCs w:val="0"/>
                <w:caps w:val="0"/>
                <w:color w:val="auto"/>
                <w:spacing w:val="0"/>
                <w:sz w:val="24"/>
                <w:szCs w:val="24"/>
                <w:shd w:val="clear" w:fill="FFFFFF"/>
              </w:rPr>
              <w:t>测试动物、暴露途径</w:t>
            </w:r>
            <w:r>
              <w:rPr>
                <w:rFonts w:hint="eastAsia" w:ascii="Times New Roman" w:hAnsi="Times New Roman" w:eastAsia="宋体" w:cs="Times New Roman"/>
                <w:i w:val="0"/>
                <w:iCs w:val="0"/>
                <w:caps w:val="0"/>
                <w:color w:val="auto"/>
                <w:spacing w:val="0"/>
                <w:sz w:val="24"/>
                <w:szCs w:val="24"/>
                <w:shd w:val="clear" w:fill="FFFFFF"/>
                <w:lang w:eastAsia="zh-CN"/>
              </w:rPr>
              <w:t>）</w:t>
            </w:r>
            <w:r>
              <w:rPr>
                <w:rFonts w:hint="default" w:ascii="Times New Roman" w:hAnsi="Times New Roman" w:eastAsia="宋体" w:cs="Times New Roman"/>
                <w:i w:val="0"/>
                <w:iCs w:val="0"/>
                <w:caps w:val="0"/>
                <w:color w:val="auto"/>
                <w:spacing w:val="0"/>
                <w:sz w:val="24"/>
                <w:szCs w:val="24"/>
                <w:shd w:val="clear" w:fill="FFFFFF"/>
              </w:rPr>
              <w:t>：20,000 ppm/10H</w:t>
            </w:r>
            <w:r>
              <w:rPr>
                <w:rFonts w:hint="eastAsia" w:ascii="Times New Roman" w:hAnsi="Times New Roman" w:eastAsia="宋体" w:cs="Times New Roman"/>
                <w:i w:val="0"/>
                <w:iCs w:val="0"/>
                <w:caps w:val="0"/>
                <w:color w:val="auto"/>
                <w:spacing w:val="0"/>
                <w:sz w:val="24"/>
                <w:szCs w:val="24"/>
                <w:shd w:val="clear" w:fill="FFFFFF"/>
                <w:lang w:eastAsia="zh-CN"/>
              </w:rPr>
              <w:t>（</w:t>
            </w:r>
            <w:r>
              <w:rPr>
                <w:rFonts w:hint="default" w:ascii="Times New Roman" w:hAnsi="Times New Roman" w:eastAsia="宋体" w:cs="Times New Roman"/>
                <w:i w:val="0"/>
                <w:iCs w:val="0"/>
                <w:caps w:val="0"/>
                <w:color w:val="auto"/>
                <w:spacing w:val="0"/>
                <w:sz w:val="24"/>
                <w:szCs w:val="24"/>
                <w:shd w:val="clear" w:fill="FFFFFF"/>
              </w:rPr>
              <w:t>大鼠，吞食</w:t>
            </w:r>
            <w:r>
              <w:rPr>
                <w:rFonts w:hint="eastAsia" w:ascii="Times New Roman" w:hAnsi="Times New Roman" w:eastAsia="宋体" w:cs="Times New Roman"/>
                <w:i w:val="0"/>
                <w:iCs w:val="0"/>
                <w:caps w:val="0"/>
                <w:color w:val="auto"/>
                <w:spacing w:val="0"/>
                <w:sz w:val="24"/>
                <w:szCs w:val="24"/>
                <w:shd w:val="clear" w:fill="FFFFFF"/>
                <w:lang w:eastAsia="zh-CN"/>
              </w:rPr>
              <w:t>）。</w:t>
            </w:r>
          </w:p>
          <w:p>
            <w:pPr>
              <w:widowControl/>
              <w:spacing w:line="360" w:lineRule="auto"/>
              <w:ind w:firstLine="482" w:firstLineChars="200"/>
              <w:rPr>
                <w:b/>
                <w:color w:val="auto"/>
                <w:sz w:val="24"/>
                <w:szCs w:val="24"/>
              </w:rPr>
            </w:pPr>
            <w:r>
              <w:rPr>
                <w:rFonts w:hint="eastAsia"/>
                <w:b/>
                <w:bCs/>
                <w:color w:val="auto"/>
                <w:sz w:val="24"/>
                <w:szCs w:val="24"/>
                <w:lang w:val="en-US" w:eastAsia="zh-CN"/>
              </w:rPr>
              <w:t>6</w:t>
            </w:r>
            <w:r>
              <w:rPr>
                <w:b/>
                <w:bCs/>
                <w:color w:val="auto"/>
                <w:sz w:val="24"/>
                <w:szCs w:val="24"/>
                <w:lang w:val="zh-CN"/>
              </w:rPr>
              <w:t>、</w:t>
            </w:r>
            <w:r>
              <w:rPr>
                <w:rFonts w:hint="eastAsia"/>
                <w:b/>
                <w:bCs/>
                <w:color w:val="auto"/>
                <w:sz w:val="24"/>
                <w:szCs w:val="24"/>
                <w:lang w:val="en-US" w:eastAsia="zh-CN"/>
              </w:rPr>
              <w:t>给排水</w:t>
            </w:r>
            <w:r>
              <w:rPr>
                <w:b/>
                <w:bCs/>
                <w:color w:val="auto"/>
                <w:sz w:val="24"/>
                <w:szCs w:val="24"/>
                <w:lang w:val="zh-CN"/>
              </w:rPr>
              <w:t>工程</w:t>
            </w:r>
          </w:p>
          <w:p>
            <w:pPr>
              <w:pStyle w:val="24"/>
              <w:spacing w:line="360" w:lineRule="auto"/>
              <w:ind w:left="0" w:leftChars="0"/>
              <w:rPr>
                <w:color w:val="auto"/>
                <w:sz w:val="24"/>
                <w:szCs w:val="24"/>
              </w:rPr>
            </w:pPr>
            <w:r>
              <w:rPr>
                <w:rFonts w:hint="eastAsia" w:cs="宋体"/>
                <w:color w:val="auto"/>
                <w:sz w:val="24"/>
                <w:szCs w:val="24"/>
                <w:lang w:eastAsia="zh-CN"/>
              </w:rPr>
              <w:t>（</w:t>
            </w:r>
            <w:r>
              <w:rPr>
                <w:rFonts w:hint="eastAsia" w:cs="宋体"/>
                <w:color w:val="auto"/>
                <w:sz w:val="24"/>
                <w:szCs w:val="24"/>
                <w:lang w:val="en-US" w:eastAsia="zh-CN"/>
              </w:rPr>
              <w:t>1</w:t>
            </w:r>
            <w:r>
              <w:rPr>
                <w:rFonts w:hint="eastAsia" w:cs="宋体"/>
                <w:color w:val="auto"/>
                <w:sz w:val="24"/>
                <w:szCs w:val="24"/>
                <w:lang w:eastAsia="zh-CN"/>
              </w:rPr>
              <w:t>）</w:t>
            </w:r>
            <w:r>
              <w:rPr>
                <w:color w:val="auto"/>
                <w:sz w:val="24"/>
                <w:szCs w:val="24"/>
              </w:rPr>
              <w:t>给水</w:t>
            </w:r>
          </w:p>
          <w:p>
            <w:pPr>
              <w:pStyle w:val="14"/>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bCs/>
                <w:color w:val="auto"/>
                <w:sz w:val="24"/>
                <w:szCs w:val="24"/>
              </w:rPr>
            </w:pPr>
            <w:r>
              <w:rPr>
                <w:bCs/>
                <w:color w:val="auto"/>
                <w:sz w:val="24"/>
                <w:szCs w:val="24"/>
              </w:rPr>
              <w:t>本项目用水</w:t>
            </w:r>
            <w:r>
              <w:rPr>
                <w:rFonts w:hint="eastAsia"/>
                <w:color w:val="auto"/>
                <w:sz w:val="24"/>
                <w:szCs w:val="24"/>
                <w:lang w:val="en-US" w:eastAsia="zh-CN"/>
              </w:rPr>
              <w:t>5178.8m</w:t>
            </w:r>
            <w:r>
              <w:rPr>
                <w:rFonts w:hint="eastAsia"/>
                <w:color w:val="auto"/>
                <w:sz w:val="24"/>
                <w:szCs w:val="24"/>
                <w:vertAlign w:val="superscript"/>
                <w:lang w:val="en-US" w:eastAsia="zh-CN"/>
              </w:rPr>
              <w:t>3</w:t>
            </w:r>
            <w:r>
              <w:rPr>
                <w:rFonts w:hint="eastAsia"/>
                <w:color w:val="auto"/>
                <w:sz w:val="24"/>
                <w:szCs w:val="24"/>
                <w:lang w:val="en-US" w:eastAsia="zh-CN"/>
              </w:rPr>
              <w:t>/a</w:t>
            </w:r>
            <w:r>
              <w:rPr>
                <w:bCs/>
                <w:color w:val="auto"/>
                <w:sz w:val="24"/>
                <w:szCs w:val="24"/>
              </w:rPr>
              <w:t>，主要为生活用水、</w:t>
            </w:r>
            <w:r>
              <w:rPr>
                <w:rFonts w:hint="eastAsia"/>
                <w:bCs/>
                <w:color w:val="auto"/>
                <w:sz w:val="24"/>
                <w:szCs w:val="24"/>
              </w:rPr>
              <w:t>医疗</w:t>
            </w:r>
            <w:r>
              <w:rPr>
                <w:bCs/>
                <w:color w:val="auto"/>
                <w:sz w:val="24"/>
                <w:szCs w:val="24"/>
              </w:rPr>
              <w:t>用水</w:t>
            </w:r>
            <w:r>
              <w:rPr>
                <w:rFonts w:hint="eastAsia"/>
                <w:bCs/>
                <w:color w:val="auto"/>
                <w:sz w:val="24"/>
                <w:szCs w:val="24"/>
              </w:rPr>
              <w:t>、检验用水</w:t>
            </w:r>
            <w:r>
              <w:rPr>
                <w:bCs/>
                <w:color w:val="auto"/>
                <w:sz w:val="24"/>
                <w:szCs w:val="24"/>
              </w:rPr>
              <w:t>，均来自市政管网。本项目无拍片、无显影、显相等检查，因此无影像检查等废水产生；院内无同位素治疗科，因此无放射性废水产生；本项目</w:t>
            </w:r>
            <w:r>
              <w:rPr>
                <w:rFonts w:hint="eastAsia"/>
                <w:bCs/>
                <w:color w:val="auto"/>
                <w:sz w:val="24"/>
                <w:szCs w:val="24"/>
              </w:rPr>
              <w:t>器械、器具、</w:t>
            </w:r>
            <w:r>
              <w:rPr>
                <w:color w:val="auto"/>
                <w:sz w:val="24"/>
                <w:szCs w:val="24"/>
              </w:rPr>
              <w:t>病床床品、病号服等衣物直接委外清洗、消毒、灭菌，因此无清洗废水产生</w:t>
            </w:r>
            <w:r>
              <w:rPr>
                <w:rFonts w:hint="eastAsia"/>
                <w:color w:val="auto"/>
                <w:sz w:val="24"/>
                <w:szCs w:val="24"/>
                <w:lang w:eastAsia="zh-CN"/>
              </w:rPr>
              <w:t>；检验科使用的药剂、试剂等均为试剂盒（一次性用品），不使用铬类以及氰类化合物作为检验药剂，不产生含铬、氰化物废水</w:t>
            </w:r>
            <w:r>
              <w:rPr>
                <w:rFonts w:hint="eastAsia"/>
                <w:bCs/>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bCs/>
                <w:color w:val="auto"/>
                <w:sz w:val="24"/>
                <w:szCs w:val="24"/>
              </w:rPr>
            </w:pPr>
            <w:r>
              <w:rPr>
                <w:bCs/>
                <w:color w:val="auto"/>
                <w:sz w:val="24"/>
                <w:szCs w:val="24"/>
              </w:rPr>
              <w:t>综上所述，本项目不产生《医院污水处理工程技术规范》</w:t>
            </w:r>
            <w:r>
              <w:rPr>
                <w:color w:val="auto"/>
                <w:kern w:val="0"/>
                <w:sz w:val="24"/>
                <w:szCs w:val="24"/>
              </w:rPr>
              <w:t>（HJ2029-2013）</w:t>
            </w:r>
            <w:r>
              <w:rPr>
                <w:bCs/>
                <w:color w:val="auto"/>
                <w:sz w:val="24"/>
                <w:szCs w:val="24"/>
              </w:rPr>
              <w:t>中的特殊性质污水。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bCs/>
                <w:color w:val="auto"/>
                <w:sz w:val="24"/>
                <w:szCs w:val="24"/>
                <w:lang w:val="en-US" w:eastAsia="zh-CN"/>
              </w:rPr>
            </w:pPr>
            <w:r>
              <w:rPr>
                <w:rFonts w:hint="eastAsia"/>
                <w:bCs/>
                <w:color w:val="auto"/>
                <w:sz w:val="24"/>
                <w:szCs w:val="24"/>
                <w:lang w:eastAsia="zh-CN"/>
              </w:rPr>
              <w:t>根据《排污许可证申请与核发技术规范</w:t>
            </w:r>
            <w:r>
              <w:rPr>
                <w:rFonts w:hint="eastAsia"/>
                <w:bCs/>
                <w:color w:val="auto"/>
                <w:sz w:val="24"/>
                <w:szCs w:val="24"/>
                <w:lang w:val="en-US" w:eastAsia="zh-CN"/>
              </w:rPr>
              <w:t xml:space="preserve"> 医疗机构</w:t>
            </w:r>
            <w:r>
              <w:rPr>
                <w:rFonts w:hint="eastAsia"/>
                <w:bCs/>
                <w:color w:val="auto"/>
                <w:sz w:val="24"/>
                <w:szCs w:val="24"/>
                <w:lang w:eastAsia="zh-CN"/>
              </w:rPr>
              <w:t>》</w:t>
            </w:r>
            <w:r>
              <w:rPr>
                <w:rFonts w:hint="eastAsia"/>
                <w:bCs/>
                <w:color w:val="auto"/>
                <w:sz w:val="24"/>
                <w:szCs w:val="24"/>
                <w:lang w:val="en-US" w:eastAsia="zh-CN"/>
              </w:rPr>
              <w:t>（HJ1105-2020），医疗污水指医疗机构门诊、病房、手术室、检验室、病理解剖室、放射室等从事诊疗活动的各科室，以及洗衣房、太平间、消毒供应中心、医疗废物暂存间等处排出的诊疗、生活及粪便污水。当医疗机构其他污水与上述污水混合排出时一律视为医疗污水。本项目生活办公与诊疗活动无法分开，因此产生的所有废水均为医疗废水。</w:t>
            </w:r>
          </w:p>
          <w:p>
            <w:pPr>
              <w:adjustRightInd w:val="0"/>
              <w:snapToGrid w:val="0"/>
              <w:spacing w:line="360" w:lineRule="auto"/>
              <w:ind w:firstLine="480" w:firstLineChars="200"/>
              <w:rPr>
                <w:bCs/>
                <w:color w:val="auto"/>
                <w:sz w:val="24"/>
                <w:szCs w:val="24"/>
              </w:rPr>
            </w:pPr>
            <w:r>
              <w:rPr>
                <w:rFonts w:hint="eastAsia"/>
                <w:bCs/>
                <w:color w:val="auto"/>
                <w:sz w:val="24"/>
                <w:szCs w:val="24"/>
                <w:lang w:eastAsia="zh-CN"/>
              </w:rPr>
              <w:t>①行政办公</w:t>
            </w:r>
            <w:r>
              <w:rPr>
                <w:bCs/>
                <w:color w:val="auto"/>
                <w:sz w:val="24"/>
                <w:szCs w:val="24"/>
              </w:rPr>
              <w:t>人员生活用水</w:t>
            </w:r>
          </w:p>
          <w:p>
            <w:pPr>
              <w:adjustRightInd w:val="0"/>
              <w:snapToGrid w:val="0"/>
              <w:spacing w:line="360" w:lineRule="auto"/>
              <w:ind w:firstLine="480" w:firstLineChars="200"/>
              <w:rPr>
                <w:bCs/>
                <w:color w:val="auto"/>
                <w:sz w:val="24"/>
                <w:szCs w:val="24"/>
              </w:rPr>
            </w:pPr>
            <w:bookmarkStart w:id="3" w:name="_Hlk61449646"/>
            <w:r>
              <w:rPr>
                <w:bCs/>
                <w:color w:val="auto"/>
                <w:sz w:val="24"/>
                <w:szCs w:val="24"/>
              </w:rPr>
              <w:t>行政办公人员的用水定额参照《</w:t>
            </w:r>
            <w:r>
              <w:rPr>
                <w:rFonts w:hint="eastAsia"/>
                <w:bCs/>
                <w:color w:val="auto"/>
                <w:sz w:val="24"/>
                <w:szCs w:val="24"/>
                <w:lang w:eastAsia="zh-CN"/>
              </w:rPr>
              <w:t>行业用水定额</w:t>
            </w:r>
            <w:r>
              <w:rPr>
                <w:bCs/>
                <w:color w:val="auto"/>
                <w:sz w:val="24"/>
                <w:szCs w:val="24"/>
              </w:rPr>
              <w:t>》（</w:t>
            </w:r>
            <w:r>
              <w:rPr>
                <w:rFonts w:hint="eastAsia"/>
                <w:bCs/>
                <w:color w:val="auto"/>
                <w:sz w:val="24"/>
                <w:szCs w:val="24"/>
                <w:lang w:val="en-US" w:eastAsia="zh-CN"/>
              </w:rPr>
              <w:t>DB61/943-2020</w:t>
            </w:r>
            <w:r>
              <w:rPr>
                <w:bCs/>
                <w:color w:val="auto"/>
                <w:sz w:val="24"/>
                <w:szCs w:val="24"/>
              </w:rPr>
              <w:t>），用水定额为</w:t>
            </w:r>
            <w:r>
              <w:rPr>
                <w:rFonts w:hint="eastAsia"/>
                <w:bCs/>
                <w:color w:val="auto"/>
                <w:sz w:val="24"/>
                <w:szCs w:val="24"/>
                <w:lang w:val="en-US" w:eastAsia="zh-CN"/>
              </w:rPr>
              <w:t>10-25m</w:t>
            </w:r>
            <w:r>
              <w:rPr>
                <w:rFonts w:hint="eastAsia"/>
                <w:bCs/>
                <w:color w:val="auto"/>
                <w:sz w:val="24"/>
                <w:szCs w:val="24"/>
                <w:vertAlign w:val="superscript"/>
                <w:lang w:val="en-US" w:eastAsia="zh-CN"/>
              </w:rPr>
              <w:t>3</w:t>
            </w:r>
            <w:r>
              <w:rPr>
                <w:rFonts w:hint="eastAsia"/>
                <w:bCs/>
                <w:color w:val="auto"/>
                <w:sz w:val="24"/>
                <w:szCs w:val="24"/>
                <w:lang w:val="en-US" w:eastAsia="zh-CN"/>
              </w:rPr>
              <w:t>/人</w:t>
            </w:r>
            <w:r>
              <w:rPr>
                <w:bCs/>
                <w:color w:val="auto"/>
                <w:sz w:val="24"/>
                <w:szCs w:val="24"/>
              </w:rPr>
              <w:t>•</w:t>
            </w:r>
            <w:r>
              <w:rPr>
                <w:rFonts w:hint="eastAsia"/>
                <w:bCs/>
                <w:color w:val="auto"/>
                <w:sz w:val="24"/>
                <w:szCs w:val="24"/>
                <w:lang w:val="en-US" w:eastAsia="zh-CN"/>
              </w:rPr>
              <w:t>a</w:t>
            </w:r>
            <w:r>
              <w:rPr>
                <w:bCs/>
                <w:color w:val="auto"/>
                <w:sz w:val="24"/>
                <w:szCs w:val="24"/>
              </w:rPr>
              <w:t>，</w:t>
            </w:r>
            <w:r>
              <w:rPr>
                <w:rFonts w:hint="eastAsia"/>
                <w:bCs/>
                <w:color w:val="auto"/>
                <w:sz w:val="24"/>
                <w:szCs w:val="24"/>
                <w:lang w:eastAsia="zh-CN"/>
              </w:rPr>
              <w:t>本项目取</w:t>
            </w:r>
            <w:r>
              <w:rPr>
                <w:rFonts w:hint="eastAsia"/>
                <w:bCs/>
                <w:color w:val="auto"/>
                <w:sz w:val="24"/>
                <w:szCs w:val="24"/>
                <w:lang w:val="en-US" w:eastAsia="zh-CN"/>
              </w:rPr>
              <w:t>17.5m</w:t>
            </w:r>
            <w:r>
              <w:rPr>
                <w:rFonts w:hint="eastAsia"/>
                <w:bCs/>
                <w:color w:val="auto"/>
                <w:sz w:val="24"/>
                <w:szCs w:val="24"/>
                <w:vertAlign w:val="superscript"/>
                <w:lang w:val="en-US" w:eastAsia="zh-CN"/>
              </w:rPr>
              <w:t>3</w:t>
            </w:r>
            <w:r>
              <w:rPr>
                <w:rFonts w:hint="eastAsia"/>
                <w:bCs/>
                <w:color w:val="auto"/>
                <w:sz w:val="24"/>
                <w:szCs w:val="24"/>
                <w:lang w:val="en-US" w:eastAsia="zh-CN"/>
              </w:rPr>
              <w:t>/人</w:t>
            </w:r>
            <w:r>
              <w:rPr>
                <w:bCs/>
                <w:color w:val="auto"/>
                <w:sz w:val="24"/>
                <w:szCs w:val="24"/>
              </w:rPr>
              <w:t>•</w:t>
            </w:r>
            <w:r>
              <w:rPr>
                <w:rFonts w:hint="eastAsia"/>
                <w:bCs/>
                <w:color w:val="auto"/>
                <w:sz w:val="24"/>
                <w:szCs w:val="24"/>
                <w:lang w:val="en-US" w:eastAsia="zh-CN"/>
              </w:rPr>
              <w:t>a</w:t>
            </w:r>
            <w:r>
              <w:rPr>
                <w:bCs/>
                <w:color w:val="auto"/>
                <w:sz w:val="24"/>
                <w:szCs w:val="24"/>
              </w:rPr>
              <w:t>。本项目的</w:t>
            </w:r>
            <w:r>
              <w:rPr>
                <w:rFonts w:hint="eastAsia"/>
                <w:bCs/>
                <w:color w:val="auto"/>
                <w:sz w:val="24"/>
                <w:szCs w:val="24"/>
                <w:lang w:eastAsia="zh-CN"/>
              </w:rPr>
              <w:t>行政办公人员</w:t>
            </w:r>
            <w:r>
              <w:rPr>
                <w:rFonts w:hint="eastAsia"/>
                <w:bCs/>
                <w:color w:val="auto"/>
                <w:sz w:val="24"/>
                <w:szCs w:val="24"/>
                <w:lang w:val="en-US" w:eastAsia="zh-CN"/>
              </w:rPr>
              <w:t>30</w:t>
            </w:r>
            <w:r>
              <w:rPr>
                <w:bCs/>
                <w:color w:val="auto"/>
                <w:sz w:val="24"/>
                <w:szCs w:val="24"/>
              </w:rPr>
              <w:t>人，则年用水量约</w:t>
            </w:r>
            <w:r>
              <w:rPr>
                <w:rFonts w:hint="eastAsia"/>
                <w:bCs/>
                <w:color w:val="auto"/>
                <w:sz w:val="24"/>
                <w:szCs w:val="24"/>
                <w:lang w:val="en-US" w:eastAsia="zh-CN"/>
              </w:rPr>
              <w:t>525</w:t>
            </w:r>
            <w:r>
              <w:rPr>
                <w:bCs/>
                <w:color w:val="auto"/>
                <w:sz w:val="24"/>
                <w:szCs w:val="24"/>
              </w:rPr>
              <w:t>t/a</w:t>
            </w:r>
            <w:r>
              <w:rPr>
                <w:rFonts w:hint="eastAsia"/>
                <w:bCs/>
                <w:color w:val="auto"/>
                <w:sz w:val="24"/>
                <w:szCs w:val="24"/>
                <w:lang w:eastAsia="zh-CN"/>
              </w:rPr>
              <w:t>。</w:t>
            </w:r>
          </w:p>
          <w:p>
            <w:pPr>
              <w:adjustRightInd w:val="0"/>
              <w:snapToGrid w:val="0"/>
              <w:spacing w:line="360" w:lineRule="auto"/>
              <w:ind w:firstLine="480" w:firstLineChars="200"/>
              <w:rPr>
                <w:bCs/>
                <w:color w:val="auto"/>
                <w:sz w:val="24"/>
                <w:szCs w:val="24"/>
              </w:rPr>
            </w:pPr>
            <w:r>
              <w:rPr>
                <w:rFonts w:hint="eastAsia"/>
                <w:bCs/>
                <w:color w:val="auto"/>
                <w:sz w:val="24"/>
                <w:szCs w:val="24"/>
                <w:lang w:eastAsia="zh-CN"/>
              </w:rPr>
              <w:t>②</w:t>
            </w:r>
            <w:r>
              <w:rPr>
                <w:bCs/>
                <w:color w:val="auto"/>
                <w:sz w:val="24"/>
                <w:szCs w:val="24"/>
              </w:rPr>
              <w:t>门诊用水</w:t>
            </w:r>
          </w:p>
          <w:p>
            <w:pPr>
              <w:adjustRightInd w:val="0"/>
              <w:snapToGrid w:val="0"/>
              <w:spacing w:line="360" w:lineRule="auto"/>
              <w:ind w:firstLine="480" w:firstLineChars="200"/>
              <w:rPr>
                <w:bCs/>
                <w:color w:val="auto"/>
                <w:sz w:val="24"/>
                <w:szCs w:val="24"/>
              </w:rPr>
            </w:pPr>
            <w:r>
              <w:rPr>
                <w:bCs/>
                <w:color w:val="auto"/>
                <w:sz w:val="24"/>
                <w:szCs w:val="24"/>
              </w:rPr>
              <w:t>根据《</w:t>
            </w:r>
            <w:r>
              <w:rPr>
                <w:rFonts w:hint="eastAsia"/>
                <w:bCs/>
                <w:color w:val="auto"/>
                <w:sz w:val="24"/>
                <w:szCs w:val="24"/>
                <w:lang w:eastAsia="zh-CN"/>
              </w:rPr>
              <w:t>行业用水定额</w:t>
            </w:r>
            <w:r>
              <w:rPr>
                <w:bCs/>
                <w:color w:val="auto"/>
                <w:sz w:val="24"/>
                <w:szCs w:val="24"/>
              </w:rPr>
              <w:t>》（</w:t>
            </w:r>
            <w:r>
              <w:rPr>
                <w:rFonts w:hint="eastAsia"/>
                <w:bCs/>
                <w:color w:val="auto"/>
                <w:sz w:val="24"/>
                <w:szCs w:val="24"/>
                <w:lang w:val="en-US" w:eastAsia="zh-CN"/>
              </w:rPr>
              <w:t>DB61/943-2020</w:t>
            </w:r>
            <w:r>
              <w:rPr>
                <w:bCs/>
                <w:color w:val="auto"/>
                <w:sz w:val="24"/>
                <w:szCs w:val="24"/>
              </w:rPr>
              <w:t>），门诊用水定额为1</w:t>
            </w:r>
            <w:r>
              <w:rPr>
                <w:rFonts w:hint="eastAsia"/>
                <w:bCs/>
                <w:color w:val="auto"/>
                <w:sz w:val="24"/>
                <w:szCs w:val="24"/>
                <w:lang w:val="en-US" w:eastAsia="zh-CN"/>
              </w:rPr>
              <w:t>1-12</w:t>
            </w:r>
            <w:r>
              <w:rPr>
                <w:bCs/>
                <w:color w:val="auto"/>
                <w:sz w:val="24"/>
                <w:szCs w:val="24"/>
              </w:rPr>
              <w:t>L/病人•次，本</w:t>
            </w:r>
            <w:r>
              <w:rPr>
                <w:rFonts w:hint="eastAsia"/>
                <w:bCs/>
                <w:color w:val="auto"/>
                <w:sz w:val="24"/>
                <w:szCs w:val="24"/>
                <w:lang w:eastAsia="zh-CN"/>
              </w:rPr>
              <w:t>项目</w:t>
            </w:r>
            <w:r>
              <w:rPr>
                <w:bCs/>
                <w:color w:val="auto"/>
                <w:sz w:val="24"/>
                <w:szCs w:val="24"/>
              </w:rPr>
              <w:t>取12L/病人•次。项目建成后门诊量约为1</w:t>
            </w:r>
            <w:r>
              <w:rPr>
                <w:rFonts w:hint="eastAsia"/>
                <w:bCs/>
                <w:color w:val="auto"/>
                <w:sz w:val="24"/>
                <w:szCs w:val="24"/>
                <w:lang w:val="en-US" w:eastAsia="zh-CN"/>
              </w:rPr>
              <w:t>6</w:t>
            </w:r>
            <w:r>
              <w:rPr>
                <w:bCs/>
                <w:color w:val="auto"/>
                <w:sz w:val="24"/>
                <w:szCs w:val="24"/>
              </w:rPr>
              <w:t>0人次/天，用水时间按365天计，则年用水量约</w:t>
            </w:r>
            <w:r>
              <w:rPr>
                <w:rFonts w:hint="eastAsia"/>
                <w:bCs/>
                <w:color w:val="auto"/>
                <w:sz w:val="24"/>
                <w:szCs w:val="24"/>
                <w:lang w:val="en-US" w:eastAsia="zh-CN"/>
              </w:rPr>
              <w:t>700.8</w:t>
            </w:r>
            <w:r>
              <w:rPr>
                <w:rFonts w:hint="eastAsia"/>
                <w:color w:val="auto"/>
                <w:sz w:val="24"/>
                <w:szCs w:val="24"/>
                <w:lang w:val="en-US" w:eastAsia="zh-CN"/>
              </w:rPr>
              <w:t>m</w:t>
            </w:r>
            <w:r>
              <w:rPr>
                <w:rFonts w:hint="eastAsia"/>
                <w:color w:val="auto"/>
                <w:sz w:val="24"/>
                <w:szCs w:val="24"/>
                <w:vertAlign w:val="superscript"/>
                <w:lang w:val="en-US" w:eastAsia="zh-CN"/>
              </w:rPr>
              <w:t>3</w:t>
            </w:r>
            <w:r>
              <w:rPr>
                <w:rFonts w:hint="eastAsia"/>
                <w:color w:val="auto"/>
                <w:sz w:val="24"/>
                <w:szCs w:val="24"/>
                <w:lang w:val="en-US" w:eastAsia="zh-CN"/>
              </w:rPr>
              <w:t>/a</w:t>
            </w:r>
            <w:r>
              <w:rPr>
                <w:bCs/>
                <w:color w:val="auto"/>
                <w:sz w:val="24"/>
                <w:szCs w:val="24"/>
              </w:rPr>
              <w:t>。</w:t>
            </w:r>
          </w:p>
          <w:p>
            <w:pPr>
              <w:adjustRightInd w:val="0"/>
              <w:snapToGrid w:val="0"/>
              <w:spacing w:line="360" w:lineRule="auto"/>
              <w:ind w:firstLine="480" w:firstLineChars="200"/>
              <w:rPr>
                <w:bCs/>
                <w:color w:val="auto"/>
                <w:sz w:val="24"/>
                <w:szCs w:val="24"/>
              </w:rPr>
            </w:pPr>
            <w:r>
              <w:rPr>
                <w:rFonts w:hint="eastAsia" w:ascii="宋体" w:hAnsi="宋体" w:cs="宋体"/>
                <w:bCs/>
                <w:color w:val="auto"/>
                <w:sz w:val="24"/>
                <w:szCs w:val="24"/>
                <w:lang w:eastAsia="zh-CN"/>
              </w:rPr>
              <w:t>③</w:t>
            </w:r>
            <w:r>
              <w:rPr>
                <w:bCs/>
                <w:color w:val="auto"/>
                <w:sz w:val="24"/>
                <w:szCs w:val="24"/>
              </w:rPr>
              <w:t>医护人员生活用水</w:t>
            </w:r>
          </w:p>
          <w:p>
            <w:pPr>
              <w:adjustRightInd w:val="0"/>
              <w:snapToGrid w:val="0"/>
              <w:spacing w:line="360" w:lineRule="auto"/>
              <w:ind w:firstLine="480" w:firstLineChars="200"/>
              <w:rPr>
                <w:bCs/>
                <w:color w:val="auto"/>
                <w:sz w:val="24"/>
                <w:szCs w:val="24"/>
              </w:rPr>
            </w:pPr>
            <w:r>
              <w:rPr>
                <w:rFonts w:hint="eastAsia"/>
                <w:bCs/>
                <w:color w:val="auto"/>
                <w:sz w:val="24"/>
                <w:szCs w:val="24"/>
                <w:lang w:eastAsia="zh-CN"/>
              </w:rPr>
              <w:t>医护</w:t>
            </w:r>
            <w:r>
              <w:rPr>
                <w:bCs/>
                <w:color w:val="auto"/>
                <w:sz w:val="24"/>
                <w:szCs w:val="24"/>
              </w:rPr>
              <w:t>人员的用水定额参照《</w:t>
            </w:r>
            <w:r>
              <w:rPr>
                <w:rFonts w:hint="eastAsia"/>
                <w:bCs/>
                <w:color w:val="auto"/>
                <w:sz w:val="24"/>
                <w:szCs w:val="24"/>
                <w:lang w:eastAsia="zh-CN"/>
              </w:rPr>
              <w:t>行业用水定额</w:t>
            </w:r>
            <w:r>
              <w:rPr>
                <w:bCs/>
                <w:color w:val="auto"/>
                <w:sz w:val="24"/>
                <w:szCs w:val="24"/>
              </w:rPr>
              <w:t>》（</w:t>
            </w:r>
            <w:r>
              <w:rPr>
                <w:rFonts w:hint="eastAsia"/>
                <w:bCs/>
                <w:color w:val="auto"/>
                <w:sz w:val="24"/>
                <w:szCs w:val="24"/>
                <w:lang w:val="en-US" w:eastAsia="zh-CN"/>
              </w:rPr>
              <w:t>DB61/943-2020</w:t>
            </w:r>
            <w:r>
              <w:rPr>
                <w:bCs/>
                <w:color w:val="auto"/>
                <w:sz w:val="24"/>
                <w:szCs w:val="24"/>
              </w:rPr>
              <w:t>），</w:t>
            </w:r>
            <w:r>
              <w:rPr>
                <w:rFonts w:hint="eastAsia"/>
                <w:bCs/>
                <w:color w:val="auto"/>
                <w:sz w:val="24"/>
                <w:szCs w:val="24"/>
                <w:lang w:eastAsia="zh-CN"/>
              </w:rPr>
              <w:t>医护人员</w:t>
            </w:r>
            <w:r>
              <w:rPr>
                <w:bCs/>
                <w:color w:val="auto"/>
                <w:sz w:val="24"/>
                <w:szCs w:val="24"/>
              </w:rPr>
              <w:t>用水定额为</w:t>
            </w:r>
            <w:r>
              <w:rPr>
                <w:rFonts w:hint="eastAsia"/>
                <w:bCs/>
                <w:color w:val="auto"/>
                <w:sz w:val="24"/>
                <w:szCs w:val="24"/>
                <w:lang w:val="en-US" w:eastAsia="zh-CN"/>
              </w:rPr>
              <w:t>120</w:t>
            </w:r>
            <w:r>
              <w:rPr>
                <w:bCs/>
                <w:color w:val="auto"/>
                <w:sz w:val="24"/>
                <w:szCs w:val="24"/>
              </w:rPr>
              <w:t>L</w:t>
            </w:r>
            <w:r>
              <w:rPr>
                <w:rFonts w:hint="eastAsia"/>
                <w:bCs/>
                <w:color w:val="auto"/>
                <w:sz w:val="24"/>
                <w:szCs w:val="24"/>
                <w:lang w:val="en-US" w:eastAsia="zh-CN"/>
              </w:rPr>
              <w:t>/人.班</w:t>
            </w:r>
            <w:r>
              <w:rPr>
                <w:bCs/>
                <w:color w:val="auto"/>
                <w:sz w:val="24"/>
                <w:szCs w:val="24"/>
              </w:rPr>
              <w:t>，全年工作按365天计。本项目的</w:t>
            </w:r>
            <w:r>
              <w:rPr>
                <w:rFonts w:hint="eastAsia"/>
                <w:bCs/>
                <w:color w:val="auto"/>
                <w:sz w:val="24"/>
                <w:szCs w:val="24"/>
                <w:lang w:eastAsia="zh-CN"/>
              </w:rPr>
              <w:t>每班医护人员</w:t>
            </w:r>
            <w:r>
              <w:rPr>
                <w:rFonts w:hint="eastAsia"/>
                <w:bCs/>
                <w:color w:val="auto"/>
                <w:sz w:val="24"/>
                <w:szCs w:val="24"/>
                <w:lang w:val="en-US" w:eastAsia="zh-CN"/>
              </w:rPr>
              <w:t>20</w:t>
            </w:r>
            <w:r>
              <w:rPr>
                <w:bCs/>
                <w:color w:val="auto"/>
                <w:sz w:val="24"/>
                <w:szCs w:val="24"/>
              </w:rPr>
              <w:t>人，则年用水量约</w:t>
            </w:r>
            <w:r>
              <w:rPr>
                <w:rFonts w:hint="eastAsia"/>
                <w:bCs/>
                <w:color w:val="auto"/>
                <w:sz w:val="24"/>
                <w:szCs w:val="24"/>
                <w:lang w:val="en-US" w:eastAsia="zh-CN"/>
              </w:rPr>
              <w:t>876</w:t>
            </w:r>
            <w:r>
              <w:rPr>
                <w:rFonts w:hint="eastAsia"/>
                <w:color w:val="auto"/>
                <w:sz w:val="24"/>
                <w:szCs w:val="24"/>
                <w:lang w:val="en-US" w:eastAsia="zh-CN"/>
              </w:rPr>
              <w:t>m</w:t>
            </w:r>
            <w:r>
              <w:rPr>
                <w:rFonts w:hint="eastAsia"/>
                <w:color w:val="auto"/>
                <w:sz w:val="24"/>
                <w:szCs w:val="24"/>
                <w:vertAlign w:val="superscript"/>
                <w:lang w:val="en-US" w:eastAsia="zh-CN"/>
              </w:rPr>
              <w:t>3</w:t>
            </w:r>
            <w:r>
              <w:rPr>
                <w:rFonts w:hint="eastAsia"/>
                <w:color w:val="auto"/>
                <w:sz w:val="24"/>
                <w:szCs w:val="24"/>
                <w:lang w:val="en-US" w:eastAsia="zh-CN"/>
              </w:rPr>
              <w:t>/a</w:t>
            </w:r>
            <w:r>
              <w:rPr>
                <w:rFonts w:hint="eastAsia"/>
                <w:bCs/>
                <w:color w:val="auto"/>
                <w:sz w:val="24"/>
                <w:szCs w:val="24"/>
                <w:lang w:eastAsia="zh-CN"/>
              </w:rPr>
              <w:t>。</w:t>
            </w:r>
          </w:p>
          <w:p>
            <w:pPr>
              <w:adjustRightInd w:val="0"/>
              <w:snapToGrid w:val="0"/>
              <w:spacing w:line="360" w:lineRule="auto"/>
              <w:ind w:firstLine="480" w:firstLineChars="200"/>
              <w:rPr>
                <w:bCs/>
                <w:color w:val="auto"/>
                <w:sz w:val="24"/>
                <w:szCs w:val="24"/>
              </w:rPr>
            </w:pPr>
            <w:r>
              <w:rPr>
                <w:rFonts w:hint="eastAsia" w:ascii="宋体" w:hAnsi="宋体" w:cs="宋体"/>
                <w:bCs/>
                <w:color w:val="auto"/>
                <w:sz w:val="24"/>
                <w:szCs w:val="24"/>
                <w:lang w:eastAsia="zh-CN"/>
              </w:rPr>
              <w:t>④</w:t>
            </w:r>
            <w:r>
              <w:rPr>
                <w:bCs/>
                <w:color w:val="auto"/>
                <w:sz w:val="24"/>
                <w:szCs w:val="24"/>
              </w:rPr>
              <w:t>病房用水</w:t>
            </w:r>
          </w:p>
          <w:p>
            <w:pPr>
              <w:adjustRightInd w:val="0"/>
              <w:snapToGrid w:val="0"/>
              <w:spacing w:line="360" w:lineRule="auto"/>
              <w:ind w:firstLine="480" w:firstLineChars="200"/>
              <w:rPr>
                <w:bCs/>
                <w:color w:val="auto"/>
                <w:sz w:val="24"/>
                <w:szCs w:val="24"/>
              </w:rPr>
            </w:pPr>
            <w:r>
              <w:rPr>
                <w:bCs/>
                <w:color w:val="auto"/>
                <w:sz w:val="24"/>
                <w:szCs w:val="24"/>
              </w:rPr>
              <w:t>本项目设置有病床</w:t>
            </w:r>
            <w:r>
              <w:rPr>
                <w:rFonts w:hint="eastAsia"/>
                <w:bCs/>
                <w:color w:val="auto"/>
                <w:sz w:val="24"/>
                <w:szCs w:val="24"/>
                <w:lang w:val="en-US" w:eastAsia="zh-CN"/>
              </w:rPr>
              <w:t>6</w:t>
            </w:r>
            <w:r>
              <w:rPr>
                <w:bCs/>
                <w:color w:val="auto"/>
                <w:sz w:val="24"/>
                <w:szCs w:val="24"/>
              </w:rPr>
              <w:t>0张。根据《</w:t>
            </w:r>
            <w:r>
              <w:rPr>
                <w:rFonts w:hint="eastAsia"/>
                <w:bCs/>
                <w:color w:val="auto"/>
                <w:sz w:val="24"/>
                <w:szCs w:val="24"/>
                <w:lang w:eastAsia="zh-CN"/>
              </w:rPr>
              <w:t>行业用水定额</w:t>
            </w:r>
            <w:r>
              <w:rPr>
                <w:bCs/>
                <w:color w:val="auto"/>
                <w:sz w:val="24"/>
                <w:szCs w:val="24"/>
              </w:rPr>
              <w:t>》（</w:t>
            </w:r>
            <w:r>
              <w:rPr>
                <w:rFonts w:hint="eastAsia"/>
                <w:bCs/>
                <w:color w:val="auto"/>
                <w:sz w:val="24"/>
                <w:szCs w:val="24"/>
                <w:lang w:val="en-US" w:eastAsia="zh-CN"/>
              </w:rPr>
              <w:t>DB61/943-2020</w:t>
            </w:r>
            <w:r>
              <w:rPr>
                <w:bCs/>
                <w:color w:val="auto"/>
                <w:sz w:val="24"/>
                <w:szCs w:val="24"/>
              </w:rPr>
              <w:t>），设公用盥洗室</w:t>
            </w:r>
            <w:r>
              <w:rPr>
                <w:rFonts w:hint="eastAsia"/>
                <w:bCs/>
                <w:color w:val="auto"/>
                <w:sz w:val="24"/>
                <w:szCs w:val="24"/>
                <w:lang w:eastAsia="zh-CN"/>
              </w:rPr>
              <w:t>的</w:t>
            </w:r>
            <w:r>
              <w:rPr>
                <w:bCs/>
                <w:color w:val="auto"/>
                <w:sz w:val="24"/>
                <w:szCs w:val="24"/>
              </w:rPr>
              <w:t>用水定额为1</w:t>
            </w:r>
            <w:r>
              <w:rPr>
                <w:rFonts w:hint="eastAsia"/>
                <w:bCs/>
                <w:color w:val="auto"/>
                <w:sz w:val="24"/>
                <w:szCs w:val="24"/>
                <w:lang w:val="en-US" w:eastAsia="zh-CN"/>
              </w:rPr>
              <w:t>30</w:t>
            </w:r>
            <w:r>
              <w:rPr>
                <w:bCs/>
                <w:color w:val="auto"/>
                <w:sz w:val="24"/>
                <w:szCs w:val="24"/>
              </w:rPr>
              <w:t>-</w:t>
            </w:r>
            <w:r>
              <w:rPr>
                <w:rFonts w:hint="eastAsia"/>
                <w:bCs/>
                <w:color w:val="auto"/>
                <w:sz w:val="24"/>
                <w:szCs w:val="24"/>
                <w:lang w:val="en-US" w:eastAsia="zh-CN"/>
              </w:rPr>
              <w:t>150</w:t>
            </w:r>
            <w:r>
              <w:rPr>
                <w:bCs/>
                <w:color w:val="auto"/>
                <w:sz w:val="24"/>
                <w:szCs w:val="24"/>
              </w:rPr>
              <w:t>L/床位•天，本</w:t>
            </w:r>
            <w:r>
              <w:rPr>
                <w:rFonts w:hint="eastAsia"/>
                <w:bCs/>
                <w:color w:val="auto"/>
                <w:sz w:val="24"/>
                <w:szCs w:val="24"/>
                <w:lang w:eastAsia="zh-CN"/>
              </w:rPr>
              <w:t>项目</w:t>
            </w:r>
            <w:r>
              <w:rPr>
                <w:bCs/>
                <w:color w:val="auto"/>
                <w:sz w:val="24"/>
                <w:szCs w:val="24"/>
              </w:rPr>
              <w:t>取1</w:t>
            </w:r>
            <w:r>
              <w:rPr>
                <w:rFonts w:hint="eastAsia"/>
                <w:bCs/>
                <w:color w:val="auto"/>
                <w:sz w:val="24"/>
                <w:szCs w:val="24"/>
                <w:lang w:val="en-US" w:eastAsia="zh-CN"/>
              </w:rPr>
              <w:t>4</w:t>
            </w:r>
            <w:r>
              <w:rPr>
                <w:bCs/>
                <w:color w:val="auto"/>
                <w:sz w:val="24"/>
                <w:szCs w:val="24"/>
              </w:rPr>
              <w:t>0L/床位•天，用水时间按365天计，则年用水量为</w:t>
            </w:r>
            <w:r>
              <w:rPr>
                <w:rFonts w:hint="eastAsia"/>
                <w:bCs/>
                <w:color w:val="auto"/>
                <w:sz w:val="24"/>
                <w:szCs w:val="24"/>
                <w:lang w:val="en-US" w:eastAsia="zh-CN"/>
              </w:rPr>
              <w:t>3066</w:t>
            </w:r>
            <w:r>
              <w:rPr>
                <w:rFonts w:hint="eastAsia"/>
                <w:color w:val="auto"/>
                <w:sz w:val="24"/>
                <w:szCs w:val="24"/>
                <w:lang w:val="en-US" w:eastAsia="zh-CN"/>
              </w:rPr>
              <w:t>m</w:t>
            </w:r>
            <w:r>
              <w:rPr>
                <w:rFonts w:hint="eastAsia"/>
                <w:color w:val="auto"/>
                <w:sz w:val="24"/>
                <w:szCs w:val="24"/>
                <w:vertAlign w:val="superscript"/>
                <w:lang w:val="en-US" w:eastAsia="zh-CN"/>
              </w:rPr>
              <w:t>3</w:t>
            </w:r>
            <w:r>
              <w:rPr>
                <w:rFonts w:hint="eastAsia"/>
                <w:color w:val="auto"/>
                <w:sz w:val="24"/>
                <w:szCs w:val="24"/>
                <w:lang w:val="en-US" w:eastAsia="zh-CN"/>
              </w:rPr>
              <w:t>/a</w:t>
            </w:r>
            <w:r>
              <w:rPr>
                <w:bCs/>
                <w:color w:val="auto"/>
                <w:sz w:val="24"/>
                <w:szCs w:val="24"/>
              </w:rPr>
              <w:t>。</w:t>
            </w:r>
          </w:p>
          <w:p>
            <w:pPr>
              <w:adjustRightInd w:val="0"/>
              <w:snapToGrid w:val="0"/>
              <w:spacing w:line="360" w:lineRule="auto"/>
              <w:ind w:firstLine="480" w:firstLineChars="200"/>
              <w:rPr>
                <w:bCs/>
                <w:color w:val="auto"/>
                <w:sz w:val="24"/>
                <w:szCs w:val="24"/>
              </w:rPr>
            </w:pPr>
            <w:r>
              <w:rPr>
                <w:rFonts w:hint="eastAsia" w:ascii="宋体" w:hAnsi="宋体" w:cs="宋体"/>
                <w:bCs/>
                <w:color w:val="auto"/>
                <w:sz w:val="24"/>
                <w:szCs w:val="24"/>
                <w:lang w:eastAsia="zh-CN"/>
              </w:rPr>
              <w:t>⑤</w:t>
            </w:r>
            <w:r>
              <w:rPr>
                <w:bCs/>
                <w:color w:val="auto"/>
                <w:sz w:val="24"/>
                <w:szCs w:val="24"/>
              </w:rPr>
              <w:t>检验废水</w:t>
            </w:r>
          </w:p>
          <w:p>
            <w:pPr>
              <w:adjustRightInd w:val="0"/>
              <w:snapToGrid w:val="0"/>
              <w:spacing w:line="360" w:lineRule="auto"/>
              <w:ind w:firstLine="480" w:firstLineChars="200"/>
              <w:rPr>
                <w:color w:val="auto"/>
                <w:sz w:val="24"/>
                <w:szCs w:val="24"/>
              </w:rPr>
            </w:pPr>
            <w:r>
              <w:rPr>
                <w:color w:val="auto"/>
                <w:sz w:val="24"/>
                <w:szCs w:val="24"/>
              </w:rPr>
              <w:t>本项目采用成品试剂盒作为检验试剂，不需要现场调配，</w:t>
            </w:r>
            <w:r>
              <w:rPr>
                <w:rFonts w:hint="eastAsia"/>
                <w:color w:val="auto"/>
                <w:sz w:val="24"/>
                <w:szCs w:val="24"/>
                <w:lang w:eastAsia="zh-CN"/>
              </w:rPr>
              <w:t>不单独使用其他试剂，</w:t>
            </w:r>
            <w:r>
              <w:rPr>
                <w:color w:val="auto"/>
                <w:sz w:val="24"/>
                <w:szCs w:val="24"/>
              </w:rPr>
              <w:t>试剂盒直接进入仪器检验，检验完毕后，检验标本和试剂盒一同作为医疗废物收集、暂存和处理。检验过程中少量</w:t>
            </w:r>
            <w:r>
              <w:rPr>
                <w:rFonts w:hint="eastAsia"/>
                <w:color w:val="auto"/>
                <w:sz w:val="24"/>
                <w:szCs w:val="24"/>
                <w:lang w:eastAsia="zh-CN"/>
              </w:rPr>
              <w:t>设备、仪器、容器等</w:t>
            </w:r>
            <w:r>
              <w:rPr>
                <w:color w:val="auto"/>
                <w:sz w:val="24"/>
                <w:szCs w:val="24"/>
              </w:rPr>
              <w:t>需要冲洗，</w:t>
            </w:r>
            <w:r>
              <w:rPr>
                <w:rFonts w:hint="eastAsia"/>
                <w:color w:val="auto"/>
                <w:sz w:val="24"/>
                <w:szCs w:val="24"/>
                <w:lang w:eastAsia="zh-CN"/>
              </w:rPr>
              <w:t>本项目利用新鲜水进行冲洗，</w:t>
            </w:r>
            <w:r>
              <w:rPr>
                <w:color w:val="auto"/>
                <w:sz w:val="24"/>
                <w:szCs w:val="24"/>
              </w:rPr>
              <w:t>产生少量清洗废水</w:t>
            </w:r>
            <w:r>
              <w:rPr>
                <w:rFonts w:hint="eastAsia"/>
                <w:color w:val="auto"/>
                <w:sz w:val="24"/>
                <w:szCs w:val="24"/>
                <w:lang w:eastAsia="zh-CN"/>
              </w:rPr>
              <w:t>。参考其他眼科医院的实际情况</w:t>
            </w:r>
            <w:r>
              <w:rPr>
                <w:color w:val="auto"/>
                <w:sz w:val="24"/>
                <w:szCs w:val="24"/>
              </w:rPr>
              <w:t>，检验用水系数按0.03m</w:t>
            </w:r>
            <w:r>
              <w:rPr>
                <w:color w:val="auto"/>
                <w:sz w:val="24"/>
                <w:szCs w:val="24"/>
                <w:vertAlign w:val="superscript"/>
              </w:rPr>
              <w:t>3</w:t>
            </w:r>
            <w:r>
              <w:rPr>
                <w:color w:val="auto"/>
                <w:sz w:val="24"/>
                <w:szCs w:val="24"/>
              </w:rPr>
              <w:t>/d计，工作时间为365天，则检验用水11</w:t>
            </w:r>
            <w:r>
              <w:rPr>
                <w:rFonts w:hint="eastAsia"/>
                <w:color w:val="auto"/>
                <w:sz w:val="24"/>
                <w:szCs w:val="24"/>
                <w:lang w:val="en-US" w:eastAsia="zh-CN"/>
              </w:rPr>
              <w:t>m</w:t>
            </w:r>
            <w:r>
              <w:rPr>
                <w:rFonts w:hint="eastAsia"/>
                <w:color w:val="auto"/>
                <w:sz w:val="24"/>
                <w:szCs w:val="24"/>
                <w:vertAlign w:val="superscript"/>
                <w:lang w:val="en-US" w:eastAsia="zh-CN"/>
              </w:rPr>
              <w:t>3</w:t>
            </w:r>
            <w:r>
              <w:rPr>
                <w:rFonts w:hint="eastAsia"/>
                <w:color w:val="auto"/>
                <w:sz w:val="24"/>
                <w:szCs w:val="24"/>
                <w:lang w:val="en-US" w:eastAsia="zh-CN"/>
              </w:rPr>
              <w:t>/a</w:t>
            </w:r>
            <w:r>
              <w:rPr>
                <w:color w:val="auto"/>
                <w:sz w:val="24"/>
                <w:szCs w:val="24"/>
              </w:rPr>
              <w:t>。</w:t>
            </w:r>
          </w:p>
          <w:p>
            <w:pPr>
              <w:pStyle w:val="10"/>
              <w:keepNext w:val="0"/>
              <w:keepLines w:val="0"/>
              <w:pageBreakBefore w:val="0"/>
              <w:widowControl w:val="0"/>
              <w:numPr>
                <w:ilvl w:val="0"/>
                <w:numId w:val="5"/>
              </w:numPr>
              <w:kinsoku/>
              <w:wordWrap/>
              <w:overflowPunct/>
              <w:topLinePunct w:val="0"/>
              <w:autoSpaceDE/>
              <w:autoSpaceDN/>
              <w:bidi w:val="0"/>
              <w:adjustRightInd/>
              <w:snapToGrid/>
              <w:ind w:firstLine="480" w:firstLineChars="200"/>
              <w:textAlignment w:val="auto"/>
              <w:rPr>
                <w:rFonts w:hint="eastAsia"/>
                <w:color w:val="auto"/>
                <w:sz w:val="24"/>
                <w:szCs w:val="24"/>
                <w:lang w:eastAsia="zh-CN"/>
              </w:rPr>
            </w:pPr>
            <w:r>
              <w:rPr>
                <w:rFonts w:hint="eastAsia"/>
                <w:color w:val="auto"/>
                <w:sz w:val="24"/>
                <w:szCs w:val="24"/>
                <w:lang w:eastAsia="zh-CN"/>
              </w:rPr>
              <w:t>排水</w:t>
            </w:r>
          </w:p>
          <w:p>
            <w:pPr>
              <w:adjustRightInd w:val="0"/>
              <w:snapToGrid w:val="0"/>
              <w:spacing w:line="360" w:lineRule="auto"/>
              <w:ind w:firstLine="480" w:firstLineChars="200"/>
              <w:rPr>
                <w:rFonts w:hint="default"/>
                <w:color w:val="auto"/>
                <w:lang w:val="en-US" w:eastAsia="zh-CN"/>
              </w:rPr>
            </w:pPr>
            <w:r>
              <w:rPr>
                <w:rFonts w:hint="eastAsia" w:ascii="Times New Roman" w:hAnsi="Times New Roman" w:eastAsia="宋体" w:cs="Times New Roman"/>
                <w:color w:val="auto"/>
                <w:sz w:val="24"/>
                <w:szCs w:val="24"/>
                <w:lang w:eastAsia="zh-CN"/>
              </w:rPr>
              <w:t>废水量按照用水量的</w:t>
            </w:r>
            <w:r>
              <w:rPr>
                <w:rFonts w:hint="eastAsia" w:ascii="Times New Roman" w:hAnsi="Times New Roman" w:eastAsia="宋体" w:cs="Times New Roman"/>
                <w:color w:val="auto"/>
                <w:sz w:val="24"/>
                <w:szCs w:val="24"/>
                <w:lang w:val="en-US" w:eastAsia="zh-CN"/>
              </w:rPr>
              <w:t>80%计，则废水产生量分别为</w:t>
            </w:r>
            <w:r>
              <w:rPr>
                <w:rFonts w:hint="eastAsia" w:ascii="Times New Roman" w:hAnsi="Times New Roman" w:eastAsia="宋体" w:cs="Times New Roman"/>
                <w:color w:val="auto"/>
                <w:sz w:val="24"/>
                <w:szCs w:val="24"/>
                <w:lang w:eastAsia="zh-CN"/>
              </w:rPr>
              <w:t>行政办公人员生活污水</w:t>
            </w:r>
            <w:r>
              <w:rPr>
                <w:rFonts w:hint="eastAsia" w:cs="Times New Roman"/>
                <w:color w:val="auto"/>
                <w:sz w:val="24"/>
                <w:szCs w:val="24"/>
                <w:lang w:val="en-US" w:eastAsia="zh-CN"/>
              </w:rPr>
              <w:t>420</w:t>
            </w:r>
            <w:r>
              <w:rPr>
                <w:rFonts w:hint="eastAsia"/>
                <w:color w:val="auto"/>
                <w:sz w:val="24"/>
                <w:szCs w:val="24"/>
                <w:lang w:val="en-US" w:eastAsia="zh-CN"/>
              </w:rPr>
              <w:t>m</w:t>
            </w:r>
            <w:r>
              <w:rPr>
                <w:rFonts w:hint="eastAsia"/>
                <w:color w:val="auto"/>
                <w:sz w:val="24"/>
                <w:szCs w:val="24"/>
                <w:vertAlign w:val="superscript"/>
                <w:lang w:val="en-US" w:eastAsia="zh-CN"/>
              </w:rPr>
              <w:t>3</w:t>
            </w:r>
            <w:r>
              <w:rPr>
                <w:rFonts w:hint="eastAsia"/>
                <w:color w:val="auto"/>
                <w:sz w:val="24"/>
                <w:szCs w:val="24"/>
                <w:lang w:val="en-US" w:eastAsia="zh-CN"/>
              </w:rPr>
              <w:t>/a</w:t>
            </w:r>
            <w:r>
              <w:rPr>
                <w:rFonts w:hint="eastAsia" w:ascii="Times New Roman" w:hAnsi="Times New Roman" w:eastAsia="宋体" w:cs="Times New Roman"/>
                <w:color w:val="auto"/>
                <w:sz w:val="24"/>
                <w:szCs w:val="24"/>
                <w:lang w:val="en-US" w:eastAsia="zh-CN"/>
              </w:rPr>
              <w:t>，门诊废水560t/a，医护人员生活污水700.8t/a，病房废水2452.8t/a，检验废水9t/a。行政办公人员生活污水、医护人员生活污水、病房废水均经过化粪池处理后进入医院污水处理站处理，门诊废水、检验废水直接进入污水处理站处理，废水经过污水处理站处理达标后排入市政管网，进入西安市第一污水处理厂一期处理。</w:t>
            </w:r>
          </w:p>
          <w:bookmarkEnd w:id="3"/>
          <w:p>
            <w:pPr>
              <w:adjustRightInd w:val="0"/>
              <w:snapToGrid w:val="0"/>
              <w:spacing w:line="360" w:lineRule="auto"/>
              <w:ind w:firstLine="480" w:firstLineChars="200"/>
              <w:rPr>
                <w:color w:val="auto"/>
                <w:sz w:val="24"/>
                <w:szCs w:val="24"/>
              </w:rPr>
            </w:pPr>
            <w:r>
              <w:rPr>
                <w:color w:val="auto"/>
                <w:sz w:val="24"/>
                <w:szCs w:val="24"/>
              </w:rPr>
              <w:t>本项目给排水平衡</w:t>
            </w:r>
            <w:r>
              <w:rPr>
                <w:rFonts w:hint="eastAsia"/>
                <w:color w:val="auto"/>
                <w:sz w:val="24"/>
                <w:szCs w:val="24"/>
                <w:lang w:eastAsia="zh-CN"/>
              </w:rPr>
              <w:t>图</w:t>
            </w:r>
            <w:r>
              <w:rPr>
                <w:color w:val="auto"/>
                <w:sz w:val="24"/>
                <w:szCs w:val="24"/>
              </w:rPr>
              <w:t>见图2-1</w:t>
            </w:r>
            <w:r>
              <w:rPr>
                <w:rFonts w:hint="eastAsia"/>
                <w:color w:val="auto"/>
                <w:sz w:val="24"/>
                <w:szCs w:val="24"/>
                <w:lang w:eastAsia="zh-CN"/>
              </w:rPr>
              <w:t>，水平衡表见表</w:t>
            </w:r>
            <w:r>
              <w:rPr>
                <w:rFonts w:hint="eastAsia"/>
                <w:color w:val="auto"/>
                <w:sz w:val="24"/>
                <w:szCs w:val="24"/>
                <w:lang w:val="en-US" w:eastAsia="zh-CN"/>
              </w:rPr>
              <w:t>2-4</w:t>
            </w:r>
            <w:r>
              <w:rPr>
                <w:color w:val="auto"/>
                <w:sz w:val="24"/>
                <w:szCs w:val="24"/>
              </w:rPr>
              <w:t>。</w:t>
            </w:r>
          </w:p>
          <w:p>
            <w:pPr>
              <w:jc w:val="center"/>
              <w:rPr>
                <w:rFonts w:ascii="Times New Roman" w:hAnsi="Times New Roman" w:eastAsia="宋体"/>
                <w:b/>
                <w:color w:val="auto"/>
                <w:szCs w:val="18"/>
              </w:rPr>
            </w:pPr>
            <w:r>
              <w:rPr>
                <w:rFonts w:ascii="Times New Roman" w:hAnsi="Times New Roman" w:eastAsia="宋体"/>
                <w:b/>
                <w:color w:val="auto"/>
                <w:szCs w:val="18"/>
              </w:rPr>
              <w:t>表2-</w:t>
            </w:r>
            <w:r>
              <w:rPr>
                <w:rFonts w:hint="eastAsia" w:ascii="Times New Roman" w:hAnsi="Times New Roman" w:eastAsia="宋体"/>
                <w:b/>
                <w:color w:val="auto"/>
                <w:szCs w:val="18"/>
                <w:lang w:val="en-US" w:eastAsia="zh-CN"/>
              </w:rPr>
              <w:t>4</w:t>
            </w:r>
            <w:r>
              <w:rPr>
                <w:rFonts w:ascii="Times New Roman" w:hAnsi="Times New Roman" w:eastAsia="宋体"/>
                <w:b/>
                <w:color w:val="auto"/>
                <w:szCs w:val="18"/>
              </w:rPr>
              <w:t xml:space="preserve">  本项目</w:t>
            </w:r>
            <w:r>
              <w:rPr>
                <w:rFonts w:hint="eastAsia" w:ascii="Times New Roman" w:hAnsi="Times New Roman" w:eastAsia="宋体"/>
                <w:b/>
                <w:color w:val="auto"/>
                <w:szCs w:val="18"/>
                <w:lang w:eastAsia="zh-CN"/>
              </w:rPr>
              <w:t>水平衡</w:t>
            </w:r>
            <w:r>
              <w:rPr>
                <w:rFonts w:ascii="Times New Roman" w:hAnsi="Times New Roman" w:eastAsia="宋体"/>
                <w:b/>
                <w:color w:val="auto"/>
                <w:szCs w:val="18"/>
              </w:rPr>
              <w:t>表  单位：m</w:t>
            </w:r>
            <w:r>
              <w:rPr>
                <w:rFonts w:ascii="Times New Roman" w:hAnsi="Times New Roman" w:eastAsia="宋体"/>
                <w:b/>
                <w:color w:val="auto"/>
                <w:szCs w:val="18"/>
                <w:vertAlign w:val="superscript"/>
              </w:rPr>
              <w:t>3</w:t>
            </w:r>
            <w:r>
              <w:rPr>
                <w:rFonts w:ascii="Times New Roman" w:hAnsi="Times New Roman" w:eastAsia="宋体"/>
                <w:b/>
                <w:color w:val="auto"/>
                <w:szCs w:val="18"/>
              </w:rPr>
              <w:t>/d</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
              <w:gridCol w:w="1482"/>
              <w:gridCol w:w="2193"/>
              <w:gridCol w:w="1500"/>
              <w:gridCol w:w="1500"/>
              <w:gridCol w:w="14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trPr>
              <w:tc>
                <w:tcPr>
                  <w:tcW w:w="513" w:type="pct"/>
                  <w:vAlign w:val="center"/>
                </w:tcPr>
                <w:p>
                  <w:pPr>
                    <w:jc w:val="center"/>
                    <w:rPr>
                      <w:rFonts w:ascii="Times New Roman" w:hAnsi="Times New Roman" w:eastAsia="宋体"/>
                      <w:color w:val="auto"/>
                      <w:sz w:val="21"/>
                      <w:szCs w:val="21"/>
                    </w:rPr>
                  </w:pPr>
                  <w:r>
                    <w:rPr>
                      <w:rFonts w:ascii="Times New Roman" w:hAnsi="Times New Roman" w:eastAsia="宋体"/>
                      <w:color w:val="auto"/>
                      <w:sz w:val="21"/>
                      <w:szCs w:val="21"/>
                    </w:rPr>
                    <w:t>序号</w:t>
                  </w:r>
                </w:p>
              </w:tc>
              <w:tc>
                <w:tcPr>
                  <w:tcW w:w="2037" w:type="pct"/>
                  <w:gridSpan w:val="2"/>
                  <w:vAlign w:val="center"/>
                </w:tcPr>
                <w:p>
                  <w:pPr>
                    <w:jc w:val="center"/>
                    <w:rPr>
                      <w:rFonts w:ascii="Times New Roman" w:hAnsi="Times New Roman" w:eastAsia="宋体"/>
                      <w:color w:val="auto"/>
                      <w:sz w:val="21"/>
                      <w:szCs w:val="21"/>
                    </w:rPr>
                  </w:pPr>
                  <w:r>
                    <w:rPr>
                      <w:rFonts w:ascii="Times New Roman" w:hAnsi="Times New Roman" w:eastAsia="宋体"/>
                      <w:color w:val="auto"/>
                      <w:sz w:val="21"/>
                      <w:szCs w:val="21"/>
                    </w:rPr>
                    <w:t>项目</w:t>
                  </w:r>
                </w:p>
              </w:tc>
              <w:tc>
                <w:tcPr>
                  <w:tcW w:w="832" w:type="pct"/>
                  <w:vAlign w:val="center"/>
                </w:tcPr>
                <w:p>
                  <w:pPr>
                    <w:jc w:val="center"/>
                    <w:rPr>
                      <w:rFonts w:ascii="Times New Roman" w:hAnsi="Times New Roman" w:eastAsia="宋体"/>
                      <w:color w:val="auto"/>
                      <w:sz w:val="21"/>
                      <w:szCs w:val="21"/>
                    </w:rPr>
                  </w:pPr>
                  <w:r>
                    <w:rPr>
                      <w:rFonts w:ascii="Times New Roman" w:hAnsi="Times New Roman" w:eastAsia="宋体"/>
                      <w:color w:val="auto"/>
                      <w:sz w:val="21"/>
                      <w:szCs w:val="21"/>
                    </w:rPr>
                    <w:t>新鲜水用量</w:t>
                  </w:r>
                </w:p>
              </w:tc>
              <w:tc>
                <w:tcPr>
                  <w:tcW w:w="832" w:type="pct"/>
                  <w:vAlign w:val="center"/>
                </w:tcPr>
                <w:p>
                  <w:pPr>
                    <w:jc w:val="center"/>
                    <w:rPr>
                      <w:rFonts w:ascii="Times New Roman" w:hAnsi="Times New Roman" w:eastAsia="宋体"/>
                      <w:color w:val="auto"/>
                      <w:sz w:val="21"/>
                      <w:szCs w:val="21"/>
                    </w:rPr>
                  </w:pPr>
                  <w:r>
                    <w:rPr>
                      <w:rFonts w:ascii="Times New Roman" w:hAnsi="Times New Roman" w:eastAsia="宋体"/>
                      <w:color w:val="auto"/>
                      <w:sz w:val="21"/>
                      <w:szCs w:val="21"/>
                    </w:rPr>
                    <w:t>损耗量</w:t>
                  </w:r>
                </w:p>
              </w:tc>
              <w:tc>
                <w:tcPr>
                  <w:tcW w:w="783" w:type="pct"/>
                  <w:vAlign w:val="center"/>
                </w:tcPr>
                <w:p>
                  <w:pPr>
                    <w:jc w:val="center"/>
                    <w:rPr>
                      <w:rFonts w:ascii="Times New Roman" w:hAnsi="Times New Roman" w:eastAsia="宋体"/>
                      <w:color w:val="auto"/>
                      <w:sz w:val="21"/>
                      <w:szCs w:val="21"/>
                    </w:rPr>
                  </w:pPr>
                  <w:r>
                    <w:rPr>
                      <w:rFonts w:ascii="Times New Roman" w:hAnsi="Times New Roman" w:eastAsia="宋体"/>
                      <w:color w:val="auto"/>
                      <w:sz w:val="21"/>
                      <w:szCs w:val="21"/>
                    </w:rPr>
                    <w:t>排水量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 w:hRule="atLeast"/>
              </w:trPr>
              <w:tc>
                <w:tcPr>
                  <w:tcW w:w="513" w:type="pct"/>
                  <w:vAlign w:val="center"/>
                </w:tcPr>
                <w:p>
                  <w:pPr>
                    <w:jc w:val="center"/>
                    <w:rPr>
                      <w:rFonts w:ascii="Times New Roman" w:hAnsi="Times New Roman" w:eastAsia="宋体"/>
                      <w:color w:val="auto"/>
                      <w:sz w:val="21"/>
                      <w:szCs w:val="21"/>
                    </w:rPr>
                  </w:pPr>
                  <w:r>
                    <w:rPr>
                      <w:rFonts w:ascii="Times New Roman" w:hAnsi="Times New Roman" w:eastAsia="宋体"/>
                      <w:color w:val="auto"/>
                      <w:sz w:val="21"/>
                      <w:szCs w:val="21"/>
                    </w:rPr>
                    <w:t>1</w:t>
                  </w:r>
                </w:p>
              </w:tc>
              <w:tc>
                <w:tcPr>
                  <w:tcW w:w="822" w:type="pct"/>
                  <w:vAlign w:val="center"/>
                </w:tcPr>
                <w:p>
                  <w:pPr>
                    <w:jc w:val="center"/>
                    <w:rPr>
                      <w:rFonts w:hint="eastAsia" w:ascii="Times New Roman" w:hAnsi="Times New Roman" w:eastAsia="宋体"/>
                      <w:color w:val="auto"/>
                      <w:sz w:val="21"/>
                      <w:szCs w:val="21"/>
                      <w:lang w:eastAsia="zh-CN"/>
                    </w:rPr>
                  </w:pPr>
                  <w:r>
                    <w:rPr>
                      <w:rFonts w:hint="eastAsia" w:ascii="Times New Roman" w:hAnsi="Times New Roman" w:eastAsia="宋体"/>
                      <w:color w:val="auto"/>
                      <w:sz w:val="21"/>
                      <w:szCs w:val="21"/>
                      <w:lang w:eastAsia="zh-CN"/>
                    </w:rPr>
                    <w:t>行政办公</w:t>
                  </w:r>
                </w:p>
              </w:tc>
              <w:tc>
                <w:tcPr>
                  <w:tcW w:w="1215" w:type="pct"/>
                  <w:vAlign w:val="center"/>
                </w:tcPr>
                <w:p>
                  <w:pPr>
                    <w:jc w:val="center"/>
                    <w:rPr>
                      <w:rFonts w:hint="eastAsia" w:ascii="Times New Roman" w:hAnsi="Times New Roman" w:eastAsia="宋体"/>
                      <w:color w:val="auto"/>
                      <w:sz w:val="21"/>
                      <w:szCs w:val="21"/>
                      <w:lang w:eastAsia="zh-CN"/>
                    </w:rPr>
                  </w:pPr>
                  <w:r>
                    <w:rPr>
                      <w:rFonts w:hint="eastAsia" w:ascii="Times New Roman" w:hAnsi="Times New Roman" w:eastAsia="宋体"/>
                      <w:color w:val="auto"/>
                      <w:sz w:val="21"/>
                      <w:szCs w:val="21"/>
                      <w:lang w:eastAsia="zh-CN"/>
                    </w:rPr>
                    <w:t>生活用水</w:t>
                  </w:r>
                </w:p>
              </w:tc>
              <w:tc>
                <w:tcPr>
                  <w:tcW w:w="832" w:type="pct"/>
                  <w:vAlign w:val="center"/>
                </w:tcPr>
                <w:p>
                  <w:pPr>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1.44</w:t>
                  </w:r>
                </w:p>
              </w:tc>
              <w:tc>
                <w:tcPr>
                  <w:tcW w:w="832" w:type="pct"/>
                  <w:vAlign w:val="center"/>
                </w:tcPr>
                <w:p>
                  <w:pPr>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0.</w:t>
                  </w:r>
                  <w:r>
                    <w:rPr>
                      <w:rFonts w:hint="eastAsia"/>
                      <w:color w:val="auto"/>
                      <w:sz w:val="21"/>
                      <w:szCs w:val="21"/>
                      <w:lang w:val="en-US" w:eastAsia="zh-CN"/>
                    </w:rPr>
                    <w:t>29</w:t>
                  </w:r>
                </w:p>
              </w:tc>
              <w:tc>
                <w:tcPr>
                  <w:tcW w:w="783" w:type="pct"/>
                  <w:vAlign w:val="center"/>
                </w:tcPr>
                <w:p>
                  <w:pPr>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3" w:type="pct"/>
                  <w:vAlign w:val="center"/>
                </w:tcPr>
                <w:p>
                  <w:pPr>
                    <w:jc w:val="center"/>
                    <w:rPr>
                      <w:rFonts w:ascii="Times New Roman" w:hAnsi="Times New Roman" w:eastAsia="宋体"/>
                      <w:color w:val="auto"/>
                      <w:sz w:val="21"/>
                      <w:szCs w:val="21"/>
                    </w:rPr>
                  </w:pPr>
                  <w:r>
                    <w:rPr>
                      <w:rFonts w:ascii="Times New Roman" w:hAnsi="Times New Roman" w:eastAsia="宋体"/>
                      <w:color w:val="auto"/>
                      <w:sz w:val="21"/>
                      <w:szCs w:val="21"/>
                    </w:rPr>
                    <w:t>2</w:t>
                  </w:r>
                </w:p>
              </w:tc>
              <w:tc>
                <w:tcPr>
                  <w:tcW w:w="822" w:type="pct"/>
                  <w:vMerge w:val="restart"/>
                  <w:vAlign w:val="center"/>
                </w:tcPr>
                <w:p>
                  <w:pPr>
                    <w:jc w:val="center"/>
                    <w:rPr>
                      <w:rFonts w:hint="eastAsia" w:ascii="Times New Roman" w:hAnsi="Times New Roman" w:eastAsia="宋体"/>
                      <w:color w:val="auto"/>
                      <w:sz w:val="21"/>
                      <w:szCs w:val="21"/>
                      <w:lang w:eastAsia="zh-CN"/>
                    </w:rPr>
                  </w:pPr>
                  <w:r>
                    <w:rPr>
                      <w:rFonts w:hint="eastAsia" w:ascii="Times New Roman" w:hAnsi="Times New Roman" w:eastAsia="宋体"/>
                      <w:color w:val="auto"/>
                      <w:sz w:val="21"/>
                      <w:szCs w:val="21"/>
                      <w:lang w:eastAsia="zh-CN"/>
                    </w:rPr>
                    <w:t>病区医疗用水</w:t>
                  </w:r>
                </w:p>
              </w:tc>
              <w:tc>
                <w:tcPr>
                  <w:tcW w:w="1215" w:type="pct"/>
                  <w:vAlign w:val="center"/>
                </w:tcPr>
                <w:p>
                  <w:pPr>
                    <w:jc w:val="center"/>
                    <w:rPr>
                      <w:rFonts w:ascii="Times New Roman" w:hAnsi="Times New Roman" w:eastAsia="宋体"/>
                      <w:color w:val="auto"/>
                      <w:sz w:val="21"/>
                      <w:szCs w:val="21"/>
                    </w:rPr>
                  </w:pPr>
                  <w:r>
                    <w:rPr>
                      <w:bCs/>
                      <w:color w:val="auto"/>
                      <w:sz w:val="21"/>
                      <w:szCs w:val="21"/>
                    </w:rPr>
                    <w:t>门诊用水</w:t>
                  </w:r>
                </w:p>
              </w:tc>
              <w:tc>
                <w:tcPr>
                  <w:tcW w:w="832" w:type="pct"/>
                  <w:vAlign w:val="center"/>
                </w:tcPr>
                <w:p>
                  <w:pPr>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1.92</w:t>
                  </w:r>
                </w:p>
              </w:tc>
              <w:tc>
                <w:tcPr>
                  <w:tcW w:w="832" w:type="pct"/>
                  <w:vAlign w:val="center"/>
                </w:tcPr>
                <w:p>
                  <w:pPr>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0.39</w:t>
                  </w:r>
                </w:p>
              </w:tc>
              <w:tc>
                <w:tcPr>
                  <w:tcW w:w="783" w:type="pct"/>
                  <w:vAlign w:val="center"/>
                </w:tcPr>
                <w:p>
                  <w:pPr>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1.53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 w:hRule="atLeast"/>
              </w:trPr>
              <w:tc>
                <w:tcPr>
                  <w:tcW w:w="513" w:type="pct"/>
                  <w:vAlign w:val="center"/>
                </w:tcPr>
                <w:p>
                  <w:pPr>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3</w:t>
                  </w:r>
                </w:p>
              </w:tc>
              <w:tc>
                <w:tcPr>
                  <w:tcW w:w="822" w:type="pct"/>
                  <w:vMerge w:val="continue"/>
                  <w:vAlign w:val="center"/>
                </w:tcPr>
                <w:p>
                  <w:pPr>
                    <w:jc w:val="center"/>
                    <w:rPr>
                      <w:rFonts w:hint="eastAsia" w:ascii="Times New Roman" w:hAnsi="Times New Roman" w:eastAsia="宋体"/>
                      <w:color w:val="auto"/>
                      <w:sz w:val="21"/>
                      <w:szCs w:val="21"/>
                      <w:lang w:eastAsia="zh-CN"/>
                    </w:rPr>
                  </w:pPr>
                </w:p>
              </w:tc>
              <w:tc>
                <w:tcPr>
                  <w:tcW w:w="1215" w:type="pct"/>
                  <w:vAlign w:val="center"/>
                </w:tcPr>
                <w:p>
                  <w:pPr>
                    <w:jc w:val="center"/>
                    <w:rPr>
                      <w:bCs/>
                      <w:color w:val="auto"/>
                      <w:sz w:val="21"/>
                      <w:szCs w:val="21"/>
                    </w:rPr>
                  </w:pPr>
                  <w:r>
                    <w:rPr>
                      <w:bCs/>
                      <w:color w:val="auto"/>
                      <w:sz w:val="21"/>
                      <w:szCs w:val="21"/>
                    </w:rPr>
                    <w:t>医护人员生活用水</w:t>
                  </w:r>
                </w:p>
              </w:tc>
              <w:tc>
                <w:tcPr>
                  <w:tcW w:w="832" w:type="pct"/>
                  <w:vAlign w:val="center"/>
                </w:tcPr>
                <w:p>
                  <w:pPr>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2.4</w:t>
                  </w:r>
                </w:p>
              </w:tc>
              <w:tc>
                <w:tcPr>
                  <w:tcW w:w="832" w:type="pct"/>
                  <w:vAlign w:val="center"/>
                </w:tcPr>
                <w:p>
                  <w:pPr>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0.48</w:t>
                  </w:r>
                </w:p>
              </w:tc>
              <w:tc>
                <w:tcPr>
                  <w:tcW w:w="783" w:type="pct"/>
                  <w:vAlign w:val="center"/>
                </w:tcPr>
                <w:p>
                  <w:pPr>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 w:hRule="atLeast"/>
              </w:trPr>
              <w:tc>
                <w:tcPr>
                  <w:tcW w:w="513" w:type="pct"/>
                  <w:vAlign w:val="center"/>
                </w:tcPr>
                <w:p>
                  <w:pPr>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4</w:t>
                  </w:r>
                </w:p>
              </w:tc>
              <w:tc>
                <w:tcPr>
                  <w:tcW w:w="822" w:type="pct"/>
                  <w:vMerge w:val="continue"/>
                  <w:vAlign w:val="center"/>
                </w:tcPr>
                <w:p>
                  <w:pPr>
                    <w:jc w:val="center"/>
                    <w:rPr>
                      <w:rFonts w:hint="eastAsia" w:ascii="Times New Roman" w:hAnsi="Times New Roman" w:eastAsia="宋体"/>
                      <w:color w:val="auto"/>
                      <w:sz w:val="21"/>
                      <w:szCs w:val="21"/>
                      <w:lang w:eastAsia="zh-CN"/>
                    </w:rPr>
                  </w:pPr>
                </w:p>
              </w:tc>
              <w:tc>
                <w:tcPr>
                  <w:tcW w:w="1215" w:type="pct"/>
                  <w:vAlign w:val="center"/>
                </w:tcPr>
                <w:p>
                  <w:pPr>
                    <w:jc w:val="center"/>
                    <w:rPr>
                      <w:bCs/>
                      <w:color w:val="auto"/>
                      <w:sz w:val="21"/>
                      <w:szCs w:val="21"/>
                    </w:rPr>
                  </w:pPr>
                  <w:r>
                    <w:rPr>
                      <w:bCs/>
                      <w:color w:val="auto"/>
                      <w:sz w:val="21"/>
                      <w:szCs w:val="21"/>
                    </w:rPr>
                    <w:t>病房用水</w:t>
                  </w:r>
                </w:p>
              </w:tc>
              <w:tc>
                <w:tcPr>
                  <w:tcW w:w="832" w:type="pct"/>
                  <w:vAlign w:val="center"/>
                </w:tcPr>
                <w:p>
                  <w:pPr>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8.4</w:t>
                  </w:r>
                </w:p>
              </w:tc>
              <w:tc>
                <w:tcPr>
                  <w:tcW w:w="832" w:type="pct"/>
                  <w:vAlign w:val="center"/>
                </w:tcPr>
                <w:p>
                  <w:pPr>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1.68</w:t>
                  </w:r>
                </w:p>
              </w:tc>
              <w:tc>
                <w:tcPr>
                  <w:tcW w:w="783" w:type="pct"/>
                  <w:vAlign w:val="center"/>
                </w:tcPr>
                <w:p>
                  <w:pPr>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6.72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 w:hRule="atLeast"/>
              </w:trPr>
              <w:tc>
                <w:tcPr>
                  <w:tcW w:w="513" w:type="pct"/>
                  <w:vAlign w:val="center"/>
                </w:tcPr>
                <w:p>
                  <w:pPr>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5</w:t>
                  </w:r>
                </w:p>
              </w:tc>
              <w:tc>
                <w:tcPr>
                  <w:tcW w:w="822" w:type="pct"/>
                  <w:vMerge w:val="continue"/>
                  <w:vAlign w:val="center"/>
                </w:tcPr>
                <w:p>
                  <w:pPr>
                    <w:jc w:val="center"/>
                    <w:rPr>
                      <w:rFonts w:hint="eastAsia" w:ascii="Times New Roman" w:hAnsi="Times New Roman" w:eastAsia="宋体"/>
                      <w:color w:val="auto"/>
                      <w:sz w:val="21"/>
                      <w:szCs w:val="21"/>
                      <w:lang w:eastAsia="zh-CN"/>
                    </w:rPr>
                  </w:pPr>
                </w:p>
              </w:tc>
              <w:tc>
                <w:tcPr>
                  <w:tcW w:w="1215" w:type="pct"/>
                  <w:vAlign w:val="center"/>
                </w:tcPr>
                <w:p>
                  <w:pPr>
                    <w:jc w:val="center"/>
                    <w:rPr>
                      <w:bCs/>
                      <w:color w:val="auto"/>
                      <w:sz w:val="21"/>
                      <w:szCs w:val="21"/>
                    </w:rPr>
                  </w:pPr>
                  <w:r>
                    <w:rPr>
                      <w:bCs/>
                      <w:color w:val="auto"/>
                      <w:sz w:val="21"/>
                      <w:szCs w:val="21"/>
                    </w:rPr>
                    <w:t>检验废水</w:t>
                  </w:r>
                </w:p>
              </w:tc>
              <w:tc>
                <w:tcPr>
                  <w:tcW w:w="832" w:type="pct"/>
                  <w:vAlign w:val="center"/>
                </w:tcPr>
                <w:p>
                  <w:pPr>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0.03</w:t>
                  </w:r>
                </w:p>
              </w:tc>
              <w:tc>
                <w:tcPr>
                  <w:tcW w:w="832" w:type="pct"/>
                  <w:vAlign w:val="center"/>
                </w:tcPr>
                <w:p>
                  <w:pPr>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0.01</w:t>
                  </w:r>
                </w:p>
              </w:tc>
              <w:tc>
                <w:tcPr>
                  <w:tcW w:w="783" w:type="pct"/>
                  <w:vAlign w:val="center"/>
                </w:tcPr>
                <w:p>
                  <w:pPr>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 w:hRule="atLeast"/>
              </w:trPr>
              <w:tc>
                <w:tcPr>
                  <w:tcW w:w="2551" w:type="pct"/>
                  <w:gridSpan w:val="3"/>
                  <w:vAlign w:val="center"/>
                </w:tcPr>
                <w:p>
                  <w:pPr>
                    <w:jc w:val="center"/>
                    <w:rPr>
                      <w:rFonts w:ascii="Times New Roman" w:hAnsi="Times New Roman" w:eastAsia="宋体"/>
                      <w:color w:val="auto"/>
                      <w:sz w:val="21"/>
                      <w:szCs w:val="21"/>
                    </w:rPr>
                  </w:pPr>
                  <w:r>
                    <w:rPr>
                      <w:rFonts w:ascii="Times New Roman" w:hAnsi="Times New Roman" w:eastAsia="宋体"/>
                      <w:color w:val="auto"/>
                      <w:sz w:val="21"/>
                      <w:szCs w:val="21"/>
                    </w:rPr>
                    <w:t>合计</w:t>
                  </w:r>
                </w:p>
              </w:tc>
              <w:tc>
                <w:tcPr>
                  <w:tcW w:w="832" w:type="pct"/>
                  <w:vAlign w:val="center"/>
                </w:tcPr>
                <w:p>
                  <w:pPr>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14.19</w:t>
                  </w:r>
                </w:p>
              </w:tc>
              <w:tc>
                <w:tcPr>
                  <w:tcW w:w="832" w:type="pct"/>
                  <w:vAlign w:val="center"/>
                </w:tcPr>
                <w:p>
                  <w:pPr>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2.85</w:t>
                  </w:r>
                </w:p>
              </w:tc>
              <w:tc>
                <w:tcPr>
                  <w:tcW w:w="783" w:type="pct"/>
                  <w:vAlign w:val="center"/>
                </w:tcPr>
                <w:p>
                  <w:pPr>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11.34</w:t>
                  </w:r>
                </w:p>
              </w:tc>
            </w:tr>
          </w:tbl>
          <w:p>
            <w:pPr>
              <w:jc w:val="center"/>
              <w:rPr>
                <w:rFonts w:ascii="Times New Roman" w:hAnsi="Times New Roman" w:eastAsia="宋体"/>
                <w:b/>
                <w:color w:val="auto"/>
                <w:szCs w:val="18"/>
              </w:rPr>
            </w:pPr>
            <w:r>
              <w:rPr>
                <w:rFonts w:hint="eastAsia" w:eastAsia="宋体"/>
                <w:color w:val="auto"/>
                <w:sz w:val="24"/>
                <w:szCs w:val="24"/>
                <w:lang w:eastAsia="zh-CN"/>
              </w:rPr>
              <w:drawing>
                <wp:inline distT="0" distB="0" distL="114300" distR="114300">
                  <wp:extent cx="4083050" cy="3846195"/>
                  <wp:effectExtent l="0" t="0" r="0" b="0"/>
                  <wp:docPr id="2" name="ECB019B1-382A-4266-B25C-5B523AA43C14-1" descr="C:/Users/Administrator/AppData/Local/Temp/wps.tfUCMv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CB019B1-382A-4266-B25C-5B523AA43C14-1" descr="C:/Users/Administrator/AppData/Local/Temp/wps.tfUCMvwps"/>
                          <pic:cNvPicPr>
                            <a:picLocks noChangeAspect="1"/>
                          </pic:cNvPicPr>
                        </pic:nvPicPr>
                        <pic:blipFill>
                          <a:blip r:embed="rId15"/>
                          <a:stretch>
                            <a:fillRect/>
                          </a:stretch>
                        </pic:blipFill>
                        <pic:spPr>
                          <a:xfrm>
                            <a:off x="0" y="0"/>
                            <a:ext cx="4083050" cy="3846195"/>
                          </a:xfrm>
                          <a:prstGeom prst="rect">
                            <a:avLst/>
                          </a:prstGeom>
                        </pic:spPr>
                      </pic:pic>
                    </a:graphicData>
                  </a:graphic>
                </wp:inline>
              </w:drawing>
            </w:r>
          </w:p>
          <w:p>
            <w:pPr>
              <w:adjustRightInd w:val="0"/>
              <w:snapToGrid w:val="0"/>
              <w:spacing w:line="360" w:lineRule="auto"/>
              <w:ind w:firstLine="2"/>
              <w:jc w:val="center"/>
              <w:rPr>
                <w:b/>
                <w:color w:val="auto"/>
                <w:sz w:val="21"/>
                <w:szCs w:val="21"/>
              </w:rPr>
            </w:pPr>
            <w:r>
              <w:rPr>
                <w:b/>
                <w:bCs/>
                <w:color w:val="auto"/>
                <w:sz w:val="21"/>
                <w:szCs w:val="21"/>
              </w:rPr>
              <w:t>图2-1 本项目营运期</w:t>
            </w:r>
            <w:r>
              <w:rPr>
                <w:b/>
                <w:color w:val="auto"/>
                <w:sz w:val="21"/>
                <w:szCs w:val="21"/>
              </w:rPr>
              <w:t>水平衡图（单位：t/a）</w:t>
            </w:r>
          </w:p>
          <w:p>
            <w:pPr>
              <w:autoSpaceDE w:val="0"/>
              <w:autoSpaceDN w:val="0"/>
              <w:adjustRightInd w:val="0"/>
              <w:spacing w:line="360" w:lineRule="auto"/>
              <w:ind w:firstLine="482" w:firstLineChars="200"/>
              <w:jc w:val="left"/>
              <w:rPr>
                <w:b/>
                <w:color w:val="auto"/>
                <w:kern w:val="0"/>
                <w:sz w:val="24"/>
                <w:szCs w:val="24"/>
              </w:rPr>
            </w:pPr>
            <w:r>
              <w:rPr>
                <w:rFonts w:hint="eastAsia"/>
                <w:b/>
                <w:color w:val="auto"/>
                <w:kern w:val="0"/>
                <w:sz w:val="24"/>
                <w:szCs w:val="24"/>
                <w:lang w:val="en-US" w:eastAsia="zh-CN"/>
              </w:rPr>
              <w:t>7、</w:t>
            </w:r>
            <w:r>
              <w:rPr>
                <w:rFonts w:hint="eastAsia"/>
                <w:b/>
                <w:color w:val="auto"/>
                <w:kern w:val="0"/>
                <w:sz w:val="24"/>
                <w:szCs w:val="24"/>
                <w:lang w:eastAsia="zh-CN"/>
              </w:rPr>
              <w:t>医院</w:t>
            </w:r>
            <w:r>
              <w:rPr>
                <w:b/>
                <w:color w:val="auto"/>
                <w:kern w:val="0"/>
                <w:sz w:val="24"/>
                <w:szCs w:val="24"/>
              </w:rPr>
              <w:t>平面布置</w:t>
            </w:r>
          </w:p>
          <w:p>
            <w:pPr>
              <w:spacing w:line="360" w:lineRule="auto"/>
              <w:ind w:firstLine="480" w:firstLineChars="200"/>
              <w:rPr>
                <w:color w:val="auto"/>
                <w:sz w:val="24"/>
                <w:szCs w:val="24"/>
              </w:rPr>
            </w:pPr>
            <w:r>
              <w:rPr>
                <w:color w:val="auto"/>
                <w:sz w:val="24"/>
                <w:szCs w:val="24"/>
              </w:rPr>
              <w:t>本项目位于</w:t>
            </w:r>
            <w:r>
              <w:rPr>
                <w:rFonts w:hint="eastAsia"/>
                <w:color w:val="auto"/>
                <w:sz w:val="24"/>
                <w:szCs w:val="24"/>
                <w:lang w:eastAsia="zh-CN"/>
              </w:rPr>
              <w:t>西安市莲湖区环城西路玉祥门盘道东南角</w:t>
            </w:r>
            <w:r>
              <w:rPr>
                <w:color w:val="auto"/>
                <w:sz w:val="24"/>
                <w:szCs w:val="24"/>
              </w:rPr>
              <w:t>，</w:t>
            </w:r>
            <w:r>
              <w:rPr>
                <w:rFonts w:hint="eastAsia"/>
                <w:color w:val="auto"/>
                <w:sz w:val="24"/>
                <w:szCs w:val="24"/>
                <w:lang w:eastAsia="zh-CN"/>
              </w:rPr>
              <w:t>项目主体为一栋四层</w:t>
            </w:r>
            <w:r>
              <w:rPr>
                <w:rFonts w:hint="eastAsia"/>
                <w:color w:val="auto"/>
                <w:sz w:val="24"/>
                <w:szCs w:val="24"/>
                <w:lang w:val="en-US" w:eastAsia="zh-CN"/>
              </w:rPr>
              <w:t>的门诊住院综合楼，一层主要为门诊区，二层主要为检验区，三层主要为手术室，四层为病房及办公区。污水处理站位于一层东南角，一体化污水处理设施位于污水处理站内，占地13m</w:t>
            </w:r>
            <w:r>
              <w:rPr>
                <w:rFonts w:hint="eastAsia"/>
                <w:color w:val="auto"/>
                <w:sz w:val="24"/>
                <w:szCs w:val="24"/>
                <w:vertAlign w:val="superscript"/>
                <w:lang w:val="en-US" w:eastAsia="zh-CN"/>
              </w:rPr>
              <w:t>2</w:t>
            </w:r>
            <w:r>
              <w:rPr>
                <w:rFonts w:hint="eastAsia"/>
                <w:color w:val="auto"/>
                <w:sz w:val="24"/>
                <w:szCs w:val="24"/>
                <w:lang w:val="en-US" w:eastAsia="zh-CN"/>
              </w:rPr>
              <w:t>，危废储存间位于一层，占地面积为19m</w:t>
            </w:r>
            <w:r>
              <w:rPr>
                <w:rFonts w:hint="eastAsia"/>
                <w:color w:val="auto"/>
                <w:sz w:val="24"/>
                <w:szCs w:val="24"/>
                <w:vertAlign w:val="superscript"/>
                <w:lang w:val="en-US" w:eastAsia="zh-CN"/>
              </w:rPr>
              <w:t>2</w:t>
            </w:r>
            <w:r>
              <w:rPr>
                <w:rFonts w:hint="eastAsia"/>
                <w:color w:val="auto"/>
                <w:sz w:val="24"/>
                <w:szCs w:val="24"/>
                <w:lang w:val="en-US" w:eastAsia="zh-CN"/>
              </w:rPr>
              <w:t>。</w:t>
            </w:r>
            <w:r>
              <w:rPr>
                <w:color w:val="auto"/>
                <w:sz w:val="24"/>
                <w:szCs w:val="24"/>
              </w:rPr>
              <w:t>本项目</w:t>
            </w:r>
            <w:r>
              <w:rPr>
                <w:rFonts w:hint="eastAsia"/>
                <w:color w:val="auto"/>
                <w:sz w:val="24"/>
                <w:szCs w:val="24"/>
                <w:lang w:eastAsia="zh-CN"/>
              </w:rPr>
              <w:t>院区</w:t>
            </w:r>
            <w:r>
              <w:rPr>
                <w:color w:val="auto"/>
                <w:sz w:val="24"/>
                <w:szCs w:val="24"/>
              </w:rPr>
              <w:t>的平面布置最大限度满足</w:t>
            </w:r>
            <w:r>
              <w:rPr>
                <w:rFonts w:hint="eastAsia"/>
                <w:color w:val="auto"/>
                <w:sz w:val="24"/>
                <w:szCs w:val="24"/>
                <w:lang w:eastAsia="zh-CN"/>
              </w:rPr>
              <w:t>医疗救助工作</w:t>
            </w:r>
            <w:r>
              <w:rPr>
                <w:color w:val="auto"/>
                <w:sz w:val="24"/>
                <w:szCs w:val="24"/>
              </w:rPr>
              <w:t>的要求，功能分区明确、合理，交通便利、水电气等设施完善。</w:t>
            </w:r>
            <w:r>
              <w:rPr>
                <w:rFonts w:hint="eastAsia" w:ascii="Times New Roman" w:hAnsi="Times New Roman" w:eastAsia="宋体" w:cs="Times New Roman"/>
                <w:b w:val="0"/>
                <w:bCs w:val="0"/>
                <w:color w:val="auto"/>
                <w:kern w:val="0"/>
                <w:sz w:val="24"/>
                <w:szCs w:val="24"/>
                <w:lang w:val="en-US" w:eastAsia="zh-CN" w:bidi="ar-SA"/>
              </w:rPr>
              <w:t>各楼层分别设置消防通道、消防器材等。项目总图布置功能分区明确，满足人、车及消防等需要</w:t>
            </w:r>
            <w:r>
              <w:rPr>
                <w:rFonts w:hint="eastAsia" w:ascii="Times New Roman" w:hAnsi="Times New Roman" w:eastAsia="宋体" w:cs="Times New Roman"/>
                <w:b w:val="0"/>
                <w:bCs w:val="0"/>
                <w:color w:val="auto"/>
                <w:kern w:val="0"/>
                <w:sz w:val="24"/>
                <w:szCs w:val="24"/>
                <w:lang w:val="zh-CN" w:eastAsia="zh-CN" w:bidi="ar-SA"/>
              </w:rPr>
              <w:t>。</w:t>
            </w:r>
            <w:r>
              <w:rPr>
                <w:rFonts w:hint="eastAsia"/>
                <w:color w:val="auto"/>
                <w:sz w:val="24"/>
                <w:szCs w:val="24"/>
              </w:rPr>
              <w:t>本项目</w:t>
            </w:r>
            <w:r>
              <w:rPr>
                <w:color w:val="auto"/>
                <w:sz w:val="24"/>
                <w:szCs w:val="24"/>
              </w:rPr>
              <w:t>平面布置图见附图3。</w:t>
            </w:r>
          </w:p>
          <w:p>
            <w:pPr>
              <w:spacing w:line="360" w:lineRule="auto"/>
              <w:ind w:firstLine="506" w:firstLineChars="200"/>
              <w:rPr>
                <w:b/>
                <w:color w:val="auto"/>
                <w:spacing w:val="6"/>
                <w:kern w:val="0"/>
                <w:sz w:val="24"/>
                <w:szCs w:val="24"/>
              </w:rPr>
            </w:pPr>
            <w:r>
              <w:rPr>
                <w:rFonts w:hint="eastAsia"/>
                <w:b/>
                <w:color w:val="auto"/>
                <w:spacing w:val="6"/>
                <w:kern w:val="0"/>
                <w:sz w:val="24"/>
                <w:szCs w:val="24"/>
                <w:lang w:val="en-US" w:eastAsia="zh-CN"/>
              </w:rPr>
              <w:t>8</w:t>
            </w:r>
            <w:r>
              <w:rPr>
                <w:b/>
                <w:color w:val="auto"/>
                <w:spacing w:val="6"/>
                <w:kern w:val="0"/>
                <w:sz w:val="24"/>
                <w:szCs w:val="24"/>
              </w:rPr>
              <w:t>、劳动定员及工作制度</w:t>
            </w:r>
          </w:p>
          <w:p>
            <w:pPr>
              <w:snapToGrid w:val="0"/>
              <w:spacing w:line="360" w:lineRule="auto"/>
              <w:ind w:firstLine="480" w:firstLineChars="200"/>
              <w:rPr>
                <w:bCs/>
                <w:color w:val="auto"/>
                <w:kern w:val="21"/>
                <w:sz w:val="24"/>
                <w:szCs w:val="24"/>
              </w:rPr>
            </w:pPr>
            <w:r>
              <w:rPr>
                <w:color w:val="auto"/>
                <w:sz w:val="24"/>
                <w:szCs w:val="24"/>
              </w:rPr>
              <w:t>本项目</w:t>
            </w:r>
            <w:r>
              <w:rPr>
                <w:rFonts w:hint="eastAsia"/>
                <w:color w:val="auto"/>
                <w:sz w:val="24"/>
                <w:szCs w:val="24"/>
                <w:lang w:eastAsia="zh-CN"/>
              </w:rPr>
              <w:t>行政人员</w:t>
            </w:r>
            <w:r>
              <w:rPr>
                <w:rFonts w:hint="eastAsia"/>
                <w:color w:val="auto"/>
                <w:sz w:val="24"/>
                <w:szCs w:val="24"/>
                <w:lang w:val="en-US" w:eastAsia="zh-CN"/>
              </w:rPr>
              <w:t>30人，医护人员40人。医院为24小时制，全年工作时间365天，</w:t>
            </w:r>
            <w:r>
              <w:rPr>
                <w:rFonts w:hint="eastAsia"/>
                <w:color w:val="auto"/>
                <w:sz w:val="24"/>
                <w:szCs w:val="24"/>
                <w:lang w:eastAsia="zh-CN"/>
              </w:rPr>
              <w:t>医院不设置食堂，不提供住宿</w:t>
            </w:r>
            <w:r>
              <w:rPr>
                <w:color w:val="auto"/>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59" w:type="pct"/>
            <w:vAlign w:val="center"/>
          </w:tcPr>
          <w:p>
            <w:pPr>
              <w:pStyle w:val="23"/>
              <w:adjustRightInd w:val="0"/>
              <w:snapToGrid w:val="0"/>
              <w:spacing w:before="0" w:beforeAutospacing="0" w:after="0" w:afterAutospacing="0"/>
              <w:jc w:val="both"/>
              <w:rPr>
                <w:rFonts w:ascii="Times New Roman" w:hAnsi="Times New Roman"/>
                <w:color w:val="auto"/>
                <w:kern w:val="21"/>
                <w:sz w:val="24"/>
                <w:szCs w:val="24"/>
              </w:rPr>
            </w:pPr>
            <w:r>
              <w:rPr>
                <w:rFonts w:hint="eastAsia" w:ascii="Times New Roman" w:hAnsi="Times New Roman"/>
                <w:color w:val="auto"/>
                <w:kern w:val="21"/>
                <w:sz w:val="24"/>
                <w:szCs w:val="24"/>
              </w:rPr>
              <w:t>工艺流程和产排污环节</w:t>
            </w:r>
          </w:p>
        </w:tc>
        <w:tc>
          <w:tcPr>
            <w:tcW w:w="4640" w:type="pct"/>
            <w:vAlign w:val="center"/>
          </w:tcPr>
          <w:p>
            <w:pPr>
              <w:widowControl/>
              <w:numPr>
                <w:ilvl w:val="0"/>
                <w:numId w:val="6"/>
              </w:numPr>
              <w:snapToGrid w:val="0"/>
              <w:spacing w:line="360" w:lineRule="auto"/>
              <w:ind w:firstLine="482" w:firstLineChars="200"/>
              <w:rPr>
                <w:rFonts w:hint="eastAsia"/>
                <w:b/>
                <w:bCs/>
                <w:color w:val="auto"/>
                <w:kern w:val="0"/>
                <w:sz w:val="24"/>
                <w:szCs w:val="24"/>
                <w:lang w:eastAsia="zh-CN"/>
              </w:rPr>
            </w:pPr>
            <w:r>
              <w:rPr>
                <w:rFonts w:hint="eastAsia"/>
                <w:b/>
                <w:bCs/>
                <w:color w:val="auto"/>
                <w:kern w:val="0"/>
                <w:sz w:val="24"/>
                <w:szCs w:val="24"/>
                <w:lang w:eastAsia="zh-CN"/>
              </w:rPr>
              <w:t>施工期</w:t>
            </w:r>
          </w:p>
          <w:p>
            <w:pPr>
              <w:widowControl/>
              <w:adjustRightInd w:val="0"/>
              <w:snapToGrid w:val="0"/>
              <w:spacing w:line="360" w:lineRule="auto"/>
              <w:ind w:firstLine="480" w:firstLineChars="200"/>
              <w:rPr>
                <w:rFonts w:hint="eastAsia" w:eastAsia="宋体"/>
                <w:color w:val="auto"/>
                <w:sz w:val="24"/>
                <w:szCs w:val="24"/>
                <w:lang w:eastAsia="zh-CN"/>
              </w:rPr>
            </w:pPr>
            <w:r>
              <w:rPr>
                <w:bCs/>
                <w:snapToGrid w:val="0"/>
                <w:color w:val="auto"/>
                <w:sz w:val="24"/>
                <w:szCs w:val="24"/>
              </w:rPr>
              <w:t>本项目利用租赁</w:t>
            </w:r>
            <w:r>
              <w:rPr>
                <w:rFonts w:hint="eastAsia"/>
                <w:bCs/>
                <w:snapToGrid w:val="0"/>
                <w:color w:val="auto"/>
                <w:sz w:val="24"/>
                <w:szCs w:val="24"/>
                <w:lang w:eastAsia="zh-CN"/>
              </w:rPr>
              <w:t>已建成的闲置用房</w:t>
            </w:r>
            <w:r>
              <w:rPr>
                <w:bCs/>
                <w:snapToGrid w:val="0"/>
                <w:color w:val="auto"/>
                <w:sz w:val="24"/>
                <w:szCs w:val="24"/>
              </w:rPr>
              <w:t>进行建设，不新增用地，施工期仅</w:t>
            </w:r>
            <w:r>
              <w:rPr>
                <w:rFonts w:hint="eastAsia"/>
                <w:bCs/>
                <w:snapToGrid w:val="0"/>
                <w:color w:val="auto"/>
                <w:sz w:val="24"/>
                <w:szCs w:val="24"/>
                <w:lang w:eastAsia="zh-CN"/>
              </w:rPr>
              <w:t>简单装修及设备安装</w:t>
            </w:r>
            <w:r>
              <w:rPr>
                <w:bCs/>
                <w:snapToGrid w:val="0"/>
                <w:color w:val="auto"/>
                <w:sz w:val="24"/>
                <w:szCs w:val="24"/>
              </w:rPr>
              <w:t>，不涉及大规模土建施工，</w:t>
            </w:r>
            <w:r>
              <w:rPr>
                <w:rFonts w:hint="eastAsia"/>
                <w:color w:val="auto"/>
                <w:sz w:val="24"/>
                <w:szCs w:val="24"/>
                <w:lang w:eastAsia="zh-CN"/>
              </w:rPr>
              <w:t>施工期为</w:t>
            </w:r>
            <w:r>
              <w:rPr>
                <w:rFonts w:hint="eastAsia"/>
                <w:color w:val="auto"/>
                <w:sz w:val="24"/>
                <w:szCs w:val="24"/>
                <w:lang w:val="en-US" w:eastAsia="zh-CN"/>
              </w:rPr>
              <w:t>2024年4月至6月，共三个月。</w:t>
            </w:r>
          </w:p>
          <w:p>
            <w:pPr>
              <w:widowControl/>
              <w:adjustRightInd w:val="0"/>
              <w:snapToGrid w:val="0"/>
              <w:spacing w:line="360" w:lineRule="auto"/>
              <w:ind w:firstLine="480" w:firstLineChars="200"/>
              <w:rPr>
                <w:rFonts w:hint="default"/>
                <w:color w:val="auto"/>
                <w:sz w:val="24"/>
                <w:szCs w:val="24"/>
                <w:lang w:val="en-US" w:eastAsia="zh-CN"/>
              </w:rPr>
            </w:pPr>
            <w:r>
              <w:rPr>
                <w:rFonts w:hint="eastAsia"/>
                <w:color w:val="auto"/>
                <w:sz w:val="24"/>
                <w:szCs w:val="24"/>
                <w:lang w:val="en-US" w:eastAsia="zh-CN"/>
              </w:rPr>
              <w:t>施工期产生的废气包括：装修废气及车辆运输废气；废水主要为施工人员生活污水；固废为废包装、建材及生活垃圾；噪声主要为设备安装产生的噪声。</w:t>
            </w:r>
          </w:p>
          <w:p>
            <w:pPr>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200"/>
              <w:textAlignment w:val="auto"/>
              <w:rPr>
                <w:rFonts w:hint="eastAsia"/>
                <w:b/>
                <w:bCs/>
                <w:color w:val="auto"/>
                <w:kern w:val="0"/>
                <w:sz w:val="24"/>
                <w:szCs w:val="24"/>
                <w:lang w:eastAsia="zh-CN"/>
              </w:rPr>
            </w:pPr>
            <w:r>
              <w:rPr>
                <w:rFonts w:hint="eastAsia"/>
                <w:b/>
                <w:bCs/>
                <w:color w:val="auto"/>
                <w:kern w:val="0"/>
                <w:sz w:val="24"/>
                <w:szCs w:val="24"/>
                <w:lang w:eastAsia="zh-CN"/>
              </w:rPr>
              <w:t>二、运营期</w:t>
            </w:r>
          </w:p>
          <w:p>
            <w:pPr>
              <w:widowControl/>
              <w:adjustRightInd w:val="0"/>
              <w:snapToGrid w:val="0"/>
              <w:spacing w:line="360" w:lineRule="auto"/>
              <w:ind w:firstLine="480" w:firstLineChars="200"/>
              <w:rPr>
                <w:color w:val="auto"/>
                <w:sz w:val="24"/>
                <w:szCs w:val="24"/>
              </w:rPr>
            </w:pPr>
            <w:r>
              <w:rPr>
                <w:color w:val="auto"/>
                <w:sz w:val="24"/>
                <w:szCs w:val="24"/>
              </w:rPr>
              <w:t>本项目为眼科医院项目，医疗活动包括门诊、住院和检验出院三部分。</w:t>
            </w:r>
          </w:p>
          <w:p>
            <w:pPr>
              <w:snapToGrid w:val="0"/>
              <w:spacing w:line="360" w:lineRule="auto"/>
              <w:ind w:firstLine="480" w:firstLineChars="200"/>
              <w:rPr>
                <w:color w:val="auto"/>
                <w:sz w:val="24"/>
                <w:szCs w:val="24"/>
              </w:rPr>
            </w:pPr>
            <w:r>
              <w:rPr>
                <w:color w:val="auto"/>
                <w:sz w:val="24"/>
                <w:szCs w:val="24"/>
              </w:rPr>
              <w:t>1、挂号</w:t>
            </w:r>
          </w:p>
          <w:p>
            <w:pPr>
              <w:snapToGrid w:val="0"/>
              <w:spacing w:line="360" w:lineRule="auto"/>
              <w:ind w:firstLine="480" w:firstLineChars="200"/>
              <w:rPr>
                <w:color w:val="auto"/>
                <w:sz w:val="24"/>
                <w:szCs w:val="24"/>
              </w:rPr>
            </w:pPr>
            <w:r>
              <w:rPr>
                <w:color w:val="auto"/>
                <w:sz w:val="24"/>
                <w:szCs w:val="24"/>
              </w:rPr>
              <w:t>前来的就诊病人到挂号处挂号，然后拿号到对应的科室就诊。</w:t>
            </w:r>
          </w:p>
          <w:p>
            <w:pPr>
              <w:snapToGrid w:val="0"/>
              <w:spacing w:line="360" w:lineRule="auto"/>
              <w:ind w:firstLine="480" w:firstLineChars="200"/>
              <w:rPr>
                <w:color w:val="auto"/>
                <w:sz w:val="24"/>
                <w:szCs w:val="24"/>
              </w:rPr>
            </w:pPr>
            <w:r>
              <w:rPr>
                <w:color w:val="auto"/>
                <w:sz w:val="24"/>
                <w:szCs w:val="24"/>
              </w:rPr>
              <w:t>2、就诊</w:t>
            </w:r>
          </w:p>
          <w:p>
            <w:pPr>
              <w:snapToGrid w:val="0"/>
              <w:spacing w:line="360" w:lineRule="auto"/>
              <w:ind w:firstLine="480" w:firstLineChars="200"/>
              <w:rPr>
                <w:color w:val="auto"/>
                <w:sz w:val="24"/>
                <w:szCs w:val="24"/>
              </w:rPr>
            </w:pPr>
            <w:r>
              <w:rPr>
                <w:color w:val="auto"/>
                <w:sz w:val="24"/>
                <w:szCs w:val="24"/>
              </w:rPr>
              <w:t>就诊病人到对应的科室就诊，医生检查病人情况，需要治疗的人员由医生安排治疗；需要住院的病人办理住院手续，入住病房；需要手术的病人由医生安排手术时间，进行手术治疗。</w:t>
            </w:r>
          </w:p>
          <w:p>
            <w:pPr>
              <w:snapToGrid w:val="0"/>
              <w:spacing w:line="360" w:lineRule="auto"/>
              <w:ind w:firstLine="480" w:firstLineChars="200"/>
              <w:rPr>
                <w:color w:val="auto"/>
                <w:sz w:val="24"/>
                <w:szCs w:val="24"/>
              </w:rPr>
            </w:pPr>
            <w:r>
              <w:rPr>
                <w:color w:val="auto"/>
                <w:sz w:val="24"/>
                <w:szCs w:val="24"/>
              </w:rPr>
              <w:t>3、出院</w:t>
            </w:r>
          </w:p>
          <w:p>
            <w:pPr>
              <w:snapToGrid w:val="0"/>
              <w:spacing w:line="360" w:lineRule="auto"/>
              <w:ind w:firstLine="480" w:firstLineChars="200"/>
              <w:rPr>
                <w:color w:val="auto"/>
                <w:sz w:val="24"/>
                <w:szCs w:val="24"/>
              </w:rPr>
            </w:pPr>
            <w:r>
              <w:rPr>
                <w:color w:val="auto"/>
                <w:sz w:val="24"/>
                <w:szCs w:val="24"/>
              </w:rPr>
              <w:t>住院的就诊病人经检查身体检查康复后，办理出院手续。</w:t>
            </w:r>
          </w:p>
          <w:p>
            <w:pPr>
              <w:spacing w:line="480" w:lineRule="exact"/>
              <w:ind w:firstLine="482" w:firstLineChars="200"/>
              <w:rPr>
                <w:b/>
                <w:bCs/>
                <w:color w:val="auto"/>
                <w:sz w:val="24"/>
                <w:szCs w:val="24"/>
              </w:rPr>
            </w:pPr>
          </w:p>
          <w:p>
            <w:pPr>
              <w:spacing w:line="480" w:lineRule="exact"/>
              <w:ind w:firstLine="482" w:firstLineChars="200"/>
              <w:rPr>
                <w:b/>
                <w:bCs/>
                <w:color w:val="auto"/>
                <w:sz w:val="24"/>
                <w:szCs w:val="24"/>
              </w:rPr>
            </w:pPr>
          </w:p>
          <w:p>
            <w:pPr>
              <w:pStyle w:val="10"/>
              <w:rPr>
                <w:b/>
                <w:bCs/>
                <w:color w:val="auto"/>
                <w:sz w:val="24"/>
                <w:szCs w:val="24"/>
              </w:rPr>
            </w:pPr>
          </w:p>
          <w:p>
            <w:pPr>
              <w:pStyle w:val="11"/>
              <w:rPr>
                <w:b/>
                <w:bCs/>
                <w:color w:val="auto"/>
                <w:sz w:val="24"/>
                <w:szCs w:val="24"/>
              </w:rPr>
            </w:pPr>
          </w:p>
          <w:p>
            <w:pPr>
              <w:spacing w:line="360" w:lineRule="auto"/>
              <w:jc w:val="center"/>
              <w:rPr>
                <w:b/>
                <w:color w:val="auto"/>
                <w:sz w:val="21"/>
                <w:szCs w:val="21"/>
              </w:rPr>
            </w:pPr>
            <w:r>
              <w:rPr>
                <w:color w:val="auto"/>
                <w:sz w:val="24"/>
                <w:szCs w:val="24"/>
              </w:rPr>
              <mc:AlternateContent>
                <mc:Choice Requires="wpg">
                  <w:drawing>
                    <wp:anchor distT="0" distB="0" distL="114300" distR="114300" simplePos="0" relativeHeight="251661312" behindDoc="0" locked="0" layoutInCell="1" allowOverlap="1">
                      <wp:simplePos x="0" y="0"/>
                      <wp:positionH relativeFrom="column">
                        <wp:posOffset>511810</wp:posOffset>
                      </wp:positionH>
                      <wp:positionV relativeFrom="paragraph">
                        <wp:posOffset>97790</wp:posOffset>
                      </wp:positionV>
                      <wp:extent cx="4347845" cy="1463675"/>
                      <wp:effectExtent l="0" t="0" r="15240" b="22225"/>
                      <wp:wrapNone/>
                      <wp:docPr id="84" name="组合 84"/>
                      <wp:cNvGraphicFramePr/>
                      <a:graphic xmlns:a="http://schemas.openxmlformats.org/drawingml/2006/main">
                        <a:graphicData uri="http://schemas.microsoft.com/office/word/2010/wordprocessingGroup">
                          <wpg:wgp>
                            <wpg:cNvGrpSpPr/>
                            <wpg:grpSpPr>
                              <a:xfrm>
                                <a:off x="0" y="0"/>
                                <a:ext cx="4347845" cy="1463675"/>
                                <a:chOff x="6658" y="337752"/>
                                <a:chExt cx="6847" cy="2305"/>
                              </a:xfrm>
                            </wpg:grpSpPr>
                            <wps:wsp>
                              <wps:cNvPr id="85" name="矩形 15"/>
                              <wps:cNvSpPr>
                                <a:spLocks noChangeArrowheads="1"/>
                              </wps:cNvSpPr>
                              <wps:spPr bwMode="auto">
                                <a:xfrm>
                                  <a:off x="12313" y="338812"/>
                                  <a:ext cx="1192" cy="420"/>
                                </a:xfrm>
                                <a:prstGeom prst="rect">
                                  <a:avLst/>
                                </a:prstGeom>
                                <a:solidFill>
                                  <a:srgbClr val="FFFFFF"/>
                                </a:solidFill>
                                <a:ln w="9525">
                                  <a:solidFill>
                                    <a:srgbClr val="000000"/>
                                  </a:solidFill>
                                  <a:miter lim="800000"/>
                                </a:ln>
                                <a:effectLst/>
                              </wps:spPr>
                              <wps:txbx>
                                <w:txbxContent>
                                  <w:p>
                                    <w:pPr>
                                      <w:jc w:val="center"/>
                                    </w:pPr>
                                    <w:r>
                                      <w:rPr>
                                        <w:rFonts w:hint="eastAsia"/>
                                      </w:rPr>
                                      <w:t>检查及处置</w:t>
                                    </w:r>
                                  </w:p>
                                </w:txbxContent>
                              </wps:txbx>
                              <wps:bodyPr rot="0" vert="horz" wrap="square" lIns="0" tIns="45720" rIns="0" bIns="45720" anchor="t" anchorCtr="0" upright="1">
                                <a:noAutofit/>
                              </wps:bodyPr>
                            </wps:wsp>
                            <wps:wsp>
                              <wps:cNvPr id="86" name="文本框 9"/>
                              <wps:cNvSpPr txBox="1">
                                <a:spLocks noChangeArrowheads="1"/>
                              </wps:cNvSpPr>
                              <wps:spPr bwMode="auto">
                                <a:xfrm>
                                  <a:off x="6658" y="337752"/>
                                  <a:ext cx="795" cy="468"/>
                                </a:xfrm>
                                <a:prstGeom prst="rect">
                                  <a:avLst/>
                                </a:prstGeom>
                                <a:noFill/>
                                <a:ln>
                                  <a:noFill/>
                                </a:ln>
                                <a:effectLst/>
                              </wps:spPr>
                              <wps:txbx>
                                <w:txbxContent>
                                  <w:p>
                                    <w:pPr>
                                      <w:jc w:val="center"/>
                                    </w:pPr>
                                    <w:r>
                                      <w:rPr>
                                        <w:rFonts w:hint="eastAsia"/>
                                      </w:rPr>
                                      <w:t>挂号</w:t>
                                    </w:r>
                                  </w:p>
                                </w:txbxContent>
                              </wps:txbx>
                              <wps:bodyPr rot="0" vert="horz" wrap="square" lIns="91440" tIns="45720" rIns="91440" bIns="45720" anchor="t" anchorCtr="0" upright="1">
                                <a:noAutofit/>
                              </wps:bodyPr>
                            </wps:wsp>
                            <wps:wsp>
                              <wps:cNvPr id="87" name="直线 19"/>
                              <wps:cNvCnPr>
                                <a:cxnSpLocks noChangeShapeType="1"/>
                              </wps:cNvCnPr>
                              <wps:spPr bwMode="auto">
                                <a:xfrm flipH="1" flipV="1">
                                  <a:off x="7362" y="337989"/>
                                  <a:ext cx="464" cy="1"/>
                                </a:xfrm>
                                <a:prstGeom prst="line">
                                  <a:avLst/>
                                </a:prstGeom>
                                <a:noFill/>
                                <a:ln w="9525">
                                  <a:solidFill>
                                    <a:srgbClr val="000000"/>
                                  </a:solidFill>
                                  <a:round/>
                                  <a:headEnd type="triangle" w="med" len="med"/>
                                </a:ln>
                                <a:effectLst/>
                              </wps:spPr>
                              <wps:bodyPr/>
                            </wps:wsp>
                            <wps:wsp>
                              <wps:cNvPr id="88" name="矩形 15"/>
                              <wps:cNvSpPr>
                                <a:spLocks noChangeArrowheads="1"/>
                              </wps:cNvSpPr>
                              <wps:spPr bwMode="auto">
                                <a:xfrm>
                                  <a:off x="7858" y="337777"/>
                                  <a:ext cx="1133" cy="420"/>
                                </a:xfrm>
                                <a:prstGeom prst="rect">
                                  <a:avLst/>
                                </a:prstGeom>
                                <a:solidFill>
                                  <a:srgbClr val="FFFFFF"/>
                                </a:solidFill>
                                <a:ln w="9525">
                                  <a:solidFill>
                                    <a:srgbClr val="000000"/>
                                  </a:solidFill>
                                  <a:miter lim="800000"/>
                                </a:ln>
                                <a:effectLst/>
                              </wps:spPr>
                              <wps:txbx>
                                <w:txbxContent>
                                  <w:p>
                                    <w:pPr>
                                      <w:jc w:val="center"/>
                                    </w:pPr>
                                    <w:r>
                                      <w:rPr>
                                        <w:rFonts w:hint="eastAsia"/>
                                      </w:rPr>
                                      <w:t>初步诊断</w:t>
                                    </w:r>
                                  </w:p>
                                </w:txbxContent>
                              </wps:txbx>
                              <wps:bodyPr rot="0" vert="horz" wrap="square" lIns="0" tIns="45720" rIns="0" bIns="45720" anchor="t" anchorCtr="0" upright="1">
                                <a:noAutofit/>
                              </wps:bodyPr>
                            </wps:wsp>
                            <wps:wsp>
                              <wps:cNvPr id="89" name="直线 19"/>
                              <wps:cNvCnPr>
                                <a:cxnSpLocks noChangeShapeType="1"/>
                              </wps:cNvCnPr>
                              <wps:spPr bwMode="auto">
                                <a:xfrm flipH="1" flipV="1">
                                  <a:off x="8997" y="337989"/>
                                  <a:ext cx="464" cy="1"/>
                                </a:xfrm>
                                <a:prstGeom prst="line">
                                  <a:avLst/>
                                </a:prstGeom>
                                <a:noFill/>
                                <a:ln w="9525">
                                  <a:solidFill>
                                    <a:srgbClr val="000000"/>
                                  </a:solidFill>
                                  <a:round/>
                                  <a:headEnd type="triangle" w="med" len="med"/>
                                </a:ln>
                                <a:effectLst/>
                              </wps:spPr>
                              <wps:bodyPr/>
                            </wps:wsp>
                            <wps:wsp>
                              <wps:cNvPr id="90" name="直线 19"/>
                              <wps:cNvCnPr>
                                <a:cxnSpLocks noChangeShapeType="1"/>
                              </wps:cNvCnPr>
                              <wps:spPr bwMode="auto">
                                <a:xfrm flipV="1">
                                  <a:off x="8335" y="338214"/>
                                  <a:ext cx="2" cy="1396"/>
                                </a:xfrm>
                                <a:prstGeom prst="line">
                                  <a:avLst/>
                                </a:prstGeom>
                                <a:noFill/>
                                <a:ln w="9525">
                                  <a:solidFill>
                                    <a:srgbClr val="000000"/>
                                  </a:solidFill>
                                  <a:round/>
                                  <a:headEnd type="triangle" w="med" len="med"/>
                                </a:ln>
                                <a:effectLst/>
                              </wps:spPr>
                              <wps:bodyPr/>
                            </wps:wsp>
                            <wps:wsp>
                              <wps:cNvPr id="91" name="直线 19"/>
                              <wps:cNvCnPr>
                                <a:cxnSpLocks noChangeShapeType="1"/>
                              </wps:cNvCnPr>
                              <wps:spPr bwMode="auto">
                                <a:xfrm flipH="1" flipV="1">
                                  <a:off x="8742" y="339834"/>
                                  <a:ext cx="464" cy="1"/>
                                </a:xfrm>
                                <a:prstGeom prst="line">
                                  <a:avLst/>
                                </a:prstGeom>
                                <a:noFill/>
                                <a:ln w="9525">
                                  <a:solidFill>
                                    <a:srgbClr val="000000"/>
                                  </a:solidFill>
                                  <a:round/>
                                  <a:headEnd type="triangle" w="med" len="med"/>
                                </a:ln>
                                <a:effectLst/>
                              </wps:spPr>
                              <wps:bodyPr/>
                            </wps:wsp>
                            <wps:wsp>
                              <wps:cNvPr id="92" name="直线 19"/>
                              <wps:cNvCnPr>
                                <a:cxnSpLocks noChangeShapeType="1"/>
                              </wps:cNvCnPr>
                              <wps:spPr bwMode="auto">
                                <a:xfrm flipH="1" flipV="1">
                                  <a:off x="12042" y="338049"/>
                                  <a:ext cx="464" cy="1"/>
                                </a:xfrm>
                                <a:prstGeom prst="line">
                                  <a:avLst/>
                                </a:prstGeom>
                                <a:noFill/>
                                <a:ln w="9525">
                                  <a:solidFill>
                                    <a:srgbClr val="000000"/>
                                  </a:solidFill>
                                  <a:round/>
                                  <a:headEnd type="triangle" w="med" len="med"/>
                                </a:ln>
                                <a:effectLst/>
                              </wps:spPr>
                              <wps:bodyPr/>
                            </wps:wsp>
                            <wps:wsp>
                              <wps:cNvPr id="93" name="直线 19"/>
                              <wps:cNvCnPr>
                                <a:cxnSpLocks noChangeShapeType="1"/>
                              </wps:cNvCnPr>
                              <wps:spPr bwMode="auto">
                                <a:xfrm flipH="1" flipV="1">
                                  <a:off x="10827" y="338019"/>
                                  <a:ext cx="464" cy="1"/>
                                </a:xfrm>
                                <a:prstGeom prst="line">
                                  <a:avLst/>
                                </a:prstGeom>
                                <a:noFill/>
                                <a:ln w="9525">
                                  <a:solidFill>
                                    <a:srgbClr val="000000"/>
                                  </a:solidFill>
                                  <a:round/>
                                  <a:headEnd type="triangle" w="med" len="med"/>
                                </a:ln>
                                <a:effectLst/>
                              </wps:spPr>
                              <wps:bodyPr/>
                            </wps:wsp>
                            <wps:wsp>
                              <wps:cNvPr id="94" name="矩形 15"/>
                              <wps:cNvSpPr>
                                <a:spLocks noChangeArrowheads="1"/>
                              </wps:cNvSpPr>
                              <wps:spPr bwMode="auto">
                                <a:xfrm>
                                  <a:off x="9493" y="337777"/>
                                  <a:ext cx="1312" cy="420"/>
                                </a:xfrm>
                                <a:prstGeom prst="rect">
                                  <a:avLst/>
                                </a:prstGeom>
                                <a:solidFill>
                                  <a:srgbClr val="FFFFFF"/>
                                </a:solidFill>
                                <a:ln w="9525">
                                  <a:solidFill>
                                    <a:srgbClr val="000000"/>
                                  </a:solidFill>
                                  <a:miter lim="800000"/>
                                </a:ln>
                                <a:effectLst/>
                              </wps:spPr>
                              <wps:txbx>
                                <w:txbxContent>
                                  <w:p>
                                    <w:pPr>
                                      <w:jc w:val="center"/>
                                    </w:pPr>
                                    <w:r>
                                      <w:rPr>
                                        <w:rFonts w:hint="eastAsia"/>
                                      </w:rPr>
                                      <w:t>检查及处置</w:t>
                                    </w:r>
                                  </w:p>
                                </w:txbxContent>
                              </wps:txbx>
                              <wps:bodyPr rot="0" vert="horz" wrap="square" lIns="0" tIns="45720" rIns="0" bIns="45720" anchor="t" anchorCtr="0" upright="1">
                                <a:noAutofit/>
                              </wps:bodyPr>
                            </wps:wsp>
                            <wps:wsp>
                              <wps:cNvPr id="95" name="矩形 15"/>
                              <wps:cNvSpPr>
                                <a:spLocks noChangeArrowheads="1"/>
                              </wps:cNvSpPr>
                              <wps:spPr bwMode="auto">
                                <a:xfrm>
                                  <a:off x="11293" y="337822"/>
                                  <a:ext cx="758" cy="420"/>
                                </a:xfrm>
                                <a:prstGeom prst="rect">
                                  <a:avLst/>
                                </a:prstGeom>
                                <a:solidFill>
                                  <a:srgbClr val="FFFFFF"/>
                                </a:solidFill>
                                <a:ln w="9525">
                                  <a:solidFill>
                                    <a:srgbClr val="000000"/>
                                  </a:solidFill>
                                  <a:miter lim="800000"/>
                                </a:ln>
                                <a:effectLst/>
                              </wps:spPr>
                              <wps:txbx>
                                <w:txbxContent>
                                  <w:p>
                                    <w:pPr>
                                      <w:jc w:val="center"/>
                                    </w:pPr>
                                    <w:r>
                                      <w:rPr>
                                        <w:rFonts w:hint="eastAsia"/>
                                      </w:rPr>
                                      <w:t>取药</w:t>
                                    </w:r>
                                  </w:p>
                                </w:txbxContent>
                              </wps:txbx>
                              <wps:bodyPr rot="0" vert="horz" wrap="square" lIns="0" tIns="45720" rIns="0" bIns="45720" anchor="t" anchorCtr="0" upright="1">
                                <a:noAutofit/>
                              </wps:bodyPr>
                            </wps:wsp>
                            <wps:wsp>
                              <wps:cNvPr id="96" name="矩形 15"/>
                              <wps:cNvSpPr>
                                <a:spLocks noChangeArrowheads="1"/>
                              </wps:cNvSpPr>
                              <wps:spPr bwMode="auto">
                                <a:xfrm>
                                  <a:off x="12523" y="337867"/>
                                  <a:ext cx="758" cy="420"/>
                                </a:xfrm>
                                <a:prstGeom prst="rect">
                                  <a:avLst/>
                                </a:prstGeom>
                                <a:solidFill>
                                  <a:srgbClr val="FFFFFF"/>
                                </a:solidFill>
                                <a:ln w="9525">
                                  <a:solidFill>
                                    <a:srgbClr val="000000"/>
                                  </a:solidFill>
                                  <a:miter lim="800000"/>
                                </a:ln>
                                <a:effectLst/>
                              </wps:spPr>
                              <wps:txbx>
                                <w:txbxContent>
                                  <w:p>
                                    <w:pPr>
                                      <w:jc w:val="center"/>
                                    </w:pPr>
                                    <w:r>
                                      <w:rPr>
                                        <w:rFonts w:hint="eastAsia"/>
                                      </w:rPr>
                                      <w:t>出院</w:t>
                                    </w:r>
                                  </w:p>
                                </w:txbxContent>
                              </wps:txbx>
                              <wps:bodyPr rot="0" vert="horz" wrap="square" lIns="0" tIns="45720" rIns="0" bIns="45720" anchor="t" anchorCtr="0" upright="1">
                                <a:noAutofit/>
                              </wps:bodyPr>
                            </wps:wsp>
                            <wps:wsp>
                              <wps:cNvPr id="97" name="矩形 15"/>
                              <wps:cNvSpPr>
                                <a:spLocks noChangeArrowheads="1"/>
                              </wps:cNvSpPr>
                              <wps:spPr bwMode="auto">
                                <a:xfrm>
                                  <a:off x="7978" y="339607"/>
                                  <a:ext cx="758" cy="420"/>
                                </a:xfrm>
                                <a:prstGeom prst="rect">
                                  <a:avLst/>
                                </a:prstGeom>
                                <a:solidFill>
                                  <a:srgbClr val="FFFFFF"/>
                                </a:solidFill>
                                <a:ln w="9525">
                                  <a:solidFill>
                                    <a:srgbClr val="000000"/>
                                  </a:solidFill>
                                  <a:miter lim="800000"/>
                                </a:ln>
                                <a:effectLst/>
                              </wps:spPr>
                              <wps:txbx>
                                <w:txbxContent>
                                  <w:p>
                                    <w:pPr>
                                      <w:jc w:val="center"/>
                                    </w:pPr>
                                    <w:r>
                                      <w:rPr>
                                        <w:rFonts w:hint="eastAsia"/>
                                      </w:rPr>
                                      <w:t>住院</w:t>
                                    </w:r>
                                  </w:p>
                                </w:txbxContent>
                              </wps:txbx>
                              <wps:bodyPr rot="0" vert="horz" wrap="square" lIns="0" tIns="45720" rIns="0" bIns="45720" anchor="t" anchorCtr="0" upright="1">
                                <a:noAutofit/>
                              </wps:bodyPr>
                            </wps:wsp>
                            <wps:wsp>
                              <wps:cNvPr id="98" name="直线 19"/>
                              <wps:cNvCnPr>
                                <a:cxnSpLocks noChangeShapeType="1"/>
                              </wps:cNvCnPr>
                              <wps:spPr bwMode="auto">
                                <a:xfrm flipH="1" flipV="1">
                                  <a:off x="10587" y="339864"/>
                                  <a:ext cx="1934" cy="1"/>
                                </a:xfrm>
                                <a:prstGeom prst="line">
                                  <a:avLst/>
                                </a:prstGeom>
                                <a:noFill/>
                                <a:ln w="9525">
                                  <a:solidFill>
                                    <a:srgbClr val="000000"/>
                                  </a:solidFill>
                                  <a:round/>
                                  <a:headEnd type="triangle" w="med" len="med"/>
                                </a:ln>
                                <a:effectLst/>
                              </wps:spPr>
                              <wps:bodyPr/>
                            </wps:wsp>
                            <wps:wsp>
                              <wps:cNvPr id="99" name="直线 19"/>
                              <wps:cNvCnPr>
                                <a:cxnSpLocks noChangeShapeType="1"/>
                              </wps:cNvCnPr>
                              <wps:spPr bwMode="auto">
                                <a:xfrm>
                                  <a:off x="12866" y="339205"/>
                                  <a:ext cx="1" cy="419"/>
                                </a:xfrm>
                                <a:prstGeom prst="line">
                                  <a:avLst/>
                                </a:prstGeom>
                                <a:noFill/>
                                <a:ln w="9525">
                                  <a:solidFill>
                                    <a:srgbClr val="000000"/>
                                  </a:solidFill>
                                  <a:round/>
                                  <a:headEnd type="triangle" w="med" len="med"/>
                                </a:ln>
                                <a:effectLst/>
                              </wps:spPr>
                              <wps:bodyPr/>
                            </wps:wsp>
                            <wps:wsp>
                              <wps:cNvPr id="100" name="矩形 15"/>
                              <wps:cNvSpPr>
                                <a:spLocks noChangeArrowheads="1"/>
                              </wps:cNvSpPr>
                              <wps:spPr bwMode="auto">
                                <a:xfrm>
                                  <a:off x="9208" y="339637"/>
                                  <a:ext cx="1342" cy="420"/>
                                </a:xfrm>
                                <a:prstGeom prst="rect">
                                  <a:avLst/>
                                </a:prstGeom>
                                <a:solidFill>
                                  <a:srgbClr val="FFFFFF"/>
                                </a:solidFill>
                                <a:ln w="9525">
                                  <a:solidFill>
                                    <a:srgbClr val="000000"/>
                                  </a:solidFill>
                                  <a:miter lim="800000"/>
                                </a:ln>
                                <a:effectLst/>
                              </wps:spPr>
                              <wps:txbx>
                                <w:txbxContent>
                                  <w:p>
                                    <w:pPr>
                                      <w:jc w:val="center"/>
                                    </w:pPr>
                                    <w:r>
                                      <w:rPr>
                                        <w:rFonts w:hint="eastAsia"/>
                                      </w:rPr>
                                      <w:t>检查及处置</w:t>
                                    </w:r>
                                  </w:p>
                                </w:txbxContent>
                              </wps:txbx>
                              <wps:bodyPr rot="0" vert="horz" wrap="square" lIns="0" tIns="45720" rIns="0" bIns="45720" anchor="t" anchorCtr="0" upright="1">
                                <a:noAutofit/>
                              </wps:bodyPr>
                            </wps:wsp>
                            <wps:wsp>
                              <wps:cNvPr id="101" name="矩形 15"/>
                              <wps:cNvSpPr>
                                <a:spLocks noChangeArrowheads="1"/>
                              </wps:cNvSpPr>
                              <wps:spPr bwMode="auto">
                                <a:xfrm>
                                  <a:off x="12553" y="339607"/>
                                  <a:ext cx="758" cy="420"/>
                                </a:xfrm>
                                <a:prstGeom prst="rect">
                                  <a:avLst/>
                                </a:prstGeom>
                                <a:solidFill>
                                  <a:srgbClr val="FFFFFF"/>
                                </a:solidFill>
                                <a:ln w="9525">
                                  <a:solidFill>
                                    <a:srgbClr val="000000"/>
                                  </a:solidFill>
                                  <a:miter lim="800000"/>
                                </a:ln>
                                <a:effectLst/>
                              </wps:spPr>
                              <wps:txbx>
                                <w:txbxContent>
                                  <w:p>
                                    <w:pPr>
                                      <w:jc w:val="center"/>
                                    </w:pPr>
                                    <w:r>
                                      <w:rPr>
                                        <w:rFonts w:hint="eastAsia"/>
                                      </w:rPr>
                                      <w:t>治疗</w:t>
                                    </w:r>
                                  </w:p>
                                </w:txbxContent>
                              </wps:txbx>
                              <wps:bodyPr rot="0" vert="horz" wrap="square" lIns="0" tIns="45720" rIns="0" bIns="45720" anchor="t" anchorCtr="0" upright="1">
                                <a:noAutofit/>
                              </wps:bodyPr>
                            </wps:wsp>
                            <wps:wsp>
                              <wps:cNvPr id="102" name="直线 19"/>
                              <wps:cNvCnPr>
                                <a:cxnSpLocks noChangeShapeType="1"/>
                              </wps:cNvCnPr>
                              <wps:spPr bwMode="auto">
                                <a:xfrm>
                                  <a:off x="12911" y="338290"/>
                                  <a:ext cx="1" cy="553"/>
                                </a:xfrm>
                                <a:prstGeom prst="line">
                                  <a:avLst/>
                                </a:prstGeom>
                                <a:noFill/>
                                <a:ln w="9525">
                                  <a:solidFill>
                                    <a:srgbClr val="000000"/>
                                  </a:solidFill>
                                  <a:round/>
                                  <a:headEnd type="triangle" w="med" len="med"/>
                                </a:ln>
                                <a:effectLst/>
                              </wps:spPr>
                              <wps:bodyPr/>
                            </wps:wsp>
                            <wps:wsp>
                              <wps:cNvPr id="103" name="矩形 15"/>
                              <wps:cNvSpPr>
                                <a:spLocks noChangeArrowheads="1"/>
                              </wps:cNvSpPr>
                              <wps:spPr bwMode="auto">
                                <a:xfrm>
                                  <a:off x="9418" y="338707"/>
                                  <a:ext cx="2197" cy="420"/>
                                </a:xfrm>
                                <a:prstGeom prst="rect">
                                  <a:avLst/>
                                </a:prstGeom>
                                <a:solidFill>
                                  <a:srgbClr val="FFFFFF"/>
                                </a:solidFill>
                                <a:ln w="9525">
                                  <a:solidFill>
                                    <a:srgbClr val="000000"/>
                                  </a:solidFill>
                                  <a:prstDash val="dashDot"/>
                                  <a:miter lim="800000"/>
                                </a:ln>
                                <a:effectLst/>
                              </wps:spPr>
                              <wps:txbx>
                                <w:txbxContent>
                                  <w:p>
                                    <w:pPr>
                                      <w:jc w:val="center"/>
                                    </w:pPr>
                                    <w:r>
                                      <w:rPr>
                                        <w:rFonts w:hint="eastAsia"/>
                                      </w:rPr>
                                      <w:t>医疗废物及医疗废水</w:t>
                                    </w:r>
                                  </w:p>
                                </w:txbxContent>
                              </wps:txbx>
                              <wps:bodyPr rot="0" vert="horz" wrap="square" lIns="0" tIns="45720" rIns="0" bIns="45720" anchor="t" anchorCtr="0" upright="1">
                                <a:noAutofit/>
                              </wps:bodyPr>
                            </wps:wsp>
                            <wps:wsp>
                              <wps:cNvPr id="104" name="直线 19"/>
                              <wps:cNvCnPr>
                                <a:cxnSpLocks noChangeShapeType="1"/>
                              </wps:cNvCnPr>
                              <wps:spPr bwMode="auto">
                                <a:xfrm flipH="1">
                                  <a:off x="8712" y="339115"/>
                                  <a:ext cx="764" cy="524"/>
                                </a:xfrm>
                                <a:prstGeom prst="line">
                                  <a:avLst/>
                                </a:prstGeom>
                                <a:noFill/>
                                <a:ln w="9525">
                                  <a:solidFill>
                                    <a:srgbClr val="000000"/>
                                  </a:solidFill>
                                  <a:prstDash val="dashDot"/>
                                  <a:round/>
                                  <a:headEnd type="triangle" w="med" len="med"/>
                                </a:ln>
                                <a:effectLst/>
                              </wps:spPr>
                              <wps:bodyPr/>
                            </wps:wsp>
                            <wps:wsp>
                              <wps:cNvPr id="105" name="直线 19"/>
                              <wps:cNvCnPr>
                                <a:cxnSpLocks noChangeShapeType="1"/>
                              </wps:cNvCnPr>
                              <wps:spPr bwMode="auto">
                                <a:xfrm flipH="1" flipV="1">
                                  <a:off x="9012" y="338184"/>
                                  <a:ext cx="404" cy="541"/>
                                </a:xfrm>
                                <a:prstGeom prst="line">
                                  <a:avLst/>
                                </a:prstGeom>
                                <a:noFill/>
                                <a:ln w="9525">
                                  <a:solidFill>
                                    <a:srgbClr val="000000"/>
                                  </a:solidFill>
                                  <a:prstDash val="dashDot"/>
                                  <a:round/>
                                  <a:headEnd type="triangle" w="med" len="med"/>
                                </a:ln>
                                <a:effectLst/>
                              </wps:spPr>
                              <wps:bodyPr/>
                            </wps:wsp>
                            <wps:wsp>
                              <wps:cNvPr id="106" name="直线 19"/>
                              <wps:cNvCnPr>
                                <a:cxnSpLocks noChangeShapeType="1"/>
                              </wps:cNvCnPr>
                              <wps:spPr bwMode="auto">
                                <a:xfrm>
                                  <a:off x="10046" y="339129"/>
                                  <a:ext cx="16" cy="495"/>
                                </a:xfrm>
                                <a:prstGeom prst="line">
                                  <a:avLst/>
                                </a:prstGeom>
                                <a:noFill/>
                                <a:ln w="9525">
                                  <a:solidFill>
                                    <a:srgbClr val="000000"/>
                                  </a:solidFill>
                                  <a:prstDash val="dashDot"/>
                                  <a:round/>
                                  <a:headEnd type="triangle" w="med" len="med"/>
                                </a:ln>
                                <a:effectLst/>
                              </wps:spPr>
                              <wps:bodyPr/>
                            </wps:wsp>
                            <wps:wsp>
                              <wps:cNvPr id="107" name="直线 19"/>
                              <wps:cNvCnPr>
                                <a:cxnSpLocks noChangeShapeType="1"/>
                              </wps:cNvCnPr>
                              <wps:spPr bwMode="auto">
                                <a:xfrm flipH="1" flipV="1">
                                  <a:off x="10212" y="338169"/>
                                  <a:ext cx="14" cy="556"/>
                                </a:xfrm>
                                <a:prstGeom prst="line">
                                  <a:avLst/>
                                </a:prstGeom>
                                <a:noFill/>
                                <a:ln w="9525">
                                  <a:solidFill>
                                    <a:srgbClr val="000000"/>
                                  </a:solidFill>
                                  <a:prstDash val="dashDot"/>
                                  <a:round/>
                                  <a:headEnd type="triangle" w="med" len="med"/>
                                </a:ln>
                                <a:effectLst/>
                              </wps:spPr>
                              <wps:bodyPr/>
                            </wps:wsp>
                            <wps:wsp>
                              <wps:cNvPr id="108" name="直线 19"/>
                              <wps:cNvCnPr>
                                <a:cxnSpLocks noChangeShapeType="1"/>
                              </wps:cNvCnPr>
                              <wps:spPr bwMode="auto">
                                <a:xfrm>
                                  <a:off x="11606" y="339129"/>
                                  <a:ext cx="961" cy="465"/>
                                </a:xfrm>
                                <a:prstGeom prst="line">
                                  <a:avLst/>
                                </a:prstGeom>
                                <a:noFill/>
                                <a:ln w="9525">
                                  <a:solidFill>
                                    <a:srgbClr val="000000"/>
                                  </a:solidFill>
                                  <a:prstDash val="dashDot"/>
                                  <a:round/>
                                  <a:headEnd type="triangle" w="med" len="med"/>
                                </a:ln>
                                <a:effectLst/>
                              </wps:spPr>
                              <wps:bodyPr/>
                            </wps:wsp>
                            <wps:wsp>
                              <wps:cNvPr id="109" name="直线 19"/>
                              <wps:cNvCnPr>
                                <a:cxnSpLocks noChangeShapeType="1"/>
                              </wps:cNvCnPr>
                              <wps:spPr bwMode="auto">
                                <a:xfrm flipV="1">
                                  <a:off x="11621" y="338964"/>
                                  <a:ext cx="675" cy="16"/>
                                </a:xfrm>
                                <a:prstGeom prst="line">
                                  <a:avLst/>
                                </a:prstGeom>
                                <a:noFill/>
                                <a:ln w="9525">
                                  <a:solidFill>
                                    <a:srgbClr val="000000"/>
                                  </a:solidFill>
                                  <a:prstDash val="dashDot"/>
                                  <a:round/>
                                  <a:headEnd type="triangle" w="med" len="med"/>
                                </a:ln>
                                <a:effectLst/>
                              </wps:spPr>
                              <wps:bodyPr/>
                            </wps:wsp>
                          </wpg:wgp>
                        </a:graphicData>
                      </a:graphic>
                    </wp:anchor>
                  </w:drawing>
                </mc:Choice>
                <mc:Fallback>
                  <w:pict>
                    <v:group id="_x0000_s1026" o:spid="_x0000_s1026" o:spt="203" style="position:absolute;left:0pt;margin-left:40.3pt;margin-top:7.7pt;height:115.25pt;width:342.35pt;z-index:251661312;mso-width-relative:page;mso-height-relative:page;" coordorigin="6658,337752" coordsize="6847,2305" o:gfxdata="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">
                      <o:lock v:ext="edit" aspectratio="f"/>
                      <v:rect id="矩形 15" o:spid="_x0000_s1026" o:spt="1" style="position:absolute;left:12313;top:338812;height:420;width:1192;" fillcolor="#FFFFFF" filled="t" stroked="t" coordsize="21600,21600" o:gfxdata="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yVQhrsAAADb&#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textbox inset="0mm,1.27mm,0mm,1.27mm">
                          <w:txbxContent>
                            <w:p>
                              <w:pPr>
                                <w:jc w:val="center"/>
                              </w:pPr>
                              <w:r>
                                <w:rPr>
                                  <w:rFonts w:hint="eastAsia"/>
                                </w:rPr>
                                <w:t>检查及处置</w:t>
                              </w:r>
                            </w:p>
                          </w:txbxContent>
                        </v:textbox>
                      </v:rect>
                      <v:shape id="文本框 9" o:spid="_x0000_s1026" o:spt="202" type="#_x0000_t202" style="position:absolute;left:6658;top:337752;height:468;width:795;" filled="f" stroked="f" coordsize="21600,21600" o:gfxdata="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HC6e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jc w:val="center"/>
                              </w:pPr>
                              <w:r>
                                <w:rPr>
                                  <w:rFonts w:hint="eastAsia"/>
                                </w:rPr>
                                <w:t>挂号</w:t>
                              </w:r>
                            </w:p>
                          </w:txbxContent>
                        </v:textbox>
                      </v:shape>
                      <v:line id="直线 19" o:spid="_x0000_s1026" o:spt="20" style="position:absolute;left:7362;top:337989;flip:x y;height:1;width:464;" filled="f" stroked="t" coordsize="21600,21600" o:gfxdata="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OXbJ74A&#10;AADbAAAADwAAAAAAAAABACAAAAAiAAAAZHJzL2Rvd25yZXYueG1sUEsBAhQAFAAAAAgAh07iQDMv&#10;BZ47AAAAOQAAABAAAAAAAAAAAQAgAAAADQEAAGRycy9zaGFwZXhtbC54bWxQSwUGAAAAAAYABgBb&#10;AQAAtwMAAAAA&#10;">
                        <v:fill on="f" focussize="0,0"/>
                        <v:stroke color="#000000" joinstyle="round" startarrow="block"/>
                        <v:imagedata o:title=""/>
                        <o:lock v:ext="edit" aspectratio="f"/>
                      </v:line>
                      <v:rect id="矩形 15" o:spid="_x0000_s1026" o:spt="1" style="position:absolute;left:7858;top:337777;height:420;width:1133;" fillcolor="#FFFFFF" filled="t" stroked="t" coordsize="21600,21600" o:gfxdata="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ZST/GLgAAADbAAAA&#10;DwAAAAAAAAABACAAAAAiAAAAZHJzL2Rvd25yZXYueG1sUEsBAhQAFAAAAAgAh07iQDMvBZ47AAAA&#10;OQAAABAAAAAAAAAAAQAgAAAABwEAAGRycy9zaGFwZXhtbC54bWxQSwUGAAAAAAYABgBbAQAAsQMA&#10;AAAA&#10;">
                        <v:fill on="t" focussize="0,0"/>
                        <v:stroke color="#000000" miterlimit="8" joinstyle="miter"/>
                        <v:imagedata o:title=""/>
                        <o:lock v:ext="edit" aspectratio="f"/>
                        <v:textbox inset="0mm,1.27mm,0mm,1.27mm">
                          <w:txbxContent>
                            <w:p>
                              <w:pPr>
                                <w:jc w:val="center"/>
                              </w:pPr>
                              <w:r>
                                <w:rPr>
                                  <w:rFonts w:hint="eastAsia"/>
                                </w:rPr>
                                <w:t>初步诊断</w:t>
                              </w:r>
                            </w:p>
                          </w:txbxContent>
                        </v:textbox>
                      </v:rect>
                      <v:line id="直线 19" o:spid="_x0000_s1026" o:spt="20" style="position:absolute;left:8997;top:337989;flip:x y;height:1;width:464;" filled="f" stroked="t" coordsize="21600,21600" o:gfxdata="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jbqzr4A&#10;AADbAAAADwAAAAAAAAABACAAAAAiAAAAZHJzL2Rvd25yZXYueG1sUEsBAhQAFAAAAAgAh07iQDMv&#10;BZ47AAAAOQAAABAAAAAAAAAAAQAgAAAADQEAAGRycy9zaGFwZXhtbC54bWxQSwUGAAAAAAYABgBb&#10;AQAAtwMAAAAA&#10;">
                        <v:fill on="f" focussize="0,0"/>
                        <v:stroke color="#000000" joinstyle="round" startarrow="block"/>
                        <v:imagedata o:title=""/>
                        <o:lock v:ext="edit" aspectratio="f"/>
                      </v:line>
                      <v:line id="直线 19" o:spid="_x0000_s1026" o:spt="20" style="position:absolute;left:8335;top:338214;flip:y;height:1396;width:2;" filled="f" stroked="t" coordsize="21600,21600" o:gfxdata="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BXVX7sAAADb&#10;AAAADwAAAAAAAAABACAAAAAiAAAAZHJzL2Rvd25yZXYueG1sUEsBAhQAFAAAAAgAh07iQDMvBZ47&#10;AAAAOQAAABAAAAAAAAAAAQAgAAAACgEAAGRycy9zaGFwZXhtbC54bWxQSwUGAAAAAAYABgBbAQAA&#10;tAMAAAAA&#10;">
                        <v:fill on="f" focussize="0,0"/>
                        <v:stroke color="#000000" joinstyle="round" startarrow="block"/>
                        <v:imagedata o:title=""/>
                        <o:lock v:ext="edit" aspectratio="f"/>
                      </v:line>
                      <v:line id="直线 19" o:spid="_x0000_s1026" o:spt="20" style="position:absolute;left:8742;top:339834;flip:x y;height:1;width:464;" filled="f" stroked="t" coordsize="21600,21600" o:gfxdata="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ZlwFb4A&#10;AADbAAAADwAAAAAAAAABACAAAAAiAAAAZHJzL2Rvd25yZXYueG1sUEsBAhQAFAAAAAgAh07iQDMv&#10;BZ47AAAAOQAAABAAAAAAAAAAAQAgAAAADQEAAGRycy9zaGFwZXhtbC54bWxQSwUGAAAAAAYABgBb&#10;AQAAtwMAAAAA&#10;">
                        <v:fill on="f" focussize="0,0"/>
                        <v:stroke color="#000000" joinstyle="round" startarrow="block"/>
                        <v:imagedata o:title=""/>
                        <o:lock v:ext="edit" aspectratio="f"/>
                      </v:line>
                      <v:line id="直线 19" o:spid="_x0000_s1026" o:spt="20" style="position:absolute;left:12042;top:338049;flip:x y;height:1;width:464;" filled="f" stroked="t" coordsize="21600,21600" o:gfxdata="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1L7mK/&#10;AAAA2wAAAA8AAAAAAAAAAQAgAAAAIgAAAGRycy9kb3ducmV2LnhtbFBLAQIUABQAAAAIAIdO4kAz&#10;LwWeOwAAADkAAAAQAAAAAAAAAAEAIAAAAA4BAABkcnMvc2hhcGV4bWwueG1sUEsFBgAAAAAGAAYA&#10;WwEAALgDAAAAAA==&#10;">
                        <v:fill on="f" focussize="0,0"/>
                        <v:stroke color="#000000" joinstyle="round" startarrow="block"/>
                        <v:imagedata o:title=""/>
                        <o:lock v:ext="edit" aspectratio="f"/>
                      </v:line>
                      <v:line id="直线 19" o:spid="_x0000_s1026" o:spt="20" style="position:absolute;left:10827;top:338019;flip:x y;height:1;width:464;" filled="f" stroked="t" coordsize="21600,21600" o:gfxdata="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CB0v5&#10;wAAAANsAAAAPAAAAAAAAAAEAIAAAACIAAABkcnMvZG93bnJldi54bWxQSwECFAAUAAAACACHTuJA&#10;My8FnjsAAAA5AAAAEAAAAAAAAAABACAAAAAPAQAAZHJzL3NoYXBleG1sLnhtbFBLBQYAAAAABgAG&#10;AFsBAAC5AwAAAAA=&#10;">
                        <v:fill on="f" focussize="0,0"/>
                        <v:stroke color="#000000" joinstyle="round" startarrow="block"/>
                        <v:imagedata o:title=""/>
                        <o:lock v:ext="edit" aspectratio="f"/>
                      </v:line>
                      <v:rect id="矩形 15" o:spid="_x0000_s1026" o:spt="1" style="position:absolute;left:9493;top:337777;height:420;width:1312;" fillcolor="#FFFFFF" filled="t" stroked="t" coordsize="21600,21600" o:gfxdata="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sGPA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inset="0mm,1.27mm,0mm,1.27mm">
                          <w:txbxContent>
                            <w:p>
                              <w:pPr>
                                <w:jc w:val="center"/>
                              </w:pPr>
                              <w:r>
                                <w:rPr>
                                  <w:rFonts w:hint="eastAsia"/>
                                </w:rPr>
                                <w:t>检查及处置</w:t>
                              </w:r>
                            </w:p>
                          </w:txbxContent>
                        </v:textbox>
                      </v:rect>
                      <v:rect id="矩形 15" o:spid="_x0000_s1026" o:spt="1" style="position:absolute;left:11293;top:337822;height:420;width:758;" fillcolor="#FFFFFF" filled="t" stroked="t" coordsize="21600,21600" o:gfxdata="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MZb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inset="0mm,1.27mm,0mm,1.27mm">
                          <w:txbxContent>
                            <w:p>
                              <w:pPr>
                                <w:jc w:val="center"/>
                              </w:pPr>
                              <w:r>
                                <w:rPr>
                                  <w:rFonts w:hint="eastAsia"/>
                                </w:rPr>
                                <w:t>取药</w:t>
                              </w:r>
                            </w:p>
                          </w:txbxContent>
                        </v:textbox>
                      </v:rect>
                      <v:rect id="矩形 15" o:spid="_x0000_s1026" o:spt="1" style="position:absolute;left:12523;top:337867;height:420;width:758;" fillcolor="#FFFFFF" filled="t" stroked="t" coordsize="21600,21600" o:gfxdata="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5YLLsAAADb&#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textbox inset="0mm,1.27mm,0mm,1.27mm">
                          <w:txbxContent>
                            <w:p>
                              <w:pPr>
                                <w:jc w:val="center"/>
                              </w:pPr>
                              <w:r>
                                <w:rPr>
                                  <w:rFonts w:hint="eastAsia"/>
                                </w:rPr>
                                <w:t>出院</w:t>
                              </w:r>
                            </w:p>
                          </w:txbxContent>
                        </v:textbox>
                      </v:rect>
                      <v:rect id="矩形 15" o:spid="_x0000_s1026" o:spt="1" style="position:absolute;left:7978;top:339607;height:420;width:758;" fillcolor="#FFFFFF" filled="t" stroked="t" coordsize="21600,21600" o:gfxdata="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Yv23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inset="0mm,1.27mm,0mm,1.27mm">
                          <w:txbxContent>
                            <w:p>
                              <w:pPr>
                                <w:jc w:val="center"/>
                              </w:pPr>
                              <w:r>
                                <w:rPr>
                                  <w:rFonts w:hint="eastAsia"/>
                                </w:rPr>
                                <w:t>住院</w:t>
                              </w:r>
                            </w:p>
                          </w:txbxContent>
                        </v:textbox>
                      </v:rect>
                      <v:line id="直线 19" o:spid="_x0000_s1026" o:spt="20" style="position:absolute;left:10587;top:339864;flip:x y;height:1;width:1934;" filled="f" stroked="t" coordsize="21600,21600" o:gfxdata="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Mo9mIugAAANsA&#10;AAAPAAAAAAAAAAEAIAAAACIAAABkcnMvZG93bnJldi54bWxQSwECFAAUAAAACACHTuJAMy8FnjsA&#10;AAA5AAAAEAAAAAAAAAABACAAAAAJAQAAZHJzL3NoYXBleG1sLnhtbFBLBQYAAAAABgAGAFsBAACz&#10;AwAAAAA=&#10;">
                        <v:fill on="f" focussize="0,0"/>
                        <v:stroke color="#000000" joinstyle="round" startarrow="block"/>
                        <v:imagedata o:title=""/>
                        <o:lock v:ext="edit" aspectratio="f"/>
                      </v:line>
                      <v:line id="直线 19" o:spid="_x0000_s1026" o:spt="20" style="position:absolute;left:12866;top:339205;height:419;width:1;" filled="f" stroked="t" coordsize="21600,21600" o:gfxdata="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ygKMb4A&#10;AADbAAAADwAAAAAAAAABACAAAAAiAAAAZHJzL2Rvd25yZXYueG1sUEsBAhQAFAAAAAgAh07iQDMv&#10;BZ47AAAAOQAAABAAAAAAAAAAAQAgAAAADQEAAGRycy9zaGFwZXhtbC54bWxQSwUGAAAAAAYABgBb&#10;AQAAtwMAAAAA&#10;">
                        <v:fill on="f" focussize="0,0"/>
                        <v:stroke color="#000000" joinstyle="round" startarrow="block"/>
                        <v:imagedata o:title=""/>
                        <o:lock v:ext="edit" aspectratio="f"/>
                      </v:line>
                      <v:rect id="矩形 15" o:spid="_x0000_s1026" o:spt="1" style="position:absolute;left:9208;top:339637;height:420;width:1342;" fillcolor="#FFFFFF" filled="t" stroked="t" coordsize="21600,21600" o:gfxdata="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3q5LvQAA&#10;ANw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inset="0mm,1.27mm,0mm,1.27mm">
                          <w:txbxContent>
                            <w:p>
                              <w:pPr>
                                <w:jc w:val="center"/>
                              </w:pPr>
                              <w:r>
                                <w:rPr>
                                  <w:rFonts w:hint="eastAsia"/>
                                </w:rPr>
                                <w:t>检查及处置</w:t>
                              </w:r>
                            </w:p>
                          </w:txbxContent>
                        </v:textbox>
                      </v:rect>
                      <v:rect id="矩形 15" o:spid="_x0000_s1026" o:spt="1" style="position:absolute;left:12553;top:339607;height:420;width:758;" fillcolor="#FFFFFF" filled="t" stroked="t" coordsize="21600,21600" o:gfxdata="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KSC9C5AAAA3AAA&#10;AA8AAAAAAAAAAQAgAAAAIgAAAGRycy9kb3ducmV2LnhtbFBLAQIUABQAAAAIAIdO4kAzLwWeOwAA&#10;ADkAAAAQAAAAAAAAAAEAIAAAAAgBAABkcnMvc2hhcGV4bWwueG1sUEsFBgAAAAAGAAYAWwEAALID&#10;AAAAAA==&#10;">
                        <v:fill on="t" focussize="0,0"/>
                        <v:stroke color="#000000" miterlimit="8" joinstyle="miter"/>
                        <v:imagedata o:title=""/>
                        <o:lock v:ext="edit" aspectratio="f"/>
                        <v:textbox inset="0mm,1.27mm,0mm,1.27mm">
                          <w:txbxContent>
                            <w:p>
                              <w:pPr>
                                <w:jc w:val="center"/>
                              </w:pPr>
                              <w:r>
                                <w:rPr>
                                  <w:rFonts w:hint="eastAsia"/>
                                </w:rPr>
                                <w:t>治疗</w:t>
                              </w:r>
                            </w:p>
                          </w:txbxContent>
                        </v:textbox>
                      </v:rect>
                      <v:line id="直线 19" o:spid="_x0000_s1026" o:spt="20" style="position:absolute;left:12911;top:338290;height:553;width:1;" filled="f" stroked="t" coordsize="21600,21600" o:gfxdata="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S5PkrsAAADc&#10;AAAADwAAAAAAAAABACAAAAAiAAAAZHJzL2Rvd25yZXYueG1sUEsBAhQAFAAAAAgAh07iQDMvBZ47&#10;AAAAOQAAABAAAAAAAAAAAQAgAAAACgEAAGRycy9zaGFwZXhtbC54bWxQSwUGAAAAAAYABgBbAQAA&#10;tAMAAAAA&#10;">
                        <v:fill on="f" focussize="0,0"/>
                        <v:stroke color="#000000" joinstyle="round" startarrow="block"/>
                        <v:imagedata o:title=""/>
                        <o:lock v:ext="edit" aspectratio="f"/>
                      </v:line>
                      <v:rect id="矩形 15" o:spid="_x0000_s1026" o:spt="1" style="position:absolute;left:9418;top:338707;height:420;width:2197;" fillcolor="#FFFFFF" filled="t" stroked="t" coordsize="21600,21600" o:gfxdata="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dno0rsAAADc&#10;AAAADwAAAAAAAAABACAAAAAiAAAAZHJzL2Rvd25yZXYueG1sUEsBAhQAFAAAAAgAh07iQDMvBZ47&#10;AAAAOQAAABAAAAAAAAAAAQAgAAAACgEAAGRycy9zaGFwZXhtbC54bWxQSwUGAAAAAAYABgBbAQAA&#10;tAMAAAAA&#10;">
                        <v:fill on="t" focussize="0,0"/>
                        <v:stroke color="#000000" miterlimit="8" joinstyle="miter" dashstyle="dashDot"/>
                        <v:imagedata o:title=""/>
                        <o:lock v:ext="edit" aspectratio="f"/>
                        <v:textbox inset="0mm,1.27mm,0mm,1.27mm">
                          <w:txbxContent>
                            <w:p>
                              <w:pPr>
                                <w:jc w:val="center"/>
                              </w:pPr>
                              <w:r>
                                <w:rPr>
                                  <w:rFonts w:hint="eastAsia"/>
                                </w:rPr>
                                <w:t>医疗废物及医疗废水</w:t>
                              </w:r>
                            </w:p>
                          </w:txbxContent>
                        </v:textbox>
                      </v:rect>
                      <v:line id="直线 19" o:spid="_x0000_s1026" o:spt="20" style="position:absolute;left:8712;top:339115;flip:x;height:524;width:764;" filled="f" stroked="t" coordsize="21600,21600" o:gfxdata="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wZw1LsAAADc&#10;AAAADwAAAAAAAAABACAAAAAiAAAAZHJzL2Rvd25yZXYueG1sUEsBAhQAFAAAAAgAh07iQDMvBZ47&#10;AAAAOQAAABAAAAAAAAAAAQAgAAAACgEAAGRycy9zaGFwZXhtbC54bWxQSwUGAAAAAAYABgBbAQAA&#10;tAMAAAAA&#10;">
                        <v:fill on="f" focussize="0,0"/>
                        <v:stroke color="#000000" joinstyle="round" dashstyle="dashDot" startarrow="block"/>
                        <v:imagedata o:title=""/>
                        <o:lock v:ext="edit" aspectratio="f"/>
                      </v:line>
                      <v:line id="直线 19" o:spid="_x0000_s1026" o:spt="20" style="position:absolute;left:9012;top:338184;flip:x y;height:541;width:404;" filled="f" stroked="t" coordsize="21600,21600" o:gfxdata="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2FR5a8AAAA&#10;3AAAAA8AAAAAAAAAAQAgAAAAIgAAAGRycy9kb3ducmV2LnhtbFBLAQIUABQAAAAIAIdO4kAzLwWe&#10;OwAAADkAAAAQAAAAAAAAAAEAIAAAAAsBAABkcnMvc2hhcGV4bWwueG1sUEsFBgAAAAAGAAYAWwEA&#10;ALUDAAAAAA==&#10;">
                        <v:fill on="f" focussize="0,0"/>
                        <v:stroke color="#000000" joinstyle="round" dashstyle="dashDot" startarrow="block"/>
                        <v:imagedata o:title=""/>
                        <o:lock v:ext="edit" aspectratio="f"/>
                      </v:line>
                      <v:line id="直线 19" o:spid="_x0000_s1026" o:spt="20" style="position:absolute;left:10046;top:339129;height:495;width:16;" filled="f" stroked="t" coordsize="21600,21600" o:gfxdata="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gJF9LsAAADc&#10;AAAADwAAAAAAAAABACAAAAAiAAAAZHJzL2Rvd25yZXYueG1sUEsBAhQAFAAAAAgAh07iQDMvBZ47&#10;AAAAOQAAABAAAAAAAAAAAQAgAAAACgEAAGRycy9zaGFwZXhtbC54bWxQSwUGAAAAAAYABgBbAQAA&#10;tAMAAAAA&#10;">
                        <v:fill on="f" focussize="0,0"/>
                        <v:stroke color="#000000" joinstyle="round" dashstyle="dashDot" startarrow="block"/>
                        <v:imagedata o:title=""/>
                        <o:lock v:ext="edit" aspectratio="f"/>
                      </v:line>
                      <v:line id="直线 19" o:spid="_x0000_s1026" o:spt="20" style="position:absolute;left:10212;top:338169;flip:x y;height:556;width:14;" filled="f" stroked="t" coordsize="21600,21600" o:gfxdata="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IbfHq8AAAA&#10;3AAAAA8AAAAAAAAAAQAgAAAAIgAAAGRycy9kb3ducmV2LnhtbFBLAQIUABQAAAAIAIdO4kAzLwWe&#10;OwAAADkAAAAQAAAAAAAAAAEAIAAAAAsBAABkcnMvc2hhcGV4bWwueG1sUEsFBgAAAAAGAAYAWwEA&#10;ALUDAAAAAA==&#10;">
                        <v:fill on="f" focussize="0,0"/>
                        <v:stroke color="#000000" joinstyle="round" dashstyle="dashDot" startarrow="block"/>
                        <v:imagedata o:title=""/>
                        <o:lock v:ext="edit" aspectratio="f"/>
                      </v:line>
                      <v:line id="直线 19" o:spid="_x0000_s1026" o:spt="20" style="position:absolute;left:11606;top:339129;height:465;width:961;" filled="f" stroked="t" coordsize="21600,21600" o:gfxdata="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DRdB2/&#10;AAAA3AAAAA8AAAAAAAAAAQAgAAAAIgAAAGRycy9kb3ducmV2LnhtbFBLAQIUABQAAAAIAIdO4kAz&#10;LwWeOwAAADkAAAAQAAAAAAAAAAEAIAAAAA4BAABkcnMvc2hhcGV4bWwueG1sUEsFBgAAAAAGAAYA&#10;WwEAALgDAAAAAA==&#10;">
                        <v:fill on="f" focussize="0,0"/>
                        <v:stroke color="#000000" joinstyle="round" dashstyle="dashDot" startarrow="block"/>
                        <v:imagedata o:title=""/>
                        <o:lock v:ext="edit" aspectratio="f"/>
                      </v:line>
                      <v:line id="直线 19" o:spid="_x0000_s1026" o:spt="20" style="position:absolute;left:11621;top:338964;flip:y;height:16;width:675;" filled="f" stroked="t" coordsize="21600,21600" o:gfxdata="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QffSrsAAADc&#10;AAAADwAAAAAAAAABACAAAAAiAAAAZHJzL2Rvd25yZXYueG1sUEsBAhQAFAAAAAgAh07iQDMvBZ47&#10;AAAAOQAAABAAAAAAAAAAAQAgAAAACgEAAGRycy9zaGFwZXhtbC54bWxQSwUGAAAAAAYABgBbAQAA&#10;tAMAAAAA&#10;">
                        <v:fill on="f" focussize="0,0"/>
                        <v:stroke color="#000000" joinstyle="round" dashstyle="dashDot" startarrow="block"/>
                        <v:imagedata o:title=""/>
                        <o:lock v:ext="edit" aspectratio="f"/>
                      </v:line>
                    </v:group>
                  </w:pict>
                </mc:Fallback>
              </mc:AlternateContent>
            </w:r>
          </w:p>
          <w:p>
            <w:pPr>
              <w:spacing w:line="360" w:lineRule="auto"/>
              <w:jc w:val="center"/>
              <w:rPr>
                <w:b/>
                <w:color w:val="auto"/>
                <w:sz w:val="21"/>
                <w:szCs w:val="21"/>
              </w:rPr>
            </w:pPr>
          </w:p>
          <w:p>
            <w:pPr>
              <w:spacing w:line="360" w:lineRule="auto"/>
              <w:jc w:val="center"/>
              <w:rPr>
                <w:b/>
                <w:color w:val="auto"/>
                <w:sz w:val="21"/>
                <w:szCs w:val="21"/>
              </w:rPr>
            </w:pPr>
          </w:p>
          <w:p>
            <w:pPr>
              <w:spacing w:line="360" w:lineRule="auto"/>
              <w:jc w:val="center"/>
              <w:rPr>
                <w:b/>
                <w:color w:val="auto"/>
                <w:sz w:val="21"/>
                <w:szCs w:val="21"/>
              </w:rPr>
            </w:pPr>
          </w:p>
          <w:p>
            <w:pPr>
              <w:spacing w:line="360" w:lineRule="auto"/>
              <w:jc w:val="center"/>
              <w:rPr>
                <w:b/>
                <w:color w:val="auto"/>
                <w:sz w:val="21"/>
                <w:szCs w:val="21"/>
              </w:rPr>
            </w:pPr>
          </w:p>
          <w:p>
            <w:pPr>
              <w:spacing w:line="360" w:lineRule="auto"/>
              <w:jc w:val="center"/>
              <w:rPr>
                <w:b/>
                <w:color w:val="auto"/>
                <w:sz w:val="21"/>
                <w:szCs w:val="21"/>
              </w:rPr>
            </w:pPr>
          </w:p>
          <w:p>
            <w:pPr>
              <w:spacing w:line="360" w:lineRule="auto"/>
              <w:jc w:val="center"/>
              <w:rPr>
                <w:b/>
                <w:color w:val="auto"/>
                <w:sz w:val="21"/>
                <w:szCs w:val="21"/>
              </w:rPr>
            </w:pPr>
          </w:p>
          <w:p>
            <w:pPr>
              <w:spacing w:line="360" w:lineRule="auto"/>
              <w:jc w:val="center"/>
              <w:rPr>
                <w:color w:val="auto"/>
                <w:sz w:val="21"/>
                <w:szCs w:val="21"/>
              </w:rPr>
            </w:pPr>
            <w:r>
              <w:rPr>
                <w:b/>
                <w:color w:val="auto"/>
                <w:sz w:val="21"/>
                <w:szCs w:val="21"/>
              </w:rPr>
              <w:t>图2-2   项目工艺流程及排污节点图</w:t>
            </w:r>
          </w:p>
          <w:p>
            <w:pPr>
              <w:spacing w:line="360" w:lineRule="auto"/>
              <w:ind w:firstLine="480" w:firstLineChars="200"/>
              <w:rPr>
                <w:color w:val="auto"/>
                <w:sz w:val="24"/>
                <w:szCs w:val="24"/>
              </w:rPr>
            </w:pPr>
            <w:r>
              <w:rPr>
                <w:color w:val="auto"/>
                <w:sz w:val="24"/>
                <w:szCs w:val="24"/>
              </w:rPr>
              <w:t>本项目产污工序见表2-5。</w:t>
            </w:r>
          </w:p>
          <w:p>
            <w:pPr>
              <w:pStyle w:val="65"/>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eastAsia="zh-CN"/>
              </w:rPr>
              <w:t>表</w:t>
            </w:r>
            <w:r>
              <w:rPr>
                <w:rFonts w:hint="eastAsia" w:ascii="Times New Roman" w:hAnsi="Times New Roman" w:eastAsia="宋体" w:cs="Times New Roman"/>
                <w:color w:val="auto"/>
                <w:sz w:val="21"/>
                <w:szCs w:val="21"/>
                <w:lang w:val="en-US" w:eastAsia="zh-CN"/>
              </w:rPr>
              <w:t>2-5  项目产污情况表</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370"/>
              <w:gridCol w:w="2050"/>
              <w:gridCol w:w="2451"/>
              <w:gridCol w:w="25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tcMar>
                    <w:left w:w="0" w:type="dxa"/>
                    <w:right w:w="0" w:type="dxa"/>
                  </w:tcMar>
                  <w:vAlign w:val="center"/>
                </w:tcPr>
                <w:p>
                  <w:pPr>
                    <w:jc w:val="center"/>
                    <w:rPr>
                      <w:b/>
                      <w:bCs/>
                      <w:color w:val="auto"/>
                      <w:sz w:val="21"/>
                      <w:szCs w:val="21"/>
                    </w:rPr>
                  </w:pPr>
                  <w:r>
                    <w:rPr>
                      <w:b/>
                      <w:bCs/>
                      <w:color w:val="auto"/>
                      <w:sz w:val="21"/>
                      <w:szCs w:val="21"/>
                    </w:rPr>
                    <w:t>类别</w:t>
                  </w:r>
                </w:p>
              </w:tc>
              <w:tc>
                <w:tcPr>
                  <w:tcW w:w="1370" w:type="dxa"/>
                  <w:tcMar>
                    <w:left w:w="0" w:type="dxa"/>
                    <w:right w:w="0" w:type="dxa"/>
                  </w:tcMar>
                  <w:vAlign w:val="center"/>
                </w:tcPr>
                <w:p>
                  <w:pPr>
                    <w:jc w:val="center"/>
                    <w:rPr>
                      <w:b/>
                      <w:bCs/>
                      <w:color w:val="auto"/>
                      <w:sz w:val="21"/>
                      <w:szCs w:val="21"/>
                    </w:rPr>
                  </w:pPr>
                  <w:r>
                    <w:rPr>
                      <w:b/>
                      <w:bCs/>
                      <w:color w:val="auto"/>
                      <w:sz w:val="21"/>
                      <w:szCs w:val="21"/>
                    </w:rPr>
                    <w:t>产污环节</w:t>
                  </w:r>
                </w:p>
              </w:tc>
              <w:tc>
                <w:tcPr>
                  <w:tcW w:w="2050" w:type="dxa"/>
                  <w:vAlign w:val="center"/>
                </w:tcPr>
                <w:p>
                  <w:pPr>
                    <w:jc w:val="center"/>
                    <w:rPr>
                      <w:b/>
                      <w:bCs/>
                      <w:color w:val="auto"/>
                      <w:sz w:val="21"/>
                      <w:szCs w:val="21"/>
                    </w:rPr>
                  </w:pPr>
                  <w:r>
                    <w:rPr>
                      <w:b/>
                      <w:bCs/>
                      <w:color w:val="auto"/>
                      <w:sz w:val="21"/>
                      <w:szCs w:val="21"/>
                    </w:rPr>
                    <w:t>污染物名称</w:t>
                  </w:r>
                </w:p>
              </w:tc>
              <w:tc>
                <w:tcPr>
                  <w:tcW w:w="2451" w:type="dxa"/>
                  <w:tcMar>
                    <w:left w:w="0" w:type="dxa"/>
                    <w:right w:w="0" w:type="dxa"/>
                  </w:tcMar>
                  <w:vAlign w:val="center"/>
                </w:tcPr>
                <w:p>
                  <w:pPr>
                    <w:jc w:val="center"/>
                    <w:rPr>
                      <w:b/>
                      <w:bCs/>
                      <w:color w:val="auto"/>
                      <w:sz w:val="21"/>
                      <w:szCs w:val="21"/>
                    </w:rPr>
                  </w:pPr>
                  <w:r>
                    <w:rPr>
                      <w:b/>
                      <w:bCs/>
                      <w:color w:val="auto"/>
                      <w:sz w:val="21"/>
                      <w:szCs w:val="21"/>
                    </w:rPr>
                    <w:t>主要污染因子</w:t>
                  </w:r>
                </w:p>
              </w:tc>
              <w:tc>
                <w:tcPr>
                  <w:tcW w:w="2584" w:type="dxa"/>
                  <w:tcMar>
                    <w:left w:w="0" w:type="dxa"/>
                    <w:right w:w="0" w:type="dxa"/>
                  </w:tcMar>
                  <w:vAlign w:val="center"/>
                </w:tcPr>
                <w:p>
                  <w:pPr>
                    <w:jc w:val="center"/>
                    <w:rPr>
                      <w:b/>
                      <w:bCs/>
                      <w:color w:val="auto"/>
                      <w:sz w:val="21"/>
                      <w:szCs w:val="21"/>
                    </w:rPr>
                  </w:pPr>
                  <w:r>
                    <w:rPr>
                      <w:b/>
                      <w:bCs/>
                      <w:color w:val="auto"/>
                      <w:sz w:val="21"/>
                      <w:szCs w:val="21"/>
                    </w:rPr>
                    <w:t>采取措施及排放去向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tcMar>
                    <w:left w:w="0" w:type="dxa"/>
                    <w:right w:w="0" w:type="dxa"/>
                  </w:tcMar>
                  <w:vAlign w:val="center"/>
                </w:tcPr>
                <w:p>
                  <w:pPr>
                    <w:jc w:val="center"/>
                    <w:rPr>
                      <w:color w:val="auto"/>
                      <w:sz w:val="21"/>
                      <w:szCs w:val="21"/>
                    </w:rPr>
                  </w:pPr>
                  <w:r>
                    <w:rPr>
                      <w:color w:val="auto"/>
                      <w:sz w:val="21"/>
                      <w:szCs w:val="21"/>
                    </w:rPr>
                    <w:t>废气</w:t>
                  </w:r>
                </w:p>
              </w:tc>
              <w:tc>
                <w:tcPr>
                  <w:tcW w:w="1370" w:type="dxa"/>
                  <w:tcMar>
                    <w:left w:w="0" w:type="dxa"/>
                    <w:right w:w="0" w:type="dxa"/>
                  </w:tcMar>
                  <w:vAlign w:val="center"/>
                </w:tcPr>
                <w:p>
                  <w:pPr>
                    <w:jc w:val="center"/>
                    <w:rPr>
                      <w:color w:val="auto"/>
                      <w:sz w:val="21"/>
                      <w:szCs w:val="21"/>
                    </w:rPr>
                  </w:pPr>
                  <w:r>
                    <w:rPr>
                      <w:color w:val="auto"/>
                      <w:sz w:val="21"/>
                      <w:szCs w:val="21"/>
                    </w:rPr>
                    <w:t>污水处理</w:t>
                  </w:r>
                </w:p>
              </w:tc>
              <w:tc>
                <w:tcPr>
                  <w:tcW w:w="2050" w:type="dxa"/>
                  <w:vAlign w:val="center"/>
                </w:tcPr>
                <w:p>
                  <w:pPr>
                    <w:jc w:val="center"/>
                    <w:rPr>
                      <w:color w:val="auto"/>
                      <w:sz w:val="21"/>
                      <w:szCs w:val="21"/>
                    </w:rPr>
                  </w:pPr>
                  <w:r>
                    <w:rPr>
                      <w:color w:val="auto"/>
                      <w:sz w:val="21"/>
                      <w:szCs w:val="21"/>
                    </w:rPr>
                    <w:t>污水处理站废气</w:t>
                  </w:r>
                </w:p>
              </w:tc>
              <w:tc>
                <w:tcPr>
                  <w:tcW w:w="2451" w:type="dxa"/>
                  <w:tcMar>
                    <w:left w:w="0" w:type="dxa"/>
                    <w:right w:w="0" w:type="dxa"/>
                  </w:tcMar>
                  <w:vAlign w:val="center"/>
                </w:tcPr>
                <w:p>
                  <w:pPr>
                    <w:jc w:val="center"/>
                    <w:rPr>
                      <w:color w:val="auto"/>
                      <w:sz w:val="21"/>
                      <w:szCs w:val="21"/>
                    </w:rPr>
                  </w:pPr>
                  <w:r>
                    <w:rPr>
                      <w:color w:val="auto"/>
                      <w:sz w:val="21"/>
                      <w:szCs w:val="21"/>
                    </w:rPr>
                    <w:t>臭气浓度、</w:t>
                  </w:r>
                  <w:r>
                    <w:rPr>
                      <w:bCs/>
                      <w:snapToGrid w:val="0"/>
                      <w:color w:val="auto"/>
                      <w:sz w:val="21"/>
                      <w:szCs w:val="21"/>
                    </w:rPr>
                    <w:t>NH</w:t>
                  </w:r>
                  <w:r>
                    <w:rPr>
                      <w:bCs/>
                      <w:snapToGrid w:val="0"/>
                      <w:color w:val="auto"/>
                      <w:sz w:val="21"/>
                      <w:szCs w:val="21"/>
                      <w:vertAlign w:val="subscript"/>
                    </w:rPr>
                    <w:t>3</w:t>
                  </w:r>
                  <w:r>
                    <w:rPr>
                      <w:bCs/>
                      <w:snapToGrid w:val="0"/>
                      <w:color w:val="auto"/>
                      <w:sz w:val="21"/>
                      <w:szCs w:val="21"/>
                    </w:rPr>
                    <w:t>、H</w:t>
                  </w:r>
                  <w:r>
                    <w:rPr>
                      <w:bCs/>
                      <w:snapToGrid w:val="0"/>
                      <w:color w:val="auto"/>
                      <w:sz w:val="21"/>
                      <w:szCs w:val="21"/>
                      <w:vertAlign w:val="subscript"/>
                    </w:rPr>
                    <w:t>2</w:t>
                  </w:r>
                  <w:r>
                    <w:rPr>
                      <w:bCs/>
                      <w:snapToGrid w:val="0"/>
                      <w:color w:val="auto"/>
                      <w:sz w:val="21"/>
                      <w:szCs w:val="21"/>
                    </w:rPr>
                    <w:t>S</w:t>
                  </w:r>
                  <w:r>
                    <w:rPr>
                      <w:color w:val="auto"/>
                      <w:sz w:val="21"/>
                      <w:szCs w:val="21"/>
                    </w:rPr>
                    <w:t xml:space="preserve"> </w:t>
                  </w:r>
                </w:p>
              </w:tc>
              <w:tc>
                <w:tcPr>
                  <w:tcW w:w="2584" w:type="dxa"/>
                  <w:tcMar>
                    <w:left w:w="0" w:type="dxa"/>
                    <w:right w:w="0" w:type="dxa"/>
                  </w:tcMar>
                  <w:vAlign w:val="center"/>
                </w:tcPr>
                <w:p>
                  <w:pPr>
                    <w:jc w:val="center"/>
                    <w:rPr>
                      <w:color w:val="auto"/>
                      <w:sz w:val="21"/>
                      <w:szCs w:val="21"/>
                    </w:rPr>
                  </w:pPr>
                  <w:r>
                    <w:rPr>
                      <w:bCs/>
                      <w:color w:val="auto"/>
                      <w:sz w:val="21"/>
                      <w:szCs w:val="21"/>
                    </w:rPr>
                    <w:t>项目对</w:t>
                  </w:r>
                  <w:r>
                    <w:rPr>
                      <w:rFonts w:hint="eastAsia"/>
                      <w:bCs/>
                      <w:color w:val="auto"/>
                      <w:sz w:val="21"/>
                      <w:szCs w:val="21"/>
                      <w:lang w:eastAsia="zh-CN"/>
                    </w:rPr>
                    <w:t>污水处理站</w:t>
                  </w:r>
                  <w:r>
                    <w:rPr>
                      <w:bCs/>
                      <w:color w:val="auto"/>
                      <w:sz w:val="21"/>
                      <w:szCs w:val="21"/>
                    </w:rPr>
                    <w:t>采取有效的封闭</w:t>
                  </w:r>
                  <w:r>
                    <w:rPr>
                      <w:rFonts w:hint="eastAsia"/>
                      <w:bCs/>
                      <w:color w:val="auto"/>
                      <w:sz w:val="21"/>
                      <w:szCs w:val="21"/>
                      <w:lang w:eastAsia="zh-CN"/>
                    </w:rPr>
                    <w:t>并投加除臭剂</w:t>
                  </w:r>
                  <w:r>
                    <w:rPr>
                      <w:bCs/>
                      <w:color w:val="auto"/>
                      <w:sz w:val="21"/>
                      <w:szCs w:val="21"/>
                    </w:rPr>
                    <w:t>，同时加强污水处理运行操作管理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Merge w:val="restart"/>
                  <w:tcMar>
                    <w:left w:w="0" w:type="dxa"/>
                    <w:right w:w="0" w:type="dxa"/>
                  </w:tcMar>
                  <w:vAlign w:val="center"/>
                </w:tcPr>
                <w:p>
                  <w:pPr>
                    <w:jc w:val="center"/>
                    <w:rPr>
                      <w:color w:val="auto"/>
                      <w:sz w:val="21"/>
                      <w:szCs w:val="21"/>
                    </w:rPr>
                  </w:pPr>
                  <w:r>
                    <w:rPr>
                      <w:color w:val="auto"/>
                      <w:sz w:val="21"/>
                      <w:szCs w:val="21"/>
                    </w:rPr>
                    <w:t>废水</w:t>
                  </w:r>
                </w:p>
              </w:tc>
              <w:tc>
                <w:tcPr>
                  <w:tcW w:w="1370" w:type="dxa"/>
                  <w:tcMar>
                    <w:left w:w="0" w:type="dxa"/>
                    <w:right w:w="0" w:type="dxa"/>
                  </w:tcMar>
                  <w:vAlign w:val="center"/>
                </w:tcPr>
                <w:p>
                  <w:pPr>
                    <w:adjustRightInd w:val="0"/>
                    <w:jc w:val="center"/>
                    <w:rPr>
                      <w:color w:val="auto"/>
                      <w:sz w:val="21"/>
                      <w:szCs w:val="21"/>
                    </w:rPr>
                  </w:pPr>
                  <w:r>
                    <w:rPr>
                      <w:color w:val="auto"/>
                      <w:sz w:val="21"/>
                      <w:szCs w:val="21"/>
                    </w:rPr>
                    <w:t>行政办公人员生活</w:t>
                  </w:r>
                </w:p>
              </w:tc>
              <w:tc>
                <w:tcPr>
                  <w:tcW w:w="2050" w:type="dxa"/>
                  <w:vAlign w:val="center"/>
                </w:tcPr>
                <w:p>
                  <w:pPr>
                    <w:jc w:val="center"/>
                    <w:rPr>
                      <w:bCs/>
                      <w:color w:val="auto"/>
                      <w:sz w:val="21"/>
                      <w:szCs w:val="21"/>
                    </w:rPr>
                  </w:pPr>
                  <w:r>
                    <w:rPr>
                      <w:color w:val="auto"/>
                      <w:sz w:val="21"/>
                      <w:szCs w:val="21"/>
                    </w:rPr>
                    <w:t>行政办公人员生活废水</w:t>
                  </w:r>
                </w:p>
              </w:tc>
              <w:tc>
                <w:tcPr>
                  <w:tcW w:w="2451" w:type="dxa"/>
                  <w:vMerge w:val="restart"/>
                  <w:tcMar>
                    <w:left w:w="0" w:type="dxa"/>
                    <w:right w:w="0" w:type="dxa"/>
                  </w:tcMar>
                  <w:vAlign w:val="center"/>
                </w:tcPr>
                <w:p>
                  <w:pPr>
                    <w:jc w:val="center"/>
                    <w:rPr>
                      <w:color w:val="auto"/>
                      <w:sz w:val="21"/>
                      <w:szCs w:val="21"/>
                      <w:highlight w:val="yellow"/>
                    </w:rPr>
                  </w:pPr>
                  <w:r>
                    <w:rPr>
                      <w:bCs/>
                      <w:color w:val="auto"/>
                      <w:sz w:val="21"/>
                      <w:szCs w:val="21"/>
                      <w:highlight w:val="none"/>
                    </w:rPr>
                    <w:t>PH、COD、SS、氨氮、BOD</w:t>
                  </w:r>
                  <w:r>
                    <w:rPr>
                      <w:bCs/>
                      <w:color w:val="auto"/>
                      <w:sz w:val="21"/>
                      <w:szCs w:val="21"/>
                      <w:highlight w:val="none"/>
                      <w:vertAlign w:val="subscript"/>
                    </w:rPr>
                    <w:t>5</w:t>
                  </w:r>
                  <w:r>
                    <w:rPr>
                      <w:bCs/>
                      <w:color w:val="auto"/>
                      <w:sz w:val="21"/>
                      <w:szCs w:val="21"/>
                      <w:highlight w:val="none"/>
                    </w:rPr>
                    <w:t>、粪大肠菌群</w:t>
                  </w:r>
                </w:p>
              </w:tc>
              <w:tc>
                <w:tcPr>
                  <w:tcW w:w="2584" w:type="dxa"/>
                  <w:vMerge w:val="restart"/>
                  <w:tcMar>
                    <w:left w:w="28" w:type="dxa"/>
                    <w:right w:w="28" w:type="dxa"/>
                  </w:tcMar>
                  <w:vAlign w:val="center"/>
                </w:tcPr>
                <w:p>
                  <w:pPr>
                    <w:jc w:val="center"/>
                    <w:rPr>
                      <w:rFonts w:hint="eastAsia" w:eastAsia="宋体"/>
                      <w:color w:val="auto"/>
                      <w:spacing w:val="-12"/>
                      <w:sz w:val="21"/>
                      <w:szCs w:val="21"/>
                      <w:lang w:eastAsia="zh-CN"/>
                    </w:rPr>
                  </w:pPr>
                  <w:r>
                    <w:rPr>
                      <w:color w:val="auto"/>
                      <w:spacing w:val="-12"/>
                      <w:sz w:val="21"/>
                      <w:szCs w:val="21"/>
                    </w:rPr>
                    <w:t>经过化粪池+</w:t>
                  </w:r>
                  <w:r>
                    <w:rPr>
                      <w:rFonts w:hint="eastAsia"/>
                      <w:color w:val="auto"/>
                      <w:kern w:val="0"/>
                      <w:sz w:val="21"/>
                      <w:szCs w:val="21"/>
                      <w:lang w:eastAsia="zh-CN"/>
                    </w:rPr>
                    <w:t>污水处理站</w:t>
                  </w:r>
                  <w:r>
                    <w:rPr>
                      <w:color w:val="auto"/>
                      <w:spacing w:val="-12"/>
                      <w:sz w:val="21"/>
                      <w:szCs w:val="21"/>
                    </w:rPr>
                    <w:t>处理后</w:t>
                  </w:r>
                  <w:r>
                    <w:rPr>
                      <w:color w:val="auto"/>
                      <w:kern w:val="0"/>
                      <w:sz w:val="21"/>
                      <w:szCs w:val="21"/>
                    </w:rPr>
                    <w:t>进入市政污水管网最终排入</w:t>
                  </w:r>
                  <w:r>
                    <w:rPr>
                      <w:rFonts w:hint="eastAsia"/>
                      <w:color w:val="auto"/>
                      <w:kern w:val="0"/>
                      <w:sz w:val="21"/>
                      <w:szCs w:val="21"/>
                      <w:lang w:eastAsia="zh-CN"/>
                    </w:rPr>
                    <w:t>西安市第一污水处理厂一期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Merge w:val="continue"/>
                  <w:tcMar>
                    <w:left w:w="0" w:type="dxa"/>
                    <w:right w:w="0" w:type="dxa"/>
                  </w:tcMar>
                  <w:vAlign w:val="center"/>
                </w:tcPr>
                <w:p>
                  <w:pPr>
                    <w:jc w:val="center"/>
                    <w:rPr>
                      <w:color w:val="auto"/>
                      <w:sz w:val="21"/>
                      <w:szCs w:val="21"/>
                    </w:rPr>
                  </w:pPr>
                </w:p>
              </w:tc>
              <w:tc>
                <w:tcPr>
                  <w:tcW w:w="1370" w:type="dxa"/>
                  <w:tcMar>
                    <w:left w:w="0" w:type="dxa"/>
                    <w:right w:w="0" w:type="dxa"/>
                  </w:tcMar>
                  <w:vAlign w:val="center"/>
                </w:tcPr>
                <w:p>
                  <w:pPr>
                    <w:adjustRightInd w:val="0"/>
                    <w:jc w:val="center"/>
                    <w:rPr>
                      <w:rFonts w:ascii="Times New Roman" w:hAnsi="Times New Roman" w:eastAsia="宋体" w:cs="Times New Roman"/>
                      <w:snapToGrid w:val="0"/>
                      <w:color w:val="auto"/>
                      <w:kern w:val="0"/>
                      <w:sz w:val="21"/>
                      <w:szCs w:val="21"/>
                      <w:lang w:val="en-US" w:eastAsia="zh-CN" w:bidi="ar-SA"/>
                    </w:rPr>
                  </w:pPr>
                  <w:r>
                    <w:rPr>
                      <w:snapToGrid w:val="0"/>
                      <w:color w:val="auto"/>
                      <w:kern w:val="0"/>
                      <w:sz w:val="21"/>
                      <w:szCs w:val="21"/>
                    </w:rPr>
                    <w:t>医护人员生活</w:t>
                  </w:r>
                </w:p>
              </w:tc>
              <w:tc>
                <w:tcPr>
                  <w:tcW w:w="2050" w:type="dxa"/>
                  <w:vAlign w:val="center"/>
                </w:tcPr>
                <w:p>
                  <w:pPr>
                    <w:jc w:val="center"/>
                    <w:rPr>
                      <w:rFonts w:ascii="Times New Roman" w:hAnsi="Times New Roman" w:eastAsia="宋体" w:cs="Times New Roman"/>
                      <w:color w:val="auto"/>
                      <w:kern w:val="2"/>
                      <w:sz w:val="21"/>
                      <w:szCs w:val="21"/>
                      <w:lang w:val="en-US" w:eastAsia="zh-CN" w:bidi="ar-SA"/>
                    </w:rPr>
                  </w:pPr>
                  <w:r>
                    <w:rPr>
                      <w:color w:val="auto"/>
                      <w:sz w:val="21"/>
                      <w:szCs w:val="21"/>
                    </w:rPr>
                    <w:t>医护人员生活废水</w:t>
                  </w:r>
                </w:p>
              </w:tc>
              <w:tc>
                <w:tcPr>
                  <w:tcW w:w="2451" w:type="dxa"/>
                  <w:vMerge w:val="continue"/>
                  <w:tcMar>
                    <w:left w:w="0" w:type="dxa"/>
                    <w:right w:w="0" w:type="dxa"/>
                  </w:tcMar>
                  <w:vAlign w:val="center"/>
                </w:tcPr>
                <w:p>
                  <w:pPr>
                    <w:jc w:val="center"/>
                    <w:rPr>
                      <w:bCs/>
                      <w:color w:val="auto"/>
                      <w:sz w:val="21"/>
                      <w:szCs w:val="21"/>
                      <w:highlight w:val="none"/>
                    </w:rPr>
                  </w:pPr>
                </w:p>
              </w:tc>
              <w:tc>
                <w:tcPr>
                  <w:tcW w:w="2584" w:type="dxa"/>
                  <w:vMerge w:val="continue"/>
                  <w:tcMar>
                    <w:left w:w="28" w:type="dxa"/>
                    <w:right w:w="28" w:type="dxa"/>
                  </w:tcMar>
                  <w:vAlign w:val="center"/>
                </w:tcPr>
                <w:p>
                  <w:pPr>
                    <w:jc w:val="center"/>
                    <w:rPr>
                      <w:color w:val="auto"/>
                      <w:spacing w:val="-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Merge w:val="continue"/>
                  <w:tcMar>
                    <w:left w:w="0" w:type="dxa"/>
                    <w:right w:w="0" w:type="dxa"/>
                  </w:tcMar>
                  <w:vAlign w:val="center"/>
                </w:tcPr>
                <w:p>
                  <w:pPr>
                    <w:jc w:val="center"/>
                    <w:rPr>
                      <w:color w:val="auto"/>
                      <w:sz w:val="21"/>
                      <w:szCs w:val="21"/>
                    </w:rPr>
                  </w:pPr>
                </w:p>
              </w:tc>
              <w:tc>
                <w:tcPr>
                  <w:tcW w:w="1370" w:type="dxa"/>
                  <w:tcMar>
                    <w:left w:w="0" w:type="dxa"/>
                    <w:right w:w="0" w:type="dxa"/>
                  </w:tcMar>
                  <w:vAlign w:val="center"/>
                </w:tcPr>
                <w:p>
                  <w:pPr>
                    <w:adjustRightInd w:val="0"/>
                    <w:jc w:val="center"/>
                    <w:rPr>
                      <w:rFonts w:ascii="Times New Roman" w:hAnsi="Times New Roman" w:eastAsia="宋体" w:cs="Times New Roman"/>
                      <w:color w:val="auto"/>
                      <w:kern w:val="2"/>
                      <w:sz w:val="21"/>
                      <w:szCs w:val="21"/>
                      <w:lang w:val="en-US" w:eastAsia="zh-CN" w:bidi="ar-SA"/>
                    </w:rPr>
                  </w:pPr>
                  <w:r>
                    <w:rPr>
                      <w:color w:val="auto"/>
                      <w:sz w:val="21"/>
                      <w:szCs w:val="21"/>
                    </w:rPr>
                    <w:t>病房</w:t>
                  </w:r>
                </w:p>
              </w:tc>
              <w:tc>
                <w:tcPr>
                  <w:tcW w:w="2050" w:type="dxa"/>
                  <w:vAlign w:val="center"/>
                </w:tcPr>
                <w:p>
                  <w:pPr>
                    <w:jc w:val="center"/>
                    <w:rPr>
                      <w:rFonts w:ascii="Times New Roman" w:hAnsi="Times New Roman" w:eastAsia="宋体" w:cs="Times New Roman"/>
                      <w:bCs/>
                      <w:color w:val="auto"/>
                      <w:kern w:val="2"/>
                      <w:sz w:val="21"/>
                      <w:szCs w:val="21"/>
                      <w:lang w:val="en-US" w:eastAsia="zh-CN" w:bidi="ar-SA"/>
                    </w:rPr>
                  </w:pPr>
                  <w:r>
                    <w:rPr>
                      <w:bCs/>
                      <w:color w:val="auto"/>
                      <w:sz w:val="21"/>
                      <w:szCs w:val="21"/>
                    </w:rPr>
                    <w:t>病房废水</w:t>
                  </w:r>
                </w:p>
              </w:tc>
              <w:tc>
                <w:tcPr>
                  <w:tcW w:w="2451" w:type="dxa"/>
                  <w:vMerge w:val="continue"/>
                  <w:tcMar>
                    <w:left w:w="0" w:type="dxa"/>
                    <w:right w:w="0" w:type="dxa"/>
                  </w:tcMar>
                  <w:vAlign w:val="center"/>
                </w:tcPr>
                <w:p>
                  <w:pPr>
                    <w:jc w:val="center"/>
                    <w:rPr>
                      <w:color w:val="auto"/>
                      <w:sz w:val="21"/>
                      <w:szCs w:val="21"/>
                      <w:highlight w:val="yellow"/>
                    </w:rPr>
                  </w:pPr>
                </w:p>
              </w:tc>
              <w:tc>
                <w:tcPr>
                  <w:tcW w:w="2584" w:type="dxa"/>
                  <w:vMerge w:val="continue"/>
                  <w:tcMar>
                    <w:left w:w="28" w:type="dxa"/>
                    <w:right w:w="28" w:type="dxa"/>
                  </w:tcMar>
                  <w:vAlign w:val="center"/>
                </w:tcPr>
                <w:p>
                  <w:pPr>
                    <w:jc w:val="center"/>
                    <w:rPr>
                      <w:rFonts w:hint="eastAsia" w:eastAsia="宋体"/>
                      <w:color w:val="auto"/>
                      <w:sz w:val="21"/>
                      <w:szCs w:val="21"/>
                      <w:highlight w:val="yellow"/>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Merge w:val="continue"/>
                  <w:tcMar>
                    <w:left w:w="0" w:type="dxa"/>
                    <w:right w:w="0" w:type="dxa"/>
                  </w:tcMar>
                  <w:vAlign w:val="center"/>
                </w:tcPr>
                <w:p>
                  <w:pPr>
                    <w:jc w:val="center"/>
                    <w:rPr>
                      <w:color w:val="auto"/>
                      <w:sz w:val="21"/>
                      <w:szCs w:val="21"/>
                    </w:rPr>
                  </w:pPr>
                </w:p>
              </w:tc>
              <w:tc>
                <w:tcPr>
                  <w:tcW w:w="1370" w:type="dxa"/>
                  <w:tcMar>
                    <w:left w:w="0" w:type="dxa"/>
                    <w:right w:w="0" w:type="dxa"/>
                  </w:tcMar>
                  <w:vAlign w:val="center"/>
                </w:tcPr>
                <w:p>
                  <w:pPr>
                    <w:adjustRightInd w:val="0"/>
                    <w:jc w:val="center"/>
                    <w:rPr>
                      <w:rFonts w:ascii="Times New Roman" w:hAnsi="Times New Roman" w:eastAsia="宋体" w:cs="Times New Roman"/>
                      <w:color w:val="auto"/>
                      <w:kern w:val="2"/>
                      <w:sz w:val="21"/>
                      <w:szCs w:val="21"/>
                      <w:lang w:val="en-US" w:eastAsia="zh-CN" w:bidi="ar-SA"/>
                    </w:rPr>
                  </w:pPr>
                  <w:r>
                    <w:rPr>
                      <w:color w:val="auto"/>
                      <w:sz w:val="21"/>
                      <w:szCs w:val="21"/>
                    </w:rPr>
                    <w:t>门诊</w:t>
                  </w:r>
                </w:p>
              </w:tc>
              <w:tc>
                <w:tcPr>
                  <w:tcW w:w="2050" w:type="dxa"/>
                  <w:vAlign w:val="center"/>
                </w:tcPr>
                <w:p>
                  <w:pPr>
                    <w:jc w:val="center"/>
                    <w:rPr>
                      <w:rFonts w:ascii="Times New Roman" w:hAnsi="Times New Roman" w:eastAsia="宋体" w:cs="Times New Roman"/>
                      <w:bCs/>
                      <w:color w:val="auto"/>
                      <w:kern w:val="2"/>
                      <w:sz w:val="21"/>
                      <w:szCs w:val="21"/>
                      <w:lang w:val="en-US" w:eastAsia="zh-CN" w:bidi="ar-SA"/>
                    </w:rPr>
                  </w:pPr>
                  <w:r>
                    <w:rPr>
                      <w:bCs/>
                      <w:color w:val="auto"/>
                      <w:sz w:val="21"/>
                      <w:szCs w:val="21"/>
                    </w:rPr>
                    <w:t>门诊废水</w:t>
                  </w:r>
                </w:p>
              </w:tc>
              <w:tc>
                <w:tcPr>
                  <w:tcW w:w="2451" w:type="dxa"/>
                  <w:vMerge w:val="continue"/>
                  <w:tcMar>
                    <w:left w:w="0" w:type="dxa"/>
                    <w:right w:w="0" w:type="dxa"/>
                  </w:tcMar>
                  <w:vAlign w:val="center"/>
                </w:tcPr>
                <w:p>
                  <w:pPr>
                    <w:jc w:val="center"/>
                    <w:rPr>
                      <w:color w:val="auto"/>
                      <w:sz w:val="21"/>
                      <w:szCs w:val="21"/>
                    </w:rPr>
                  </w:pPr>
                </w:p>
              </w:tc>
              <w:tc>
                <w:tcPr>
                  <w:tcW w:w="2584" w:type="dxa"/>
                  <w:vMerge w:val="restart"/>
                  <w:tcMar>
                    <w:left w:w="28" w:type="dxa"/>
                    <w:right w:w="28" w:type="dxa"/>
                  </w:tcMar>
                  <w:vAlign w:val="center"/>
                </w:tcPr>
                <w:p>
                  <w:pPr>
                    <w:jc w:val="center"/>
                    <w:rPr>
                      <w:color w:val="auto"/>
                      <w:sz w:val="21"/>
                      <w:szCs w:val="21"/>
                    </w:rPr>
                  </w:pPr>
                  <w:r>
                    <w:rPr>
                      <w:color w:val="auto"/>
                      <w:spacing w:val="-12"/>
                      <w:sz w:val="21"/>
                      <w:szCs w:val="21"/>
                    </w:rPr>
                    <w:t>废</w:t>
                  </w:r>
                  <w:r>
                    <w:rPr>
                      <w:color w:val="auto"/>
                      <w:kern w:val="0"/>
                      <w:sz w:val="21"/>
                      <w:szCs w:val="21"/>
                    </w:rPr>
                    <w:t>水经</w:t>
                  </w:r>
                  <w:r>
                    <w:rPr>
                      <w:rFonts w:hint="eastAsia"/>
                      <w:color w:val="auto"/>
                      <w:kern w:val="0"/>
                      <w:sz w:val="21"/>
                      <w:szCs w:val="21"/>
                      <w:lang w:eastAsia="zh-CN"/>
                    </w:rPr>
                    <w:t>污水处理站</w:t>
                  </w:r>
                  <w:r>
                    <w:rPr>
                      <w:color w:val="auto"/>
                      <w:kern w:val="0"/>
                      <w:sz w:val="21"/>
                      <w:szCs w:val="21"/>
                    </w:rPr>
                    <w:t>处理后进入市政污水管网最终排入</w:t>
                  </w:r>
                  <w:r>
                    <w:rPr>
                      <w:rFonts w:hint="eastAsia"/>
                      <w:color w:val="auto"/>
                      <w:kern w:val="0"/>
                      <w:sz w:val="21"/>
                      <w:szCs w:val="21"/>
                      <w:lang w:eastAsia="zh-CN"/>
                    </w:rPr>
                    <w:t>西安市第一污水处理厂一期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Merge w:val="continue"/>
                  <w:tcMar>
                    <w:left w:w="0" w:type="dxa"/>
                    <w:right w:w="0" w:type="dxa"/>
                  </w:tcMar>
                  <w:vAlign w:val="center"/>
                </w:tcPr>
                <w:p>
                  <w:pPr>
                    <w:jc w:val="center"/>
                    <w:rPr>
                      <w:color w:val="auto"/>
                      <w:sz w:val="21"/>
                      <w:szCs w:val="21"/>
                    </w:rPr>
                  </w:pPr>
                </w:p>
              </w:tc>
              <w:tc>
                <w:tcPr>
                  <w:tcW w:w="1370" w:type="dxa"/>
                  <w:tcMar>
                    <w:left w:w="0" w:type="dxa"/>
                    <w:right w:w="0" w:type="dxa"/>
                  </w:tcMar>
                  <w:vAlign w:val="center"/>
                </w:tcPr>
                <w:p>
                  <w:pPr>
                    <w:adjustRightInd w:val="0"/>
                    <w:jc w:val="center"/>
                    <w:rPr>
                      <w:snapToGrid w:val="0"/>
                      <w:color w:val="auto"/>
                      <w:kern w:val="0"/>
                      <w:sz w:val="21"/>
                      <w:szCs w:val="21"/>
                    </w:rPr>
                  </w:pPr>
                  <w:r>
                    <w:rPr>
                      <w:rFonts w:hint="eastAsia"/>
                      <w:snapToGrid w:val="0"/>
                      <w:color w:val="auto"/>
                      <w:kern w:val="0"/>
                      <w:sz w:val="21"/>
                      <w:szCs w:val="21"/>
                      <w:lang w:eastAsia="zh-CN"/>
                    </w:rPr>
                    <w:t>检验</w:t>
                  </w:r>
                  <w:r>
                    <w:rPr>
                      <w:snapToGrid w:val="0"/>
                      <w:color w:val="auto"/>
                      <w:kern w:val="0"/>
                      <w:sz w:val="21"/>
                      <w:szCs w:val="21"/>
                    </w:rPr>
                    <w:t>室</w:t>
                  </w:r>
                </w:p>
              </w:tc>
              <w:tc>
                <w:tcPr>
                  <w:tcW w:w="2050" w:type="dxa"/>
                  <w:vAlign w:val="center"/>
                </w:tcPr>
                <w:p>
                  <w:pPr>
                    <w:jc w:val="center"/>
                    <w:rPr>
                      <w:color w:val="auto"/>
                      <w:sz w:val="21"/>
                      <w:szCs w:val="21"/>
                    </w:rPr>
                  </w:pPr>
                  <w:r>
                    <w:rPr>
                      <w:rFonts w:hint="eastAsia"/>
                      <w:color w:val="auto"/>
                      <w:sz w:val="21"/>
                      <w:szCs w:val="21"/>
                      <w:lang w:eastAsia="zh-CN"/>
                    </w:rPr>
                    <w:t>检验</w:t>
                  </w:r>
                  <w:r>
                    <w:rPr>
                      <w:color w:val="auto"/>
                      <w:sz w:val="21"/>
                      <w:szCs w:val="21"/>
                    </w:rPr>
                    <w:t>废水</w:t>
                  </w:r>
                </w:p>
              </w:tc>
              <w:tc>
                <w:tcPr>
                  <w:tcW w:w="2451" w:type="dxa"/>
                  <w:vMerge w:val="continue"/>
                  <w:tcMar>
                    <w:left w:w="0" w:type="dxa"/>
                    <w:right w:w="0" w:type="dxa"/>
                  </w:tcMar>
                  <w:vAlign w:val="center"/>
                </w:tcPr>
                <w:p>
                  <w:pPr>
                    <w:jc w:val="center"/>
                    <w:rPr>
                      <w:color w:val="auto"/>
                      <w:sz w:val="21"/>
                      <w:szCs w:val="21"/>
                    </w:rPr>
                  </w:pPr>
                </w:p>
              </w:tc>
              <w:tc>
                <w:tcPr>
                  <w:tcW w:w="2584" w:type="dxa"/>
                  <w:vMerge w:val="continue"/>
                  <w:tcMar>
                    <w:left w:w="28" w:type="dxa"/>
                    <w:right w:w="28" w:type="dxa"/>
                  </w:tcMar>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tcMar>
                    <w:left w:w="0" w:type="dxa"/>
                    <w:right w:w="0" w:type="dxa"/>
                  </w:tcMar>
                  <w:vAlign w:val="center"/>
                </w:tcPr>
                <w:p>
                  <w:pPr>
                    <w:jc w:val="center"/>
                    <w:rPr>
                      <w:color w:val="auto"/>
                      <w:sz w:val="21"/>
                      <w:szCs w:val="21"/>
                    </w:rPr>
                  </w:pPr>
                  <w:r>
                    <w:rPr>
                      <w:color w:val="auto"/>
                      <w:sz w:val="21"/>
                      <w:szCs w:val="21"/>
                    </w:rPr>
                    <w:t>噪声</w:t>
                  </w:r>
                </w:p>
              </w:tc>
              <w:tc>
                <w:tcPr>
                  <w:tcW w:w="1370" w:type="dxa"/>
                  <w:tcMar>
                    <w:left w:w="0" w:type="dxa"/>
                    <w:right w:w="0" w:type="dxa"/>
                  </w:tcMar>
                  <w:vAlign w:val="center"/>
                </w:tcPr>
                <w:p>
                  <w:pPr>
                    <w:jc w:val="center"/>
                    <w:rPr>
                      <w:color w:val="auto"/>
                      <w:sz w:val="21"/>
                      <w:szCs w:val="21"/>
                    </w:rPr>
                  </w:pPr>
                  <w:r>
                    <w:rPr>
                      <w:color w:val="auto"/>
                      <w:sz w:val="21"/>
                      <w:szCs w:val="21"/>
                    </w:rPr>
                    <w:t>机械设备运行</w:t>
                  </w:r>
                </w:p>
              </w:tc>
              <w:tc>
                <w:tcPr>
                  <w:tcW w:w="2050" w:type="dxa"/>
                  <w:vAlign w:val="center"/>
                </w:tcPr>
                <w:p>
                  <w:pPr>
                    <w:jc w:val="center"/>
                    <w:rPr>
                      <w:color w:val="auto"/>
                      <w:sz w:val="21"/>
                      <w:szCs w:val="21"/>
                    </w:rPr>
                  </w:pPr>
                  <w:r>
                    <w:rPr>
                      <w:color w:val="auto"/>
                      <w:sz w:val="21"/>
                      <w:szCs w:val="21"/>
                    </w:rPr>
                    <w:t>污水处理站水泵、</w:t>
                  </w:r>
                </w:p>
                <w:p>
                  <w:pPr>
                    <w:jc w:val="center"/>
                    <w:rPr>
                      <w:rFonts w:hint="eastAsia" w:eastAsia="宋体"/>
                      <w:color w:val="auto"/>
                      <w:sz w:val="21"/>
                      <w:szCs w:val="21"/>
                      <w:lang w:eastAsia="zh-CN"/>
                    </w:rPr>
                  </w:pPr>
                  <w:r>
                    <w:rPr>
                      <w:color w:val="auto"/>
                      <w:sz w:val="21"/>
                      <w:szCs w:val="21"/>
                    </w:rPr>
                    <w:t>风机及</w:t>
                  </w:r>
                  <w:r>
                    <w:rPr>
                      <w:rFonts w:hint="eastAsia"/>
                      <w:color w:val="auto"/>
                      <w:sz w:val="21"/>
                      <w:szCs w:val="21"/>
                      <w:lang w:eastAsia="zh-CN"/>
                    </w:rPr>
                    <w:t>空调</w:t>
                  </w:r>
                </w:p>
              </w:tc>
              <w:tc>
                <w:tcPr>
                  <w:tcW w:w="2451" w:type="dxa"/>
                  <w:tcMar>
                    <w:left w:w="0" w:type="dxa"/>
                    <w:right w:w="0" w:type="dxa"/>
                  </w:tcMar>
                  <w:vAlign w:val="center"/>
                </w:tcPr>
                <w:p>
                  <w:pPr>
                    <w:jc w:val="center"/>
                    <w:rPr>
                      <w:color w:val="auto"/>
                      <w:sz w:val="21"/>
                      <w:szCs w:val="21"/>
                    </w:rPr>
                  </w:pPr>
                  <w:r>
                    <w:rPr>
                      <w:color w:val="auto"/>
                      <w:sz w:val="21"/>
                      <w:szCs w:val="21"/>
                    </w:rPr>
                    <w:t>噪声</w:t>
                  </w:r>
                </w:p>
              </w:tc>
              <w:tc>
                <w:tcPr>
                  <w:tcW w:w="2584" w:type="dxa"/>
                  <w:tcMar>
                    <w:left w:w="0" w:type="dxa"/>
                    <w:right w:w="0" w:type="dxa"/>
                  </w:tcMar>
                  <w:vAlign w:val="center"/>
                </w:tcPr>
                <w:p>
                  <w:pPr>
                    <w:jc w:val="center"/>
                    <w:rPr>
                      <w:color w:val="auto"/>
                      <w:sz w:val="21"/>
                      <w:szCs w:val="21"/>
                    </w:rPr>
                  </w:pPr>
                  <w:r>
                    <w:rPr>
                      <w:color w:val="auto"/>
                      <w:sz w:val="21"/>
                      <w:szCs w:val="21"/>
                    </w:rPr>
                    <w:t>选用低噪声设备，基础减振、合理布局及隔声等措施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Merge w:val="restart"/>
                  <w:tcMar>
                    <w:left w:w="0" w:type="dxa"/>
                    <w:right w:w="0" w:type="dxa"/>
                  </w:tcMar>
                  <w:vAlign w:val="center"/>
                </w:tcPr>
                <w:p>
                  <w:pPr>
                    <w:jc w:val="center"/>
                    <w:rPr>
                      <w:color w:val="auto"/>
                      <w:sz w:val="21"/>
                      <w:szCs w:val="21"/>
                    </w:rPr>
                  </w:pPr>
                  <w:r>
                    <w:rPr>
                      <w:color w:val="auto"/>
                      <w:sz w:val="21"/>
                      <w:szCs w:val="21"/>
                    </w:rPr>
                    <w:t>固废</w:t>
                  </w:r>
                </w:p>
              </w:tc>
              <w:tc>
                <w:tcPr>
                  <w:tcW w:w="1370" w:type="dxa"/>
                  <w:vMerge w:val="restart"/>
                  <w:tcMar>
                    <w:top w:w="0" w:type="dxa"/>
                    <w:left w:w="0" w:type="dxa"/>
                    <w:bottom w:w="0" w:type="dxa"/>
                    <w:right w:w="0" w:type="dxa"/>
                  </w:tcMar>
                  <w:vAlign w:val="center"/>
                </w:tcPr>
                <w:p>
                  <w:pPr>
                    <w:jc w:val="center"/>
                    <w:rPr>
                      <w:rFonts w:hint="eastAsia" w:eastAsia="宋体"/>
                      <w:color w:val="auto"/>
                      <w:sz w:val="21"/>
                      <w:szCs w:val="21"/>
                      <w:lang w:eastAsia="zh-CN"/>
                    </w:rPr>
                  </w:pPr>
                  <w:r>
                    <w:rPr>
                      <w:rFonts w:hint="eastAsia"/>
                      <w:color w:val="auto"/>
                      <w:sz w:val="21"/>
                      <w:szCs w:val="21"/>
                      <w:lang w:eastAsia="zh-CN"/>
                    </w:rPr>
                    <w:t>危废废物</w:t>
                  </w:r>
                </w:p>
              </w:tc>
              <w:tc>
                <w:tcPr>
                  <w:tcW w:w="2050" w:type="dxa"/>
                  <w:vAlign w:val="center"/>
                </w:tcPr>
                <w:p>
                  <w:pPr>
                    <w:jc w:val="center"/>
                    <w:rPr>
                      <w:color w:val="auto"/>
                      <w:sz w:val="21"/>
                      <w:szCs w:val="21"/>
                    </w:rPr>
                  </w:pPr>
                  <w:r>
                    <w:rPr>
                      <w:color w:val="auto"/>
                      <w:sz w:val="21"/>
                      <w:szCs w:val="21"/>
                    </w:rPr>
                    <w:t>医疗废物</w:t>
                  </w:r>
                </w:p>
              </w:tc>
              <w:tc>
                <w:tcPr>
                  <w:tcW w:w="2451" w:type="dxa"/>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感染性废物：一次性医疗器械、棉球、棉签、纱布等；</w:t>
                  </w:r>
                </w:p>
                <w:p>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病理性废物：手术后废弃的眼部组织等；</w:t>
                  </w:r>
                </w:p>
                <w:p>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损伤性废物：针头、针筒、刀具、玻璃器具等；</w:t>
                  </w:r>
                </w:p>
                <w:p>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药物性废物：过期、淘汰、变质或被污染的废弃的药品等；</w:t>
                  </w:r>
                </w:p>
                <w:p>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left"/>
                    <w:textAlignment w:val="auto"/>
                    <w:rPr>
                      <w:color w:val="auto"/>
                      <w:sz w:val="21"/>
                      <w:szCs w:val="21"/>
                    </w:rPr>
                  </w:pPr>
                  <w:r>
                    <w:rPr>
                      <w:rFonts w:hint="default" w:ascii="Times New Roman" w:hAnsi="Times New Roman" w:cs="Times New Roman"/>
                      <w:color w:val="auto"/>
                      <w:sz w:val="21"/>
                      <w:szCs w:val="21"/>
                    </w:rPr>
                    <w:t>化学性废物：废弃的化学试剂、化学试剂使用过程产生的包装物、药品使用过程产生的包装物等。</w:t>
                  </w:r>
                </w:p>
              </w:tc>
              <w:tc>
                <w:tcPr>
                  <w:tcW w:w="2584" w:type="dxa"/>
                  <w:tcMar>
                    <w:left w:w="0" w:type="dxa"/>
                    <w:right w:w="0" w:type="dxa"/>
                  </w:tcMar>
                  <w:vAlign w:val="center"/>
                </w:tcPr>
                <w:p>
                  <w:pPr>
                    <w:jc w:val="center"/>
                    <w:rPr>
                      <w:color w:val="auto"/>
                      <w:sz w:val="21"/>
                      <w:szCs w:val="21"/>
                    </w:rPr>
                  </w:pPr>
                  <w:r>
                    <w:rPr>
                      <w:color w:val="auto"/>
                      <w:sz w:val="21"/>
                      <w:szCs w:val="21"/>
                    </w:rPr>
                    <w:t>暂存医废暂存间，定期交由资质单位处置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Merge w:val="continue"/>
                  <w:tcMar>
                    <w:left w:w="0" w:type="dxa"/>
                    <w:right w:w="0" w:type="dxa"/>
                  </w:tcMar>
                  <w:vAlign w:val="center"/>
                </w:tcPr>
                <w:p>
                  <w:pPr>
                    <w:jc w:val="center"/>
                    <w:rPr>
                      <w:color w:val="auto"/>
                      <w:sz w:val="21"/>
                      <w:szCs w:val="21"/>
                    </w:rPr>
                  </w:pPr>
                </w:p>
              </w:tc>
              <w:tc>
                <w:tcPr>
                  <w:tcW w:w="1370" w:type="dxa"/>
                  <w:vMerge w:val="continue"/>
                  <w:tcMar>
                    <w:top w:w="0" w:type="dxa"/>
                    <w:left w:w="0" w:type="dxa"/>
                    <w:bottom w:w="0" w:type="dxa"/>
                    <w:right w:w="0" w:type="dxa"/>
                  </w:tcMar>
                  <w:vAlign w:val="center"/>
                </w:tcPr>
                <w:p>
                  <w:pPr>
                    <w:jc w:val="center"/>
                    <w:rPr>
                      <w:color w:val="auto"/>
                      <w:sz w:val="21"/>
                      <w:szCs w:val="21"/>
                    </w:rPr>
                  </w:pPr>
                </w:p>
              </w:tc>
              <w:tc>
                <w:tcPr>
                  <w:tcW w:w="2050" w:type="dxa"/>
                  <w:vAlign w:val="center"/>
                </w:tcPr>
                <w:p>
                  <w:pPr>
                    <w:jc w:val="center"/>
                    <w:rPr>
                      <w:color w:val="auto"/>
                      <w:sz w:val="21"/>
                      <w:szCs w:val="21"/>
                    </w:rPr>
                  </w:pPr>
                  <w:r>
                    <w:rPr>
                      <w:color w:val="auto"/>
                      <w:sz w:val="21"/>
                      <w:szCs w:val="21"/>
                    </w:rPr>
                    <w:t>污水处理站污泥</w:t>
                  </w:r>
                </w:p>
              </w:tc>
              <w:tc>
                <w:tcPr>
                  <w:tcW w:w="2451" w:type="dxa"/>
                  <w:tcMar>
                    <w:left w:w="0" w:type="dxa"/>
                    <w:right w:w="0" w:type="dxa"/>
                  </w:tcMar>
                  <w:vAlign w:val="center"/>
                </w:tcPr>
                <w:p>
                  <w:pPr>
                    <w:jc w:val="center"/>
                    <w:rPr>
                      <w:color w:val="auto"/>
                      <w:sz w:val="21"/>
                      <w:szCs w:val="21"/>
                    </w:rPr>
                  </w:pPr>
                  <w:r>
                    <w:rPr>
                      <w:color w:val="auto"/>
                      <w:sz w:val="21"/>
                      <w:szCs w:val="21"/>
                    </w:rPr>
                    <w:t>污泥</w:t>
                  </w:r>
                </w:p>
              </w:tc>
              <w:tc>
                <w:tcPr>
                  <w:tcW w:w="2584" w:type="dxa"/>
                  <w:tcMar>
                    <w:left w:w="0" w:type="dxa"/>
                    <w:right w:w="0" w:type="dxa"/>
                  </w:tcMar>
                  <w:vAlign w:val="center"/>
                </w:tcPr>
                <w:p>
                  <w:pPr>
                    <w:jc w:val="center"/>
                    <w:rPr>
                      <w:color w:val="auto"/>
                      <w:sz w:val="21"/>
                      <w:szCs w:val="21"/>
                    </w:rPr>
                  </w:pPr>
                  <w:r>
                    <w:rPr>
                      <w:rFonts w:hint="eastAsia"/>
                      <w:color w:val="auto"/>
                      <w:sz w:val="21"/>
                      <w:szCs w:val="21"/>
                      <w:lang w:eastAsia="zh-CN"/>
                    </w:rPr>
                    <w:t>脱水</w:t>
                  </w:r>
                  <w:r>
                    <w:rPr>
                      <w:color w:val="auto"/>
                      <w:sz w:val="21"/>
                      <w:szCs w:val="21"/>
                    </w:rPr>
                    <w:t>后直接交由资质单位处置，不在院内存储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Merge w:val="continue"/>
                  <w:tcMar>
                    <w:left w:w="0" w:type="dxa"/>
                    <w:right w:w="0" w:type="dxa"/>
                  </w:tcMar>
                  <w:vAlign w:val="center"/>
                </w:tcPr>
                <w:p>
                  <w:pPr>
                    <w:jc w:val="center"/>
                    <w:rPr>
                      <w:color w:val="auto"/>
                      <w:sz w:val="21"/>
                      <w:szCs w:val="21"/>
                    </w:rPr>
                  </w:pPr>
                </w:p>
              </w:tc>
              <w:tc>
                <w:tcPr>
                  <w:tcW w:w="1370" w:type="dxa"/>
                  <w:tcMar>
                    <w:top w:w="0" w:type="dxa"/>
                    <w:left w:w="0" w:type="dxa"/>
                    <w:bottom w:w="0" w:type="dxa"/>
                    <w:right w:w="0" w:type="dxa"/>
                  </w:tcMar>
                  <w:vAlign w:val="center"/>
                </w:tcPr>
                <w:p>
                  <w:pPr>
                    <w:jc w:val="center"/>
                    <w:rPr>
                      <w:color w:val="auto"/>
                      <w:sz w:val="21"/>
                      <w:szCs w:val="21"/>
                    </w:rPr>
                  </w:pPr>
                  <w:r>
                    <w:rPr>
                      <w:color w:val="auto"/>
                      <w:sz w:val="21"/>
                      <w:szCs w:val="21"/>
                    </w:rPr>
                    <w:t>生活</w:t>
                  </w:r>
                </w:p>
              </w:tc>
              <w:tc>
                <w:tcPr>
                  <w:tcW w:w="2050" w:type="dxa"/>
                  <w:vAlign w:val="center"/>
                </w:tcPr>
                <w:p>
                  <w:pPr>
                    <w:jc w:val="center"/>
                    <w:rPr>
                      <w:color w:val="auto"/>
                      <w:sz w:val="21"/>
                      <w:szCs w:val="21"/>
                    </w:rPr>
                  </w:pPr>
                  <w:r>
                    <w:rPr>
                      <w:color w:val="auto"/>
                      <w:sz w:val="21"/>
                      <w:szCs w:val="21"/>
                    </w:rPr>
                    <w:t>生活垃圾</w:t>
                  </w:r>
                </w:p>
              </w:tc>
              <w:tc>
                <w:tcPr>
                  <w:tcW w:w="2451" w:type="dxa"/>
                  <w:tcMar>
                    <w:left w:w="0" w:type="dxa"/>
                    <w:right w:w="0" w:type="dxa"/>
                  </w:tcMar>
                  <w:vAlign w:val="center"/>
                </w:tcPr>
                <w:p>
                  <w:pPr>
                    <w:jc w:val="center"/>
                    <w:rPr>
                      <w:color w:val="auto"/>
                      <w:sz w:val="21"/>
                      <w:szCs w:val="21"/>
                    </w:rPr>
                  </w:pPr>
                  <w:r>
                    <w:rPr>
                      <w:color w:val="auto"/>
                      <w:sz w:val="21"/>
                      <w:szCs w:val="21"/>
                    </w:rPr>
                    <w:t>生活垃圾</w:t>
                  </w:r>
                </w:p>
              </w:tc>
              <w:tc>
                <w:tcPr>
                  <w:tcW w:w="2584" w:type="dxa"/>
                  <w:tcMar>
                    <w:left w:w="0" w:type="dxa"/>
                    <w:right w:w="0" w:type="dxa"/>
                  </w:tcMar>
                  <w:vAlign w:val="center"/>
                </w:tcPr>
                <w:p>
                  <w:pPr>
                    <w:jc w:val="center"/>
                    <w:rPr>
                      <w:color w:val="auto"/>
                      <w:sz w:val="21"/>
                      <w:szCs w:val="21"/>
                    </w:rPr>
                  </w:pPr>
                  <w:r>
                    <w:rPr>
                      <w:color w:val="auto"/>
                      <w:sz w:val="21"/>
                      <w:szCs w:val="21"/>
                    </w:rPr>
                    <w:t>集中收集后交环卫部门处理</w:t>
                  </w:r>
                </w:p>
              </w:tc>
            </w:tr>
          </w:tbl>
          <w:p>
            <w:pPr>
              <w:rPr>
                <w:color w:val="auto"/>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59" w:type="pct"/>
            <w:vAlign w:val="center"/>
          </w:tcPr>
          <w:p>
            <w:pPr>
              <w:pStyle w:val="23"/>
              <w:adjustRightInd w:val="0"/>
              <w:snapToGrid w:val="0"/>
              <w:spacing w:before="0" w:beforeAutospacing="0" w:after="0" w:afterAutospacing="0"/>
              <w:jc w:val="both"/>
              <w:rPr>
                <w:rFonts w:ascii="Times New Roman" w:hAnsi="Times New Roman"/>
                <w:bCs/>
                <w:color w:val="auto"/>
                <w:kern w:val="21"/>
                <w:sz w:val="24"/>
                <w:szCs w:val="24"/>
              </w:rPr>
            </w:pPr>
          </w:p>
          <w:p>
            <w:pPr>
              <w:pStyle w:val="23"/>
              <w:adjustRightInd w:val="0"/>
              <w:snapToGrid w:val="0"/>
              <w:spacing w:before="0" w:beforeAutospacing="0" w:after="0" w:afterAutospacing="0"/>
              <w:jc w:val="both"/>
              <w:rPr>
                <w:rFonts w:ascii="Times New Roman" w:hAnsi="Times New Roman"/>
                <w:bCs/>
                <w:color w:val="auto"/>
                <w:kern w:val="21"/>
                <w:sz w:val="24"/>
                <w:szCs w:val="24"/>
              </w:rPr>
            </w:pPr>
          </w:p>
          <w:p>
            <w:pPr>
              <w:pStyle w:val="23"/>
              <w:adjustRightInd w:val="0"/>
              <w:snapToGrid w:val="0"/>
              <w:spacing w:before="0" w:beforeAutospacing="0" w:after="0" w:afterAutospacing="0"/>
              <w:jc w:val="both"/>
              <w:rPr>
                <w:rFonts w:ascii="Times New Roman" w:hAnsi="Times New Roman"/>
                <w:bCs/>
                <w:color w:val="auto"/>
                <w:kern w:val="21"/>
                <w:sz w:val="24"/>
                <w:szCs w:val="24"/>
              </w:rPr>
            </w:pPr>
          </w:p>
          <w:p>
            <w:pPr>
              <w:pStyle w:val="23"/>
              <w:adjustRightInd w:val="0"/>
              <w:snapToGrid w:val="0"/>
              <w:spacing w:before="0" w:beforeAutospacing="0" w:after="0" w:afterAutospacing="0"/>
              <w:jc w:val="both"/>
              <w:rPr>
                <w:rFonts w:ascii="Times New Roman" w:hAnsi="Times New Roman"/>
                <w:bCs/>
                <w:color w:val="auto"/>
                <w:kern w:val="21"/>
                <w:sz w:val="24"/>
                <w:szCs w:val="24"/>
              </w:rPr>
            </w:pPr>
          </w:p>
          <w:p>
            <w:pPr>
              <w:pStyle w:val="23"/>
              <w:adjustRightInd w:val="0"/>
              <w:snapToGrid w:val="0"/>
              <w:spacing w:before="0" w:beforeAutospacing="0" w:after="0" w:afterAutospacing="0"/>
              <w:jc w:val="both"/>
              <w:rPr>
                <w:rFonts w:ascii="Times New Roman" w:hAnsi="Times New Roman"/>
                <w:bCs/>
                <w:color w:val="auto"/>
                <w:kern w:val="21"/>
                <w:sz w:val="24"/>
                <w:szCs w:val="24"/>
              </w:rPr>
            </w:pPr>
          </w:p>
          <w:p>
            <w:pPr>
              <w:pStyle w:val="23"/>
              <w:adjustRightInd w:val="0"/>
              <w:snapToGrid w:val="0"/>
              <w:spacing w:before="0" w:beforeAutospacing="0" w:after="0" w:afterAutospacing="0"/>
              <w:jc w:val="both"/>
              <w:rPr>
                <w:rFonts w:ascii="Times New Roman" w:hAnsi="Times New Roman"/>
                <w:bCs/>
                <w:color w:val="auto"/>
                <w:kern w:val="21"/>
                <w:sz w:val="24"/>
                <w:szCs w:val="24"/>
              </w:rPr>
            </w:pPr>
          </w:p>
          <w:p>
            <w:pPr>
              <w:pStyle w:val="23"/>
              <w:adjustRightInd w:val="0"/>
              <w:snapToGrid w:val="0"/>
              <w:spacing w:before="0" w:beforeAutospacing="0" w:after="0" w:afterAutospacing="0"/>
              <w:jc w:val="both"/>
              <w:rPr>
                <w:rFonts w:ascii="Times New Roman" w:hAnsi="Times New Roman"/>
                <w:bCs/>
                <w:color w:val="auto"/>
                <w:kern w:val="21"/>
                <w:sz w:val="24"/>
                <w:szCs w:val="24"/>
              </w:rPr>
            </w:pPr>
          </w:p>
          <w:p>
            <w:pPr>
              <w:pStyle w:val="23"/>
              <w:adjustRightInd w:val="0"/>
              <w:snapToGrid w:val="0"/>
              <w:spacing w:before="0" w:beforeAutospacing="0" w:after="0" w:afterAutospacing="0"/>
              <w:jc w:val="both"/>
              <w:rPr>
                <w:rFonts w:ascii="Times New Roman" w:hAnsi="Times New Roman"/>
                <w:bCs/>
                <w:color w:val="auto"/>
                <w:kern w:val="21"/>
                <w:sz w:val="24"/>
                <w:szCs w:val="24"/>
              </w:rPr>
            </w:pPr>
          </w:p>
          <w:p>
            <w:pPr>
              <w:pStyle w:val="23"/>
              <w:adjustRightInd w:val="0"/>
              <w:snapToGrid w:val="0"/>
              <w:spacing w:before="0" w:beforeAutospacing="0" w:after="0" w:afterAutospacing="0"/>
              <w:jc w:val="both"/>
              <w:rPr>
                <w:rFonts w:ascii="Times New Roman" w:hAnsi="Times New Roman"/>
                <w:bCs/>
                <w:color w:val="auto"/>
                <w:kern w:val="21"/>
                <w:sz w:val="24"/>
                <w:szCs w:val="24"/>
              </w:rPr>
            </w:pPr>
          </w:p>
          <w:p>
            <w:pPr>
              <w:pStyle w:val="23"/>
              <w:adjustRightInd w:val="0"/>
              <w:snapToGrid w:val="0"/>
              <w:spacing w:before="0" w:beforeAutospacing="0" w:after="0" w:afterAutospacing="0"/>
              <w:jc w:val="both"/>
              <w:rPr>
                <w:rFonts w:ascii="Times New Roman" w:hAnsi="Times New Roman"/>
                <w:bCs/>
                <w:color w:val="auto"/>
                <w:kern w:val="21"/>
                <w:sz w:val="24"/>
                <w:szCs w:val="24"/>
              </w:rPr>
            </w:pPr>
          </w:p>
          <w:p>
            <w:pPr>
              <w:pStyle w:val="23"/>
              <w:adjustRightInd w:val="0"/>
              <w:snapToGrid w:val="0"/>
              <w:spacing w:before="0" w:beforeAutospacing="0" w:after="0" w:afterAutospacing="0"/>
              <w:jc w:val="both"/>
              <w:rPr>
                <w:rFonts w:ascii="Times New Roman" w:hAnsi="Times New Roman"/>
                <w:bCs/>
                <w:color w:val="auto"/>
                <w:kern w:val="21"/>
                <w:sz w:val="24"/>
                <w:szCs w:val="24"/>
              </w:rPr>
            </w:pPr>
          </w:p>
          <w:p>
            <w:pPr>
              <w:pStyle w:val="23"/>
              <w:adjustRightInd w:val="0"/>
              <w:snapToGrid w:val="0"/>
              <w:spacing w:before="0" w:beforeAutospacing="0" w:after="0" w:afterAutospacing="0"/>
              <w:jc w:val="both"/>
              <w:rPr>
                <w:rFonts w:ascii="Times New Roman" w:hAnsi="Times New Roman"/>
                <w:bCs/>
                <w:color w:val="auto"/>
                <w:kern w:val="21"/>
                <w:sz w:val="24"/>
                <w:szCs w:val="24"/>
              </w:rPr>
            </w:pPr>
          </w:p>
          <w:p>
            <w:pPr>
              <w:pStyle w:val="23"/>
              <w:adjustRightInd w:val="0"/>
              <w:snapToGrid w:val="0"/>
              <w:spacing w:before="0" w:beforeAutospacing="0" w:after="0" w:afterAutospacing="0"/>
              <w:jc w:val="both"/>
              <w:rPr>
                <w:rFonts w:ascii="Times New Roman" w:hAnsi="Times New Roman"/>
                <w:bCs/>
                <w:color w:val="auto"/>
                <w:kern w:val="21"/>
                <w:sz w:val="24"/>
                <w:szCs w:val="24"/>
              </w:rPr>
            </w:pPr>
          </w:p>
          <w:p>
            <w:pPr>
              <w:pStyle w:val="23"/>
              <w:adjustRightInd w:val="0"/>
              <w:snapToGrid w:val="0"/>
              <w:spacing w:before="0" w:beforeAutospacing="0" w:after="0" w:afterAutospacing="0"/>
              <w:jc w:val="both"/>
              <w:rPr>
                <w:rFonts w:ascii="Times New Roman" w:hAnsi="Times New Roman"/>
                <w:bCs/>
                <w:color w:val="auto"/>
                <w:kern w:val="21"/>
                <w:sz w:val="24"/>
                <w:szCs w:val="24"/>
              </w:rPr>
            </w:pPr>
          </w:p>
          <w:p>
            <w:pPr>
              <w:pStyle w:val="23"/>
              <w:adjustRightInd w:val="0"/>
              <w:snapToGrid w:val="0"/>
              <w:spacing w:before="0" w:beforeAutospacing="0" w:after="0" w:afterAutospacing="0"/>
              <w:jc w:val="both"/>
              <w:rPr>
                <w:rFonts w:ascii="Times New Roman" w:hAnsi="Times New Roman"/>
                <w:bCs/>
                <w:color w:val="auto"/>
                <w:kern w:val="21"/>
                <w:sz w:val="24"/>
                <w:szCs w:val="24"/>
              </w:rPr>
            </w:pPr>
          </w:p>
          <w:p>
            <w:pPr>
              <w:pStyle w:val="23"/>
              <w:adjustRightInd w:val="0"/>
              <w:snapToGrid w:val="0"/>
              <w:spacing w:before="0" w:beforeAutospacing="0" w:after="0" w:afterAutospacing="0"/>
              <w:jc w:val="both"/>
              <w:rPr>
                <w:rFonts w:ascii="Times New Roman" w:hAnsi="Times New Roman"/>
                <w:bCs/>
                <w:color w:val="auto"/>
                <w:kern w:val="21"/>
                <w:sz w:val="24"/>
                <w:szCs w:val="24"/>
              </w:rPr>
            </w:pPr>
          </w:p>
          <w:p>
            <w:pPr>
              <w:pStyle w:val="23"/>
              <w:adjustRightInd w:val="0"/>
              <w:snapToGrid w:val="0"/>
              <w:spacing w:before="0" w:beforeAutospacing="0" w:after="0" w:afterAutospacing="0"/>
              <w:jc w:val="both"/>
              <w:rPr>
                <w:rFonts w:ascii="Times New Roman" w:hAnsi="Times New Roman"/>
                <w:bCs/>
                <w:color w:val="auto"/>
                <w:kern w:val="21"/>
                <w:sz w:val="24"/>
                <w:szCs w:val="24"/>
              </w:rPr>
            </w:pPr>
          </w:p>
          <w:p>
            <w:pPr>
              <w:pStyle w:val="23"/>
              <w:adjustRightInd w:val="0"/>
              <w:snapToGrid w:val="0"/>
              <w:spacing w:before="0" w:beforeAutospacing="0" w:after="0" w:afterAutospacing="0"/>
              <w:jc w:val="both"/>
              <w:rPr>
                <w:rFonts w:ascii="Times New Roman" w:hAnsi="Times New Roman"/>
                <w:bCs/>
                <w:color w:val="auto"/>
                <w:kern w:val="21"/>
                <w:sz w:val="24"/>
                <w:szCs w:val="24"/>
              </w:rPr>
            </w:pPr>
          </w:p>
          <w:p>
            <w:pPr>
              <w:pStyle w:val="23"/>
              <w:adjustRightInd w:val="0"/>
              <w:snapToGrid w:val="0"/>
              <w:spacing w:before="0" w:beforeAutospacing="0" w:after="0" w:afterAutospacing="0"/>
              <w:jc w:val="both"/>
              <w:rPr>
                <w:rFonts w:ascii="Times New Roman" w:hAnsi="Times New Roman"/>
                <w:bCs/>
                <w:color w:val="auto"/>
                <w:kern w:val="21"/>
                <w:sz w:val="24"/>
                <w:szCs w:val="24"/>
              </w:rPr>
            </w:pPr>
          </w:p>
          <w:p>
            <w:pPr>
              <w:pStyle w:val="23"/>
              <w:adjustRightInd w:val="0"/>
              <w:snapToGrid w:val="0"/>
              <w:spacing w:before="0" w:beforeAutospacing="0" w:after="0" w:afterAutospacing="0"/>
              <w:jc w:val="both"/>
              <w:rPr>
                <w:rFonts w:ascii="Times New Roman" w:hAnsi="Times New Roman"/>
                <w:bCs/>
                <w:color w:val="auto"/>
                <w:kern w:val="21"/>
                <w:sz w:val="24"/>
                <w:szCs w:val="24"/>
              </w:rPr>
            </w:pPr>
          </w:p>
          <w:p>
            <w:pPr>
              <w:pStyle w:val="23"/>
              <w:adjustRightInd w:val="0"/>
              <w:snapToGrid w:val="0"/>
              <w:spacing w:before="0" w:beforeAutospacing="0" w:after="0" w:afterAutospacing="0"/>
              <w:jc w:val="both"/>
              <w:rPr>
                <w:rFonts w:ascii="Times New Roman" w:hAnsi="Times New Roman"/>
                <w:bCs/>
                <w:color w:val="auto"/>
                <w:kern w:val="21"/>
                <w:sz w:val="24"/>
                <w:szCs w:val="24"/>
              </w:rPr>
            </w:pPr>
          </w:p>
          <w:p>
            <w:pPr>
              <w:pStyle w:val="23"/>
              <w:adjustRightInd w:val="0"/>
              <w:snapToGrid w:val="0"/>
              <w:spacing w:before="0" w:beforeAutospacing="0" w:after="0" w:afterAutospacing="0"/>
              <w:jc w:val="both"/>
              <w:rPr>
                <w:rFonts w:ascii="Times New Roman" w:hAnsi="Times New Roman"/>
                <w:bCs/>
                <w:color w:val="auto"/>
                <w:kern w:val="21"/>
                <w:sz w:val="24"/>
                <w:szCs w:val="24"/>
              </w:rPr>
            </w:pPr>
          </w:p>
          <w:p>
            <w:pPr>
              <w:pStyle w:val="23"/>
              <w:adjustRightInd w:val="0"/>
              <w:snapToGrid w:val="0"/>
              <w:spacing w:before="0" w:beforeAutospacing="0" w:after="0" w:afterAutospacing="0"/>
              <w:jc w:val="both"/>
              <w:rPr>
                <w:rFonts w:ascii="Times New Roman" w:hAnsi="Times New Roman"/>
                <w:bCs/>
                <w:color w:val="auto"/>
                <w:kern w:val="21"/>
                <w:sz w:val="24"/>
                <w:szCs w:val="24"/>
              </w:rPr>
            </w:pPr>
          </w:p>
          <w:p>
            <w:pPr>
              <w:pStyle w:val="23"/>
              <w:adjustRightInd w:val="0"/>
              <w:snapToGrid w:val="0"/>
              <w:spacing w:before="0" w:beforeAutospacing="0" w:after="0" w:afterAutospacing="0"/>
              <w:jc w:val="both"/>
              <w:rPr>
                <w:rFonts w:ascii="Times New Roman" w:hAnsi="Times New Roman"/>
                <w:bCs/>
                <w:color w:val="auto"/>
                <w:kern w:val="21"/>
                <w:sz w:val="24"/>
                <w:szCs w:val="24"/>
              </w:rPr>
            </w:pPr>
          </w:p>
          <w:p>
            <w:pPr>
              <w:pStyle w:val="23"/>
              <w:adjustRightInd w:val="0"/>
              <w:snapToGrid w:val="0"/>
              <w:spacing w:before="0" w:beforeAutospacing="0" w:after="0" w:afterAutospacing="0"/>
              <w:jc w:val="both"/>
              <w:rPr>
                <w:rFonts w:ascii="Times New Roman" w:hAnsi="Times New Roman"/>
                <w:bCs/>
                <w:color w:val="auto"/>
                <w:kern w:val="21"/>
                <w:sz w:val="24"/>
                <w:szCs w:val="24"/>
              </w:rPr>
            </w:pPr>
          </w:p>
          <w:p>
            <w:pPr>
              <w:pStyle w:val="23"/>
              <w:adjustRightInd w:val="0"/>
              <w:snapToGrid w:val="0"/>
              <w:spacing w:before="0" w:beforeAutospacing="0" w:after="0" w:afterAutospacing="0"/>
              <w:jc w:val="both"/>
              <w:rPr>
                <w:rFonts w:ascii="Times New Roman" w:hAnsi="Times New Roman"/>
                <w:bCs/>
                <w:color w:val="auto"/>
                <w:kern w:val="21"/>
                <w:sz w:val="24"/>
                <w:szCs w:val="24"/>
              </w:rPr>
            </w:pPr>
          </w:p>
          <w:p>
            <w:pPr>
              <w:pStyle w:val="23"/>
              <w:adjustRightInd w:val="0"/>
              <w:snapToGrid w:val="0"/>
              <w:spacing w:before="0" w:beforeAutospacing="0" w:after="0" w:afterAutospacing="0"/>
              <w:jc w:val="both"/>
              <w:rPr>
                <w:rFonts w:ascii="Times New Roman" w:hAnsi="Times New Roman"/>
                <w:bCs/>
                <w:color w:val="auto"/>
                <w:kern w:val="21"/>
                <w:sz w:val="24"/>
                <w:szCs w:val="24"/>
              </w:rPr>
            </w:pPr>
          </w:p>
          <w:p>
            <w:pPr>
              <w:pStyle w:val="23"/>
              <w:adjustRightInd w:val="0"/>
              <w:snapToGrid w:val="0"/>
              <w:spacing w:before="0" w:beforeAutospacing="0" w:after="0" w:afterAutospacing="0"/>
              <w:jc w:val="both"/>
              <w:rPr>
                <w:rFonts w:hint="eastAsia" w:ascii="Times New Roman" w:hAnsi="Times New Roman"/>
                <w:color w:val="auto"/>
                <w:kern w:val="21"/>
                <w:sz w:val="24"/>
                <w:szCs w:val="24"/>
              </w:rPr>
            </w:pPr>
            <w:r>
              <w:rPr>
                <w:rFonts w:ascii="Times New Roman" w:hAnsi="Times New Roman"/>
                <w:bCs/>
                <w:color w:val="auto"/>
                <w:kern w:val="21"/>
                <w:sz w:val="24"/>
                <w:szCs w:val="24"/>
              </w:rPr>
              <w:t>与项目有关的原有环境污染问题</w:t>
            </w:r>
          </w:p>
        </w:tc>
        <w:tc>
          <w:tcPr>
            <w:tcW w:w="4640" w:type="pct"/>
            <w:vAlign w:val="center"/>
          </w:tcPr>
          <w:p>
            <w:pPr>
              <w:pStyle w:val="12"/>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pStyle w:val="31"/>
              <w:rPr>
                <w:color w:val="auto"/>
              </w:rPr>
            </w:pPr>
          </w:p>
          <w:p>
            <w:pPr>
              <w:pStyle w:val="33"/>
              <w:rPr>
                <w:color w:val="auto"/>
              </w:rPr>
            </w:pPr>
          </w:p>
          <w:p>
            <w:pPr>
              <w:rPr>
                <w:color w:val="auto"/>
              </w:rPr>
            </w:pPr>
          </w:p>
          <w:p>
            <w:pPr>
              <w:rPr>
                <w:color w:val="auto"/>
              </w:rPr>
            </w:pPr>
          </w:p>
          <w:p>
            <w:pPr>
              <w:rPr>
                <w:color w:val="auto"/>
              </w:rPr>
            </w:pPr>
          </w:p>
          <w:p>
            <w:pPr>
              <w:rPr>
                <w:color w:val="auto"/>
              </w:rPr>
            </w:pPr>
          </w:p>
          <w:p>
            <w:pPr>
              <w:rPr>
                <w:color w:val="auto"/>
              </w:rPr>
            </w:pPr>
          </w:p>
          <w:p>
            <w:pPr>
              <w:pStyle w:val="11"/>
              <w:rPr>
                <w:color w:val="auto"/>
              </w:rPr>
            </w:pPr>
          </w:p>
          <w:p>
            <w:pPr>
              <w:pStyle w:val="12"/>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adjustRightInd w:val="0"/>
              <w:spacing w:line="360" w:lineRule="auto"/>
              <w:ind w:firstLine="480" w:firstLineChars="200"/>
              <w:rPr>
                <w:color w:val="auto"/>
                <w:sz w:val="24"/>
                <w:szCs w:val="24"/>
              </w:rPr>
            </w:pPr>
            <w:r>
              <w:rPr>
                <w:color w:val="auto"/>
                <w:sz w:val="24"/>
                <w:szCs w:val="24"/>
              </w:rPr>
              <w:t>本项目为新建项目，租赁</w:t>
            </w:r>
            <w:r>
              <w:rPr>
                <w:rFonts w:hint="eastAsia"/>
                <w:color w:val="auto"/>
                <w:sz w:val="24"/>
                <w:szCs w:val="24"/>
                <w:lang w:eastAsia="zh-CN"/>
              </w:rPr>
              <w:t>陕西省西安市莲湖区环城西路玉祥门盘道东南角</w:t>
            </w:r>
            <w:r>
              <w:rPr>
                <w:rFonts w:hint="eastAsia"/>
                <w:color w:val="auto"/>
                <w:sz w:val="24"/>
                <w:szCs w:val="24"/>
                <w:lang w:val="en-US" w:eastAsia="zh-CN"/>
              </w:rPr>
              <w:t>1幢空置楼</w:t>
            </w:r>
            <w:r>
              <w:rPr>
                <w:color w:val="auto"/>
                <w:sz w:val="24"/>
                <w:szCs w:val="24"/>
              </w:rPr>
              <w:t>，</w:t>
            </w:r>
            <w:r>
              <w:rPr>
                <w:rFonts w:hint="eastAsia"/>
                <w:color w:val="auto"/>
                <w:sz w:val="24"/>
                <w:szCs w:val="24"/>
                <w:lang w:eastAsia="zh-CN"/>
              </w:rPr>
              <w:t>该楼之前主要用于商业用途，不涉及污染，</w:t>
            </w:r>
            <w:r>
              <w:rPr>
                <w:color w:val="auto"/>
                <w:sz w:val="24"/>
                <w:szCs w:val="24"/>
              </w:rPr>
              <w:t>无遗留环境污染问题。</w:t>
            </w:r>
          </w:p>
          <w:p>
            <w:pPr>
              <w:pStyle w:val="31"/>
              <w:rPr>
                <w:color w:val="auto"/>
              </w:rPr>
            </w:pPr>
          </w:p>
          <w:p>
            <w:pPr>
              <w:pStyle w:val="10"/>
              <w:rPr>
                <w:color w:val="auto"/>
                <w:sz w:val="24"/>
                <w:szCs w:val="24"/>
              </w:rPr>
            </w:pPr>
          </w:p>
          <w:p>
            <w:pPr>
              <w:pStyle w:val="11"/>
              <w:rPr>
                <w:color w:val="auto"/>
                <w:sz w:val="24"/>
                <w:szCs w:val="24"/>
              </w:rPr>
            </w:pPr>
          </w:p>
          <w:p>
            <w:pPr>
              <w:pStyle w:val="12"/>
              <w:rPr>
                <w:color w:val="auto"/>
                <w:sz w:val="24"/>
                <w:szCs w:val="24"/>
              </w:rPr>
            </w:pPr>
          </w:p>
          <w:p>
            <w:pPr>
              <w:rPr>
                <w:color w:val="auto"/>
                <w:sz w:val="24"/>
                <w:szCs w:val="24"/>
              </w:rPr>
            </w:pPr>
          </w:p>
          <w:p>
            <w:pPr>
              <w:rPr>
                <w:color w:val="auto"/>
                <w:sz w:val="24"/>
                <w:szCs w:val="24"/>
              </w:rPr>
            </w:pPr>
          </w:p>
          <w:p>
            <w:pPr>
              <w:rPr>
                <w:color w:val="auto"/>
                <w:sz w:val="24"/>
                <w:szCs w:val="24"/>
              </w:rPr>
            </w:pPr>
          </w:p>
          <w:p>
            <w:pPr>
              <w:pStyle w:val="11"/>
              <w:rPr>
                <w:color w:val="auto"/>
                <w:sz w:val="24"/>
                <w:szCs w:val="24"/>
              </w:rPr>
            </w:pPr>
          </w:p>
          <w:p>
            <w:pPr>
              <w:pStyle w:val="11"/>
              <w:rPr>
                <w:color w:val="auto"/>
              </w:rPr>
            </w:pPr>
          </w:p>
          <w:p>
            <w:pPr>
              <w:pStyle w:val="12"/>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sz w:val="24"/>
                <w:szCs w:val="24"/>
              </w:rPr>
            </w:pPr>
          </w:p>
        </w:tc>
      </w:tr>
    </w:tbl>
    <w:p>
      <w:pPr>
        <w:pStyle w:val="23"/>
        <w:jc w:val="center"/>
        <w:rPr>
          <w:rFonts w:ascii="Times New Roman" w:hAnsi="Times New Roman"/>
          <w:snapToGrid w:val="0"/>
          <w:color w:val="auto"/>
          <w:kern w:val="21"/>
          <w:sz w:val="36"/>
          <w:szCs w:val="36"/>
        </w:rPr>
        <w:sectPr>
          <w:pgSz w:w="11906" w:h="16838"/>
          <w:pgMar w:top="1440" w:right="1080" w:bottom="1440" w:left="1080" w:header="851" w:footer="851" w:gutter="0"/>
          <w:pgNumType w:fmt="decimal"/>
          <w:cols w:space="720" w:num="1"/>
          <w:docGrid w:linePitch="312" w:charSpace="0"/>
        </w:sectPr>
      </w:pPr>
    </w:p>
    <w:p>
      <w:pPr>
        <w:pStyle w:val="23"/>
        <w:spacing w:before="0" w:beforeAutospacing="0" w:after="0" w:afterAutospacing="0" w:line="360" w:lineRule="auto"/>
        <w:jc w:val="center"/>
        <w:outlineLvl w:val="0"/>
        <w:rPr>
          <w:rFonts w:ascii="Times New Roman" w:hAnsi="Times New Roman"/>
          <w:snapToGrid w:val="0"/>
          <w:color w:val="auto"/>
          <w:kern w:val="21"/>
          <w:sz w:val="30"/>
          <w:szCs w:val="30"/>
        </w:rPr>
      </w:pPr>
      <w:r>
        <w:rPr>
          <w:rFonts w:ascii="Times New Roman" w:hAnsi="Times New Roman"/>
          <w:snapToGrid w:val="0"/>
          <w:color w:val="auto"/>
          <w:kern w:val="21"/>
          <w:sz w:val="30"/>
          <w:szCs w:val="30"/>
        </w:rPr>
        <w:t>三、区域环境质量现状、环境保护目标及评价标准</w:t>
      </w:r>
    </w:p>
    <w:tbl>
      <w:tblPr>
        <w:tblStyle w:val="25"/>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01"/>
        <w:gridCol w:w="915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402" w:type="pct"/>
            <w:vAlign w:val="center"/>
          </w:tcPr>
          <w:p>
            <w:pPr>
              <w:adjustRightInd w:val="0"/>
              <w:snapToGrid w:val="0"/>
              <w:jc w:val="center"/>
              <w:rPr>
                <w:color w:val="auto"/>
                <w:kern w:val="21"/>
                <w:sz w:val="24"/>
                <w:szCs w:val="24"/>
              </w:rPr>
            </w:pPr>
            <w:r>
              <w:rPr>
                <w:color w:val="auto"/>
                <w:kern w:val="21"/>
                <w:sz w:val="24"/>
                <w:szCs w:val="24"/>
              </w:rPr>
              <w:t>区域</w:t>
            </w:r>
          </w:p>
          <w:p>
            <w:pPr>
              <w:adjustRightInd w:val="0"/>
              <w:snapToGrid w:val="0"/>
              <w:jc w:val="center"/>
              <w:rPr>
                <w:color w:val="auto"/>
                <w:kern w:val="21"/>
                <w:sz w:val="24"/>
                <w:szCs w:val="24"/>
              </w:rPr>
            </w:pPr>
            <w:r>
              <w:rPr>
                <w:color w:val="auto"/>
                <w:kern w:val="21"/>
                <w:sz w:val="24"/>
                <w:szCs w:val="24"/>
              </w:rPr>
              <w:t>环境</w:t>
            </w:r>
          </w:p>
          <w:p>
            <w:pPr>
              <w:adjustRightInd w:val="0"/>
              <w:snapToGrid w:val="0"/>
              <w:jc w:val="center"/>
              <w:rPr>
                <w:color w:val="auto"/>
                <w:kern w:val="21"/>
                <w:sz w:val="24"/>
                <w:szCs w:val="24"/>
              </w:rPr>
            </w:pPr>
            <w:r>
              <w:rPr>
                <w:color w:val="auto"/>
                <w:kern w:val="21"/>
                <w:sz w:val="24"/>
                <w:szCs w:val="24"/>
              </w:rPr>
              <w:t>质量</w:t>
            </w:r>
          </w:p>
          <w:p>
            <w:pPr>
              <w:adjustRightInd w:val="0"/>
              <w:snapToGrid w:val="0"/>
              <w:jc w:val="center"/>
              <w:rPr>
                <w:color w:val="auto"/>
                <w:kern w:val="21"/>
                <w:sz w:val="24"/>
                <w:szCs w:val="24"/>
              </w:rPr>
            </w:pPr>
            <w:r>
              <w:rPr>
                <w:color w:val="auto"/>
                <w:kern w:val="21"/>
                <w:sz w:val="24"/>
                <w:szCs w:val="24"/>
              </w:rPr>
              <w:t>现状</w:t>
            </w:r>
          </w:p>
        </w:tc>
        <w:tc>
          <w:tcPr>
            <w:tcW w:w="4597" w:type="pct"/>
            <w:vAlign w:val="center"/>
          </w:tcPr>
          <w:p>
            <w:pPr>
              <w:numPr>
                <w:ilvl w:val="0"/>
                <w:numId w:val="7"/>
              </w:numPr>
              <w:tabs>
                <w:tab w:val="left" w:pos="1294"/>
              </w:tabs>
              <w:spacing w:line="360" w:lineRule="auto"/>
              <w:ind w:firstLine="480" w:firstLineChars="200"/>
              <w:jc w:val="left"/>
              <w:rPr>
                <w:rFonts w:hint="eastAsia"/>
                <w:color w:val="auto"/>
                <w:sz w:val="24"/>
                <w:szCs w:val="24"/>
              </w:rPr>
            </w:pPr>
            <w:r>
              <w:rPr>
                <w:rFonts w:hint="eastAsia"/>
                <w:color w:val="auto"/>
                <w:sz w:val="24"/>
                <w:szCs w:val="24"/>
                <w:lang w:eastAsia="zh-CN"/>
              </w:rPr>
              <w:t>大气</w:t>
            </w:r>
            <w:r>
              <w:rPr>
                <w:rFonts w:hint="eastAsia"/>
                <w:color w:val="auto"/>
                <w:sz w:val="24"/>
                <w:szCs w:val="24"/>
              </w:rPr>
              <w:t>环境空气质量现状</w:t>
            </w:r>
          </w:p>
          <w:p>
            <w:pPr>
              <w:pStyle w:val="37"/>
              <w:keepNext w:val="0"/>
              <w:keepLines w:val="0"/>
              <w:numPr>
                <w:ilvl w:val="0"/>
                <w:numId w:val="8"/>
              </w:numPr>
              <w:suppressLineNumbers w:val="0"/>
              <w:spacing w:before="0" w:beforeAutospacing="0" w:after="0" w:afterAutospacing="0" w:line="360" w:lineRule="auto"/>
              <w:ind w:left="-60" w:leftChars="0" w:right="0" w:firstLine="480" w:firstLineChars="0"/>
              <w:jc w:val="both"/>
              <w:rPr>
                <w:rFonts w:hint="default" w:ascii="Times New Roman" w:hAnsi="Times New Roman" w:cs="Times New Roman"/>
                <w:color w:val="auto"/>
              </w:rPr>
            </w:pPr>
            <w:r>
              <w:rPr>
                <w:rFonts w:hint="default" w:ascii="Times New Roman" w:hAnsi="Times New Roman" w:cs="Times New Roman"/>
                <w:color w:val="auto"/>
                <w:kern w:val="2"/>
                <w:sz w:val="24"/>
                <w:szCs w:val="24"/>
                <w:lang w:val="en-US" w:eastAsia="zh-CN"/>
              </w:rPr>
              <w:t>基本污染物</w:t>
            </w:r>
          </w:p>
          <w:p>
            <w:pPr>
              <w:spacing w:line="360" w:lineRule="auto"/>
              <w:ind w:firstLine="480" w:firstLineChars="200"/>
              <w:rPr>
                <w:color w:val="auto"/>
                <w:sz w:val="24"/>
                <w:szCs w:val="24"/>
              </w:rPr>
            </w:pPr>
            <w:r>
              <w:rPr>
                <w:rFonts w:hint="eastAsia"/>
                <w:color w:val="auto"/>
                <w:sz w:val="24"/>
                <w:szCs w:val="24"/>
                <w:lang w:bidi="ar"/>
              </w:rPr>
              <w:t>本项目位于陕西省西安市</w:t>
            </w:r>
            <w:r>
              <w:rPr>
                <w:rFonts w:hint="eastAsia"/>
                <w:color w:val="auto"/>
                <w:sz w:val="24"/>
                <w:szCs w:val="24"/>
                <w:lang w:eastAsia="zh-CN" w:bidi="ar"/>
              </w:rPr>
              <w:t>莲湖区</w:t>
            </w:r>
            <w:r>
              <w:rPr>
                <w:rFonts w:hint="eastAsia"/>
                <w:color w:val="auto"/>
                <w:sz w:val="24"/>
                <w:szCs w:val="24"/>
                <w:lang w:bidi="ar"/>
              </w:rPr>
              <w:t>。根据大气功能区划，本项目所在地为二类功能区，环境空气质量标准执行《环境空气质量标准》（</w:t>
            </w:r>
            <w:r>
              <w:rPr>
                <w:color w:val="auto"/>
                <w:sz w:val="24"/>
                <w:szCs w:val="24"/>
                <w:lang w:bidi="ar"/>
              </w:rPr>
              <w:t>GB3095</w:t>
            </w:r>
            <w:r>
              <w:rPr>
                <w:rFonts w:hint="eastAsia"/>
                <w:color w:val="auto"/>
                <w:sz w:val="24"/>
                <w:szCs w:val="24"/>
                <w:lang w:bidi="ar"/>
              </w:rPr>
              <w:t>-</w:t>
            </w:r>
            <w:r>
              <w:rPr>
                <w:color w:val="auto"/>
                <w:sz w:val="24"/>
                <w:szCs w:val="24"/>
                <w:lang w:bidi="ar"/>
              </w:rPr>
              <w:softHyphen/>
            </w:r>
            <w:r>
              <w:rPr>
                <w:color w:val="auto"/>
                <w:sz w:val="24"/>
                <w:szCs w:val="24"/>
                <w:lang w:bidi="ar"/>
              </w:rPr>
              <w:t>2012</w:t>
            </w:r>
            <w:r>
              <w:rPr>
                <w:rFonts w:hint="eastAsia"/>
                <w:color w:val="auto"/>
                <w:sz w:val="24"/>
                <w:szCs w:val="24"/>
                <w:lang w:bidi="ar"/>
              </w:rPr>
              <w:t>）二级标准要求。</w:t>
            </w:r>
          </w:p>
          <w:p>
            <w:pPr>
              <w:keepNext w:val="0"/>
              <w:keepLines w:val="0"/>
              <w:suppressLineNumbers w:val="0"/>
              <w:tabs>
                <w:tab w:val="left" w:pos="1294"/>
              </w:tabs>
              <w:spacing w:before="0" w:beforeAutospacing="0" w:after="0" w:afterAutospacing="0" w:line="360" w:lineRule="auto"/>
              <w:ind w:left="0" w:right="0" w:firstLine="480" w:firstLineChars="200"/>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本项目空气环境质量现状引用</w:t>
            </w:r>
            <w:r>
              <w:rPr>
                <w:rFonts w:hint="eastAsia" w:ascii="Times New Roman" w:hAnsi="Times New Roman" w:eastAsia="宋体" w:cs="Times New Roman"/>
                <w:color w:val="auto"/>
                <w:sz w:val="24"/>
                <w:szCs w:val="24"/>
                <w:highlight w:val="none"/>
                <w:lang w:val="en-US" w:eastAsia="zh-CN"/>
              </w:rPr>
              <w:t>陕西省生态环境厅办公室202</w:t>
            </w:r>
            <w:r>
              <w:rPr>
                <w:rFonts w:hint="eastAsia"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年1月</w:t>
            </w:r>
            <w:r>
              <w:rPr>
                <w:rFonts w:hint="eastAsia" w:cs="Times New Roman"/>
                <w:color w:val="auto"/>
                <w:sz w:val="24"/>
                <w:szCs w:val="24"/>
                <w:highlight w:val="none"/>
                <w:lang w:val="en-US" w:eastAsia="zh-CN"/>
              </w:rPr>
              <w:t>19</w:t>
            </w:r>
            <w:r>
              <w:rPr>
                <w:rFonts w:hint="default" w:ascii="Times New Roman" w:hAnsi="Times New Roman" w:eastAsia="宋体" w:cs="Times New Roman"/>
                <w:color w:val="auto"/>
                <w:sz w:val="24"/>
                <w:szCs w:val="24"/>
                <w:highlight w:val="none"/>
                <w:lang w:val="en-US" w:eastAsia="zh-CN"/>
              </w:rPr>
              <w:t>日发布的</w:t>
            </w:r>
            <w:r>
              <w:rPr>
                <w:rFonts w:hint="eastAsia"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环保快报202</w:t>
            </w:r>
            <w:r>
              <w:rPr>
                <w:rFonts w:hint="eastAsia"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年12月及1</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12月</w:t>
            </w:r>
            <w:r>
              <w:rPr>
                <w:rFonts w:hint="eastAsia" w:ascii="Times New Roman" w:hAnsi="Times New Roman" w:eastAsia="宋体" w:cs="Times New Roman"/>
                <w:color w:val="auto"/>
                <w:sz w:val="24"/>
                <w:szCs w:val="24"/>
                <w:highlight w:val="none"/>
                <w:lang w:val="en-US" w:eastAsia="zh-CN"/>
              </w:rPr>
              <w:t>全省</w:t>
            </w:r>
            <w:r>
              <w:rPr>
                <w:rFonts w:hint="default" w:ascii="Times New Roman" w:hAnsi="Times New Roman" w:eastAsia="宋体" w:cs="Times New Roman"/>
                <w:color w:val="auto"/>
                <w:sz w:val="24"/>
                <w:szCs w:val="24"/>
                <w:highlight w:val="none"/>
                <w:lang w:val="en-US" w:eastAsia="zh-CN"/>
              </w:rPr>
              <w:t>环境空气质量状况</w:t>
            </w:r>
            <w:r>
              <w:rPr>
                <w:rFonts w:hint="eastAsia"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中</w:t>
            </w:r>
            <w:r>
              <w:rPr>
                <w:rFonts w:hint="eastAsia" w:cs="Times New Roman"/>
                <w:color w:val="auto"/>
                <w:sz w:val="24"/>
                <w:szCs w:val="24"/>
                <w:highlight w:val="none"/>
                <w:lang w:val="en-US" w:eastAsia="zh-CN"/>
              </w:rPr>
              <w:t>莲湖区</w:t>
            </w:r>
            <w:r>
              <w:rPr>
                <w:rFonts w:hint="default" w:ascii="Times New Roman" w:hAnsi="Times New Roman" w:eastAsia="宋体" w:cs="Times New Roman"/>
                <w:color w:val="auto"/>
                <w:sz w:val="24"/>
                <w:szCs w:val="24"/>
                <w:highlight w:val="none"/>
                <w:lang w:val="en-US" w:eastAsia="zh-CN"/>
              </w:rPr>
              <w:t>环境空气常规六项污染物监测结果，区域环境空气质量现状统计结果见下表。</w:t>
            </w:r>
          </w:p>
          <w:p>
            <w:pPr>
              <w:pStyle w:val="23"/>
              <w:widowControl w:val="0"/>
              <w:spacing w:before="0" w:beforeAutospacing="0" w:after="0" w:afterAutospacing="0"/>
              <w:jc w:val="center"/>
              <w:rPr>
                <w:rFonts w:ascii="Times New Roman" w:hAnsi="Times New Roman"/>
                <w:color w:val="auto"/>
                <w:sz w:val="21"/>
                <w:szCs w:val="21"/>
              </w:rPr>
            </w:pPr>
            <w:r>
              <w:rPr>
                <w:rFonts w:hint="eastAsia" w:ascii="Times New Roman" w:hAnsi="Times New Roman"/>
                <w:b/>
                <w:color w:val="auto"/>
                <w:kern w:val="2"/>
                <w:sz w:val="21"/>
                <w:szCs w:val="21"/>
                <w:lang w:bidi="ar"/>
              </w:rPr>
              <w:t>表3-1区域环境空气质量达标判定情况一览表</w:t>
            </w:r>
          </w:p>
          <w:tbl>
            <w:tblPr>
              <w:tblStyle w:val="25"/>
              <w:tblW w:w="4997" w:type="pct"/>
              <w:tblInd w:w="0" w:type="dxa"/>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
            <w:tblGrid>
              <w:gridCol w:w="799"/>
              <w:gridCol w:w="3546"/>
              <w:gridCol w:w="1251"/>
              <w:gridCol w:w="1238"/>
              <w:gridCol w:w="1047"/>
              <w:gridCol w:w="1047"/>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c>
                <w:tcPr>
                  <w:tcW w:w="447" w:type="pct"/>
                  <w:tcBorders>
                    <w:top w:val="single" w:color="auto" w:sz="4" w:space="0"/>
                    <w:left w:val="single" w:color="auto" w:sz="4" w:space="0"/>
                    <w:bottom w:val="single" w:color="000000" w:sz="4" w:space="0"/>
                    <w:right w:val="single" w:color="000000" w:sz="4" w:space="0"/>
                  </w:tcBorders>
                  <w:shd w:val="clear" w:color="auto" w:fill="auto"/>
                  <w:vAlign w:val="center"/>
                </w:tcPr>
                <w:p>
                  <w:pPr>
                    <w:pStyle w:val="23"/>
                    <w:widowControl w:val="0"/>
                    <w:spacing w:before="0" w:beforeAutospacing="0" w:after="0" w:afterAutospacing="0"/>
                    <w:jc w:val="center"/>
                    <w:rPr>
                      <w:rFonts w:ascii="Times New Roman" w:hAnsi="Times New Roman"/>
                      <w:b/>
                      <w:color w:val="auto"/>
                      <w:sz w:val="21"/>
                      <w:szCs w:val="21"/>
                    </w:rPr>
                  </w:pPr>
                  <w:r>
                    <w:rPr>
                      <w:rFonts w:hint="eastAsia" w:ascii="Times New Roman" w:hAnsi="Times New Roman"/>
                      <w:b/>
                      <w:color w:val="auto"/>
                      <w:kern w:val="2"/>
                      <w:sz w:val="21"/>
                      <w:szCs w:val="21"/>
                      <w:lang w:bidi="ar"/>
                    </w:rPr>
                    <w:t>污染物</w:t>
                  </w:r>
                </w:p>
              </w:tc>
              <w:tc>
                <w:tcPr>
                  <w:tcW w:w="1985" w:type="pct"/>
                  <w:tcBorders>
                    <w:top w:val="single" w:color="auto" w:sz="4" w:space="0"/>
                    <w:left w:val="single" w:color="000000" w:sz="4" w:space="0"/>
                    <w:bottom w:val="single" w:color="000000" w:sz="4" w:space="0"/>
                    <w:right w:val="single" w:color="000000" w:sz="4" w:space="0"/>
                  </w:tcBorders>
                  <w:shd w:val="clear" w:color="auto" w:fill="auto"/>
                  <w:vAlign w:val="center"/>
                </w:tcPr>
                <w:p>
                  <w:pPr>
                    <w:pStyle w:val="23"/>
                    <w:widowControl w:val="0"/>
                    <w:spacing w:before="0" w:beforeAutospacing="0" w:after="0" w:afterAutospacing="0"/>
                    <w:jc w:val="center"/>
                    <w:rPr>
                      <w:rFonts w:ascii="Times New Roman" w:hAnsi="Times New Roman"/>
                      <w:b/>
                      <w:color w:val="auto"/>
                      <w:sz w:val="21"/>
                      <w:szCs w:val="21"/>
                    </w:rPr>
                  </w:pPr>
                  <w:r>
                    <w:rPr>
                      <w:rFonts w:hint="eastAsia" w:ascii="Times New Roman" w:hAnsi="Times New Roman"/>
                      <w:b/>
                      <w:color w:val="auto"/>
                      <w:kern w:val="2"/>
                      <w:sz w:val="21"/>
                      <w:szCs w:val="21"/>
                      <w:lang w:bidi="ar"/>
                    </w:rPr>
                    <w:t>年评价指标</w:t>
                  </w:r>
                </w:p>
              </w:tc>
              <w:tc>
                <w:tcPr>
                  <w:tcW w:w="700" w:type="pct"/>
                  <w:tcBorders>
                    <w:top w:val="single" w:color="auto" w:sz="4" w:space="0"/>
                    <w:left w:val="single" w:color="000000" w:sz="4" w:space="0"/>
                    <w:bottom w:val="single" w:color="000000" w:sz="4" w:space="0"/>
                    <w:right w:val="single" w:color="000000" w:sz="4" w:space="0"/>
                  </w:tcBorders>
                  <w:shd w:val="clear" w:color="auto" w:fill="auto"/>
                  <w:vAlign w:val="center"/>
                </w:tcPr>
                <w:p>
                  <w:pPr>
                    <w:pStyle w:val="23"/>
                    <w:widowControl w:val="0"/>
                    <w:spacing w:before="0" w:beforeAutospacing="0" w:after="0" w:afterAutospacing="0"/>
                    <w:jc w:val="center"/>
                    <w:rPr>
                      <w:rFonts w:ascii="Times New Roman" w:hAnsi="Times New Roman"/>
                      <w:b/>
                      <w:color w:val="auto"/>
                      <w:sz w:val="21"/>
                      <w:szCs w:val="21"/>
                    </w:rPr>
                  </w:pPr>
                  <w:r>
                    <w:rPr>
                      <w:rFonts w:hint="eastAsia" w:ascii="Times New Roman" w:hAnsi="Times New Roman"/>
                      <w:b/>
                      <w:color w:val="auto"/>
                      <w:kern w:val="2"/>
                      <w:sz w:val="21"/>
                      <w:szCs w:val="21"/>
                      <w:lang w:bidi="ar"/>
                    </w:rPr>
                    <w:t>现状浓度</w:t>
                  </w:r>
                </w:p>
                <w:p>
                  <w:pPr>
                    <w:pStyle w:val="23"/>
                    <w:widowControl w:val="0"/>
                    <w:spacing w:before="0" w:beforeAutospacing="0" w:after="0" w:afterAutospacing="0"/>
                    <w:jc w:val="center"/>
                    <w:rPr>
                      <w:rFonts w:ascii="Times New Roman" w:hAnsi="Times New Roman"/>
                      <w:b/>
                      <w:color w:val="auto"/>
                      <w:sz w:val="21"/>
                      <w:szCs w:val="21"/>
                    </w:rPr>
                  </w:pPr>
                  <w:r>
                    <w:rPr>
                      <w:rFonts w:hint="eastAsia" w:ascii="Times New Roman" w:hAnsi="Times New Roman"/>
                      <w:b/>
                      <w:color w:val="auto"/>
                      <w:kern w:val="2"/>
                      <w:sz w:val="21"/>
                      <w:szCs w:val="21"/>
                      <w:lang w:bidi="ar"/>
                    </w:rPr>
                    <w:t>（</w:t>
                  </w:r>
                  <w:r>
                    <w:rPr>
                      <w:rFonts w:ascii="Times New Roman" w:hAnsi="Times New Roman"/>
                      <w:b/>
                      <w:color w:val="auto"/>
                      <w:kern w:val="2"/>
                      <w:sz w:val="21"/>
                      <w:szCs w:val="21"/>
                      <w:lang w:bidi="ar"/>
                    </w:rPr>
                    <w:t>μg/m³</w:t>
                  </w:r>
                  <w:r>
                    <w:rPr>
                      <w:rFonts w:hint="eastAsia" w:ascii="Times New Roman" w:hAnsi="Times New Roman"/>
                      <w:b/>
                      <w:color w:val="auto"/>
                      <w:kern w:val="2"/>
                      <w:sz w:val="21"/>
                      <w:szCs w:val="21"/>
                      <w:lang w:bidi="ar"/>
                    </w:rPr>
                    <w:t>）</w:t>
                  </w:r>
                </w:p>
              </w:tc>
              <w:tc>
                <w:tcPr>
                  <w:tcW w:w="693" w:type="pct"/>
                  <w:tcBorders>
                    <w:top w:val="single" w:color="auto" w:sz="4" w:space="0"/>
                    <w:left w:val="single" w:color="000000" w:sz="4" w:space="0"/>
                    <w:bottom w:val="single" w:color="000000" w:sz="4" w:space="0"/>
                    <w:right w:val="single" w:color="000000" w:sz="4" w:space="0"/>
                  </w:tcBorders>
                  <w:shd w:val="clear" w:color="auto" w:fill="auto"/>
                  <w:vAlign w:val="center"/>
                </w:tcPr>
                <w:p>
                  <w:pPr>
                    <w:pStyle w:val="23"/>
                    <w:widowControl w:val="0"/>
                    <w:spacing w:before="0" w:beforeAutospacing="0" w:after="0" w:afterAutospacing="0"/>
                    <w:jc w:val="center"/>
                    <w:rPr>
                      <w:rFonts w:ascii="Times New Roman" w:hAnsi="Times New Roman"/>
                      <w:b/>
                      <w:color w:val="auto"/>
                      <w:sz w:val="21"/>
                      <w:szCs w:val="21"/>
                    </w:rPr>
                  </w:pPr>
                  <w:r>
                    <w:rPr>
                      <w:rFonts w:hint="eastAsia" w:ascii="Times New Roman" w:hAnsi="Times New Roman"/>
                      <w:b/>
                      <w:color w:val="auto"/>
                      <w:kern w:val="2"/>
                      <w:sz w:val="21"/>
                      <w:szCs w:val="21"/>
                      <w:lang w:bidi="ar"/>
                    </w:rPr>
                    <w:t>标准值</w:t>
                  </w:r>
                </w:p>
                <w:p>
                  <w:pPr>
                    <w:pStyle w:val="23"/>
                    <w:widowControl w:val="0"/>
                    <w:spacing w:before="0" w:beforeAutospacing="0" w:after="0" w:afterAutospacing="0"/>
                    <w:jc w:val="center"/>
                    <w:rPr>
                      <w:rFonts w:ascii="Times New Roman" w:hAnsi="Times New Roman"/>
                      <w:b/>
                      <w:color w:val="auto"/>
                      <w:sz w:val="21"/>
                      <w:szCs w:val="21"/>
                    </w:rPr>
                  </w:pPr>
                  <w:r>
                    <w:rPr>
                      <w:rFonts w:hint="eastAsia" w:ascii="Times New Roman" w:hAnsi="Times New Roman"/>
                      <w:b/>
                      <w:color w:val="auto"/>
                      <w:kern w:val="2"/>
                      <w:sz w:val="21"/>
                      <w:szCs w:val="21"/>
                      <w:lang w:bidi="ar"/>
                    </w:rPr>
                    <w:t>（</w:t>
                  </w:r>
                  <w:r>
                    <w:rPr>
                      <w:rFonts w:ascii="Times New Roman" w:hAnsi="Times New Roman"/>
                      <w:b/>
                      <w:color w:val="auto"/>
                      <w:kern w:val="2"/>
                      <w:sz w:val="21"/>
                      <w:szCs w:val="21"/>
                      <w:lang w:bidi="ar"/>
                    </w:rPr>
                    <w:t>μg/m³</w:t>
                  </w:r>
                  <w:r>
                    <w:rPr>
                      <w:rFonts w:hint="eastAsia" w:ascii="Times New Roman" w:hAnsi="Times New Roman"/>
                      <w:b/>
                      <w:color w:val="auto"/>
                      <w:kern w:val="2"/>
                      <w:sz w:val="21"/>
                      <w:szCs w:val="21"/>
                      <w:lang w:bidi="ar"/>
                    </w:rPr>
                    <w:t>）</w:t>
                  </w:r>
                </w:p>
              </w:tc>
              <w:tc>
                <w:tcPr>
                  <w:tcW w:w="586" w:type="pct"/>
                  <w:tcBorders>
                    <w:top w:val="single" w:color="auto" w:sz="4" w:space="0"/>
                    <w:left w:val="single" w:color="000000" w:sz="4" w:space="0"/>
                    <w:bottom w:val="single" w:color="000000" w:sz="4" w:space="0"/>
                    <w:right w:val="single" w:color="000000" w:sz="4" w:space="0"/>
                  </w:tcBorders>
                  <w:shd w:val="clear" w:color="auto" w:fill="auto"/>
                  <w:vAlign w:val="center"/>
                </w:tcPr>
                <w:p>
                  <w:pPr>
                    <w:pStyle w:val="23"/>
                    <w:widowControl w:val="0"/>
                    <w:spacing w:before="0" w:beforeAutospacing="0" w:after="0" w:afterAutospacing="0"/>
                    <w:jc w:val="center"/>
                    <w:rPr>
                      <w:rFonts w:ascii="Times New Roman" w:hAnsi="Times New Roman"/>
                      <w:b/>
                      <w:color w:val="auto"/>
                      <w:sz w:val="21"/>
                      <w:szCs w:val="21"/>
                    </w:rPr>
                  </w:pPr>
                  <w:r>
                    <w:rPr>
                      <w:rFonts w:hint="eastAsia" w:ascii="Times New Roman" w:hAnsi="Times New Roman"/>
                      <w:b/>
                      <w:color w:val="auto"/>
                      <w:kern w:val="2"/>
                      <w:sz w:val="21"/>
                      <w:szCs w:val="21"/>
                      <w:lang w:bidi="ar"/>
                    </w:rPr>
                    <w:t>占标率</w:t>
                  </w:r>
                </w:p>
                <w:p>
                  <w:pPr>
                    <w:pStyle w:val="23"/>
                    <w:widowControl w:val="0"/>
                    <w:spacing w:before="0" w:beforeAutospacing="0" w:after="0" w:afterAutospacing="0"/>
                    <w:jc w:val="center"/>
                    <w:rPr>
                      <w:rFonts w:ascii="Times New Roman" w:hAnsi="Times New Roman"/>
                      <w:b/>
                      <w:color w:val="auto"/>
                      <w:sz w:val="21"/>
                      <w:szCs w:val="21"/>
                    </w:rPr>
                  </w:pPr>
                  <w:r>
                    <w:rPr>
                      <w:rFonts w:hint="eastAsia" w:ascii="Times New Roman" w:hAnsi="Times New Roman"/>
                      <w:b/>
                      <w:color w:val="auto"/>
                      <w:kern w:val="2"/>
                      <w:sz w:val="21"/>
                      <w:szCs w:val="21"/>
                      <w:lang w:bidi="ar"/>
                    </w:rPr>
                    <w:t>（</w:t>
                  </w:r>
                  <w:r>
                    <w:rPr>
                      <w:rFonts w:ascii="Times New Roman" w:hAnsi="Times New Roman"/>
                      <w:b/>
                      <w:color w:val="auto"/>
                      <w:kern w:val="2"/>
                      <w:sz w:val="21"/>
                      <w:szCs w:val="21"/>
                      <w:lang w:bidi="ar"/>
                    </w:rPr>
                    <w:t>%</w:t>
                  </w:r>
                  <w:r>
                    <w:rPr>
                      <w:rFonts w:hint="eastAsia" w:ascii="Times New Roman" w:hAnsi="Times New Roman"/>
                      <w:b/>
                      <w:color w:val="auto"/>
                      <w:kern w:val="2"/>
                      <w:sz w:val="21"/>
                      <w:szCs w:val="21"/>
                      <w:lang w:bidi="ar"/>
                    </w:rPr>
                    <w:t>）</w:t>
                  </w:r>
                </w:p>
              </w:tc>
              <w:tc>
                <w:tcPr>
                  <w:tcW w:w="586" w:type="pct"/>
                  <w:tcBorders>
                    <w:top w:val="single" w:color="auto" w:sz="4" w:space="0"/>
                    <w:left w:val="single" w:color="000000" w:sz="4" w:space="0"/>
                    <w:bottom w:val="single" w:color="000000" w:sz="4" w:space="0"/>
                    <w:right w:val="single" w:color="auto" w:sz="4" w:space="0"/>
                  </w:tcBorders>
                  <w:shd w:val="clear" w:color="auto" w:fill="auto"/>
                  <w:vAlign w:val="center"/>
                </w:tcPr>
                <w:p>
                  <w:pPr>
                    <w:pStyle w:val="23"/>
                    <w:widowControl w:val="0"/>
                    <w:spacing w:before="0" w:beforeAutospacing="0" w:after="0" w:afterAutospacing="0"/>
                    <w:jc w:val="center"/>
                    <w:rPr>
                      <w:rFonts w:ascii="Times New Roman" w:hAnsi="Times New Roman"/>
                      <w:b/>
                      <w:color w:val="auto"/>
                      <w:sz w:val="21"/>
                      <w:szCs w:val="21"/>
                    </w:rPr>
                  </w:pPr>
                  <w:r>
                    <w:rPr>
                      <w:rFonts w:hint="eastAsia" w:ascii="Times New Roman" w:hAnsi="Times New Roman"/>
                      <w:b/>
                      <w:color w:val="auto"/>
                      <w:kern w:val="2"/>
                      <w:sz w:val="21"/>
                      <w:szCs w:val="21"/>
                      <w:lang w:bidi="ar"/>
                    </w:rPr>
                    <w:t>达标情况</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c>
                <w:tcPr>
                  <w:tcW w:w="447" w:type="pct"/>
                  <w:tcBorders>
                    <w:top w:val="single" w:color="000000" w:sz="4" w:space="0"/>
                    <w:left w:val="single" w:color="auto" w:sz="4" w:space="0"/>
                    <w:bottom w:val="single" w:color="000000" w:sz="4" w:space="0"/>
                    <w:right w:val="single" w:color="000000" w:sz="4" w:space="0"/>
                  </w:tcBorders>
                  <w:shd w:val="clear" w:color="auto" w:fill="auto"/>
                  <w:vAlign w:val="center"/>
                </w:tcPr>
                <w:p>
                  <w:pPr>
                    <w:pStyle w:val="23"/>
                    <w:widowControl w:val="0"/>
                    <w:spacing w:before="0" w:beforeAutospacing="0" w:after="0" w:afterAutospacing="0"/>
                    <w:jc w:val="center"/>
                    <w:rPr>
                      <w:rFonts w:ascii="Times New Roman" w:hAnsi="Times New Roman"/>
                      <w:color w:val="auto"/>
                      <w:sz w:val="21"/>
                      <w:szCs w:val="21"/>
                    </w:rPr>
                  </w:pPr>
                  <w:r>
                    <w:rPr>
                      <w:rFonts w:ascii="Times New Roman" w:hAnsi="Times New Roman"/>
                      <w:color w:val="auto"/>
                      <w:kern w:val="2"/>
                      <w:sz w:val="21"/>
                      <w:szCs w:val="21"/>
                      <w:lang w:bidi="ar"/>
                    </w:rPr>
                    <w:t>PM</w:t>
                  </w:r>
                  <w:r>
                    <w:rPr>
                      <w:rFonts w:ascii="Times New Roman" w:hAnsi="Times New Roman"/>
                      <w:color w:val="auto"/>
                      <w:kern w:val="2"/>
                      <w:sz w:val="21"/>
                      <w:szCs w:val="21"/>
                      <w:vertAlign w:val="subscript"/>
                      <w:lang w:bidi="ar"/>
                    </w:rPr>
                    <w:t>10</w:t>
                  </w:r>
                </w:p>
              </w:tc>
              <w:tc>
                <w:tcPr>
                  <w:tcW w:w="198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23"/>
                    <w:widowControl w:val="0"/>
                    <w:spacing w:before="0" w:beforeAutospacing="0" w:after="0" w:afterAutospacing="0"/>
                    <w:jc w:val="center"/>
                    <w:rPr>
                      <w:rFonts w:ascii="Times New Roman" w:hAnsi="Times New Roman"/>
                      <w:color w:val="auto"/>
                      <w:sz w:val="21"/>
                      <w:szCs w:val="21"/>
                    </w:rPr>
                  </w:pPr>
                  <w:r>
                    <w:rPr>
                      <w:rFonts w:hint="eastAsia" w:ascii="Times New Roman" w:hAnsi="Times New Roman"/>
                      <w:color w:val="auto"/>
                      <w:kern w:val="2"/>
                      <w:sz w:val="21"/>
                      <w:szCs w:val="21"/>
                      <w:lang w:bidi="ar"/>
                    </w:rPr>
                    <w:t>年平均质量浓度</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hint="default" w:ascii="Times New Roman" w:hAnsi="Times New Roman"/>
                      <w:color w:val="auto"/>
                      <w:sz w:val="21"/>
                      <w:szCs w:val="21"/>
                      <w:lang w:val="en-US"/>
                    </w:rPr>
                  </w:pPr>
                  <w:r>
                    <w:rPr>
                      <w:rFonts w:hint="eastAsia"/>
                      <w:color w:val="auto"/>
                      <w:sz w:val="21"/>
                      <w:szCs w:val="21"/>
                      <w:lang w:val="en-US" w:eastAsia="zh-CN"/>
                    </w:rPr>
                    <w:t>83</w:t>
                  </w:r>
                </w:p>
              </w:tc>
              <w:tc>
                <w:tcPr>
                  <w:tcW w:w="6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color w:val="auto"/>
                      <w:sz w:val="21"/>
                      <w:szCs w:val="21"/>
                    </w:rPr>
                  </w:pPr>
                  <w:r>
                    <w:rPr>
                      <w:rFonts w:hint="eastAsia" w:ascii="Times New Roman" w:eastAsia="宋体"/>
                      <w:color w:val="auto"/>
                      <w:sz w:val="21"/>
                      <w:szCs w:val="21"/>
                      <w:lang w:val="en-US" w:eastAsia="zh-CN"/>
                    </w:rPr>
                    <w:t>70</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6"/>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eastAsia="宋体"/>
                      <w:color w:val="auto"/>
                      <w:sz w:val="21"/>
                      <w:szCs w:val="21"/>
                      <w:lang w:val="en-US" w:eastAsia="zh-CN"/>
                    </w:rPr>
                  </w:pPr>
                  <w:r>
                    <w:rPr>
                      <w:rFonts w:hint="eastAsia"/>
                      <w:color w:val="auto"/>
                      <w:sz w:val="21"/>
                      <w:szCs w:val="21"/>
                      <w:lang w:val="en-US" w:eastAsia="zh-CN"/>
                    </w:rPr>
                    <w:t>118.6</w:t>
                  </w:r>
                </w:p>
              </w:tc>
              <w:tc>
                <w:tcPr>
                  <w:tcW w:w="586" w:type="pct"/>
                  <w:tcBorders>
                    <w:top w:val="single" w:color="000000" w:sz="4" w:space="0"/>
                    <w:left w:val="single" w:color="000000" w:sz="4" w:space="0"/>
                    <w:bottom w:val="single" w:color="000000" w:sz="4" w:space="0"/>
                    <w:right w:val="single" w:color="auto" w:sz="4" w:space="0"/>
                  </w:tcBorders>
                  <w:shd w:val="clear" w:color="auto" w:fill="auto"/>
                  <w:vAlign w:val="center"/>
                </w:tcPr>
                <w:p>
                  <w:pPr>
                    <w:widowControl/>
                    <w:adjustRightInd w:val="0"/>
                    <w:snapToGrid w:val="0"/>
                    <w:jc w:val="center"/>
                    <w:rPr>
                      <w:rFonts w:ascii="Times New Roman" w:hAnsi="Times New Roman"/>
                      <w:color w:val="auto"/>
                      <w:sz w:val="21"/>
                      <w:szCs w:val="21"/>
                    </w:rPr>
                  </w:pPr>
                  <w:r>
                    <w:rPr>
                      <w:rFonts w:hint="eastAsia"/>
                      <w:color w:val="auto"/>
                      <w:sz w:val="21"/>
                      <w:szCs w:val="21"/>
                      <w:lang w:eastAsia="zh-CN" w:bidi="ar"/>
                    </w:rPr>
                    <w:t>超</w:t>
                  </w:r>
                  <w:r>
                    <w:rPr>
                      <w:rFonts w:ascii="Times New Roman"/>
                      <w:color w:val="auto"/>
                      <w:sz w:val="21"/>
                      <w:szCs w:val="21"/>
                      <w:lang w:bidi="ar"/>
                    </w:rPr>
                    <w:t>标</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c>
                <w:tcPr>
                  <w:tcW w:w="447" w:type="pct"/>
                  <w:tcBorders>
                    <w:top w:val="single" w:color="000000" w:sz="4" w:space="0"/>
                    <w:left w:val="single" w:color="auto" w:sz="4" w:space="0"/>
                    <w:bottom w:val="single" w:color="000000" w:sz="4" w:space="0"/>
                    <w:right w:val="single" w:color="000000" w:sz="4" w:space="0"/>
                  </w:tcBorders>
                  <w:shd w:val="clear" w:color="auto" w:fill="auto"/>
                  <w:vAlign w:val="center"/>
                </w:tcPr>
                <w:p>
                  <w:pPr>
                    <w:pStyle w:val="23"/>
                    <w:widowControl w:val="0"/>
                    <w:spacing w:before="0" w:beforeAutospacing="0" w:after="0" w:afterAutospacing="0"/>
                    <w:jc w:val="center"/>
                    <w:rPr>
                      <w:rFonts w:ascii="Times New Roman" w:hAnsi="Times New Roman"/>
                      <w:color w:val="auto"/>
                      <w:sz w:val="21"/>
                      <w:szCs w:val="21"/>
                    </w:rPr>
                  </w:pPr>
                  <w:r>
                    <w:rPr>
                      <w:rFonts w:ascii="Times New Roman" w:hAnsi="Times New Roman"/>
                      <w:color w:val="auto"/>
                      <w:kern w:val="2"/>
                      <w:sz w:val="21"/>
                      <w:szCs w:val="21"/>
                      <w:lang w:bidi="ar"/>
                    </w:rPr>
                    <w:t>PM</w:t>
                  </w:r>
                  <w:r>
                    <w:rPr>
                      <w:rFonts w:ascii="Times New Roman" w:hAnsi="Times New Roman"/>
                      <w:color w:val="auto"/>
                      <w:kern w:val="2"/>
                      <w:sz w:val="21"/>
                      <w:szCs w:val="21"/>
                      <w:vertAlign w:val="subscript"/>
                      <w:lang w:bidi="ar"/>
                    </w:rPr>
                    <w:t>2.5</w:t>
                  </w:r>
                </w:p>
              </w:tc>
              <w:tc>
                <w:tcPr>
                  <w:tcW w:w="198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23"/>
                    <w:widowControl w:val="0"/>
                    <w:spacing w:before="0" w:beforeAutospacing="0" w:after="0" w:afterAutospacing="0"/>
                    <w:jc w:val="center"/>
                    <w:rPr>
                      <w:rFonts w:ascii="Times New Roman" w:hAnsi="Times New Roman"/>
                      <w:color w:val="auto"/>
                      <w:sz w:val="21"/>
                      <w:szCs w:val="21"/>
                    </w:rPr>
                  </w:pPr>
                  <w:r>
                    <w:rPr>
                      <w:rFonts w:hint="eastAsia" w:ascii="Times New Roman" w:hAnsi="Times New Roman"/>
                      <w:color w:val="auto"/>
                      <w:kern w:val="2"/>
                      <w:sz w:val="21"/>
                      <w:szCs w:val="21"/>
                      <w:lang w:bidi="ar"/>
                    </w:rPr>
                    <w:t>年平均质量浓度</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hint="default" w:ascii="Times New Roman" w:hAnsi="Times New Roman"/>
                      <w:color w:val="auto"/>
                      <w:sz w:val="21"/>
                      <w:szCs w:val="21"/>
                      <w:lang w:val="en-US"/>
                    </w:rPr>
                  </w:pPr>
                  <w:r>
                    <w:rPr>
                      <w:rFonts w:hint="eastAsia"/>
                      <w:color w:val="auto"/>
                      <w:sz w:val="21"/>
                      <w:szCs w:val="21"/>
                      <w:lang w:val="en-US" w:eastAsia="zh-CN"/>
                    </w:rPr>
                    <w:t>44</w:t>
                  </w:r>
                </w:p>
              </w:tc>
              <w:tc>
                <w:tcPr>
                  <w:tcW w:w="6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color w:val="auto"/>
                      <w:sz w:val="21"/>
                      <w:szCs w:val="21"/>
                    </w:rPr>
                  </w:pPr>
                  <w:r>
                    <w:rPr>
                      <w:rFonts w:hint="eastAsia" w:ascii="Times New Roman" w:eastAsia="宋体"/>
                      <w:color w:val="auto"/>
                      <w:sz w:val="21"/>
                      <w:szCs w:val="21"/>
                      <w:lang w:val="en-US" w:eastAsia="zh-CN"/>
                    </w:rPr>
                    <w:t>35</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6"/>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eastAsia="宋体"/>
                      <w:color w:val="auto"/>
                      <w:sz w:val="21"/>
                      <w:szCs w:val="21"/>
                      <w:lang w:val="en-US" w:eastAsia="zh-CN"/>
                    </w:rPr>
                  </w:pPr>
                  <w:r>
                    <w:rPr>
                      <w:rFonts w:hint="eastAsia"/>
                      <w:color w:val="auto"/>
                      <w:sz w:val="21"/>
                      <w:szCs w:val="21"/>
                      <w:lang w:val="en-US" w:eastAsia="zh-CN"/>
                    </w:rPr>
                    <w:t>125.7</w:t>
                  </w:r>
                </w:p>
              </w:tc>
              <w:tc>
                <w:tcPr>
                  <w:tcW w:w="586" w:type="pct"/>
                  <w:tcBorders>
                    <w:top w:val="single" w:color="000000" w:sz="4" w:space="0"/>
                    <w:left w:val="single" w:color="000000" w:sz="4" w:space="0"/>
                    <w:bottom w:val="single" w:color="000000" w:sz="4" w:space="0"/>
                    <w:right w:val="single" w:color="auto" w:sz="4" w:space="0"/>
                  </w:tcBorders>
                  <w:shd w:val="clear" w:color="auto" w:fill="auto"/>
                  <w:vAlign w:val="center"/>
                </w:tcPr>
                <w:p>
                  <w:pPr>
                    <w:widowControl/>
                    <w:adjustRightInd w:val="0"/>
                    <w:snapToGrid w:val="0"/>
                    <w:jc w:val="center"/>
                    <w:rPr>
                      <w:rFonts w:ascii="Times New Roman" w:hAnsi="Times New Roman"/>
                      <w:color w:val="auto"/>
                      <w:sz w:val="21"/>
                      <w:szCs w:val="21"/>
                    </w:rPr>
                  </w:pPr>
                  <w:r>
                    <w:rPr>
                      <w:rFonts w:hint="eastAsia"/>
                      <w:color w:val="auto"/>
                      <w:sz w:val="21"/>
                      <w:szCs w:val="21"/>
                      <w:lang w:eastAsia="zh-CN" w:bidi="ar"/>
                    </w:rPr>
                    <w:t>超</w:t>
                  </w:r>
                  <w:r>
                    <w:rPr>
                      <w:rFonts w:ascii="Times New Roman"/>
                      <w:color w:val="auto"/>
                      <w:sz w:val="21"/>
                      <w:szCs w:val="21"/>
                      <w:lang w:bidi="ar"/>
                    </w:rPr>
                    <w:t>标</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c>
                <w:tcPr>
                  <w:tcW w:w="447" w:type="pct"/>
                  <w:tcBorders>
                    <w:top w:val="single" w:color="000000" w:sz="4" w:space="0"/>
                    <w:left w:val="single" w:color="auto" w:sz="4" w:space="0"/>
                    <w:bottom w:val="single" w:color="000000" w:sz="4" w:space="0"/>
                    <w:right w:val="single" w:color="000000" w:sz="4" w:space="0"/>
                  </w:tcBorders>
                  <w:shd w:val="clear" w:color="auto" w:fill="auto"/>
                  <w:vAlign w:val="center"/>
                </w:tcPr>
                <w:p>
                  <w:pPr>
                    <w:pStyle w:val="23"/>
                    <w:widowControl w:val="0"/>
                    <w:spacing w:before="0" w:beforeAutospacing="0" w:after="0" w:afterAutospacing="0"/>
                    <w:jc w:val="center"/>
                    <w:rPr>
                      <w:rFonts w:ascii="Times New Roman" w:hAnsi="Times New Roman"/>
                      <w:color w:val="auto"/>
                      <w:sz w:val="21"/>
                      <w:szCs w:val="21"/>
                    </w:rPr>
                  </w:pPr>
                  <w:r>
                    <w:rPr>
                      <w:rFonts w:ascii="Times New Roman" w:hAnsi="Times New Roman"/>
                      <w:color w:val="auto"/>
                      <w:kern w:val="2"/>
                      <w:sz w:val="21"/>
                      <w:szCs w:val="21"/>
                      <w:lang w:bidi="ar"/>
                    </w:rPr>
                    <w:t>SO</w:t>
                  </w:r>
                  <w:r>
                    <w:rPr>
                      <w:rFonts w:ascii="Times New Roman" w:hAnsi="Times New Roman"/>
                      <w:color w:val="auto"/>
                      <w:kern w:val="2"/>
                      <w:sz w:val="21"/>
                      <w:szCs w:val="21"/>
                      <w:vertAlign w:val="subscript"/>
                      <w:lang w:bidi="ar"/>
                    </w:rPr>
                    <w:t>2</w:t>
                  </w:r>
                </w:p>
              </w:tc>
              <w:tc>
                <w:tcPr>
                  <w:tcW w:w="198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23"/>
                    <w:widowControl w:val="0"/>
                    <w:spacing w:before="0" w:beforeAutospacing="0" w:after="0" w:afterAutospacing="0"/>
                    <w:jc w:val="center"/>
                    <w:rPr>
                      <w:rFonts w:ascii="Times New Roman" w:hAnsi="Times New Roman"/>
                      <w:color w:val="auto"/>
                      <w:sz w:val="21"/>
                      <w:szCs w:val="21"/>
                    </w:rPr>
                  </w:pPr>
                  <w:r>
                    <w:rPr>
                      <w:rFonts w:hint="eastAsia" w:ascii="Times New Roman" w:hAnsi="Times New Roman"/>
                      <w:color w:val="auto"/>
                      <w:kern w:val="2"/>
                      <w:sz w:val="21"/>
                      <w:szCs w:val="21"/>
                      <w:lang w:bidi="ar"/>
                    </w:rPr>
                    <w:t>年平均质量浓度</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color w:val="auto"/>
                      <w:sz w:val="21"/>
                      <w:szCs w:val="21"/>
                    </w:rPr>
                  </w:pPr>
                  <w:r>
                    <w:rPr>
                      <w:rFonts w:hint="eastAsia"/>
                      <w:color w:val="auto"/>
                      <w:sz w:val="21"/>
                      <w:szCs w:val="21"/>
                      <w:lang w:val="en-US" w:eastAsia="zh-CN"/>
                    </w:rPr>
                    <w:t>8</w:t>
                  </w:r>
                </w:p>
              </w:tc>
              <w:tc>
                <w:tcPr>
                  <w:tcW w:w="6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color w:val="auto"/>
                      <w:sz w:val="21"/>
                      <w:szCs w:val="21"/>
                    </w:rPr>
                  </w:pPr>
                  <w:r>
                    <w:rPr>
                      <w:rFonts w:hint="eastAsia" w:ascii="Times New Roman" w:eastAsia="宋体"/>
                      <w:color w:val="auto"/>
                      <w:sz w:val="21"/>
                      <w:szCs w:val="21"/>
                      <w:lang w:val="en-US" w:eastAsia="zh-CN"/>
                    </w:rPr>
                    <w:t>60</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6"/>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eastAsia="宋体"/>
                      <w:color w:val="auto"/>
                      <w:sz w:val="21"/>
                      <w:szCs w:val="21"/>
                      <w:lang w:val="en-US" w:eastAsia="zh-CN"/>
                    </w:rPr>
                  </w:pPr>
                  <w:r>
                    <w:rPr>
                      <w:rFonts w:hint="eastAsia"/>
                      <w:color w:val="auto"/>
                      <w:sz w:val="21"/>
                      <w:szCs w:val="21"/>
                      <w:lang w:val="en-US" w:eastAsia="zh-CN"/>
                    </w:rPr>
                    <w:t>13.3</w:t>
                  </w:r>
                </w:p>
              </w:tc>
              <w:tc>
                <w:tcPr>
                  <w:tcW w:w="586" w:type="pct"/>
                  <w:tcBorders>
                    <w:top w:val="single" w:color="000000" w:sz="4" w:space="0"/>
                    <w:left w:val="single" w:color="000000" w:sz="4" w:space="0"/>
                    <w:bottom w:val="single" w:color="000000" w:sz="4" w:space="0"/>
                    <w:right w:val="single" w:color="auto" w:sz="4" w:space="0"/>
                  </w:tcBorders>
                  <w:shd w:val="clear" w:color="auto" w:fill="auto"/>
                  <w:vAlign w:val="center"/>
                </w:tcPr>
                <w:p>
                  <w:pPr>
                    <w:widowControl/>
                    <w:adjustRightInd w:val="0"/>
                    <w:snapToGrid w:val="0"/>
                    <w:jc w:val="center"/>
                    <w:rPr>
                      <w:rFonts w:ascii="Times New Roman" w:hAnsi="Times New Roman"/>
                      <w:color w:val="auto"/>
                      <w:sz w:val="21"/>
                      <w:szCs w:val="21"/>
                    </w:rPr>
                  </w:pPr>
                  <w:r>
                    <w:rPr>
                      <w:rFonts w:ascii="Times New Roman"/>
                      <w:color w:val="auto"/>
                      <w:sz w:val="21"/>
                      <w:szCs w:val="21"/>
                      <w:lang w:bidi="ar"/>
                    </w:rPr>
                    <w:t>达标</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c>
                <w:tcPr>
                  <w:tcW w:w="447" w:type="pct"/>
                  <w:tcBorders>
                    <w:top w:val="single" w:color="000000" w:sz="4" w:space="0"/>
                    <w:left w:val="single" w:color="auto" w:sz="4" w:space="0"/>
                    <w:bottom w:val="single" w:color="000000" w:sz="6" w:space="0"/>
                    <w:right w:val="single" w:color="000000" w:sz="4" w:space="0"/>
                  </w:tcBorders>
                  <w:shd w:val="clear" w:color="auto" w:fill="auto"/>
                  <w:vAlign w:val="center"/>
                </w:tcPr>
                <w:p>
                  <w:pPr>
                    <w:pStyle w:val="23"/>
                    <w:widowControl w:val="0"/>
                    <w:spacing w:before="0" w:beforeAutospacing="0" w:after="0" w:afterAutospacing="0"/>
                    <w:jc w:val="center"/>
                    <w:rPr>
                      <w:rFonts w:ascii="Times New Roman" w:hAnsi="Times New Roman"/>
                      <w:color w:val="auto"/>
                      <w:sz w:val="21"/>
                      <w:szCs w:val="21"/>
                    </w:rPr>
                  </w:pPr>
                  <w:r>
                    <w:rPr>
                      <w:rFonts w:ascii="Times New Roman" w:hAnsi="Times New Roman"/>
                      <w:color w:val="auto"/>
                      <w:kern w:val="2"/>
                      <w:sz w:val="21"/>
                      <w:szCs w:val="21"/>
                      <w:lang w:bidi="ar"/>
                    </w:rPr>
                    <w:t>NO</w:t>
                  </w:r>
                  <w:r>
                    <w:rPr>
                      <w:rFonts w:ascii="Times New Roman" w:hAnsi="Times New Roman"/>
                      <w:color w:val="auto"/>
                      <w:kern w:val="2"/>
                      <w:sz w:val="21"/>
                      <w:szCs w:val="21"/>
                      <w:vertAlign w:val="subscript"/>
                      <w:lang w:bidi="ar"/>
                    </w:rPr>
                    <w:t>2</w:t>
                  </w:r>
                </w:p>
              </w:tc>
              <w:tc>
                <w:tcPr>
                  <w:tcW w:w="198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23"/>
                    <w:widowControl w:val="0"/>
                    <w:spacing w:before="0" w:beforeAutospacing="0" w:after="0" w:afterAutospacing="0"/>
                    <w:jc w:val="center"/>
                    <w:rPr>
                      <w:rFonts w:ascii="Times New Roman" w:hAnsi="Times New Roman"/>
                      <w:color w:val="auto"/>
                      <w:sz w:val="21"/>
                      <w:szCs w:val="21"/>
                    </w:rPr>
                  </w:pPr>
                  <w:r>
                    <w:rPr>
                      <w:rFonts w:hint="eastAsia" w:ascii="Times New Roman" w:hAnsi="Times New Roman"/>
                      <w:color w:val="auto"/>
                      <w:kern w:val="2"/>
                      <w:sz w:val="21"/>
                      <w:szCs w:val="21"/>
                      <w:lang w:bidi="ar"/>
                    </w:rPr>
                    <w:t>年平均质量浓度</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hint="default" w:ascii="Times New Roman" w:hAnsi="Times New Roman"/>
                      <w:color w:val="auto"/>
                      <w:sz w:val="21"/>
                      <w:szCs w:val="21"/>
                      <w:lang w:val="en-US"/>
                    </w:rPr>
                  </w:pPr>
                  <w:r>
                    <w:rPr>
                      <w:rFonts w:hint="eastAsia"/>
                      <w:color w:val="auto"/>
                      <w:sz w:val="21"/>
                      <w:szCs w:val="21"/>
                      <w:lang w:val="en-US" w:eastAsia="zh-CN"/>
                    </w:rPr>
                    <w:t>39</w:t>
                  </w:r>
                </w:p>
              </w:tc>
              <w:tc>
                <w:tcPr>
                  <w:tcW w:w="6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color w:val="auto"/>
                      <w:sz w:val="21"/>
                      <w:szCs w:val="21"/>
                    </w:rPr>
                  </w:pPr>
                  <w:r>
                    <w:rPr>
                      <w:rFonts w:hint="eastAsia" w:ascii="Times New Roman" w:eastAsia="宋体"/>
                      <w:color w:val="auto"/>
                      <w:sz w:val="21"/>
                      <w:szCs w:val="21"/>
                      <w:lang w:val="en-US" w:eastAsia="zh-CN"/>
                    </w:rPr>
                    <w:t>40</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6"/>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eastAsia="宋体"/>
                      <w:color w:val="auto"/>
                      <w:sz w:val="21"/>
                      <w:szCs w:val="21"/>
                      <w:lang w:val="en-US" w:eastAsia="zh-CN"/>
                    </w:rPr>
                  </w:pPr>
                  <w:r>
                    <w:rPr>
                      <w:rFonts w:hint="eastAsia"/>
                      <w:color w:val="auto"/>
                      <w:sz w:val="21"/>
                      <w:szCs w:val="21"/>
                      <w:lang w:val="en-US" w:eastAsia="zh-CN"/>
                    </w:rPr>
                    <w:t>97.5</w:t>
                  </w:r>
                </w:p>
              </w:tc>
              <w:tc>
                <w:tcPr>
                  <w:tcW w:w="586" w:type="pct"/>
                  <w:tcBorders>
                    <w:top w:val="single" w:color="000000" w:sz="4" w:space="0"/>
                    <w:left w:val="single" w:color="000000" w:sz="4" w:space="0"/>
                    <w:bottom w:val="single" w:color="000000" w:sz="4" w:space="0"/>
                    <w:right w:val="single" w:color="auto" w:sz="4" w:space="0"/>
                  </w:tcBorders>
                  <w:shd w:val="clear" w:color="auto" w:fill="auto"/>
                  <w:vAlign w:val="center"/>
                </w:tcPr>
                <w:p>
                  <w:pPr>
                    <w:widowControl/>
                    <w:adjustRightInd w:val="0"/>
                    <w:snapToGrid w:val="0"/>
                    <w:jc w:val="center"/>
                    <w:rPr>
                      <w:rFonts w:ascii="Times New Roman" w:hAnsi="Times New Roman"/>
                      <w:color w:val="auto"/>
                      <w:sz w:val="21"/>
                      <w:szCs w:val="21"/>
                    </w:rPr>
                  </w:pPr>
                  <w:r>
                    <w:rPr>
                      <w:rFonts w:ascii="Times New Roman"/>
                      <w:color w:val="auto"/>
                      <w:sz w:val="21"/>
                      <w:szCs w:val="21"/>
                      <w:lang w:bidi="ar"/>
                    </w:rPr>
                    <w:t>达标</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c>
                <w:tcPr>
                  <w:tcW w:w="447" w:type="pct"/>
                  <w:tcBorders>
                    <w:top w:val="single" w:color="000000" w:sz="6" w:space="0"/>
                    <w:left w:val="single" w:color="auto" w:sz="4" w:space="0"/>
                    <w:bottom w:val="single" w:color="000000" w:sz="4" w:space="0"/>
                    <w:right w:val="single" w:color="000000" w:sz="4" w:space="0"/>
                  </w:tcBorders>
                  <w:shd w:val="clear" w:color="auto" w:fill="auto"/>
                  <w:vAlign w:val="center"/>
                </w:tcPr>
                <w:p>
                  <w:pPr>
                    <w:pStyle w:val="23"/>
                    <w:widowControl w:val="0"/>
                    <w:spacing w:before="0" w:beforeAutospacing="0" w:after="0" w:afterAutospacing="0"/>
                    <w:jc w:val="center"/>
                    <w:rPr>
                      <w:rFonts w:ascii="Times New Roman" w:hAnsi="Times New Roman"/>
                      <w:color w:val="auto"/>
                      <w:sz w:val="21"/>
                      <w:szCs w:val="21"/>
                    </w:rPr>
                  </w:pPr>
                  <w:r>
                    <w:rPr>
                      <w:rFonts w:ascii="Times New Roman" w:hAnsi="Times New Roman"/>
                      <w:color w:val="auto"/>
                      <w:kern w:val="2"/>
                      <w:sz w:val="21"/>
                      <w:szCs w:val="21"/>
                      <w:lang w:bidi="ar"/>
                    </w:rPr>
                    <w:t>CO</w:t>
                  </w:r>
                </w:p>
              </w:tc>
              <w:tc>
                <w:tcPr>
                  <w:tcW w:w="198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23"/>
                    <w:widowControl w:val="0"/>
                    <w:spacing w:before="0" w:beforeAutospacing="0" w:after="0" w:afterAutospacing="0"/>
                    <w:jc w:val="center"/>
                    <w:rPr>
                      <w:rFonts w:ascii="Times New Roman" w:hAnsi="Times New Roman"/>
                      <w:color w:val="auto"/>
                      <w:sz w:val="21"/>
                      <w:szCs w:val="21"/>
                    </w:rPr>
                  </w:pPr>
                  <w:r>
                    <w:rPr>
                      <w:rFonts w:hint="eastAsia" w:ascii="Times New Roman" w:hAnsi="Times New Roman"/>
                      <w:color w:val="auto"/>
                      <w:kern w:val="2"/>
                      <w:sz w:val="21"/>
                      <w:szCs w:val="21"/>
                      <w:lang w:bidi="ar"/>
                    </w:rPr>
                    <w:t>第</w:t>
                  </w:r>
                  <w:r>
                    <w:rPr>
                      <w:rFonts w:ascii="Times New Roman" w:hAnsi="Times New Roman"/>
                      <w:color w:val="auto"/>
                      <w:kern w:val="2"/>
                      <w:sz w:val="21"/>
                      <w:szCs w:val="21"/>
                      <w:lang w:bidi="ar"/>
                    </w:rPr>
                    <w:t>95</w:t>
                  </w:r>
                  <w:r>
                    <w:rPr>
                      <w:rFonts w:hint="eastAsia" w:ascii="Times New Roman" w:hAnsi="Times New Roman"/>
                      <w:color w:val="auto"/>
                      <w:kern w:val="2"/>
                      <w:sz w:val="21"/>
                      <w:szCs w:val="21"/>
                      <w:lang w:bidi="ar"/>
                    </w:rPr>
                    <w:t>百分位数</w:t>
                  </w:r>
                  <w:r>
                    <w:rPr>
                      <w:rFonts w:ascii="Times New Roman" w:hAnsi="Times New Roman"/>
                      <w:color w:val="auto"/>
                      <w:kern w:val="2"/>
                      <w:sz w:val="21"/>
                      <w:szCs w:val="21"/>
                      <w:lang w:bidi="ar"/>
                    </w:rPr>
                    <w:t>24</w:t>
                  </w:r>
                  <w:r>
                    <w:rPr>
                      <w:rFonts w:hint="eastAsia" w:ascii="Times New Roman" w:hAnsi="Times New Roman"/>
                      <w:color w:val="auto"/>
                      <w:kern w:val="2"/>
                      <w:sz w:val="21"/>
                      <w:szCs w:val="21"/>
                      <w:lang w:bidi="ar"/>
                    </w:rPr>
                    <w:t>小时平均浓度</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b w:val="0"/>
                      <w:bCs w:val="0"/>
                      <w:color w:val="auto"/>
                      <w:sz w:val="21"/>
                      <w:szCs w:val="21"/>
                    </w:rPr>
                  </w:pPr>
                  <w:r>
                    <w:rPr>
                      <w:rFonts w:hint="eastAsia"/>
                      <w:b w:val="0"/>
                      <w:bCs w:val="0"/>
                      <w:color w:val="auto"/>
                      <w:sz w:val="21"/>
                      <w:szCs w:val="21"/>
                      <w:lang w:val="en-US" w:eastAsia="zh-CN"/>
                    </w:rPr>
                    <w:t>1.6</w:t>
                  </w:r>
                  <w:r>
                    <w:rPr>
                      <w:rFonts w:hint="eastAsia" w:eastAsia="宋体"/>
                      <w:b w:val="0"/>
                      <w:bCs w:val="0"/>
                      <w:color w:val="auto"/>
                      <w:kern w:val="2"/>
                      <w:sz w:val="21"/>
                      <w:szCs w:val="21"/>
                      <w:lang w:val="en-US" w:eastAsia="zh-CN" w:bidi="ar"/>
                    </w:rPr>
                    <w:t>m</w:t>
                  </w:r>
                  <w:r>
                    <w:rPr>
                      <w:rFonts w:ascii="Times New Roman" w:hAnsi="Times New Roman"/>
                      <w:b w:val="0"/>
                      <w:bCs w:val="0"/>
                      <w:color w:val="auto"/>
                      <w:kern w:val="2"/>
                      <w:sz w:val="21"/>
                      <w:szCs w:val="21"/>
                      <w:lang w:bidi="ar"/>
                    </w:rPr>
                    <w:t>g/m³</w:t>
                  </w:r>
                </w:p>
              </w:tc>
              <w:tc>
                <w:tcPr>
                  <w:tcW w:w="6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b w:val="0"/>
                      <w:bCs w:val="0"/>
                      <w:color w:val="auto"/>
                      <w:sz w:val="21"/>
                      <w:szCs w:val="21"/>
                    </w:rPr>
                  </w:pPr>
                  <w:r>
                    <w:rPr>
                      <w:rFonts w:hint="eastAsia" w:ascii="Times New Roman" w:eastAsia="宋体"/>
                      <w:b w:val="0"/>
                      <w:bCs w:val="0"/>
                      <w:color w:val="auto"/>
                      <w:sz w:val="21"/>
                      <w:szCs w:val="21"/>
                      <w:lang w:val="en-US" w:eastAsia="zh-CN"/>
                    </w:rPr>
                    <w:t>4</w:t>
                  </w:r>
                  <w:r>
                    <w:rPr>
                      <w:rFonts w:hint="eastAsia" w:eastAsia="宋体"/>
                      <w:b w:val="0"/>
                      <w:bCs w:val="0"/>
                      <w:color w:val="auto"/>
                      <w:kern w:val="2"/>
                      <w:sz w:val="21"/>
                      <w:szCs w:val="21"/>
                      <w:lang w:val="en-US" w:eastAsia="zh-CN" w:bidi="ar"/>
                    </w:rPr>
                    <w:t>m</w:t>
                  </w:r>
                  <w:r>
                    <w:rPr>
                      <w:rFonts w:ascii="Times New Roman" w:hAnsi="Times New Roman"/>
                      <w:b w:val="0"/>
                      <w:bCs w:val="0"/>
                      <w:color w:val="auto"/>
                      <w:kern w:val="2"/>
                      <w:sz w:val="21"/>
                      <w:szCs w:val="21"/>
                      <w:lang w:bidi="ar"/>
                    </w:rPr>
                    <w:t>g/m³</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6"/>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eastAsia="宋体"/>
                      <w:color w:val="auto"/>
                      <w:sz w:val="21"/>
                      <w:szCs w:val="21"/>
                      <w:lang w:val="en-US" w:eastAsia="zh-CN"/>
                    </w:rPr>
                  </w:pPr>
                  <w:r>
                    <w:rPr>
                      <w:rFonts w:hint="eastAsia"/>
                      <w:color w:val="auto"/>
                      <w:sz w:val="21"/>
                      <w:szCs w:val="21"/>
                      <w:lang w:val="en-US" w:eastAsia="zh-CN"/>
                    </w:rPr>
                    <w:t>40</w:t>
                  </w:r>
                </w:p>
              </w:tc>
              <w:tc>
                <w:tcPr>
                  <w:tcW w:w="586" w:type="pct"/>
                  <w:tcBorders>
                    <w:top w:val="single" w:color="000000" w:sz="4" w:space="0"/>
                    <w:left w:val="single" w:color="000000" w:sz="4" w:space="0"/>
                    <w:bottom w:val="single" w:color="000000" w:sz="4" w:space="0"/>
                    <w:right w:val="single" w:color="auto" w:sz="4" w:space="0"/>
                  </w:tcBorders>
                  <w:shd w:val="clear" w:color="auto" w:fill="auto"/>
                  <w:vAlign w:val="center"/>
                </w:tcPr>
                <w:p>
                  <w:pPr>
                    <w:widowControl/>
                    <w:adjustRightInd w:val="0"/>
                    <w:snapToGrid w:val="0"/>
                    <w:jc w:val="center"/>
                    <w:rPr>
                      <w:rFonts w:ascii="Times New Roman" w:hAnsi="Times New Roman"/>
                      <w:color w:val="auto"/>
                      <w:sz w:val="21"/>
                      <w:szCs w:val="21"/>
                    </w:rPr>
                  </w:pPr>
                  <w:r>
                    <w:rPr>
                      <w:rFonts w:ascii="Times New Roman"/>
                      <w:color w:val="auto"/>
                      <w:sz w:val="21"/>
                      <w:szCs w:val="21"/>
                      <w:lang w:bidi="ar"/>
                    </w:rPr>
                    <w:t>达标</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c>
                <w:tcPr>
                  <w:tcW w:w="447" w:type="pct"/>
                  <w:tcBorders>
                    <w:top w:val="single" w:color="000000" w:sz="4" w:space="0"/>
                    <w:left w:val="single" w:color="auto" w:sz="4" w:space="0"/>
                    <w:bottom w:val="single" w:color="auto" w:sz="4" w:space="0"/>
                    <w:right w:val="single" w:color="000000" w:sz="4" w:space="0"/>
                  </w:tcBorders>
                  <w:shd w:val="clear" w:color="auto" w:fill="auto"/>
                  <w:vAlign w:val="center"/>
                </w:tcPr>
                <w:p>
                  <w:pPr>
                    <w:pStyle w:val="23"/>
                    <w:widowControl w:val="0"/>
                    <w:spacing w:before="0" w:beforeAutospacing="0" w:after="0" w:afterAutospacing="0"/>
                    <w:jc w:val="center"/>
                    <w:rPr>
                      <w:rFonts w:ascii="Times New Roman" w:hAnsi="Times New Roman"/>
                      <w:color w:val="auto"/>
                      <w:sz w:val="21"/>
                      <w:szCs w:val="21"/>
                    </w:rPr>
                  </w:pPr>
                  <w:r>
                    <w:rPr>
                      <w:rFonts w:ascii="Times New Roman" w:hAnsi="Times New Roman"/>
                      <w:color w:val="auto"/>
                      <w:kern w:val="2"/>
                      <w:sz w:val="21"/>
                      <w:szCs w:val="21"/>
                      <w:lang w:bidi="ar"/>
                    </w:rPr>
                    <w:t>O</w:t>
                  </w:r>
                  <w:r>
                    <w:rPr>
                      <w:rFonts w:ascii="Times New Roman" w:hAnsi="Times New Roman"/>
                      <w:color w:val="auto"/>
                      <w:kern w:val="2"/>
                      <w:sz w:val="21"/>
                      <w:szCs w:val="21"/>
                      <w:vertAlign w:val="subscript"/>
                      <w:lang w:bidi="ar"/>
                    </w:rPr>
                    <w:t>3</w:t>
                  </w:r>
                </w:p>
              </w:tc>
              <w:tc>
                <w:tcPr>
                  <w:tcW w:w="1985" w:type="pct"/>
                  <w:tcBorders>
                    <w:top w:val="single" w:color="000000" w:sz="4" w:space="0"/>
                    <w:left w:val="single" w:color="000000" w:sz="4" w:space="0"/>
                    <w:bottom w:val="single" w:color="auto" w:sz="4" w:space="0"/>
                    <w:right w:val="single" w:color="000000" w:sz="4" w:space="0"/>
                  </w:tcBorders>
                  <w:shd w:val="clear" w:color="auto" w:fill="auto"/>
                  <w:vAlign w:val="center"/>
                </w:tcPr>
                <w:p>
                  <w:pPr>
                    <w:pStyle w:val="23"/>
                    <w:widowControl w:val="0"/>
                    <w:spacing w:before="0" w:beforeAutospacing="0" w:after="0" w:afterAutospacing="0"/>
                    <w:jc w:val="center"/>
                    <w:rPr>
                      <w:rFonts w:ascii="Times New Roman" w:hAnsi="Times New Roman"/>
                      <w:color w:val="auto"/>
                      <w:sz w:val="21"/>
                      <w:szCs w:val="21"/>
                    </w:rPr>
                  </w:pPr>
                  <w:r>
                    <w:rPr>
                      <w:rFonts w:hint="eastAsia" w:ascii="Times New Roman" w:hAnsi="Times New Roman"/>
                      <w:color w:val="auto"/>
                      <w:kern w:val="2"/>
                      <w:sz w:val="21"/>
                      <w:szCs w:val="21"/>
                      <w:lang w:bidi="ar"/>
                    </w:rPr>
                    <w:t>第</w:t>
                  </w:r>
                  <w:r>
                    <w:rPr>
                      <w:rFonts w:ascii="Times New Roman" w:hAnsi="Times New Roman"/>
                      <w:color w:val="auto"/>
                      <w:kern w:val="2"/>
                      <w:sz w:val="21"/>
                      <w:szCs w:val="21"/>
                      <w:lang w:bidi="ar"/>
                    </w:rPr>
                    <w:t>90</w:t>
                  </w:r>
                  <w:r>
                    <w:rPr>
                      <w:rFonts w:hint="eastAsia" w:ascii="Times New Roman" w:hAnsi="Times New Roman"/>
                      <w:color w:val="auto"/>
                      <w:kern w:val="2"/>
                      <w:sz w:val="21"/>
                      <w:szCs w:val="21"/>
                      <w:lang w:bidi="ar"/>
                    </w:rPr>
                    <w:t>百分位数</w:t>
                  </w:r>
                  <w:r>
                    <w:rPr>
                      <w:rFonts w:ascii="Times New Roman" w:hAnsi="Times New Roman"/>
                      <w:color w:val="auto"/>
                      <w:kern w:val="2"/>
                      <w:sz w:val="21"/>
                      <w:szCs w:val="21"/>
                      <w:lang w:bidi="ar"/>
                    </w:rPr>
                    <w:t>8</w:t>
                  </w:r>
                  <w:r>
                    <w:rPr>
                      <w:rFonts w:hint="eastAsia" w:ascii="Times New Roman" w:hAnsi="Times New Roman"/>
                      <w:color w:val="auto"/>
                      <w:kern w:val="2"/>
                      <w:sz w:val="21"/>
                      <w:szCs w:val="21"/>
                      <w:lang w:bidi="ar"/>
                    </w:rPr>
                    <w:t>小时平均浓度</w:t>
                  </w:r>
                </w:p>
              </w:tc>
              <w:tc>
                <w:tcPr>
                  <w:tcW w:w="700" w:type="pct"/>
                  <w:tcBorders>
                    <w:top w:val="single" w:color="000000" w:sz="4" w:space="0"/>
                    <w:left w:val="single" w:color="000000" w:sz="4" w:space="0"/>
                    <w:bottom w:val="single" w:color="auto" w:sz="4" w:space="0"/>
                    <w:right w:val="single" w:color="000000" w:sz="4" w:space="0"/>
                  </w:tcBorders>
                  <w:shd w:val="clear" w:color="auto" w:fill="auto"/>
                  <w:vAlign w:val="center"/>
                </w:tcPr>
                <w:p>
                  <w:pPr>
                    <w:widowControl/>
                    <w:adjustRightInd w:val="0"/>
                    <w:snapToGrid w:val="0"/>
                    <w:jc w:val="center"/>
                    <w:rPr>
                      <w:rFonts w:hint="default" w:ascii="Times New Roman" w:hAnsi="Times New Roman"/>
                      <w:color w:val="auto"/>
                      <w:sz w:val="21"/>
                      <w:szCs w:val="21"/>
                      <w:lang w:val="en-US"/>
                    </w:rPr>
                  </w:pPr>
                  <w:r>
                    <w:rPr>
                      <w:rFonts w:hint="eastAsia" w:ascii="Times New Roman" w:eastAsia="宋体"/>
                      <w:color w:val="auto"/>
                      <w:sz w:val="21"/>
                      <w:szCs w:val="21"/>
                      <w:lang w:val="en-US" w:eastAsia="zh-CN"/>
                    </w:rPr>
                    <w:t>1</w:t>
                  </w:r>
                  <w:r>
                    <w:rPr>
                      <w:rFonts w:hint="eastAsia"/>
                      <w:color w:val="auto"/>
                      <w:sz w:val="21"/>
                      <w:szCs w:val="21"/>
                      <w:lang w:val="en-US" w:eastAsia="zh-CN"/>
                    </w:rPr>
                    <w:t>70</w:t>
                  </w:r>
                </w:p>
              </w:tc>
              <w:tc>
                <w:tcPr>
                  <w:tcW w:w="693" w:type="pct"/>
                  <w:tcBorders>
                    <w:top w:val="single" w:color="000000" w:sz="4" w:space="0"/>
                    <w:left w:val="single" w:color="000000" w:sz="4" w:space="0"/>
                    <w:bottom w:val="single" w:color="auto" w:sz="4" w:space="0"/>
                    <w:right w:val="single" w:color="000000" w:sz="4" w:space="0"/>
                  </w:tcBorders>
                  <w:shd w:val="clear" w:color="auto" w:fill="auto"/>
                  <w:vAlign w:val="center"/>
                </w:tcPr>
                <w:p>
                  <w:pPr>
                    <w:widowControl/>
                    <w:adjustRightInd w:val="0"/>
                    <w:snapToGrid w:val="0"/>
                    <w:jc w:val="center"/>
                    <w:rPr>
                      <w:rFonts w:ascii="Times New Roman" w:hAnsi="Times New Roman"/>
                      <w:color w:val="auto"/>
                      <w:sz w:val="21"/>
                      <w:szCs w:val="21"/>
                    </w:rPr>
                  </w:pPr>
                  <w:r>
                    <w:rPr>
                      <w:rFonts w:hint="eastAsia" w:ascii="Times New Roman" w:eastAsia="宋体"/>
                      <w:color w:val="auto"/>
                      <w:sz w:val="21"/>
                      <w:szCs w:val="21"/>
                      <w:lang w:val="en-US" w:eastAsia="zh-CN"/>
                    </w:rPr>
                    <w:t>160</w:t>
                  </w:r>
                </w:p>
              </w:tc>
              <w:tc>
                <w:tcPr>
                  <w:tcW w:w="586" w:type="pct"/>
                  <w:tcBorders>
                    <w:top w:val="single" w:color="000000" w:sz="4" w:space="0"/>
                    <w:left w:val="single" w:color="000000" w:sz="4" w:space="0"/>
                    <w:bottom w:val="single" w:color="auto" w:sz="4" w:space="0"/>
                    <w:right w:val="single" w:color="000000" w:sz="4" w:space="0"/>
                  </w:tcBorders>
                  <w:shd w:val="clear" w:color="auto" w:fill="auto"/>
                  <w:vAlign w:val="center"/>
                </w:tcPr>
                <w:p>
                  <w:pPr>
                    <w:pStyle w:val="56"/>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eastAsia="宋体"/>
                      <w:color w:val="auto"/>
                      <w:sz w:val="21"/>
                      <w:szCs w:val="21"/>
                      <w:lang w:val="en-US" w:eastAsia="zh-CN"/>
                    </w:rPr>
                  </w:pPr>
                  <w:r>
                    <w:rPr>
                      <w:rFonts w:hint="eastAsia"/>
                      <w:color w:val="auto"/>
                      <w:sz w:val="21"/>
                      <w:szCs w:val="21"/>
                      <w:lang w:val="en-US" w:eastAsia="zh-CN"/>
                    </w:rPr>
                    <w:t>106.3</w:t>
                  </w:r>
                </w:p>
              </w:tc>
              <w:tc>
                <w:tcPr>
                  <w:tcW w:w="586" w:type="pct"/>
                  <w:tcBorders>
                    <w:top w:val="single" w:color="000000" w:sz="4" w:space="0"/>
                    <w:left w:val="single" w:color="000000" w:sz="4" w:space="0"/>
                    <w:bottom w:val="single" w:color="auto" w:sz="4" w:space="0"/>
                    <w:right w:val="single" w:color="auto" w:sz="4" w:space="0"/>
                  </w:tcBorders>
                  <w:shd w:val="clear" w:color="auto" w:fill="auto"/>
                  <w:vAlign w:val="center"/>
                </w:tcPr>
                <w:p>
                  <w:pPr>
                    <w:widowControl/>
                    <w:adjustRightInd w:val="0"/>
                    <w:snapToGrid w:val="0"/>
                    <w:jc w:val="center"/>
                    <w:rPr>
                      <w:rFonts w:ascii="Times New Roman" w:hAnsi="Times New Roman"/>
                      <w:color w:val="auto"/>
                      <w:sz w:val="21"/>
                      <w:szCs w:val="21"/>
                    </w:rPr>
                  </w:pPr>
                  <w:r>
                    <w:rPr>
                      <w:rFonts w:hint="eastAsia"/>
                      <w:color w:val="auto"/>
                      <w:sz w:val="21"/>
                      <w:szCs w:val="21"/>
                      <w:lang w:eastAsia="zh-CN" w:bidi="ar"/>
                    </w:rPr>
                    <w:t>超</w:t>
                  </w:r>
                  <w:r>
                    <w:rPr>
                      <w:rFonts w:ascii="Times New Roman"/>
                      <w:color w:val="auto"/>
                      <w:sz w:val="21"/>
                      <w:szCs w:val="21"/>
                      <w:lang w:bidi="ar"/>
                    </w:rPr>
                    <w:t>标</w:t>
                  </w:r>
                </w:p>
              </w:tc>
            </w:tr>
          </w:tbl>
          <w:p>
            <w:pPr>
              <w:keepNext w:val="0"/>
              <w:keepLines w:val="0"/>
              <w:pageBreakBefore w:val="0"/>
              <w:widowControl w:val="0"/>
              <w:kinsoku/>
              <w:wordWrap w:val="0"/>
              <w:overflowPunct/>
              <w:topLinePunct w:val="0"/>
              <w:autoSpaceDE/>
              <w:autoSpaceDN/>
              <w:bidi w:val="0"/>
              <w:adjustRightInd w:val="0"/>
              <w:snapToGrid/>
              <w:spacing w:before="157" w:beforeLines="50" w:line="360" w:lineRule="auto"/>
              <w:ind w:firstLine="480" w:firstLineChars="200"/>
              <w:textAlignment w:val="auto"/>
              <w:rPr>
                <w:rFonts w:hint="default" w:ascii="Times New Roman"/>
                <w:color w:val="auto"/>
                <w:sz w:val="24"/>
                <w:szCs w:val="24"/>
                <w:lang w:val="en-US" w:eastAsia="zh-CN"/>
              </w:rPr>
            </w:pPr>
            <w:r>
              <w:rPr>
                <w:color w:val="auto"/>
                <w:sz w:val="24"/>
                <w:szCs w:val="24"/>
                <w:lang w:bidi="ar"/>
              </w:rPr>
              <w:t>评价区环境空气常规六项指标中，</w:t>
            </w:r>
            <w:r>
              <w:rPr>
                <w:rFonts w:hint="default" w:ascii="Times New Roman"/>
                <w:color w:val="auto"/>
                <w:sz w:val="24"/>
                <w:szCs w:val="24"/>
                <w:lang w:val="en-US" w:eastAsia="zh-CN"/>
              </w:rPr>
              <w:t>环境空气常规六项指标中，SO</w:t>
            </w:r>
            <w:r>
              <w:rPr>
                <w:rFonts w:hint="default" w:ascii="Times New Roman"/>
                <w:color w:val="auto"/>
                <w:sz w:val="24"/>
                <w:szCs w:val="24"/>
                <w:vertAlign w:val="subscript"/>
                <w:lang w:val="en-US" w:eastAsia="zh-CN"/>
              </w:rPr>
              <w:t>2</w:t>
            </w:r>
            <w:r>
              <w:rPr>
                <w:rFonts w:hint="default" w:ascii="Times New Roman"/>
                <w:color w:val="auto"/>
                <w:sz w:val="24"/>
                <w:szCs w:val="24"/>
                <w:lang w:val="en-US" w:eastAsia="zh-CN"/>
              </w:rPr>
              <w:t>年平均质量浓度、NO</w:t>
            </w:r>
            <w:r>
              <w:rPr>
                <w:rFonts w:hint="default" w:ascii="Times New Roman"/>
                <w:color w:val="auto"/>
                <w:sz w:val="24"/>
                <w:szCs w:val="24"/>
                <w:vertAlign w:val="subscript"/>
                <w:lang w:val="en-US" w:eastAsia="zh-CN"/>
              </w:rPr>
              <w:t>2</w:t>
            </w:r>
            <w:r>
              <w:rPr>
                <w:rFonts w:hint="default" w:ascii="Times New Roman"/>
                <w:color w:val="auto"/>
                <w:sz w:val="24"/>
                <w:szCs w:val="24"/>
                <w:lang w:val="en-US" w:eastAsia="zh-CN"/>
              </w:rPr>
              <w:t>年平均质量浓度</w:t>
            </w:r>
            <w:r>
              <w:rPr>
                <w:rFonts w:hint="eastAsia" w:ascii="Times New Roman"/>
                <w:color w:val="auto"/>
                <w:sz w:val="24"/>
                <w:szCs w:val="24"/>
                <w:lang w:val="en-US" w:eastAsia="zh-CN"/>
              </w:rPr>
              <w:t>、</w:t>
            </w:r>
            <w:r>
              <w:rPr>
                <w:rFonts w:hint="default" w:ascii="Times New Roman"/>
                <w:color w:val="auto"/>
                <w:sz w:val="24"/>
                <w:szCs w:val="24"/>
                <w:lang w:val="en-US" w:eastAsia="zh-CN"/>
              </w:rPr>
              <w:t>CO</w:t>
            </w:r>
            <w:r>
              <w:rPr>
                <w:rFonts w:hint="eastAsia"/>
                <w:color w:val="auto"/>
                <w:sz w:val="24"/>
                <w:szCs w:val="24"/>
                <w:lang w:val="en-US" w:eastAsia="zh-CN"/>
              </w:rPr>
              <w:t>第</w:t>
            </w:r>
            <w:r>
              <w:rPr>
                <w:rFonts w:hint="default" w:ascii="Times New Roman"/>
                <w:color w:val="auto"/>
                <w:sz w:val="24"/>
                <w:szCs w:val="24"/>
                <w:lang w:val="en-US" w:eastAsia="zh-CN"/>
              </w:rPr>
              <w:t>95</w:t>
            </w:r>
            <w:r>
              <w:rPr>
                <w:rFonts w:hint="eastAsia" w:ascii="Times New Roman" w:hAnsi="Times New Roman"/>
                <w:color w:val="auto"/>
                <w:kern w:val="2"/>
                <w:sz w:val="24"/>
                <w:szCs w:val="24"/>
                <w:lang w:bidi="ar"/>
              </w:rPr>
              <w:t>百分位数</w:t>
            </w:r>
            <w:r>
              <w:rPr>
                <w:rFonts w:hint="default" w:ascii="Times New Roman"/>
                <w:color w:val="auto"/>
                <w:sz w:val="24"/>
                <w:szCs w:val="24"/>
                <w:lang w:val="en-US" w:eastAsia="zh-CN"/>
              </w:rPr>
              <w:t>24小时平均浓度达到《环境空气质量标准》（GB30952012）二级标准要求，PM</w:t>
            </w:r>
            <w:r>
              <w:rPr>
                <w:rFonts w:hint="default" w:ascii="Times New Roman"/>
                <w:color w:val="auto"/>
                <w:sz w:val="24"/>
                <w:szCs w:val="24"/>
                <w:vertAlign w:val="subscript"/>
                <w:lang w:val="en-US" w:eastAsia="zh-CN"/>
              </w:rPr>
              <w:t>10</w:t>
            </w:r>
            <w:r>
              <w:rPr>
                <w:rFonts w:hint="default" w:ascii="Times New Roman"/>
                <w:color w:val="auto"/>
                <w:sz w:val="24"/>
                <w:szCs w:val="24"/>
                <w:lang w:val="en-US" w:eastAsia="zh-CN"/>
              </w:rPr>
              <w:t>年平均质量浓度、PM</w:t>
            </w:r>
            <w:r>
              <w:rPr>
                <w:rFonts w:hint="default" w:ascii="Times New Roman"/>
                <w:color w:val="auto"/>
                <w:sz w:val="24"/>
                <w:szCs w:val="24"/>
                <w:vertAlign w:val="subscript"/>
                <w:lang w:val="en-US" w:eastAsia="zh-CN"/>
              </w:rPr>
              <w:t>2.5</w:t>
            </w:r>
            <w:r>
              <w:rPr>
                <w:rFonts w:hint="default" w:ascii="Times New Roman"/>
                <w:color w:val="auto"/>
                <w:sz w:val="24"/>
                <w:szCs w:val="24"/>
                <w:lang w:val="en-US" w:eastAsia="zh-CN"/>
              </w:rPr>
              <w:t>年平均质量浓度</w:t>
            </w:r>
            <w:r>
              <w:rPr>
                <w:rFonts w:hint="eastAsia"/>
                <w:color w:val="auto"/>
                <w:sz w:val="24"/>
                <w:szCs w:val="24"/>
                <w:lang w:val="en-US" w:eastAsia="zh-CN"/>
              </w:rPr>
              <w:t>、</w:t>
            </w:r>
            <w:r>
              <w:rPr>
                <w:rFonts w:hint="default" w:ascii="Times New Roman"/>
                <w:color w:val="auto"/>
                <w:sz w:val="24"/>
                <w:szCs w:val="24"/>
                <w:lang w:val="en-US" w:eastAsia="zh-CN"/>
              </w:rPr>
              <w:t>O</w:t>
            </w:r>
            <w:r>
              <w:rPr>
                <w:rFonts w:hint="default" w:ascii="Times New Roman"/>
                <w:color w:val="auto"/>
                <w:sz w:val="24"/>
                <w:szCs w:val="24"/>
                <w:vertAlign w:val="subscript"/>
                <w:lang w:val="en-US" w:eastAsia="zh-CN"/>
              </w:rPr>
              <w:t>3</w:t>
            </w:r>
            <w:r>
              <w:rPr>
                <w:rFonts w:hint="eastAsia"/>
                <w:color w:val="auto"/>
                <w:sz w:val="24"/>
                <w:szCs w:val="24"/>
                <w:lang w:val="en-US" w:eastAsia="zh-CN"/>
              </w:rPr>
              <w:t>第</w:t>
            </w:r>
            <w:r>
              <w:rPr>
                <w:rFonts w:hint="default" w:ascii="Times New Roman"/>
                <w:color w:val="auto"/>
                <w:sz w:val="24"/>
                <w:szCs w:val="24"/>
                <w:lang w:val="en-US" w:eastAsia="zh-CN"/>
              </w:rPr>
              <w:t>90</w:t>
            </w:r>
            <w:r>
              <w:rPr>
                <w:rFonts w:hint="eastAsia" w:ascii="Times New Roman" w:hAnsi="Times New Roman"/>
                <w:color w:val="auto"/>
                <w:kern w:val="2"/>
                <w:sz w:val="24"/>
                <w:szCs w:val="24"/>
                <w:lang w:bidi="ar"/>
              </w:rPr>
              <w:t>百分位数</w:t>
            </w:r>
            <w:r>
              <w:rPr>
                <w:rFonts w:hint="default" w:ascii="Times New Roman"/>
                <w:color w:val="auto"/>
                <w:sz w:val="24"/>
                <w:szCs w:val="24"/>
                <w:lang w:val="en-US" w:eastAsia="zh-CN"/>
              </w:rPr>
              <w:t>8小时平均浓度超过《环境空气质量标准》（GB30952012）二级标准要求。</w:t>
            </w:r>
          </w:p>
          <w:p>
            <w:pPr>
              <w:keepNext w:val="0"/>
              <w:keepLines w:val="0"/>
              <w:pageBreakBefore w:val="0"/>
              <w:widowControl w:val="0"/>
              <w:numPr>
                <w:ilvl w:val="0"/>
                <w:numId w:val="8"/>
              </w:numPr>
              <w:suppressLineNumbers w:val="0"/>
              <w:kinsoku/>
              <w:wordWrap/>
              <w:overflowPunct/>
              <w:topLinePunct w:val="0"/>
              <w:autoSpaceDE/>
              <w:autoSpaceDN/>
              <w:bidi w:val="0"/>
              <w:spacing w:before="0" w:beforeAutospacing="0" w:after="0" w:afterAutospacing="0" w:line="360" w:lineRule="auto"/>
              <w:ind w:left="-60" w:leftChars="0" w:right="0" w:firstLine="480" w:firstLineChars="0"/>
              <w:textAlignment w:val="auto"/>
              <w:rPr>
                <w:rFonts w:hint="default" w:ascii="Times New Roman" w:hAnsi="Times New Roman" w:cs="Times New Roman"/>
                <w:color w:val="auto"/>
                <w:sz w:val="24"/>
                <w:szCs w:val="24"/>
                <w:lang w:val="en-US" w:eastAsia="zh-CN"/>
              </w:rPr>
            </w:pPr>
            <w:r>
              <w:rPr>
                <w:rFonts w:hint="eastAsia" w:cs="Times New Roman"/>
                <w:color w:val="auto"/>
                <w:sz w:val="24"/>
                <w:szCs w:val="24"/>
                <w:lang w:val="en-US" w:eastAsia="zh-CN"/>
              </w:rPr>
              <w:t>其他</w:t>
            </w:r>
            <w:r>
              <w:rPr>
                <w:rFonts w:hint="default" w:ascii="Times New Roman" w:hAnsi="Times New Roman" w:cs="Times New Roman"/>
                <w:color w:val="auto"/>
                <w:sz w:val="24"/>
                <w:szCs w:val="24"/>
                <w:lang w:val="en-US" w:eastAsia="zh-CN"/>
              </w:rPr>
              <w:t>污染物</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z w:val="24"/>
                <w:lang w:eastAsia="zh-CN"/>
              </w:rPr>
            </w:pPr>
            <w:r>
              <w:rPr>
                <w:rFonts w:hint="default" w:ascii="Times New Roman" w:hAnsi="Times New Roman" w:cs="Times New Roman"/>
                <w:color w:val="auto"/>
                <w:sz w:val="24"/>
              </w:rPr>
              <w:t>本项目委</w:t>
            </w:r>
            <w:r>
              <w:rPr>
                <w:rFonts w:hint="default" w:ascii="Times New Roman" w:hAnsi="Times New Roman" w:cs="Times New Roman"/>
                <w:color w:val="auto"/>
                <w:sz w:val="24"/>
                <w:lang w:val="en-US" w:eastAsia="zh-CN"/>
              </w:rPr>
              <w:t>托</w:t>
            </w:r>
            <w:r>
              <w:rPr>
                <w:rFonts w:hint="eastAsia" w:ascii="宋体" w:hAnsi="宋体" w:eastAsia="宋体"/>
                <w:color w:val="auto"/>
                <w:sz w:val="24"/>
                <w:szCs w:val="24"/>
              </w:rPr>
              <w:t>陕西宸琉检测服务有限公司</w:t>
            </w:r>
            <w:r>
              <w:rPr>
                <w:rFonts w:hint="default" w:ascii="Times New Roman" w:hAnsi="Times New Roman" w:cs="Times New Roman"/>
                <w:color w:val="auto"/>
                <w:sz w:val="24"/>
                <w:highlight w:val="none"/>
              </w:rPr>
              <w:t>于202</w:t>
            </w:r>
            <w:r>
              <w:rPr>
                <w:rFonts w:hint="eastAsia" w:ascii="Times New Roman" w:hAnsi="Times New Roman" w:cs="Times New Roman"/>
                <w:color w:val="auto"/>
                <w:sz w:val="24"/>
                <w:highlight w:val="none"/>
                <w:lang w:val="en-US" w:eastAsia="zh-CN"/>
              </w:rPr>
              <w:t>4</w:t>
            </w:r>
            <w:r>
              <w:rPr>
                <w:rFonts w:hint="default" w:ascii="Times New Roman" w:hAnsi="Times New Roman" w:cs="Times New Roman"/>
                <w:color w:val="auto"/>
                <w:sz w:val="24"/>
                <w:highlight w:val="none"/>
              </w:rPr>
              <w:t>年</w:t>
            </w:r>
            <w:r>
              <w:rPr>
                <w:rFonts w:hint="eastAsia" w:cs="Times New Roman"/>
                <w:color w:val="auto"/>
                <w:sz w:val="24"/>
                <w:highlight w:val="none"/>
                <w:lang w:val="en-US" w:eastAsia="zh-CN"/>
              </w:rPr>
              <w:t>5</w:t>
            </w:r>
            <w:r>
              <w:rPr>
                <w:rFonts w:hint="default" w:ascii="Times New Roman" w:hAnsi="Times New Roman" w:cs="Times New Roman"/>
                <w:color w:val="auto"/>
                <w:sz w:val="24"/>
                <w:highlight w:val="none"/>
              </w:rPr>
              <w:t>月</w:t>
            </w:r>
            <w:r>
              <w:rPr>
                <w:rFonts w:hint="eastAsia" w:cs="Times New Roman"/>
                <w:color w:val="auto"/>
                <w:sz w:val="24"/>
                <w:highlight w:val="none"/>
                <w:lang w:val="en-US" w:eastAsia="zh-CN"/>
              </w:rPr>
              <w:t>1</w:t>
            </w:r>
            <w:r>
              <w:rPr>
                <w:rFonts w:hint="eastAsia" w:ascii="Times New Roman" w:hAnsi="Times New Roman" w:cs="Times New Roman"/>
                <w:color w:val="auto"/>
                <w:sz w:val="24"/>
                <w:highlight w:val="none"/>
                <w:lang w:val="en-US" w:eastAsia="zh-CN"/>
              </w:rPr>
              <w:t>5</w:t>
            </w:r>
            <w:r>
              <w:rPr>
                <w:rFonts w:hint="default" w:ascii="Times New Roman" w:hAnsi="Times New Roman" w:cs="Times New Roman"/>
                <w:color w:val="auto"/>
                <w:sz w:val="24"/>
                <w:highlight w:val="none"/>
              </w:rPr>
              <w:t>日-</w:t>
            </w:r>
            <w:r>
              <w:rPr>
                <w:rFonts w:hint="eastAsia" w:cs="Times New Roman"/>
                <w:color w:val="auto"/>
                <w:sz w:val="24"/>
                <w:highlight w:val="none"/>
                <w:lang w:val="en-US" w:eastAsia="zh-CN"/>
              </w:rPr>
              <w:t>5</w:t>
            </w:r>
            <w:r>
              <w:rPr>
                <w:rFonts w:hint="default" w:ascii="Times New Roman" w:hAnsi="Times New Roman" w:cs="Times New Roman"/>
                <w:color w:val="auto"/>
                <w:sz w:val="24"/>
                <w:highlight w:val="none"/>
              </w:rPr>
              <w:t>月</w:t>
            </w:r>
            <w:r>
              <w:rPr>
                <w:rFonts w:hint="eastAsia" w:cs="Times New Roman"/>
                <w:color w:val="auto"/>
                <w:sz w:val="24"/>
                <w:highlight w:val="none"/>
                <w:lang w:val="en-US" w:eastAsia="zh-CN"/>
              </w:rPr>
              <w:t>1</w:t>
            </w:r>
            <w:r>
              <w:rPr>
                <w:rFonts w:hint="eastAsia" w:ascii="Times New Roman" w:hAnsi="Times New Roman" w:cs="Times New Roman"/>
                <w:color w:val="auto"/>
                <w:sz w:val="24"/>
                <w:highlight w:val="none"/>
                <w:lang w:val="en-US" w:eastAsia="zh-CN"/>
              </w:rPr>
              <w:t>7</w:t>
            </w:r>
            <w:r>
              <w:rPr>
                <w:rFonts w:hint="default" w:ascii="Times New Roman" w:hAnsi="Times New Roman" w:cs="Times New Roman"/>
                <w:color w:val="auto"/>
                <w:sz w:val="24"/>
                <w:highlight w:val="none"/>
              </w:rPr>
              <w:t>日</w:t>
            </w:r>
            <w:r>
              <w:rPr>
                <w:rFonts w:hint="default" w:ascii="Times New Roman" w:hAnsi="Times New Roman" w:cs="Times New Roman"/>
                <w:color w:val="auto"/>
                <w:sz w:val="24"/>
              </w:rPr>
              <w:t>对</w:t>
            </w:r>
            <w:r>
              <w:rPr>
                <w:rFonts w:hint="eastAsia" w:cs="Times New Roman"/>
                <w:color w:val="auto"/>
                <w:kern w:val="2"/>
                <w:sz w:val="24"/>
                <w:szCs w:val="24"/>
                <w:lang w:val="en-US" w:eastAsia="zh-CN" w:bidi="ar-SA"/>
              </w:rPr>
              <w:t>项目所在地</w:t>
            </w:r>
            <w:r>
              <w:rPr>
                <w:rFonts w:hint="eastAsia" w:cs="Times New Roman"/>
                <w:color w:val="auto"/>
                <w:sz w:val="24"/>
                <w:lang w:eastAsia="zh-CN"/>
              </w:rPr>
              <w:t>下风向</w:t>
            </w:r>
            <w:r>
              <w:rPr>
                <w:rFonts w:hint="default" w:ascii="Times New Roman" w:hAnsi="Times New Roman" w:cs="Times New Roman"/>
                <w:color w:val="auto"/>
                <w:sz w:val="24"/>
              </w:rPr>
              <w:t>环境空气质量中</w:t>
            </w:r>
            <w:r>
              <w:rPr>
                <w:rFonts w:hint="default" w:ascii="Times New Roman" w:hAnsi="Times New Roman" w:cs="Times New Roman"/>
                <w:color w:val="auto"/>
                <w:sz w:val="24"/>
                <w:lang w:eastAsia="zh-CN"/>
              </w:rPr>
              <w:t>氨、硫化氢</w:t>
            </w:r>
            <w:r>
              <w:rPr>
                <w:rFonts w:hint="eastAsia" w:ascii="Times New Roman" w:hAnsi="Times New Roman" w:cs="Times New Roman"/>
                <w:color w:val="auto"/>
                <w:sz w:val="24"/>
                <w:lang w:eastAsia="zh-CN"/>
              </w:rPr>
              <w:t>、臭气浓度</w:t>
            </w:r>
            <w:r>
              <w:rPr>
                <w:rFonts w:hint="default" w:ascii="Times New Roman" w:hAnsi="Times New Roman" w:cs="Times New Roman"/>
                <w:color w:val="auto"/>
                <w:sz w:val="24"/>
              </w:rPr>
              <w:t>进行了监测，</w:t>
            </w:r>
            <w:r>
              <w:rPr>
                <w:rFonts w:hint="eastAsia" w:ascii="Times New Roman" w:hAnsi="Times New Roman" w:cs="Times New Roman"/>
                <w:color w:val="auto"/>
                <w:sz w:val="24"/>
                <w:lang w:eastAsia="zh-CN"/>
              </w:rPr>
              <w:t>监测点位见附图</w:t>
            </w:r>
            <w:r>
              <w:rPr>
                <w:rFonts w:hint="eastAsia" w:cs="Times New Roman"/>
                <w:color w:val="auto"/>
                <w:sz w:val="24"/>
                <w:lang w:val="en-US" w:eastAsia="zh-CN"/>
              </w:rPr>
              <w:t>5</w:t>
            </w:r>
            <w:r>
              <w:rPr>
                <w:rFonts w:hint="eastAsia" w:ascii="Times New Roman" w:hAnsi="Times New Roman" w:cs="Times New Roman"/>
                <w:color w:val="auto"/>
                <w:sz w:val="24"/>
                <w:lang w:val="en-US" w:eastAsia="zh-CN"/>
              </w:rPr>
              <w:t>，</w:t>
            </w:r>
            <w:r>
              <w:rPr>
                <w:rFonts w:hint="default" w:ascii="Times New Roman" w:hAnsi="Times New Roman" w:cs="Times New Roman"/>
                <w:color w:val="auto"/>
                <w:sz w:val="24"/>
              </w:rPr>
              <w:t>监测结果如下</w:t>
            </w:r>
            <w:r>
              <w:rPr>
                <w:rFonts w:hint="eastAsia" w:ascii="Times New Roman" w:hAnsi="Times New Roman" w:cs="Times New Roman"/>
                <w:color w:val="auto"/>
                <w:sz w:val="24"/>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bCs/>
                <w:color w:val="auto"/>
                <w:szCs w:val="24"/>
              </w:rPr>
            </w:pPr>
            <w:r>
              <w:rPr>
                <w:rFonts w:hint="default" w:ascii="Times New Roman" w:hAnsi="Times New Roman" w:cs="Times New Roman"/>
                <w:b/>
                <w:bCs/>
                <w:color w:val="auto"/>
                <w:szCs w:val="24"/>
              </w:rPr>
              <w:t xml:space="preserve">表 </w:t>
            </w:r>
            <w:r>
              <w:rPr>
                <w:rFonts w:hint="default" w:ascii="Times New Roman" w:hAnsi="Times New Roman" w:cs="Times New Roman"/>
                <w:b/>
                <w:bCs/>
                <w:color w:val="auto"/>
                <w:szCs w:val="24"/>
                <w:lang w:val="en-US" w:eastAsia="zh-CN"/>
              </w:rPr>
              <w:t>3</w:t>
            </w:r>
            <w:r>
              <w:rPr>
                <w:rFonts w:hint="default" w:ascii="Times New Roman" w:hAnsi="Times New Roman" w:cs="Times New Roman"/>
                <w:b/>
                <w:bCs/>
                <w:color w:val="auto"/>
                <w:szCs w:val="24"/>
              </w:rPr>
              <w:t>-</w:t>
            </w:r>
            <w:r>
              <w:rPr>
                <w:rFonts w:hint="default" w:ascii="Times New Roman" w:hAnsi="Times New Roman" w:cs="Times New Roman"/>
                <w:b/>
                <w:bCs/>
                <w:color w:val="auto"/>
                <w:szCs w:val="24"/>
              </w:rPr>
              <w:fldChar w:fldCharType="begin"/>
            </w:r>
            <w:r>
              <w:rPr>
                <w:rFonts w:hint="default" w:ascii="Times New Roman" w:hAnsi="Times New Roman" w:cs="Times New Roman"/>
                <w:b/>
                <w:bCs/>
                <w:color w:val="auto"/>
                <w:szCs w:val="24"/>
              </w:rPr>
              <w:instrText xml:space="preserve"> SEQ 表 \* ARABIC \s 1 </w:instrText>
            </w:r>
            <w:r>
              <w:rPr>
                <w:rFonts w:hint="default" w:ascii="Times New Roman" w:hAnsi="Times New Roman" w:cs="Times New Roman"/>
                <w:b/>
                <w:bCs/>
                <w:color w:val="auto"/>
                <w:szCs w:val="24"/>
              </w:rPr>
              <w:fldChar w:fldCharType="separate"/>
            </w:r>
            <w:r>
              <w:rPr>
                <w:rFonts w:hint="default" w:ascii="Times New Roman" w:hAnsi="Times New Roman" w:cs="Times New Roman"/>
                <w:b/>
                <w:bCs/>
                <w:color w:val="auto"/>
                <w:szCs w:val="24"/>
              </w:rPr>
              <w:t>2</w:t>
            </w:r>
            <w:r>
              <w:rPr>
                <w:rFonts w:hint="default" w:ascii="Times New Roman" w:hAnsi="Times New Roman" w:cs="Times New Roman"/>
                <w:b/>
                <w:bCs/>
                <w:color w:val="auto"/>
                <w:szCs w:val="24"/>
              </w:rPr>
              <w:fldChar w:fldCharType="end"/>
            </w:r>
            <w:r>
              <w:rPr>
                <w:rFonts w:hint="default" w:ascii="Times New Roman" w:hAnsi="Times New Roman" w:cs="Times New Roman"/>
                <w:b/>
                <w:bCs/>
                <w:color w:val="auto"/>
                <w:szCs w:val="24"/>
              </w:rPr>
              <w:t xml:space="preserve">    </w:t>
            </w:r>
            <w:r>
              <w:rPr>
                <w:rFonts w:hint="default" w:ascii="Times New Roman" w:hAnsi="Times New Roman" w:cs="Times New Roman"/>
                <w:b/>
                <w:bCs/>
                <w:color w:val="auto"/>
                <w:szCs w:val="24"/>
                <w:lang w:eastAsia="zh-CN"/>
              </w:rPr>
              <w:t>环境空气监测</w:t>
            </w:r>
            <w:r>
              <w:rPr>
                <w:rFonts w:hint="default" w:ascii="Times New Roman" w:hAnsi="Times New Roman" w:cs="Times New Roman"/>
                <w:b/>
                <w:bCs/>
                <w:color w:val="auto"/>
                <w:szCs w:val="24"/>
              </w:rPr>
              <w:t>结果一览表    mg/m</w:t>
            </w:r>
            <w:r>
              <w:rPr>
                <w:rFonts w:hint="default" w:ascii="Times New Roman" w:hAnsi="Times New Roman" w:cs="Times New Roman"/>
                <w:b/>
                <w:bCs/>
                <w:color w:val="auto"/>
                <w:szCs w:val="24"/>
                <w:vertAlign w:val="superscript"/>
              </w:rPr>
              <w:t>3</w:t>
            </w:r>
          </w:p>
          <w:tbl>
            <w:tblPr>
              <w:tblStyle w:val="25"/>
              <w:tblW w:w="499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31"/>
              <w:gridCol w:w="988"/>
              <w:gridCol w:w="638"/>
              <w:gridCol w:w="1358"/>
              <w:gridCol w:w="1728"/>
              <w:gridCol w:w="1258"/>
              <w:gridCol w:w="997"/>
              <w:gridCol w:w="83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633" w:type="pct"/>
                  <w:noWrap w:val="0"/>
                  <w:vAlign w:val="center"/>
                </w:tcPr>
                <w:p>
                  <w:pPr>
                    <w:pStyle w:val="7"/>
                    <w:keepNext w:val="0"/>
                    <w:keepLines w:val="0"/>
                    <w:suppressLineNumbers w:val="0"/>
                    <w:spacing w:before="0" w:beforeAutospacing="0" w:after="0" w:afterAutospacing="0" w:line="300" w:lineRule="exact"/>
                    <w:ind w:left="0" w:right="0" w:firstLine="0" w:firstLineChars="0"/>
                    <w:jc w:val="center"/>
                    <w:rPr>
                      <w:rFonts w:hint="default" w:ascii="Times New Roman" w:hAnsi="Times New Roman" w:cs="Times New Roman"/>
                      <w:b/>
                      <w:bCs/>
                      <w:snapToGrid w:val="0"/>
                      <w:color w:val="auto"/>
                      <w:kern w:val="0"/>
                      <w:sz w:val="21"/>
                      <w:szCs w:val="21"/>
                    </w:rPr>
                  </w:pPr>
                  <w:r>
                    <w:rPr>
                      <w:rFonts w:hint="default" w:ascii="Times New Roman" w:hAnsi="Times New Roman" w:cs="Times New Roman"/>
                      <w:b/>
                      <w:bCs/>
                      <w:snapToGrid w:val="0"/>
                      <w:color w:val="auto"/>
                      <w:kern w:val="0"/>
                      <w:sz w:val="21"/>
                      <w:szCs w:val="21"/>
                    </w:rPr>
                    <w:t>监测点</w:t>
                  </w:r>
                </w:p>
              </w:tc>
              <w:tc>
                <w:tcPr>
                  <w:tcW w:w="553" w:type="pct"/>
                  <w:noWrap w:val="0"/>
                  <w:vAlign w:val="center"/>
                </w:tcPr>
                <w:p>
                  <w:pPr>
                    <w:pStyle w:val="7"/>
                    <w:keepNext w:val="0"/>
                    <w:keepLines w:val="0"/>
                    <w:suppressLineNumbers w:val="0"/>
                    <w:spacing w:before="0" w:beforeAutospacing="0" w:after="0" w:afterAutospacing="0" w:line="300" w:lineRule="exact"/>
                    <w:ind w:left="0" w:right="0" w:firstLine="0" w:firstLineChars="0"/>
                    <w:jc w:val="center"/>
                    <w:rPr>
                      <w:rFonts w:hint="default" w:ascii="Times New Roman" w:hAnsi="Times New Roman" w:cs="Times New Roman"/>
                      <w:b/>
                      <w:bCs/>
                      <w:snapToGrid w:val="0"/>
                      <w:color w:val="auto"/>
                      <w:kern w:val="0"/>
                      <w:sz w:val="21"/>
                      <w:szCs w:val="21"/>
                    </w:rPr>
                  </w:pPr>
                  <w:r>
                    <w:rPr>
                      <w:rFonts w:hint="default" w:ascii="Times New Roman" w:hAnsi="Times New Roman" w:cs="Times New Roman"/>
                      <w:b/>
                      <w:bCs/>
                      <w:snapToGrid w:val="0"/>
                      <w:color w:val="auto"/>
                      <w:kern w:val="0"/>
                      <w:sz w:val="21"/>
                      <w:szCs w:val="21"/>
                    </w:rPr>
                    <w:t>污染物</w:t>
                  </w:r>
                </w:p>
              </w:tc>
              <w:tc>
                <w:tcPr>
                  <w:tcW w:w="357" w:type="pct"/>
                  <w:noWrap w:val="0"/>
                  <w:vAlign w:val="center"/>
                </w:tcPr>
                <w:p>
                  <w:pPr>
                    <w:pStyle w:val="7"/>
                    <w:keepNext w:val="0"/>
                    <w:keepLines w:val="0"/>
                    <w:suppressLineNumbers w:val="0"/>
                    <w:spacing w:before="0" w:beforeAutospacing="0" w:after="0" w:afterAutospacing="0" w:line="300" w:lineRule="exact"/>
                    <w:ind w:left="0" w:right="0" w:firstLine="0" w:firstLineChars="0"/>
                    <w:jc w:val="center"/>
                    <w:rPr>
                      <w:rFonts w:hint="default" w:ascii="Times New Roman" w:hAnsi="Times New Roman" w:cs="Times New Roman"/>
                      <w:b/>
                      <w:bCs/>
                      <w:snapToGrid w:val="0"/>
                      <w:color w:val="auto"/>
                      <w:kern w:val="0"/>
                      <w:sz w:val="21"/>
                      <w:szCs w:val="21"/>
                    </w:rPr>
                  </w:pPr>
                  <w:r>
                    <w:rPr>
                      <w:rFonts w:hint="default" w:ascii="Times New Roman" w:hAnsi="Times New Roman" w:cs="Times New Roman"/>
                      <w:b/>
                      <w:bCs/>
                      <w:snapToGrid w:val="0"/>
                      <w:color w:val="auto"/>
                      <w:kern w:val="0"/>
                      <w:sz w:val="21"/>
                      <w:szCs w:val="21"/>
                    </w:rPr>
                    <w:t>平均时间</w:t>
                  </w:r>
                </w:p>
              </w:tc>
              <w:tc>
                <w:tcPr>
                  <w:tcW w:w="760" w:type="pct"/>
                  <w:noWrap w:val="0"/>
                  <w:vAlign w:val="center"/>
                </w:tcPr>
                <w:p>
                  <w:pPr>
                    <w:pStyle w:val="7"/>
                    <w:keepNext w:val="0"/>
                    <w:keepLines w:val="0"/>
                    <w:suppressLineNumbers w:val="0"/>
                    <w:spacing w:before="0" w:beforeAutospacing="0" w:after="0" w:afterAutospacing="0" w:line="300" w:lineRule="exact"/>
                    <w:ind w:left="0" w:right="0" w:firstLine="0" w:firstLineChars="0"/>
                    <w:jc w:val="center"/>
                    <w:rPr>
                      <w:rFonts w:hint="default" w:ascii="Times New Roman" w:hAnsi="Times New Roman" w:cs="Times New Roman"/>
                      <w:b/>
                      <w:bCs/>
                      <w:snapToGrid w:val="0"/>
                      <w:color w:val="auto"/>
                      <w:kern w:val="0"/>
                      <w:sz w:val="21"/>
                      <w:szCs w:val="21"/>
                    </w:rPr>
                  </w:pPr>
                  <w:r>
                    <w:rPr>
                      <w:rFonts w:hint="default" w:ascii="Times New Roman" w:hAnsi="Times New Roman" w:cs="Times New Roman"/>
                      <w:b/>
                      <w:bCs/>
                      <w:snapToGrid w:val="0"/>
                      <w:color w:val="auto"/>
                      <w:kern w:val="0"/>
                      <w:sz w:val="21"/>
                      <w:szCs w:val="21"/>
                    </w:rPr>
                    <w:t>评价标准（mg/m</w:t>
                  </w:r>
                  <w:r>
                    <w:rPr>
                      <w:rFonts w:hint="default" w:ascii="Times New Roman" w:hAnsi="Times New Roman" w:cs="Times New Roman"/>
                      <w:b/>
                      <w:bCs/>
                      <w:snapToGrid w:val="0"/>
                      <w:color w:val="auto"/>
                      <w:kern w:val="0"/>
                      <w:sz w:val="21"/>
                      <w:szCs w:val="21"/>
                      <w:vertAlign w:val="superscript"/>
                    </w:rPr>
                    <w:t>3</w:t>
                  </w:r>
                  <w:r>
                    <w:rPr>
                      <w:rFonts w:hint="default" w:ascii="Times New Roman" w:hAnsi="Times New Roman" w:cs="Times New Roman"/>
                      <w:b/>
                      <w:bCs/>
                      <w:snapToGrid w:val="0"/>
                      <w:color w:val="auto"/>
                      <w:kern w:val="0"/>
                      <w:sz w:val="21"/>
                      <w:szCs w:val="21"/>
                    </w:rPr>
                    <w:t>）</w:t>
                  </w:r>
                </w:p>
              </w:tc>
              <w:tc>
                <w:tcPr>
                  <w:tcW w:w="967" w:type="pct"/>
                  <w:noWrap w:val="0"/>
                  <w:vAlign w:val="center"/>
                </w:tcPr>
                <w:p>
                  <w:pPr>
                    <w:pStyle w:val="7"/>
                    <w:keepNext w:val="0"/>
                    <w:keepLines w:val="0"/>
                    <w:suppressLineNumbers w:val="0"/>
                    <w:spacing w:before="0" w:beforeAutospacing="0" w:after="0" w:afterAutospacing="0" w:line="300" w:lineRule="exact"/>
                    <w:ind w:left="0" w:right="0" w:firstLine="0" w:firstLineChars="0"/>
                    <w:jc w:val="center"/>
                    <w:rPr>
                      <w:rFonts w:hint="default" w:ascii="Times New Roman" w:hAnsi="Times New Roman" w:cs="Times New Roman"/>
                      <w:b/>
                      <w:bCs/>
                      <w:snapToGrid w:val="0"/>
                      <w:color w:val="auto"/>
                      <w:kern w:val="0"/>
                      <w:sz w:val="21"/>
                      <w:szCs w:val="21"/>
                    </w:rPr>
                  </w:pPr>
                  <w:r>
                    <w:rPr>
                      <w:rFonts w:hint="default" w:ascii="Times New Roman" w:hAnsi="Times New Roman" w:cs="Times New Roman"/>
                      <w:b/>
                      <w:bCs/>
                      <w:snapToGrid w:val="0"/>
                      <w:color w:val="auto"/>
                      <w:kern w:val="0"/>
                      <w:sz w:val="21"/>
                      <w:szCs w:val="21"/>
                    </w:rPr>
                    <w:t>监测浓度范围（mg/m</w:t>
                  </w:r>
                  <w:r>
                    <w:rPr>
                      <w:rFonts w:hint="default" w:ascii="Times New Roman" w:hAnsi="Times New Roman" w:cs="Times New Roman"/>
                      <w:b/>
                      <w:bCs/>
                      <w:snapToGrid w:val="0"/>
                      <w:color w:val="auto"/>
                      <w:kern w:val="0"/>
                      <w:sz w:val="21"/>
                      <w:szCs w:val="21"/>
                      <w:vertAlign w:val="superscript"/>
                    </w:rPr>
                    <w:t>3</w:t>
                  </w:r>
                  <w:r>
                    <w:rPr>
                      <w:rFonts w:hint="default" w:ascii="Times New Roman" w:hAnsi="Times New Roman" w:cs="Times New Roman"/>
                      <w:b/>
                      <w:bCs/>
                      <w:snapToGrid w:val="0"/>
                      <w:color w:val="auto"/>
                      <w:kern w:val="0"/>
                      <w:sz w:val="21"/>
                      <w:szCs w:val="21"/>
                    </w:rPr>
                    <w:t>）</w:t>
                  </w:r>
                </w:p>
              </w:tc>
              <w:tc>
                <w:tcPr>
                  <w:tcW w:w="704" w:type="pct"/>
                  <w:noWrap w:val="0"/>
                  <w:vAlign w:val="center"/>
                </w:tcPr>
                <w:p>
                  <w:pPr>
                    <w:pStyle w:val="7"/>
                    <w:keepNext w:val="0"/>
                    <w:keepLines w:val="0"/>
                    <w:suppressLineNumbers w:val="0"/>
                    <w:spacing w:before="0" w:beforeAutospacing="0" w:after="0" w:afterAutospacing="0" w:line="300" w:lineRule="exact"/>
                    <w:ind w:left="0" w:right="0" w:firstLine="0" w:firstLineChars="0"/>
                    <w:jc w:val="center"/>
                    <w:rPr>
                      <w:rFonts w:hint="default" w:ascii="Times New Roman" w:hAnsi="Times New Roman" w:cs="Times New Roman"/>
                      <w:b/>
                      <w:bCs/>
                      <w:snapToGrid w:val="0"/>
                      <w:color w:val="auto"/>
                      <w:kern w:val="0"/>
                      <w:sz w:val="21"/>
                      <w:szCs w:val="21"/>
                    </w:rPr>
                  </w:pPr>
                  <w:r>
                    <w:rPr>
                      <w:rFonts w:hint="default" w:ascii="Times New Roman" w:hAnsi="Times New Roman" w:cs="Times New Roman"/>
                      <w:b/>
                      <w:bCs/>
                      <w:snapToGrid w:val="0"/>
                      <w:color w:val="auto"/>
                      <w:kern w:val="0"/>
                      <w:sz w:val="21"/>
                      <w:szCs w:val="21"/>
                    </w:rPr>
                    <w:t>最大浓度占标率/%</w:t>
                  </w:r>
                </w:p>
              </w:tc>
              <w:tc>
                <w:tcPr>
                  <w:tcW w:w="558" w:type="pct"/>
                  <w:noWrap w:val="0"/>
                  <w:vAlign w:val="center"/>
                </w:tcPr>
                <w:p>
                  <w:pPr>
                    <w:pStyle w:val="7"/>
                    <w:keepNext w:val="0"/>
                    <w:keepLines w:val="0"/>
                    <w:suppressLineNumbers w:val="0"/>
                    <w:spacing w:before="0" w:beforeAutospacing="0" w:after="0" w:afterAutospacing="0" w:line="300" w:lineRule="exact"/>
                    <w:ind w:left="0" w:right="0" w:firstLine="0" w:firstLineChars="0"/>
                    <w:jc w:val="center"/>
                    <w:rPr>
                      <w:rFonts w:hint="default" w:ascii="Times New Roman" w:hAnsi="Times New Roman" w:cs="Times New Roman"/>
                      <w:b/>
                      <w:bCs/>
                      <w:snapToGrid w:val="0"/>
                      <w:color w:val="auto"/>
                      <w:kern w:val="0"/>
                      <w:sz w:val="21"/>
                      <w:szCs w:val="21"/>
                    </w:rPr>
                  </w:pPr>
                  <w:r>
                    <w:rPr>
                      <w:rFonts w:hint="default" w:ascii="Times New Roman" w:hAnsi="Times New Roman" w:cs="Times New Roman"/>
                      <w:b/>
                      <w:bCs/>
                      <w:snapToGrid w:val="0"/>
                      <w:color w:val="auto"/>
                      <w:kern w:val="0"/>
                      <w:sz w:val="21"/>
                      <w:szCs w:val="21"/>
                    </w:rPr>
                    <w:t>超标率/%</w:t>
                  </w:r>
                </w:p>
              </w:tc>
              <w:tc>
                <w:tcPr>
                  <w:tcW w:w="465" w:type="pct"/>
                  <w:noWrap w:val="0"/>
                  <w:vAlign w:val="center"/>
                </w:tcPr>
                <w:p>
                  <w:pPr>
                    <w:pStyle w:val="7"/>
                    <w:keepNext w:val="0"/>
                    <w:keepLines w:val="0"/>
                    <w:suppressLineNumbers w:val="0"/>
                    <w:spacing w:before="0" w:beforeAutospacing="0" w:after="0" w:afterAutospacing="0" w:line="300" w:lineRule="exact"/>
                    <w:ind w:left="0" w:right="0" w:firstLine="0" w:firstLineChars="0"/>
                    <w:jc w:val="center"/>
                    <w:rPr>
                      <w:rFonts w:hint="default" w:ascii="Times New Roman" w:hAnsi="Times New Roman" w:cs="Times New Roman"/>
                      <w:b/>
                      <w:bCs/>
                      <w:snapToGrid w:val="0"/>
                      <w:color w:val="auto"/>
                      <w:kern w:val="0"/>
                      <w:sz w:val="21"/>
                      <w:szCs w:val="21"/>
                    </w:rPr>
                  </w:pPr>
                  <w:r>
                    <w:rPr>
                      <w:rFonts w:hint="default" w:ascii="Times New Roman" w:hAnsi="Times New Roman" w:cs="Times New Roman"/>
                      <w:b/>
                      <w:bCs/>
                      <w:snapToGrid w:val="0"/>
                      <w:color w:val="auto"/>
                      <w:kern w:val="0"/>
                      <w:sz w:val="21"/>
                      <w:szCs w:val="21"/>
                    </w:rPr>
                    <w:t>达标情况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633" w:type="pct"/>
                  <w:vMerge w:val="restart"/>
                  <w:noWrap w:val="0"/>
                  <w:vAlign w:val="center"/>
                </w:tcPr>
                <w:p>
                  <w:pPr>
                    <w:keepNext w:val="0"/>
                    <w:keepLines w:val="0"/>
                    <w:suppressLineNumbers w:val="0"/>
                    <w:adjustRightInd w:val="0"/>
                    <w:snapToGrid w:val="0"/>
                    <w:spacing w:before="0" w:beforeAutospacing="0" w:after="0" w:afterAutospacing="0" w:line="180" w:lineRule="atLeast"/>
                    <w:ind w:left="0" w:right="0"/>
                    <w:jc w:val="center"/>
                    <w:rPr>
                      <w:rFonts w:hint="default" w:ascii="Times New Roman" w:hAnsi="Times New Roman" w:eastAsia="宋体" w:cs="Times New Roman"/>
                      <w:snapToGrid w:val="0"/>
                      <w:color w:val="auto"/>
                      <w:kern w:val="0"/>
                      <w:sz w:val="21"/>
                      <w:szCs w:val="21"/>
                    </w:rPr>
                  </w:pPr>
                  <w:r>
                    <w:rPr>
                      <w:rFonts w:hint="eastAsia" w:cs="Times New Roman"/>
                      <w:color w:val="auto"/>
                      <w:kern w:val="2"/>
                      <w:sz w:val="21"/>
                      <w:szCs w:val="21"/>
                      <w:lang w:val="en-US" w:eastAsia="zh-CN" w:bidi="ar-SA"/>
                    </w:rPr>
                    <w:t>项目所在地下风向</w:t>
                  </w:r>
                </w:p>
              </w:tc>
              <w:tc>
                <w:tcPr>
                  <w:tcW w:w="553" w:type="pct"/>
                  <w:noWrap w:val="0"/>
                  <w:vAlign w:val="center"/>
                </w:tcPr>
                <w:p>
                  <w:pPr>
                    <w:pStyle w:val="74"/>
                    <w:keepNext w:val="0"/>
                    <w:keepLines w:val="0"/>
                    <w:suppressLineNumbers w:val="0"/>
                    <w:spacing w:before="0" w:beforeAutospacing="0" w:after="0" w:afterAutospacing="0" w:line="300" w:lineRule="exact"/>
                    <w:ind w:left="0" w:right="0"/>
                    <w:rPr>
                      <w:rFonts w:hint="default" w:ascii="Times New Roman" w:hAnsi="Times New Roman" w:eastAsia="宋体" w:cs="Times New Roman"/>
                      <w:snapToGrid w:val="0"/>
                      <w:color w:val="auto"/>
                      <w:kern w:val="0"/>
                      <w:sz w:val="21"/>
                      <w:szCs w:val="21"/>
                      <w:lang w:eastAsia="zh-CN"/>
                    </w:rPr>
                  </w:pPr>
                  <w:r>
                    <w:rPr>
                      <w:rFonts w:hint="default" w:ascii="Times New Roman" w:hAnsi="Times New Roman" w:eastAsia="宋体" w:cs="Times New Roman"/>
                      <w:snapToGrid w:val="0"/>
                      <w:color w:val="auto"/>
                      <w:kern w:val="0"/>
                      <w:sz w:val="21"/>
                      <w:szCs w:val="21"/>
                      <w:lang w:eastAsia="zh-CN"/>
                    </w:rPr>
                    <w:t>硫化氢</w:t>
                  </w:r>
                </w:p>
              </w:tc>
              <w:tc>
                <w:tcPr>
                  <w:tcW w:w="357" w:type="pct"/>
                  <w:vMerge w:val="restart"/>
                  <w:noWrap w:val="0"/>
                  <w:vAlign w:val="center"/>
                </w:tcPr>
                <w:p>
                  <w:pPr>
                    <w:pStyle w:val="74"/>
                    <w:keepNext w:val="0"/>
                    <w:keepLines w:val="0"/>
                    <w:suppressLineNumbers w:val="0"/>
                    <w:spacing w:before="0" w:beforeAutospacing="0" w:after="0" w:afterAutospacing="0" w:line="300" w:lineRule="exact"/>
                    <w:ind w:left="0" w:right="0"/>
                    <w:rPr>
                      <w:rFonts w:hint="default" w:ascii="Times New Roman" w:hAnsi="Times New Roman" w:eastAsia="宋体" w:cs="Times New Roman"/>
                      <w:snapToGrid w:val="0"/>
                      <w:color w:val="auto"/>
                      <w:kern w:val="0"/>
                      <w:sz w:val="21"/>
                      <w:szCs w:val="21"/>
                    </w:rPr>
                  </w:pPr>
                  <w:r>
                    <w:rPr>
                      <w:rFonts w:hint="default" w:ascii="Times New Roman" w:hAnsi="Times New Roman" w:eastAsia="宋体" w:cs="Times New Roman"/>
                      <w:snapToGrid w:val="0"/>
                      <w:color w:val="auto"/>
                      <w:kern w:val="0"/>
                      <w:sz w:val="21"/>
                      <w:szCs w:val="21"/>
                    </w:rPr>
                    <w:t>1h平均</w:t>
                  </w:r>
                </w:p>
              </w:tc>
              <w:tc>
                <w:tcPr>
                  <w:tcW w:w="760" w:type="pct"/>
                  <w:noWrap w:val="0"/>
                  <w:vAlign w:val="center"/>
                </w:tcPr>
                <w:p>
                  <w:pPr>
                    <w:pStyle w:val="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0"/>
                      <w:sz w:val="21"/>
                      <w:szCs w:val="21"/>
                      <w:lang w:val="en-US" w:eastAsia="zh-CN"/>
                    </w:rPr>
                  </w:pPr>
                  <w:r>
                    <w:rPr>
                      <w:rFonts w:hint="default" w:ascii="Times New Roman" w:hAnsi="Times New Roman" w:cs="Times New Roman"/>
                      <w:snapToGrid w:val="0"/>
                      <w:color w:val="auto"/>
                      <w:kern w:val="0"/>
                      <w:sz w:val="21"/>
                      <w:szCs w:val="21"/>
                      <w:lang w:val="en-US" w:eastAsia="zh-CN"/>
                    </w:rPr>
                    <w:t>0.01</w:t>
                  </w:r>
                </w:p>
              </w:tc>
              <w:tc>
                <w:tcPr>
                  <w:tcW w:w="967" w:type="pct"/>
                  <w:noWrap w:val="0"/>
                  <w:vAlign w:val="center"/>
                </w:tcPr>
                <w:p>
                  <w:pPr>
                    <w:pStyle w:val="7"/>
                    <w:keepNext w:val="0"/>
                    <w:keepLines w:val="0"/>
                    <w:suppressLineNumbers w:val="0"/>
                    <w:spacing w:before="0" w:beforeAutospacing="0" w:after="0" w:afterAutospacing="0" w:line="300" w:lineRule="exact"/>
                    <w:ind w:left="0" w:right="0" w:firstLine="0" w:firstLineChars="0"/>
                    <w:jc w:val="center"/>
                    <w:rPr>
                      <w:rFonts w:hint="default" w:ascii="Times New Roman" w:hAnsi="Times New Roman" w:eastAsia="宋体" w:cs="Times New Roman"/>
                      <w:snapToGrid w:val="0"/>
                      <w:color w:val="auto"/>
                      <w:kern w:val="0"/>
                      <w:sz w:val="21"/>
                      <w:szCs w:val="21"/>
                      <w:lang w:val="en-US" w:eastAsia="zh-CN"/>
                    </w:rPr>
                  </w:pPr>
                  <w:r>
                    <w:rPr>
                      <w:rFonts w:hint="eastAsia" w:cs="Times New Roman"/>
                      <w:snapToGrid w:val="0"/>
                      <w:color w:val="auto"/>
                      <w:kern w:val="0"/>
                      <w:sz w:val="21"/>
                      <w:szCs w:val="21"/>
                      <w:lang w:val="en-US" w:eastAsia="zh-CN"/>
                    </w:rPr>
                    <w:t>未检出</w:t>
                  </w:r>
                  <w:r>
                    <w:rPr>
                      <w:rFonts w:hint="eastAsia" w:ascii="Times New Roman" w:hAnsi="Times New Roman" w:cs="Times New Roman"/>
                      <w:snapToGrid w:val="0"/>
                      <w:color w:val="auto"/>
                      <w:kern w:val="0"/>
                      <w:sz w:val="21"/>
                      <w:szCs w:val="21"/>
                      <w:lang w:val="en-US" w:eastAsia="zh-CN"/>
                    </w:rPr>
                    <w:t>~0.00</w:t>
                  </w:r>
                  <w:r>
                    <w:rPr>
                      <w:rFonts w:hint="eastAsia" w:cs="Times New Roman"/>
                      <w:snapToGrid w:val="0"/>
                      <w:color w:val="auto"/>
                      <w:kern w:val="0"/>
                      <w:sz w:val="21"/>
                      <w:szCs w:val="21"/>
                      <w:lang w:val="en-US" w:eastAsia="zh-CN"/>
                    </w:rPr>
                    <w:t>2</w:t>
                  </w:r>
                </w:p>
              </w:tc>
              <w:tc>
                <w:tcPr>
                  <w:tcW w:w="704" w:type="pct"/>
                  <w:noWrap w:val="0"/>
                  <w:vAlign w:val="center"/>
                </w:tcPr>
                <w:p>
                  <w:pPr>
                    <w:pStyle w:val="7"/>
                    <w:keepNext w:val="0"/>
                    <w:keepLines w:val="0"/>
                    <w:suppressLineNumbers w:val="0"/>
                    <w:spacing w:before="0" w:beforeAutospacing="0" w:after="0" w:afterAutospacing="0" w:line="300" w:lineRule="exact"/>
                    <w:ind w:left="0" w:right="0" w:firstLine="0" w:firstLineChars="0"/>
                    <w:jc w:val="center"/>
                    <w:rPr>
                      <w:rFonts w:hint="default" w:ascii="Times New Roman" w:hAnsi="Times New Roman" w:eastAsia="宋体" w:cs="Times New Roman"/>
                      <w:snapToGrid w:val="0"/>
                      <w:color w:val="auto"/>
                      <w:kern w:val="0"/>
                      <w:sz w:val="21"/>
                      <w:szCs w:val="21"/>
                      <w:lang w:val="en-US" w:eastAsia="zh-CN"/>
                    </w:rPr>
                  </w:pPr>
                  <w:r>
                    <w:rPr>
                      <w:rFonts w:hint="eastAsia" w:cs="Times New Roman"/>
                      <w:snapToGrid w:val="0"/>
                      <w:color w:val="auto"/>
                      <w:kern w:val="0"/>
                      <w:sz w:val="21"/>
                      <w:szCs w:val="21"/>
                      <w:lang w:val="en-US" w:eastAsia="zh-CN"/>
                    </w:rPr>
                    <w:t>20</w:t>
                  </w:r>
                </w:p>
              </w:tc>
              <w:tc>
                <w:tcPr>
                  <w:tcW w:w="558" w:type="pct"/>
                  <w:noWrap w:val="0"/>
                  <w:vAlign w:val="center"/>
                </w:tcPr>
                <w:p>
                  <w:pPr>
                    <w:pStyle w:val="7"/>
                    <w:keepNext w:val="0"/>
                    <w:keepLines w:val="0"/>
                    <w:suppressLineNumbers w:val="0"/>
                    <w:spacing w:before="0" w:beforeAutospacing="0" w:after="0" w:afterAutospacing="0" w:line="300" w:lineRule="exact"/>
                    <w:ind w:left="0" w:right="0" w:firstLine="0" w:firstLineChars="0"/>
                    <w:jc w:val="center"/>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0</w:t>
                  </w:r>
                </w:p>
              </w:tc>
              <w:tc>
                <w:tcPr>
                  <w:tcW w:w="465" w:type="pct"/>
                  <w:noWrap w:val="0"/>
                  <w:vAlign w:val="center"/>
                </w:tcPr>
                <w:p>
                  <w:pPr>
                    <w:pStyle w:val="7"/>
                    <w:keepNext w:val="0"/>
                    <w:keepLines w:val="0"/>
                    <w:suppressLineNumbers w:val="0"/>
                    <w:spacing w:before="0" w:beforeAutospacing="0" w:after="0" w:afterAutospacing="0" w:line="300" w:lineRule="exact"/>
                    <w:ind w:left="0" w:right="0" w:firstLine="0" w:firstLineChars="0"/>
                    <w:jc w:val="center"/>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03" w:hRule="atLeast"/>
                <w:jc w:val="center"/>
              </w:trPr>
              <w:tc>
                <w:tcPr>
                  <w:tcW w:w="633" w:type="pct"/>
                  <w:vMerge w:val="continue"/>
                  <w:noWrap w:val="0"/>
                  <w:vAlign w:val="center"/>
                </w:tcPr>
                <w:p>
                  <w:pPr>
                    <w:pStyle w:val="74"/>
                    <w:keepNext w:val="0"/>
                    <w:keepLines w:val="0"/>
                    <w:suppressLineNumbers w:val="0"/>
                    <w:spacing w:before="0" w:beforeAutospacing="0" w:after="0" w:afterAutospacing="0" w:line="300" w:lineRule="exact"/>
                    <w:ind w:left="0" w:right="0"/>
                    <w:rPr>
                      <w:rFonts w:hint="default" w:ascii="Times New Roman" w:hAnsi="Times New Roman" w:eastAsia="宋体" w:cs="Times New Roman"/>
                      <w:snapToGrid w:val="0"/>
                      <w:color w:val="auto"/>
                      <w:kern w:val="0"/>
                      <w:sz w:val="21"/>
                      <w:szCs w:val="21"/>
                    </w:rPr>
                  </w:pPr>
                </w:p>
              </w:tc>
              <w:tc>
                <w:tcPr>
                  <w:tcW w:w="553" w:type="pct"/>
                  <w:noWrap w:val="0"/>
                  <w:vAlign w:val="center"/>
                </w:tcPr>
                <w:p>
                  <w:pPr>
                    <w:pStyle w:val="74"/>
                    <w:keepNext w:val="0"/>
                    <w:keepLines w:val="0"/>
                    <w:suppressLineNumbers w:val="0"/>
                    <w:spacing w:before="0" w:beforeAutospacing="0" w:after="0" w:afterAutospacing="0" w:line="300" w:lineRule="exact"/>
                    <w:ind w:left="0" w:right="0"/>
                    <w:rPr>
                      <w:rFonts w:hint="default" w:ascii="Times New Roman" w:hAnsi="Times New Roman" w:eastAsia="宋体" w:cs="Times New Roman"/>
                      <w:snapToGrid w:val="0"/>
                      <w:color w:val="auto"/>
                      <w:kern w:val="0"/>
                      <w:sz w:val="21"/>
                      <w:szCs w:val="21"/>
                      <w:lang w:eastAsia="zh-CN"/>
                    </w:rPr>
                  </w:pPr>
                  <w:r>
                    <w:rPr>
                      <w:rFonts w:hint="default" w:ascii="Times New Roman" w:hAnsi="Times New Roman" w:eastAsia="宋体" w:cs="Times New Roman"/>
                      <w:snapToGrid w:val="0"/>
                      <w:color w:val="auto"/>
                      <w:kern w:val="0"/>
                      <w:sz w:val="21"/>
                      <w:szCs w:val="21"/>
                      <w:lang w:eastAsia="zh-CN"/>
                    </w:rPr>
                    <w:t>氨</w:t>
                  </w:r>
                </w:p>
              </w:tc>
              <w:tc>
                <w:tcPr>
                  <w:tcW w:w="357" w:type="pct"/>
                  <w:vMerge w:val="continue"/>
                  <w:noWrap w:val="0"/>
                  <w:vAlign w:val="center"/>
                </w:tcPr>
                <w:p>
                  <w:pPr>
                    <w:pStyle w:val="74"/>
                    <w:keepNext w:val="0"/>
                    <w:keepLines w:val="0"/>
                    <w:suppressLineNumbers w:val="0"/>
                    <w:spacing w:before="0" w:beforeAutospacing="0" w:after="0" w:afterAutospacing="0" w:line="300" w:lineRule="exact"/>
                    <w:ind w:left="0" w:right="0"/>
                    <w:rPr>
                      <w:rFonts w:hint="default" w:ascii="Times New Roman" w:hAnsi="Times New Roman" w:eastAsia="宋体" w:cs="Times New Roman"/>
                      <w:snapToGrid w:val="0"/>
                      <w:color w:val="auto"/>
                      <w:kern w:val="0"/>
                      <w:sz w:val="21"/>
                      <w:szCs w:val="21"/>
                    </w:rPr>
                  </w:pPr>
                </w:p>
              </w:tc>
              <w:tc>
                <w:tcPr>
                  <w:tcW w:w="760" w:type="pct"/>
                  <w:noWrap w:val="0"/>
                  <w:vAlign w:val="center"/>
                </w:tcPr>
                <w:p>
                  <w:pPr>
                    <w:pStyle w:val="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kern w:val="0"/>
                      <w:sz w:val="21"/>
                      <w:szCs w:val="21"/>
                      <w:lang w:val="en-US" w:eastAsia="zh-CN"/>
                    </w:rPr>
                  </w:pPr>
                  <w:r>
                    <w:rPr>
                      <w:rFonts w:hint="default" w:ascii="Times New Roman" w:hAnsi="Times New Roman" w:cs="Times New Roman"/>
                      <w:snapToGrid w:val="0"/>
                      <w:color w:val="auto"/>
                      <w:kern w:val="0"/>
                      <w:sz w:val="21"/>
                      <w:szCs w:val="21"/>
                      <w:lang w:val="en-US" w:eastAsia="zh-CN"/>
                    </w:rPr>
                    <w:t>0.2</w:t>
                  </w:r>
                </w:p>
              </w:tc>
              <w:tc>
                <w:tcPr>
                  <w:tcW w:w="967" w:type="pct"/>
                  <w:noWrap w:val="0"/>
                  <w:vAlign w:val="center"/>
                </w:tcPr>
                <w:p>
                  <w:pPr>
                    <w:keepNext w:val="0"/>
                    <w:keepLines w:val="0"/>
                    <w:suppressLineNumbers w:val="0"/>
                    <w:spacing w:before="0" w:beforeAutospacing="0" w:after="0" w:afterAutospacing="0" w:line="300" w:lineRule="exact"/>
                    <w:ind w:left="0" w:right="0" w:firstLine="0" w:firstLineChars="0"/>
                    <w:jc w:val="center"/>
                    <w:rPr>
                      <w:rFonts w:hint="default" w:ascii="Times New Roman" w:hAnsi="Times New Roman" w:eastAsia="宋体" w:cs="Times New Roman"/>
                      <w:snapToGrid w:val="0"/>
                      <w:color w:val="auto"/>
                      <w:kern w:val="0"/>
                      <w:sz w:val="21"/>
                      <w:szCs w:val="21"/>
                      <w:highlight w:val="none"/>
                      <w:lang w:val="en-US" w:eastAsia="zh-CN"/>
                    </w:rPr>
                  </w:pPr>
                  <w:r>
                    <w:rPr>
                      <w:rFonts w:hint="eastAsia" w:ascii="Times New Roman" w:hAnsi="Times New Roman" w:cs="Times New Roman"/>
                      <w:snapToGrid w:val="0"/>
                      <w:color w:val="auto"/>
                      <w:kern w:val="0"/>
                      <w:sz w:val="21"/>
                      <w:szCs w:val="21"/>
                      <w:highlight w:val="none"/>
                      <w:lang w:val="en-US" w:eastAsia="zh-CN"/>
                    </w:rPr>
                    <w:t>0.0</w:t>
                  </w:r>
                  <w:r>
                    <w:rPr>
                      <w:rFonts w:hint="eastAsia" w:cs="Times New Roman"/>
                      <w:snapToGrid w:val="0"/>
                      <w:color w:val="auto"/>
                      <w:kern w:val="0"/>
                      <w:sz w:val="21"/>
                      <w:szCs w:val="21"/>
                      <w:highlight w:val="none"/>
                      <w:lang w:val="en-US" w:eastAsia="zh-CN"/>
                    </w:rPr>
                    <w:t>1</w:t>
                  </w:r>
                  <w:r>
                    <w:rPr>
                      <w:rFonts w:hint="eastAsia" w:ascii="Times New Roman" w:hAnsi="Times New Roman" w:cs="Times New Roman"/>
                      <w:snapToGrid w:val="0"/>
                      <w:color w:val="auto"/>
                      <w:kern w:val="0"/>
                      <w:sz w:val="21"/>
                      <w:szCs w:val="21"/>
                      <w:highlight w:val="none"/>
                      <w:lang w:val="en-US" w:eastAsia="zh-CN"/>
                    </w:rPr>
                    <w:t>~0.0</w:t>
                  </w:r>
                  <w:r>
                    <w:rPr>
                      <w:rFonts w:hint="eastAsia" w:cs="Times New Roman"/>
                      <w:snapToGrid w:val="0"/>
                      <w:color w:val="auto"/>
                      <w:kern w:val="0"/>
                      <w:sz w:val="21"/>
                      <w:szCs w:val="21"/>
                      <w:highlight w:val="none"/>
                      <w:lang w:val="en-US" w:eastAsia="zh-CN"/>
                    </w:rPr>
                    <w:t>4</w:t>
                  </w:r>
                </w:p>
              </w:tc>
              <w:tc>
                <w:tcPr>
                  <w:tcW w:w="704" w:type="pct"/>
                  <w:noWrap w:val="0"/>
                  <w:vAlign w:val="center"/>
                </w:tcPr>
                <w:p>
                  <w:pPr>
                    <w:pStyle w:val="7"/>
                    <w:keepNext w:val="0"/>
                    <w:keepLines w:val="0"/>
                    <w:suppressLineNumbers w:val="0"/>
                    <w:spacing w:before="0" w:beforeAutospacing="0" w:after="0" w:afterAutospacing="0" w:line="300" w:lineRule="exact"/>
                    <w:ind w:left="0" w:right="0" w:firstLine="0" w:firstLineChars="0"/>
                    <w:jc w:val="center"/>
                    <w:rPr>
                      <w:rFonts w:hint="default" w:ascii="Times New Roman" w:hAnsi="Times New Roman" w:eastAsia="宋体" w:cs="Times New Roman"/>
                      <w:snapToGrid w:val="0"/>
                      <w:color w:val="auto"/>
                      <w:kern w:val="0"/>
                      <w:sz w:val="21"/>
                      <w:szCs w:val="21"/>
                      <w:highlight w:val="none"/>
                      <w:lang w:val="en-US" w:eastAsia="zh-CN"/>
                    </w:rPr>
                  </w:pPr>
                  <w:r>
                    <w:rPr>
                      <w:rFonts w:hint="eastAsia" w:cs="Times New Roman"/>
                      <w:snapToGrid w:val="0"/>
                      <w:color w:val="auto"/>
                      <w:kern w:val="0"/>
                      <w:sz w:val="21"/>
                      <w:szCs w:val="21"/>
                      <w:highlight w:val="none"/>
                      <w:lang w:val="en-US" w:eastAsia="zh-CN"/>
                    </w:rPr>
                    <w:t>20</w:t>
                  </w:r>
                </w:p>
              </w:tc>
              <w:tc>
                <w:tcPr>
                  <w:tcW w:w="558" w:type="pct"/>
                  <w:noWrap w:val="0"/>
                  <w:vAlign w:val="center"/>
                </w:tcPr>
                <w:p>
                  <w:pPr>
                    <w:pStyle w:val="7"/>
                    <w:keepNext w:val="0"/>
                    <w:keepLines w:val="0"/>
                    <w:suppressLineNumbers w:val="0"/>
                    <w:spacing w:before="0" w:beforeAutospacing="0" w:after="0" w:afterAutospacing="0" w:line="300" w:lineRule="exact"/>
                    <w:ind w:left="0" w:right="0" w:firstLine="0" w:firstLineChars="0"/>
                    <w:jc w:val="center"/>
                    <w:rPr>
                      <w:rFonts w:hint="default" w:ascii="Times New Roman" w:hAnsi="Times New Roman" w:cs="Times New Roman"/>
                      <w:snapToGrid w:val="0"/>
                      <w:color w:val="auto"/>
                      <w:kern w:val="0"/>
                      <w:sz w:val="21"/>
                      <w:szCs w:val="21"/>
                      <w:highlight w:val="none"/>
                    </w:rPr>
                  </w:pPr>
                  <w:r>
                    <w:rPr>
                      <w:rFonts w:hint="default" w:ascii="Times New Roman" w:hAnsi="Times New Roman" w:cs="Times New Roman"/>
                      <w:snapToGrid w:val="0"/>
                      <w:color w:val="auto"/>
                      <w:kern w:val="0"/>
                      <w:sz w:val="21"/>
                      <w:szCs w:val="21"/>
                      <w:highlight w:val="none"/>
                    </w:rPr>
                    <w:t>0</w:t>
                  </w:r>
                </w:p>
              </w:tc>
              <w:tc>
                <w:tcPr>
                  <w:tcW w:w="465" w:type="pct"/>
                  <w:noWrap w:val="0"/>
                  <w:vAlign w:val="center"/>
                </w:tcPr>
                <w:p>
                  <w:pPr>
                    <w:pStyle w:val="7"/>
                    <w:keepNext w:val="0"/>
                    <w:keepLines w:val="0"/>
                    <w:suppressLineNumbers w:val="0"/>
                    <w:spacing w:before="0" w:beforeAutospacing="0" w:after="0" w:afterAutospacing="0" w:line="300" w:lineRule="exact"/>
                    <w:ind w:left="0" w:right="0" w:firstLine="0" w:firstLineChars="0"/>
                    <w:jc w:val="center"/>
                    <w:rPr>
                      <w:rFonts w:hint="default" w:ascii="Times New Roman" w:hAnsi="Times New Roman" w:cs="Times New Roman"/>
                      <w:snapToGrid w:val="0"/>
                      <w:color w:val="auto"/>
                      <w:kern w:val="0"/>
                      <w:sz w:val="21"/>
                      <w:szCs w:val="21"/>
                      <w:highlight w:val="none"/>
                    </w:rPr>
                  </w:pPr>
                  <w:r>
                    <w:rPr>
                      <w:rFonts w:hint="default" w:ascii="Times New Roman" w:hAnsi="Times New Roman" w:cs="Times New Roman"/>
                      <w:snapToGrid w:val="0"/>
                      <w:color w:val="auto"/>
                      <w:kern w:val="0"/>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03" w:hRule="atLeast"/>
                <w:jc w:val="center"/>
              </w:trPr>
              <w:tc>
                <w:tcPr>
                  <w:tcW w:w="633" w:type="pct"/>
                  <w:vMerge w:val="continue"/>
                  <w:noWrap w:val="0"/>
                  <w:vAlign w:val="center"/>
                </w:tcPr>
                <w:p>
                  <w:pPr>
                    <w:pStyle w:val="74"/>
                    <w:keepNext w:val="0"/>
                    <w:keepLines w:val="0"/>
                    <w:suppressLineNumbers w:val="0"/>
                    <w:spacing w:before="0" w:beforeAutospacing="0" w:after="0" w:afterAutospacing="0" w:line="300" w:lineRule="exact"/>
                    <w:ind w:left="0" w:right="0"/>
                    <w:rPr>
                      <w:rFonts w:hint="default" w:ascii="Times New Roman" w:hAnsi="Times New Roman" w:eastAsia="宋体" w:cs="Times New Roman"/>
                      <w:snapToGrid w:val="0"/>
                      <w:color w:val="auto"/>
                      <w:kern w:val="0"/>
                      <w:sz w:val="21"/>
                      <w:szCs w:val="21"/>
                    </w:rPr>
                  </w:pPr>
                </w:p>
              </w:tc>
              <w:tc>
                <w:tcPr>
                  <w:tcW w:w="553" w:type="pct"/>
                  <w:noWrap w:val="0"/>
                  <w:vAlign w:val="center"/>
                </w:tcPr>
                <w:p>
                  <w:pPr>
                    <w:pStyle w:val="74"/>
                    <w:keepNext w:val="0"/>
                    <w:keepLines w:val="0"/>
                    <w:suppressLineNumbers w:val="0"/>
                    <w:spacing w:before="0" w:beforeAutospacing="0" w:after="0" w:afterAutospacing="0" w:line="300" w:lineRule="exact"/>
                    <w:ind w:left="0" w:right="0"/>
                    <w:rPr>
                      <w:rFonts w:hint="eastAsia" w:ascii="Times New Roman" w:hAnsi="Times New Roman" w:eastAsia="宋体" w:cs="Times New Roman"/>
                      <w:snapToGrid w:val="0"/>
                      <w:color w:val="auto"/>
                      <w:kern w:val="0"/>
                      <w:sz w:val="21"/>
                      <w:szCs w:val="21"/>
                      <w:lang w:eastAsia="zh-CN"/>
                    </w:rPr>
                  </w:pPr>
                  <w:r>
                    <w:rPr>
                      <w:rFonts w:hint="eastAsia" w:ascii="Times New Roman" w:hAnsi="Times New Roman" w:eastAsia="宋体" w:cs="Times New Roman"/>
                      <w:snapToGrid w:val="0"/>
                      <w:color w:val="auto"/>
                      <w:kern w:val="0"/>
                      <w:sz w:val="21"/>
                      <w:szCs w:val="21"/>
                      <w:lang w:eastAsia="zh-CN"/>
                    </w:rPr>
                    <w:t>臭气</w:t>
                  </w:r>
                </w:p>
                <w:p>
                  <w:pPr>
                    <w:pStyle w:val="74"/>
                    <w:keepNext w:val="0"/>
                    <w:keepLines w:val="0"/>
                    <w:suppressLineNumbers w:val="0"/>
                    <w:spacing w:before="0" w:beforeAutospacing="0" w:after="0" w:afterAutospacing="0" w:line="300" w:lineRule="exact"/>
                    <w:ind w:left="0" w:right="0"/>
                    <w:rPr>
                      <w:rFonts w:hint="default" w:ascii="Times New Roman" w:hAnsi="Times New Roman" w:eastAsia="宋体" w:cs="Times New Roman"/>
                      <w:snapToGrid w:val="0"/>
                      <w:color w:val="auto"/>
                      <w:kern w:val="0"/>
                      <w:sz w:val="21"/>
                      <w:szCs w:val="21"/>
                      <w:lang w:eastAsia="zh-CN"/>
                    </w:rPr>
                  </w:pPr>
                  <w:r>
                    <w:rPr>
                      <w:rFonts w:hint="eastAsia" w:ascii="Times New Roman" w:hAnsi="Times New Roman" w:eastAsia="宋体" w:cs="Times New Roman"/>
                      <w:snapToGrid w:val="0"/>
                      <w:color w:val="auto"/>
                      <w:kern w:val="0"/>
                      <w:sz w:val="21"/>
                      <w:szCs w:val="21"/>
                      <w:lang w:eastAsia="zh-CN"/>
                    </w:rPr>
                    <w:t>浓度</w:t>
                  </w:r>
                </w:p>
              </w:tc>
              <w:tc>
                <w:tcPr>
                  <w:tcW w:w="357" w:type="pct"/>
                  <w:vMerge w:val="continue"/>
                  <w:noWrap w:val="0"/>
                  <w:vAlign w:val="center"/>
                </w:tcPr>
                <w:p>
                  <w:pPr>
                    <w:pStyle w:val="74"/>
                    <w:keepNext w:val="0"/>
                    <w:keepLines w:val="0"/>
                    <w:suppressLineNumbers w:val="0"/>
                    <w:spacing w:before="0" w:beforeAutospacing="0" w:after="0" w:afterAutospacing="0" w:line="300" w:lineRule="exact"/>
                    <w:ind w:left="0" w:right="0"/>
                    <w:rPr>
                      <w:rFonts w:hint="default" w:ascii="Times New Roman" w:hAnsi="Times New Roman" w:eastAsia="宋体" w:cs="Times New Roman"/>
                      <w:snapToGrid w:val="0"/>
                      <w:color w:val="auto"/>
                      <w:kern w:val="0"/>
                      <w:sz w:val="21"/>
                      <w:szCs w:val="21"/>
                    </w:rPr>
                  </w:pPr>
                </w:p>
              </w:tc>
              <w:tc>
                <w:tcPr>
                  <w:tcW w:w="760" w:type="pct"/>
                  <w:noWrap w:val="0"/>
                  <w:vAlign w:val="center"/>
                </w:tcPr>
                <w:p>
                  <w:pPr>
                    <w:pStyle w:val="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lang w:val="en-US" w:eastAsia="zh-CN"/>
                    </w:rPr>
                  </w:pPr>
                  <w:r>
                    <w:rPr>
                      <w:rFonts w:hint="default" w:ascii="Times New Roman" w:hAnsi="Times New Roman" w:cs="Times New Roman"/>
                      <w:snapToGrid w:val="0"/>
                      <w:color w:val="auto"/>
                      <w:sz w:val="21"/>
                      <w:szCs w:val="21"/>
                    </w:rPr>
                    <w:t>/</w:t>
                  </w:r>
                </w:p>
              </w:tc>
              <w:tc>
                <w:tcPr>
                  <w:tcW w:w="967" w:type="pct"/>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hint="eastAsia" w:ascii="Times New Roman" w:hAnsi="Times New Roman" w:cs="Times New Roman"/>
                      <w:snapToGrid w:val="0"/>
                      <w:color w:val="auto"/>
                      <w:kern w:val="0"/>
                      <w:sz w:val="21"/>
                      <w:szCs w:val="21"/>
                      <w:highlight w:val="none"/>
                      <w:lang w:val="en-US" w:eastAsia="zh-CN"/>
                    </w:rPr>
                  </w:pPr>
                  <w:r>
                    <w:rPr>
                      <w:rFonts w:hint="default" w:ascii="Times New Roman" w:hAnsi="Times New Roman" w:cs="Times New Roman"/>
                      <w:snapToGrid w:val="0"/>
                      <w:color w:val="auto"/>
                      <w:kern w:val="0"/>
                      <w:szCs w:val="21"/>
                    </w:rPr>
                    <w:t>＜10</w:t>
                  </w:r>
                </w:p>
              </w:tc>
              <w:tc>
                <w:tcPr>
                  <w:tcW w:w="704" w:type="pct"/>
                  <w:noWrap w:val="0"/>
                  <w:vAlign w:val="center"/>
                </w:tcPr>
                <w:p>
                  <w:pPr>
                    <w:pStyle w:val="7"/>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hint="eastAsia" w:ascii="Times New Roman" w:hAnsi="Times New Roman" w:cs="Times New Roman"/>
                      <w:snapToGrid w:val="0"/>
                      <w:color w:val="auto"/>
                      <w:kern w:val="0"/>
                      <w:sz w:val="21"/>
                      <w:szCs w:val="21"/>
                      <w:highlight w:val="none"/>
                      <w:lang w:val="en-US" w:eastAsia="zh-CN"/>
                    </w:rPr>
                  </w:pPr>
                  <w:r>
                    <w:rPr>
                      <w:rFonts w:hint="default" w:ascii="Times New Roman" w:hAnsi="Times New Roman" w:cs="Times New Roman"/>
                      <w:snapToGrid w:val="0"/>
                      <w:color w:val="auto"/>
                      <w:sz w:val="21"/>
                      <w:szCs w:val="21"/>
                    </w:rPr>
                    <w:t>/</w:t>
                  </w:r>
                </w:p>
              </w:tc>
              <w:tc>
                <w:tcPr>
                  <w:tcW w:w="558" w:type="pct"/>
                  <w:noWrap w:val="0"/>
                  <w:vAlign w:val="center"/>
                </w:tcPr>
                <w:p>
                  <w:pPr>
                    <w:pStyle w:val="7"/>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highlight w:val="none"/>
                    </w:rPr>
                  </w:pPr>
                  <w:r>
                    <w:rPr>
                      <w:rFonts w:hint="default" w:ascii="Times New Roman" w:hAnsi="Times New Roman" w:cs="Times New Roman"/>
                      <w:snapToGrid w:val="0"/>
                      <w:color w:val="auto"/>
                      <w:sz w:val="21"/>
                      <w:szCs w:val="21"/>
                    </w:rPr>
                    <w:t>/</w:t>
                  </w:r>
                </w:p>
              </w:tc>
              <w:tc>
                <w:tcPr>
                  <w:tcW w:w="465" w:type="pct"/>
                  <w:noWrap w:val="0"/>
                  <w:vAlign w:val="center"/>
                </w:tcPr>
                <w:p>
                  <w:pPr>
                    <w:pStyle w:val="7"/>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highlight w:val="none"/>
                    </w:rPr>
                  </w:pPr>
                  <w:r>
                    <w:rPr>
                      <w:rFonts w:hint="default" w:ascii="Times New Roman" w:hAnsi="Times New Roman" w:cs="Times New Roman"/>
                      <w:snapToGrid w:val="0"/>
                      <w:color w:val="auto"/>
                      <w:sz w:val="21"/>
                      <w:szCs w:val="21"/>
                    </w:rPr>
                    <w:t>/</w:t>
                  </w:r>
                </w:p>
              </w:tc>
            </w:tr>
          </w:tbl>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jc w:val="left"/>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lang w:val="en-US" w:eastAsia="zh-CN"/>
              </w:rPr>
              <w:t>根据表3-2，项目区域氨、硫化氢小时值均</w:t>
            </w:r>
            <w:r>
              <w:rPr>
                <w:rFonts w:hint="eastAsia" w:ascii="Times New Roman" w:hAnsi="Times New Roman" w:cs="Times New Roman"/>
                <w:color w:val="auto"/>
                <w:sz w:val="24"/>
                <w:lang w:val="en-US" w:eastAsia="zh-CN"/>
              </w:rPr>
              <w:t>低于</w:t>
            </w:r>
            <w:r>
              <w:rPr>
                <w:rFonts w:hint="default" w:ascii="Times New Roman" w:hAnsi="Times New Roman" w:cs="Times New Roman"/>
                <w:color w:val="auto"/>
                <w:sz w:val="24"/>
                <w:lang w:val="en-US" w:eastAsia="zh-CN"/>
              </w:rPr>
              <w:t>《环境影响评价技术导则 大气环境》(HJ-2.2 2018)附录D</w:t>
            </w:r>
            <w:r>
              <w:rPr>
                <w:rFonts w:hint="eastAsia" w:ascii="Times New Roman" w:hAnsi="Times New Roman" w:cs="Times New Roman"/>
                <w:color w:val="auto"/>
                <w:sz w:val="24"/>
                <w:lang w:val="en-US" w:eastAsia="zh-CN"/>
              </w:rPr>
              <w:t>中</w:t>
            </w:r>
            <w:r>
              <w:rPr>
                <w:rFonts w:hint="default" w:ascii="Times New Roman" w:hAnsi="Times New Roman" w:cs="Times New Roman"/>
                <w:color w:val="auto"/>
                <w:sz w:val="24"/>
                <w:lang w:val="en-US" w:eastAsia="zh-CN"/>
              </w:rPr>
              <w:t>标准</w:t>
            </w:r>
            <w:r>
              <w:rPr>
                <w:rFonts w:hint="eastAsia" w:ascii="Times New Roman" w:hAnsi="Times New Roman" w:cs="Times New Roman"/>
                <w:color w:val="auto"/>
                <w:sz w:val="24"/>
                <w:lang w:val="en-US" w:eastAsia="zh-CN"/>
              </w:rPr>
              <w:t>值</w:t>
            </w:r>
            <w:r>
              <w:rPr>
                <w:rFonts w:hint="default" w:ascii="Times New Roman" w:hAnsi="Times New Roman" w:cs="Times New Roman"/>
                <w:color w:val="auto"/>
                <w:sz w:val="24"/>
                <w:lang w:val="en-US" w:eastAsia="zh-CN"/>
              </w:rPr>
              <w:t>，项目区域环境空气质量符合要求。</w:t>
            </w:r>
          </w:p>
          <w:p>
            <w:pPr>
              <w:pStyle w:val="10"/>
              <w:rPr>
                <w:color w:val="auto"/>
              </w:rPr>
            </w:pPr>
          </w:p>
          <w:p>
            <w:pPr>
              <w:numPr>
                <w:ilvl w:val="0"/>
                <w:numId w:val="9"/>
              </w:numPr>
              <w:autoSpaceDE w:val="0"/>
              <w:autoSpaceDN w:val="0"/>
              <w:adjustRightInd w:val="0"/>
              <w:snapToGrid w:val="0"/>
              <w:spacing w:line="360" w:lineRule="auto"/>
              <w:ind w:firstLine="480" w:firstLineChars="200"/>
              <w:rPr>
                <w:rFonts w:hint="eastAsia"/>
                <w:b w:val="0"/>
                <w:bCs w:val="0"/>
                <w:color w:val="auto"/>
                <w:kern w:val="21"/>
                <w:sz w:val="24"/>
                <w:szCs w:val="24"/>
                <w:lang w:val="en-US" w:eastAsia="zh-CN"/>
              </w:rPr>
            </w:pPr>
            <w:r>
              <w:rPr>
                <w:rFonts w:hint="eastAsia"/>
                <w:b w:val="0"/>
                <w:bCs w:val="0"/>
                <w:color w:val="auto"/>
                <w:kern w:val="21"/>
                <w:sz w:val="24"/>
                <w:szCs w:val="24"/>
                <w:lang w:val="en-US" w:eastAsia="zh-CN"/>
              </w:rPr>
              <w:t>地表水环境</w:t>
            </w:r>
          </w:p>
          <w:p>
            <w:pPr>
              <w:pStyle w:val="10"/>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80" w:firstLineChars="200"/>
              <w:jc w:val="left"/>
              <w:textAlignment w:val="auto"/>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本项目</w:t>
            </w:r>
            <w:r>
              <w:rPr>
                <w:rFonts w:hint="eastAsia" w:ascii="Times New Roman" w:hAnsi="Times New Roman" w:eastAsia="宋体" w:cs="Times New Roman"/>
                <w:color w:val="auto"/>
                <w:sz w:val="24"/>
                <w:szCs w:val="24"/>
                <w:lang w:val="en-US" w:eastAsia="zh-CN"/>
              </w:rPr>
              <w:t>行政办公人员生活污水、医护人员生活污水、病房废水均经过化粪池处理后进入医院污水处理站处理，门诊废水、检验废水直接进入污水处理站处理，废水经过污水处理站处理达标后排入市政管网，进入西安市第一污水处理厂一期处理</w:t>
            </w:r>
            <w:r>
              <w:rPr>
                <w:rFonts w:hint="eastAsia" w:cs="Times New Roman"/>
                <w:color w:val="auto"/>
                <w:sz w:val="24"/>
                <w:szCs w:val="24"/>
                <w:lang w:val="en-US" w:eastAsia="zh-CN"/>
              </w:rPr>
              <w:t>，</w:t>
            </w:r>
            <w:r>
              <w:rPr>
                <w:rFonts w:hint="eastAsia" w:ascii="Times New Roman" w:hAnsi="Times New Roman" w:eastAsia="宋体" w:cs="Times New Roman"/>
                <w:color w:val="auto"/>
                <w:kern w:val="2"/>
                <w:sz w:val="24"/>
                <w:szCs w:val="24"/>
                <w:lang w:val="en-US" w:eastAsia="zh-CN" w:bidi="ar-SA"/>
              </w:rPr>
              <w:t>处理达标后排入皂河，根据</w:t>
            </w:r>
            <w:r>
              <w:rPr>
                <w:rFonts w:hint="eastAsia" w:cs="Times New Roman"/>
                <w:color w:val="auto"/>
                <w:kern w:val="2"/>
                <w:sz w:val="24"/>
                <w:szCs w:val="24"/>
                <w:lang w:val="en-US" w:eastAsia="zh-CN" w:bidi="ar-SA"/>
              </w:rPr>
              <w:t>2023年1月~12月西安市水环境状况与监测，皂河农场西站断面全年能够满足《地表水环境质量标准》（GB3838-2002）</w:t>
            </w:r>
            <w:r>
              <w:rPr>
                <w:rFonts w:hint="eastAsia" w:cs="Times New Roman"/>
                <w:color w:val="auto"/>
                <w:kern w:val="2"/>
                <w:sz w:val="24"/>
                <w:szCs w:val="24"/>
                <w:lang w:val="en-US" w:eastAsia="zh-CN" w:bidi="ar-SA"/>
              </w:rPr>
              <w:fldChar w:fldCharType="begin"/>
            </w:r>
            <w:r>
              <w:rPr>
                <w:rFonts w:hint="eastAsia" w:cs="Times New Roman"/>
                <w:color w:val="auto"/>
                <w:kern w:val="2"/>
                <w:sz w:val="24"/>
                <w:szCs w:val="24"/>
                <w:lang w:val="en-US" w:eastAsia="zh-CN" w:bidi="ar-SA"/>
              </w:rPr>
              <w:instrText xml:space="preserve"> = 5 \* ROMAN \* MERGEFORMAT </w:instrText>
            </w:r>
            <w:r>
              <w:rPr>
                <w:rFonts w:hint="eastAsia" w:cs="Times New Roman"/>
                <w:color w:val="auto"/>
                <w:kern w:val="2"/>
                <w:sz w:val="24"/>
                <w:szCs w:val="24"/>
                <w:lang w:val="en-US" w:eastAsia="zh-CN" w:bidi="ar-SA"/>
              </w:rPr>
              <w:fldChar w:fldCharType="separate"/>
            </w:r>
            <w:r>
              <w:rPr>
                <w:color w:val="auto"/>
                <w:sz w:val="24"/>
                <w:szCs w:val="24"/>
              </w:rPr>
              <w:t>V</w:t>
            </w:r>
            <w:r>
              <w:rPr>
                <w:rFonts w:hint="eastAsia" w:cs="Times New Roman"/>
                <w:color w:val="auto"/>
                <w:kern w:val="2"/>
                <w:sz w:val="24"/>
                <w:szCs w:val="24"/>
                <w:lang w:val="en-US" w:eastAsia="zh-CN" w:bidi="ar-SA"/>
              </w:rPr>
              <w:fldChar w:fldCharType="end"/>
            </w:r>
            <w:r>
              <w:rPr>
                <w:rFonts w:hint="eastAsia" w:cs="Times New Roman"/>
                <w:color w:val="auto"/>
                <w:kern w:val="2"/>
                <w:sz w:val="24"/>
                <w:szCs w:val="24"/>
                <w:lang w:val="en-US" w:eastAsia="zh-CN" w:bidi="ar-SA"/>
              </w:rPr>
              <w:t>类水质要求。</w:t>
            </w:r>
          </w:p>
          <w:p>
            <w:pPr>
              <w:autoSpaceDE w:val="0"/>
              <w:autoSpaceDN w:val="0"/>
              <w:adjustRightInd w:val="0"/>
              <w:snapToGrid w:val="0"/>
              <w:spacing w:line="360" w:lineRule="auto"/>
              <w:ind w:firstLine="480" w:firstLineChars="200"/>
              <w:rPr>
                <w:b w:val="0"/>
                <w:bCs w:val="0"/>
                <w:color w:val="auto"/>
                <w:kern w:val="21"/>
                <w:sz w:val="24"/>
                <w:szCs w:val="24"/>
              </w:rPr>
            </w:pPr>
            <w:r>
              <w:rPr>
                <w:rFonts w:hint="eastAsia"/>
                <w:b w:val="0"/>
                <w:bCs w:val="0"/>
                <w:color w:val="auto"/>
                <w:kern w:val="21"/>
                <w:sz w:val="24"/>
                <w:szCs w:val="24"/>
                <w:lang w:val="en-US" w:eastAsia="zh-CN"/>
              </w:rPr>
              <w:t>3、</w:t>
            </w:r>
            <w:r>
              <w:rPr>
                <w:b w:val="0"/>
                <w:bCs w:val="0"/>
                <w:color w:val="auto"/>
                <w:kern w:val="21"/>
                <w:sz w:val="24"/>
                <w:szCs w:val="24"/>
              </w:rPr>
              <w:t>声环境现状监测与评价</w:t>
            </w:r>
          </w:p>
          <w:p>
            <w:pPr>
              <w:spacing w:line="360" w:lineRule="auto"/>
              <w:ind w:firstLine="480" w:firstLineChars="200"/>
              <w:rPr>
                <w:color w:val="auto"/>
                <w:kern w:val="21"/>
                <w:sz w:val="24"/>
                <w:szCs w:val="24"/>
              </w:rPr>
            </w:pPr>
            <w:r>
              <w:rPr>
                <w:color w:val="auto"/>
                <w:sz w:val="24"/>
              </w:rPr>
              <w:t>由于项目</w:t>
            </w:r>
            <w:r>
              <w:rPr>
                <w:rFonts w:hint="eastAsia"/>
                <w:color w:val="auto"/>
                <w:sz w:val="24"/>
              </w:rPr>
              <w:t>厂界外</w:t>
            </w:r>
            <w:r>
              <w:rPr>
                <w:color w:val="auto"/>
                <w:sz w:val="24"/>
              </w:rPr>
              <w:t>50m范围内无声环境敏感点，因此</w:t>
            </w:r>
            <w:r>
              <w:rPr>
                <w:rFonts w:hint="eastAsia"/>
                <w:color w:val="auto"/>
                <w:sz w:val="24"/>
              </w:rPr>
              <w:t>，</w:t>
            </w:r>
            <w:r>
              <w:rPr>
                <w:color w:val="auto"/>
                <w:sz w:val="24"/>
              </w:rPr>
              <w:t>根据《建设项目环境影响报告表编制技术指南（污染影响类）（试行）》要求，本次</w:t>
            </w:r>
            <w:r>
              <w:rPr>
                <w:rFonts w:hint="eastAsia"/>
                <w:color w:val="auto"/>
                <w:sz w:val="24"/>
              </w:rPr>
              <w:t>环评</w:t>
            </w:r>
            <w:r>
              <w:rPr>
                <w:color w:val="auto"/>
                <w:sz w:val="24"/>
              </w:rPr>
              <w:t>不进行声环境质量现状调查。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02" w:type="pct"/>
            <w:vAlign w:val="center"/>
          </w:tcPr>
          <w:p>
            <w:pPr>
              <w:adjustRightInd w:val="0"/>
              <w:snapToGrid w:val="0"/>
              <w:jc w:val="center"/>
              <w:rPr>
                <w:color w:val="auto"/>
                <w:kern w:val="21"/>
                <w:sz w:val="24"/>
                <w:szCs w:val="24"/>
              </w:rPr>
            </w:pPr>
            <w:r>
              <w:rPr>
                <w:color w:val="auto"/>
                <w:kern w:val="21"/>
                <w:sz w:val="24"/>
                <w:szCs w:val="24"/>
              </w:rPr>
              <w:t>环境</w:t>
            </w:r>
          </w:p>
          <w:p>
            <w:pPr>
              <w:adjustRightInd w:val="0"/>
              <w:snapToGrid w:val="0"/>
              <w:jc w:val="center"/>
              <w:rPr>
                <w:color w:val="auto"/>
                <w:kern w:val="21"/>
                <w:sz w:val="24"/>
                <w:szCs w:val="24"/>
              </w:rPr>
            </w:pPr>
            <w:r>
              <w:rPr>
                <w:color w:val="auto"/>
                <w:kern w:val="21"/>
                <w:sz w:val="24"/>
                <w:szCs w:val="24"/>
              </w:rPr>
              <w:t>保护</w:t>
            </w:r>
          </w:p>
          <w:p>
            <w:pPr>
              <w:adjustRightInd w:val="0"/>
              <w:snapToGrid w:val="0"/>
              <w:jc w:val="center"/>
              <w:rPr>
                <w:color w:val="auto"/>
                <w:kern w:val="21"/>
                <w:sz w:val="24"/>
                <w:szCs w:val="24"/>
              </w:rPr>
            </w:pPr>
            <w:r>
              <w:rPr>
                <w:color w:val="auto"/>
                <w:kern w:val="21"/>
                <w:sz w:val="24"/>
                <w:szCs w:val="24"/>
              </w:rPr>
              <w:t>目标</w:t>
            </w:r>
          </w:p>
        </w:tc>
        <w:tc>
          <w:tcPr>
            <w:tcW w:w="4597" w:type="pct"/>
            <w:vAlign w:val="center"/>
          </w:tcPr>
          <w:p>
            <w:pPr>
              <w:pStyle w:val="14"/>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lang w:eastAsia="zh-CN"/>
              </w:rPr>
            </w:pPr>
            <w:r>
              <w:rPr>
                <w:color w:val="auto"/>
                <w:sz w:val="24"/>
                <w:szCs w:val="24"/>
              </w:rPr>
              <w:t>根据环境敏感因素的界定原则，经调查，</w:t>
            </w:r>
            <w:r>
              <w:rPr>
                <w:rFonts w:hint="eastAsia"/>
                <w:color w:val="auto"/>
                <w:sz w:val="24"/>
                <w:szCs w:val="24"/>
                <w:lang w:eastAsia="zh-CN"/>
              </w:rPr>
              <w:t>本项目所在区域</w:t>
            </w:r>
            <w:r>
              <w:rPr>
                <w:color w:val="auto"/>
                <w:sz w:val="24"/>
                <w:szCs w:val="24"/>
              </w:rPr>
              <w:t>不属于特殊保护区、社会关注区、生态脆弱区和特殊地貌景观区；经实地调查了解，评价区内</w:t>
            </w:r>
            <w:r>
              <w:rPr>
                <w:rFonts w:hint="eastAsia"/>
                <w:color w:val="auto"/>
                <w:sz w:val="24"/>
                <w:szCs w:val="24"/>
                <w:lang w:eastAsia="zh-CN"/>
              </w:rPr>
              <w:t>涉及西安明城墙国家级文物保护单位</w:t>
            </w:r>
            <w:r>
              <w:rPr>
                <w:color w:val="auto"/>
                <w:sz w:val="24"/>
                <w:szCs w:val="24"/>
              </w:rPr>
              <w:t>等。</w:t>
            </w:r>
            <w:r>
              <w:rPr>
                <w:rFonts w:hint="eastAsia"/>
                <w:color w:val="auto"/>
                <w:sz w:val="24"/>
                <w:szCs w:val="24"/>
                <w:lang w:eastAsia="zh-CN"/>
              </w:rPr>
              <w:t>本评价确定主要环境保护目标如下。</w:t>
            </w:r>
          </w:p>
          <w:p>
            <w:pPr>
              <w:pStyle w:val="57"/>
              <w:ind w:left="420"/>
              <w:rPr>
                <w:color w:val="auto"/>
              </w:rPr>
            </w:pPr>
            <w:r>
              <w:rPr>
                <w:rFonts w:hint="eastAsia" w:ascii="Times New Roman"/>
                <w:b/>
                <w:bCs/>
                <w:color w:val="auto"/>
                <w:sz w:val="21"/>
                <w:szCs w:val="21"/>
                <w:highlight w:val="none"/>
              </w:rPr>
              <w:t>表</w:t>
            </w:r>
            <w:r>
              <w:rPr>
                <w:rFonts w:ascii="Times New Roman"/>
                <w:b/>
                <w:bCs/>
                <w:color w:val="auto"/>
                <w:sz w:val="21"/>
                <w:szCs w:val="21"/>
                <w:highlight w:val="none"/>
              </w:rPr>
              <w:t>3</w:t>
            </w:r>
            <w:r>
              <w:rPr>
                <w:rFonts w:hint="eastAsia" w:ascii="Times New Roman"/>
                <w:b/>
                <w:bCs/>
                <w:color w:val="auto"/>
                <w:sz w:val="21"/>
                <w:szCs w:val="21"/>
                <w:highlight w:val="none"/>
                <w:lang w:val="en-US" w:eastAsia="zh-CN"/>
              </w:rPr>
              <w:t xml:space="preserve">-3 </w:t>
            </w:r>
            <w:r>
              <w:rPr>
                <w:rFonts w:hint="eastAsia" w:ascii="Times New Roman"/>
                <w:b/>
                <w:bCs/>
                <w:color w:val="auto"/>
                <w:sz w:val="21"/>
                <w:szCs w:val="21"/>
                <w:highlight w:val="none"/>
              </w:rPr>
              <w:t>环境保护目标情况</w:t>
            </w:r>
          </w:p>
          <w:tbl>
            <w:tblPr>
              <w:tblStyle w:val="2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3"/>
              <w:gridCol w:w="538"/>
              <w:gridCol w:w="1203"/>
              <w:gridCol w:w="1378"/>
              <w:gridCol w:w="1266"/>
              <w:gridCol w:w="656"/>
              <w:gridCol w:w="994"/>
              <w:gridCol w:w="936"/>
              <w:gridCol w:w="1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276" w:type="pct"/>
                  <w:noWrap w:val="0"/>
                  <w:vAlign w:val="center"/>
                </w:tcPr>
                <w:p>
                  <w:pPr>
                    <w:pStyle w:val="37"/>
                    <w:keepNext w:val="0"/>
                    <w:keepLines w:val="0"/>
                    <w:suppressLineNumbers w:val="0"/>
                    <w:snapToGrid w:val="0"/>
                    <w:spacing w:before="0" w:beforeAutospacing="0" w:after="0" w:afterAutospacing="0"/>
                    <w:ind w:left="0" w:right="0"/>
                    <w:jc w:val="center"/>
                    <w:rPr>
                      <w:rFonts w:hint="default" w:ascii="Times New Roman" w:hAnsi="Times New Roman" w:cs="Times New Roman"/>
                      <w:b/>
                      <w:bCs/>
                      <w:color w:val="auto"/>
                      <w:kern w:val="2"/>
                      <w:sz w:val="21"/>
                      <w:szCs w:val="21"/>
                    </w:rPr>
                  </w:pPr>
                  <w:r>
                    <w:rPr>
                      <w:rFonts w:hint="default" w:ascii="Times New Roman" w:hAnsi="Times New Roman" w:cs="Times New Roman"/>
                      <w:b/>
                      <w:bCs/>
                      <w:color w:val="auto"/>
                      <w:kern w:val="2"/>
                      <w:sz w:val="21"/>
                      <w:szCs w:val="21"/>
                    </w:rPr>
                    <w:t>环境</w:t>
                  </w:r>
                </w:p>
                <w:p>
                  <w:pPr>
                    <w:pStyle w:val="37"/>
                    <w:keepNext w:val="0"/>
                    <w:keepLines w:val="0"/>
                    <w:suppressLineNumbers w:val="0"/>
                    <w:snapToGrid w:val="0"/>
                    <w:spacing w:before="0" w:beforeAutospacing="0" w:after="0" w:afterAutospacing="0"/>
                    <w:ind w:left="0" w:right="0"/>
                    <w:jc w:val="center"/>
                    <w:rPr>
                      <w:rFonts w:hint="default" w:ascii="Times New Roman" w:hAnsi="Times New Roman" w:cs="Times New Roman"/>
                      <w:b/>
                      <w:bCs/>
                      <w:color w:val="auto"/>
                      <w:kern w:val="2"/>
                      <w:sz w:val="21"/>
                      <w:szCs w:val="21"/>
                    </w:rPr>
                  </w:pPr>
                  <w:r>
                    <w:rPr>
                      <w:rFonts w:hint="default" w:ascii="Times New Roman" w:hAnsi="Times New Roman" w:cs="Times New Roman"/>
                      <w:b/>
                      <w:bCs/>
                      <w:color w:val="auto"/>
                      <w:kern w:val="2"/>
                      <w:sz w:val="21"/>
                      <w:szCs w:val="21"/>
                    </w:rPr>
                    <w:t>要素</w:t>
                  </w:r>
                </w:p>
              </w:tc>
              <w:tc>
                <w:tcPr>
                  <w:tcW w:w="301" w:type="pct"/>
                  <w:noWrap w:val="0"/>
                  <w:vAlign w:val="center"/>
                </w:tcPr>
                <w:p>
                  <w:pPr>
                    <w:pStyle w:val="37"/>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bCs/>
                      <w:color w:val="auto"/>
                      <w:kern w:val="2"/>
                      <w:sz w:val="21"/>
                      <w:szCs w:val="21"/>
                      <w:lang w:eastAsia="zh-CN"/>
                    </w:rPr>
                  </w:pPr>
                  <w:r>
                    <w:rPr>
                      <w:rFonts w:hint="eastAsia" w:ascii="Times New Roman" w:cs="Times New Roman"/>
                      <w:b/>
                      <w:bCs/>
                      <w:color w:val="auto"/>
                      <w:kern w:val="2"/>
                      <w:sz w:val="21"/>
                      <w:szCs w:val="21"/>
                      <w:lang w:eastAsia="zh-CN"/>
                    </w:rPr>
                    <w:t>序号</w:t>
                  </w:r>
                </w:p>
              </w:tc>
              <w:tc>
                <w:tcPr>
                  <w:tcW w:w="673" w:type="pct"/>
                  <w:noWrap w:val="0"/>
                  <w:vAlign w:val="center"/>
                </w:tcPr>
                <w:p>
                  <w:pPr>
                    <w:pStyle w:val="37"/>
                    <w:keepNext w:val="0"/>
                    <w:keepLines w:val="0"/>
                    <w:suppressLineNumbers w:val="0"/>
                    <w:snapToGrid w:val="0"/>
                    <w:spacing w:before="0" w:beforeAutospacing="0" w:after="0" w:afterAutospacing="0"/>
                    <w:ind w:left="0" w:right="0"/>
                    <w:jc w:val="center"/>
                    <w:rPr>
                      <w:rFonts w:hint="default" w:ascii="Times New Roman" w:hAnsi="Times New Roman" w:cs="Times New Roman"/>
                      <w:b/>
                      <w:bCs/>
                      <w:color w:val="auto"/>
                      <w:kern w:val="2"/>
                      <w:sz w:val="21"/>
                      <w:szCs w:val="21"/>
                    </w:rPr>
                  </w:pPr>
                  <w:r>
                    <w:rPr>
                      <w:rFonts w:hint="default" w:ascii="Times New Roman" w:hAnsi="Times New Roman" w:cs="Times New Roman"/>
                      <w:b/>
                      <w:bCs/>
                      <w:color w:val="auto"/>
                      <w:kern w:val="2"/>
                      <w:sz w:val="21"/>
                      <w:szCs w:val="21"/>
                    </w:rPr>
                    <w:t>保护对象</w:t>
                  </w:r>
                </w:p>
              </w:tc>
              <w:tc>
                <w:tcPr>
                  <w:tcW w:w="771" w:type="pct"/>
                  <w:noWrap w:val="0"/>
                  <w:vAlign w:val="center"/>
                </w:tcPr>
                <w:p>
                  <w:pPr>
                    <w:pStyle w:val="37"/>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kern w:val="2"/>
                      <w:sz w:val="21"/>
                      <w:szCs w:val="21"/>
                      <w:lang w:val="en-US" w:eastAsia="zh-CN"/>
                    </w:rPr>
                  </w:pPr>
                  <w:r>
                    <w:rPr>
                      <w:rFonts w:hint="eastAsia" w:ascii="Times New Roman" w:cs="Times New Roman"/>
                      <w:b/>
                      <w:bCs/>
                      <w:color w:val="auto"/>
                      <w:kern w:val="2"/>
                      <w:sz w:val="21"/>
                      <w:szCs w:val="21"/>
                      <w:lang w:val="en-US" w:eastAsia="zh-CN"/>
                    </w:rPr>
                    <w:t>X（m）</w:t>
                  </w:r>
                </w:p>
              </w:tc>
              <w:tc>
                <w:tcPr>
                  <w:tcW w:w="709" w:type="pct"/>
                  <w:noWrap w:val="0"/>
                  <w:vAlign w:val="center"/>
                </w:tcPr>
                <w:p>
                  <w:pPr>
                    <w:pStyle w:val="37"/>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kern w:val="2"/>
                      <w:sz w:val="21"/>
                      <w:szCs w:val="21"/>
                      <w:lang w:val="en-US" w:eastAsia="zh-CN"/>
                    </w:rPr>
                  </w:pPr>
                  <w:r>
                    <w:rPr>
                      <w:rFonts w:hint="eastAsia" w:ascii="Times New Roman" w:cs="Times New Roman"/>
                      <w:b/>
                      <w:bCs/>
                      <w:color w:val="auto"/>
                      <w:kern w:val="2"/>
                      <w:sz w:val="21"/>
                      <w:szCs w:val="21"/>
                      <w:lang w:val="en-US" w:eastAsia="zh-CN"/>
                    </w:rPr>
                    <w:t>Y（m）</w:t>
                  </w:r>
                </w:p>
              </w:tc>
              <w:tc>
                <w:tcPr>
                  <w:tcW w:w="367" w:type="pct"/>
                  <w:noWrap w:val="0"/>
                  <w:vAlign w:val="center"/>
                </w:tcPr>
                <w:p>
                  <w:pPr>
                    <w:pStyle w:val="37"/>
                    <w:keepNext w:val="0"/>
                    <w:keepLines w:val="0"/>
                    <w:suppressLineNumbers w:val="0"/>
                    <w:snapToGrid w:val="0"/>
                    <w:spacing w:before="0" w:beforeAutospacing="0" w:after="0" w:afterAutospacing="0"/>
                    <w:ind w:left="0" w:leftChars="0" w:right="0" w:rightChars="0"/>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cs="Times New Roman"/>
                      <w:b/>
                      <w:bCs/>
                      <w:color w:val="auto"/>
                      <w:kern w:val="2"/>
                      <w:sz w:val="21"/>
                      <w:szCs w:val="21"/>
                    </w:rPr>
                    <w:t>方位</w:t>
                  </w:r>
                </w:p>
              </w:tc>
              <w:tc>
                <w:tcPr>
                  <w:tcW w:w="556" w:type="pct"/>
                  <w:noWrap w:val="0"/>
                  <w:vAlign w:val="center"/>
                </w:tcPr>
                <w:p>
                  <w:pPr>
                    <w:pStyle w:val="37"/>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kern w:val="2"/>
                      <w:sz w:val="21"/>
                      <w:szCs w:val="21"/>
                      <w:lang w:val="en-US" w:eastAsia="zh-CN"/>
                    </w:rPr>
                  </w:pPr>
                  <w:r>
                    <w:rPr>
                      <w:rFonts w:hint="default" w:ascii="Times New Roman" w:hAnsi="Times New Roman" w:cs="Times New Roman"/>
                      <w:b/>
                      <w:bCs/>
                      <w:color w:val="auto"/>
                      <w:kern w:val="2"/>
                      <w:sz w:val="21"/>
                      <w:szCs w:val="21"/>
                    </w:rPr>
                    <w:t>与厂界最近距离</w:t>
                  </w:r>
                  <w:r>
                    <w:rPr>
                      <w:rFonts w:hint="default" w:ascii="Times New Roman" w:hAnsi="Times New Roman" w:cs="Times New Roman"/>
                      <w:b/>
                      <w:bCs/>
                      <w:color w:val="auto"/>
                      <w:kern w:val="2"/>
                      <w:sz w:val="21"/>
                      <w:szCs w:val="21"/>
                      <w:lang w:val="en-US" w:eastAsia="zh-CN"/>
                    </w:rPr>
                    <w:t>m</w:t>
                  </w:r>
                </w:p>
              </w:tc>
              <w:tc>
                <w:tcPr>
                  <w:tcW w:w="524" w:type="pct"/>
                  <w:noWrap w:val="0"/>
                  <w:vAlign w:val="center"/>
                </w:tcPr>
                <w:p>
                  <w:pPr>
                    <w:pStyle w:val="37"/>
                    <w:keepNext w:val="0"/>
                    <w:keepLines w:val="0"/>
                    <w:suppressLineNumbers w:val="0"/>
                    <w:snapToGrid w:val="0"/>
                    <w:spacing w:before="0" w:beforeAutospacing="0" w:after="0" w:afterAutospacing="0"/>
                    <w:ind w:left="0" w:right="0"/>
                    <w:jc w:val="center"/>
                    <w:rPr>
                      <w:rFonts w:hint="default" w:ascii="Times New Roman" w:hAnsi="Times New Roman" w:cs="Times New Roman"/>
                      <w:b/>
                      <w:bCs/>
                      <w:color w:val="auto"/>
                      <w:kern w:val="2"/>
                      <w:sz w:val="21"/>
                      <w:szCs w:val="21"/>
                    </w:rPr>
                  </w:pPr>
                  <w:r>
                    <w:rPr>
                      <w:rFonts w:hint="default" w:ascii="Times New Roman" w:hAnsi="Times New Roman" w:cs="Times New Roman"/>
                      <w:b/>
                      <w:bCs/>
                      <w:color w:val="auto"/>
                      <w:kern w:val="2"/>
                      <w:sz w:val="21"/>
                      <w:szCs w:val="21"/>
                    </w:rPr>
                    <w:t>保护目标</w:t>
                  </w:r>
                </w:p>
              </w:tc>
              <w:tc>
                <w:tcPr>
                  <w:tcW w:w="819" w:type="pct"/>
                  <w:noWrap w:val="0"/>
                  <w:vAlign w:val="center"/>
                </w:tcPr>
                <w:p>
                  <w:pPr>
                    <w:pStyle w:val="37"/>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bCs/>
                      <w:color w:val="auto"/>
                      <w:kern w:val="2"/>
                      <w:sz w:val="21"/>
                      <w:szCs w:val="21"/>
                      <w:lang w:eastAsia="zh-CN"/>
                    </w:rPr>
                  </w:pPr>
                  <w:r>
                    <w:rPr>
                      <w:rFonts w:hint="eastAsia" w:ascii="Times New Roman" w:cs="Times New Roman"/>
                      <w:b/>
                      <w:bCs/>
                      <w:color w:val="auto"/>
                      <w:kern w:val="2"/>
                      <w:sz w:val="21"/>
                      <w:szCs w:val="21"/>
                      <w:lang w:eastAsia="zh-CN"/>
                    </w:rPr>
                    <w:t>环境功能区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6" w:type="pct"/>
                  <w:vMerge w:val="restart"/>
                  <w:noWrap w:val="0"/>
                  <w:vAlign w:val="center"/>
                </w:tcPr>
                <w:p>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color w:val="auto"/>
                      <w:szCs w:val="21"/>
                      <w:lang w:eastAsia="zh-CN"/>
                    </w:rPr>
                  </w:pPr>
                  <w:r>
                    <w:rPr>
                      <w:rFonts w:hint="eastAsia" w:cs="Times New Roman"/>
                      <w:color w:val="auto"/>
                      <w:szCs w:val="21"/>
                      <w:lang w:eastAsia="zh-CN"/>
                    </w:rPr>
                    <w:t>环境空气</w:t>
                  </w:r>
                </w:p>
              </w:tc>
              <w:tc>
                <w:tcPr>
                  <w:tcW w:w="301" w:type="pct"/>
                  <w:noWrap w:val="0"/>
                  <w:vAlign w:val="center"/>
                </w:tcPr>
                <w:p>
                  <w:pPr>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1</w:t>
                  </w:r>
                </w:p>
              </w:tc>
              <w:tc>
                <w:tcPr>
                  <w:tcW w:w="673" w:type="pct"/>
                  <w:noWrap w:val="0"/>
                  <w:vAlign w:val="center"/>
                </w:tcPr>
                <w:p>
                  <w:pPr>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紫竹苑住宅</w:t>
                  </w:r>
                </w:p>
              </w:tc>
              <w:tc>
                <w:tcPr>
                  <w:tcW w:w="1378"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3794529.282</w:t>
                  </w:r>
                </w:p>
              </w:tc>
              <w:tc>
                <w:tcPr>
                  <w:tcW w:w="1266"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308829.178</w:t>
                  </w:r>
                </w:p>
              </w:tc>
              <w:tc>
                <w:tcPr>
                  <w:tcW w:w="367"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NE</w:t>
                  </w:r>
                </w:p>
              </w:tc>
              <w:tc>
                <w:tcPr>
                  <w:tcW w:w="556" w:type="pct"/>
                  <w:noWrap w:val="0"/>
                  <w:vAlign w:val="center"/>
                </w:tcPr>
                <w:p>
                  <w:pPr>
                    <w:snapToGrid w:val="0"/>
                    <w:jc w:val="center"/>
                    <w:rPr>
                      <w:rFonts w:hint="default" w:ascii="Times New Roman" w:hAnsi="Times New Roman" w:cs="Times New Roman"/>
                      <w:color w:val="auto"/>
                      <w:szCs w:val="21"/>
                      <w:lang w:val="en-US"/>
                    </w:rPr>
                  </w:pPr>
                  <w:r>
                    <w:rPr>
                      <w:rFonts w:hint="eastAsia" w:ascii="Times New Roman" w:hAnsi="Times New Roman" w:eastAsia="宋体"/>
                      <w:color w:val="auto"/>
                      <w:szCs w:val="21"/>
                      <w:lang w:val="en-US" w:eastAsia="zh-CN"/>
                    </w:rPr>
                    <w:t>500</w:t>
                  </w:r>
                </w:p>
              </w:tc>
              <w:tc>
                <w:tcPr>
                  <w:tcW w:w="524" w:type="pct"/>
                  <w:vMerge w:val="restart"/>
                  <w:noWrap w:val="0"/>
                  <w:vAlign w:val="center"/>
                </w:tcPr>
                <w:p>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color w:val="auto"/>
                      <w:szCs w:val="21"/>
                      <w:lang w:eastAsia="zh-CN"/>
                    </w:rPr>
                  </w:pPr>
                  <w:r>
                    <w:rPr>
                      <w:rFonts w:hint="eastAsia" w:ascii="Times New Roman" w:hAnsi="Times New Roman" w:eastAsia="宋体"/>
                      <w:color w:val="auto"/>
                      <w:lang w:eastAsia="zh-CN"/>
                    </w:rPr>
                    <w:t>人群健康</w:t>
                  </w:r>
                </w:p>
              </w:tc>
              <w:tc>
                <w:tcPr>
                  <w:tcW w:w="819" w:type="pct"/>
                  <w:vMerge w:val="restart"/>
                  <w:noWrap w:val="0"/>
                  <w:vAlign w:val="center"/>
                </w:tcPr>
                <w:p>
                  <w:pPr>
                    <w:keepNext w:val="0"/>
                    <w:keepLines w:val="0"/>
                    <w:suppressLineNumbers w:val="0"/>
                    <w:snapToGrid w:val="0"/>
                    <w:spacing w:before="0" w:beforeAutospacing="0" w:after="0" w:afterAutospacing="0"/>
                    <w:ind w:left="0" w:right="0"/>
                    <w:jc w:val="center"/>
                    <w:rPr>
                      <w:rFonts w:ascii="Times New Roman" w:hAnsi="Times New Roman" w:eastAsia="宋体"/>
                      <w:color w:val="auto"/>
                    </w:rPr>
                  </w:pPr>
                  <w:r>
                    <w:rPr>
                      <w:rFonts w:ascii="Times New Roman" w:hAnsi="Times New Roman" w:eastAsia="宋体"/>
                      <w:color w:val="auto"/>
                    </w:rPr>
                    <w:t>《环境空气质量标准》（GB3095-2012）二级标准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2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rPr>
                  </w:pPr>
                </w:p>
              </w:tc>
              <w:tc>
                <w:tcPr>
                  <w:tcW w:w="301"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2</w:t>
                  </w:r>
                </w:p>
              </w:tc>
              <w:tc>
                <w:tcPr>
                  <w:tcW w:w="673" w:type="pct"/>
                  <w:noWrap w:val="0"/>
                  <w:vAlign w:val="center"/>
                </w:tcPr>
                <w:p>
                  <w:pPr>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司法厅家属院</w:t>
                  </w:r>
                </w:p>
              </w:tc>
              <w:tc>
                <w:tcPr>
                  <w:tcW w:w="1378"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3794431.236</w:t>
                  </w:r>
                </w:p>
              </w:tc>
              <w:tc>
                <w:tcPr>
                  <w:tcW w:w="1266"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308646.326</w:t>
                  </w:r>
                </w:p>
              </w:tc>
              <w:tc>
                <w:tcPr>
                  <w:tcW w:w="367" w:type="pct"/>
                  <w:noWrap w:val="0"/>
                  <w:vAlign w:val="center"/>
                </w:tcPr>
                <w:p>
                  <w:pPr>
                    <w:snapToGrid w:val="0"/>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olor w:val="auto"/>
                      <w:szCs w:val="21"/>
                      <w:lang w:val="en-US" w:eastAsia="zh-CN"/>
                    </w:rPr>
                    <w:t>NE</w:t>
                  </w:r>
                </w:p>
              </w:tc>
              <w:tc>
                <w:tcPr>
                  <w:tcW w:w="556" w:type="pct"/>
                  <w:noWrap w:val="0"/>
                  <w:vAlign w:val="center"/>
                </w:tcPr>
                <w:p>
                  <w:pPr>
                    <w:snapToGrid w:val="0"/>
                    <w:jc w:val="center"/>
                    <w:rPr>
                      <w:rFonts w:hint="default" w:ascii="Times New Roman" w:hAnsi="Times New Roman" w:cs="Times New Roman"/>
                      <w:color w:val="auto"/>
                      <w:szCs w:val="21"/>
                      <w:lang w:val="en-US" w:eastAsia="zh-CN"/>
                    </w:rPr>
                  </w:pPr>
                  <w:r>
                    <w:rPr>
                      <w:rFonts w:hint="eastAsia" w:ascii="Times New Roman" w:hAnsi="Times New Roman" w:eastAsia="宋体"/>
                      <w:color w:val="auto"/>
                      <w:szCs w:val="21"/>
                      <w:lang w:val="en-US" w:eastAsia="zh-CN"/>
                    </w:rPr>
                    <w:t>350</w:t>
                  </w:r>
                </w:p>
              </w:tc>
              <w:tc>
                <w:tcPr>
                  <w:tcW w:w="5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新宋体" w:cs="Times New Roman"/>
                      <w:color w:val="auto"/>
                      <w:szCs w:val="21"/>
                    </w:rPr>
                  </w:pPr>
                </w:p>
              </w:tc>
              <w:tc>
                <w:tcPr>
                  <w:tcW w:w="819"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新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8" w:hRule="atLeast"/>
                <w:jc w:val="center"/>
              </w:trPr>
              <w:tc>
                <w:tcPr>
                  <w:tcW w:w="2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rPr>
                  </w:pPr>
                </w:p>
              </w:tc>
              <w:tc>
                <w:tcPr>
                  <w:tcW w:w="301"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3</w:t>
                  </w:r>
                </w:p>
              </w:tc>
              <w:tc>
                <w:tcPr>
                  <w:tcW w:w="673" w:type="pct"/>
                  <w:noWrap w:val="0"/>
                  <w:vAlign w:val="center"/>
                </w:tcPr>
                <w:p>
                  <w:pPr>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eastAsia="zh-CN"/>
                    </w:rPr>
                    <w:t>市工商局家属院</w:t>
                  </w:r>
                </w:p>
              </w:tc>
              <w:tc>
                <w:tcPr>
                  <w:tcW w:w="1378"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3794234.23</w:t>
                  </w:r>
                </w:p>
              </w:tc>
              <w:tc>
                <w:tcPr>
                  <w:tcW w:w="1266"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308733.221</w:t>
                  </w:r>
                </w:p>
              </w:tc>
              <w:tc>
                <w:tcPr>
                  <w:tcW w:w="367" w:type="pct"/>
                  <w:noWrap w:val="0"/>
                  <w:vAlign w:val="center"/>
                </w:tcPr>
                <w:p>
                  <w:pPr>
                    <w:snapToGrid w:val="0"/>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olor w:val="auto"/>
                      <w:szCs w:val="21"/>
                      <w:lang w:val="en-US" w:eastAsia="zh-CN"/>
                    </w:rPr>
                    <w:t>NE</w:t>
                  </w:r>
                </w:p>
              </w:tc>
              <w:tc>
                <w:tcPr>
                  <w:tcW w:w="556" w:type="pct"/>
                  <w:noWrap w:val="0"/>
                  <w:vAlign w:val="center"/>
                </w:tcPr>
                <w:p>
                  <w:pPr>
                    <w:snapToGrid w:val="0"/>
                    <w:jc w:val="center"/>
                    <w:rPr>
                      <w:rFonts w:hint="default" w:ascii="Times New Roman" w:hAnsi="Times New Roman" w:cs="Times New Roman"/>
                      <w:color w:val="auto"/>
                      <w:szCs w:val="21"/>
                      <w:lang w:val="en-US" w:eastAsia="zh-CN"/>
                    </w:rPr>
                  </w:pPr>
                  <w:r>
                    <w:rPr>
                      <w:rFonts w:hint="eastAsia" w:ascii="Times New Roman" w:hAnsi="Times New Roman" w:eastAsia="宋体"/>
                      <w:color w:val="auto"/>
                      <w:szCs w:val="21"/>
                      <w:lang w:val="en-US" w:eastAsia="zh-CN"/>
                    </w:rPr>
                    <w:t>260</w:t>
                  </w:r>
                </w:p>
              </w:tc>
              <w:tc>
                <w:tcPr>
                  <w:tcW w:w="5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新宋体" w:cs="Times New Roman"/>
                      <w:color w:val="auto"/>
                      <w:szCs w:val="21"/>
                    </w:rPr>
                  </w:pPr>
                </w:p>
              </w:tc>
              <w:tc>
                <w:tcPr>
                  <w:tcW w:w="819"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新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2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rPr>
                  </w:pPr>
                </w:p>
              </w:tc>
              <w:tc>
                <w:tcPr>
                  <w:tcW w:w="301"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4</w:t>
                  </w:r>
                </w:p>
              </w:tc>
              <w:tc>
                <w:tcPr>
                  <w:tcW w:w="673" w:type="pct"/>
                  <w:noWrap w:val="0"/>
                  <w:vAlign w:val="center"/>
                </w:tcPr>
                <w:p>
                  <w:pPr>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eastAsia="zh-CN"/>
                    </w:rPr>
                    <w:t>西</w:t>
                  </w:r>
                  <w:r>
                    <w:rPr>
                      <w:rFonts w:hint="eastAsia"/>
                      <w:color w:val="auto"/>
                      <w:szCs w:val="21"/>
                      <w:lang w:eastAsia="zh-CN"/>
                    </w:rPr>
                    <w:t>北</w:t>
                  </w:r>
                  <w:r>
                    <w:rPr>
                      <w:rFonts w:hint="eastAsia" w:ascii="Times New Roman" w:hAnsi="Times New Roman" w:eastAsia="宋体"/>
                      <w:color w:val="auto"/>
                      <w:szCs w:val="21"/>
                      <w:lang w:eastAsia="zh-CN"/>
                    </w:rPr>
                    <w:t>一路社区</w:t>
                  </w:r>
                </w:p>
              </w:tc>
              <w:tc>
                <w:tcPr>
                  <w:tcW w:w="1378"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3794333.377</w:t>
                  </w:r>
                </w:p>
              </w:tc>
              <w:tc>
                <w:tcPr>
                  <w:tcW w:w="1266"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308833.084</w:t>
                  </w:r>
                </w:p>
              </w:tc>
              <w:tc>
                <w:tcPr>
                  <w:tcW w:w="367" w:type="pct"/>
                  <w:noWrap w:val="0"/>
                  <w:vAlign w:val="center"/>
                </w:tcPr>
                <w:p>
                  <w:pPr>
                    <w:snapToGrid w:val="0"/>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olor w:val="auto"/>
                      <w:szCs w:val="21"/>
                      <w:lang w:val="en-US" w:eastAsia="zh-CN"/>
                    </w:rPr>
                    <w:t>NE</w:t>
                  </w:r>
                </w:p>
              </w:tc>
              <w:tc>
                <w:tcPr>
                  <w:tcW w:w="556" w:type="pct"/>
                  <w:noWrap w:val="0"/>
                  <w:vAlign w:val="center"/>
                </w:tcPr>
                <w:p>
                  <w:pPr>
                    <w:snapToGrid w:val="0"/>
                    <w:jc w:val="center"/>
                    <w:rPr>
                      <w:rFonts w:hint="default" w:ascii="Times New Roman" w:hAnsi="Times New Roman" w:cs="Times New Roman"/>
                      <w:color w:val="auto"/>
                      <w:szCs w:val="21"/>
                      <w:lang w:val="en-US" w:eastAsia="zh-CN"/>
                    </w:rPr>
                  </w:pPr>
                  <w:r>
                    <w:rPr>
                      <w:rFonts w:hint="eastAsia" w:ascii="Times New Roman" w:hAnsi="Times New Roman" w:eastAsia="宋体"/>
                      <w:color w:val="auto"/>
                      <w:szCs w:val="21"/>
                      <w:lang w:val="en-US" w:eastAsia="zh-CN"/>
                    </w:rPr>
                    <w:t>450</w:t>
                  </w:r>
                </w:p>
              </w:tc>
              <w:tc>
                <w:tcPr>
                  <w:tcW w:w="524" w:type="pct"/>
                  <w:vMerge w:val="continue"/>
                  <w:noWrap w:val="0"/>
                  <w:vAlign w:val="center"/>
                </w:tcPr>
                <w:p>
                  <w:pPr>
                    <w:keepNext w:val="0"/>
                    <w:keepLines w:val="0"/>
                    <w:suppressLineNumbers w:val="0"/>
                    <w:snapToGrid w:val="0"/>
                    <w:spacing w:before="0" w:beforeAutospacing="0" w:after="0" w:afterAutospacing="0"/>
                    <w:ind w:left="0" w:right="0"/>
                    <w:jc w:val="center"/>
                    <w:rPr>
                      <w:rFonts w:hint="eastAsia" w:ascii="Times New Roman" w:hAnsi="Times New Roman" w:eastAsia="新宋体" w:cs="Times New Roman"/>
                      <w:color w:val="auto"/>
                      <w:szCs w:val="21"/>
                      <w:lang w:eastAsia="zh-CN"/>
                    </w:rPr>
                  </w:pPr>
                </w:p>
              </w:tc>
              <w:tc>
                <w:tcPr>
                  <w:tcW w:w="819" w:type="pct"/>
                  <w:vMerge w:val="continue"/>
                  <w:noWrap w:val="0"/>
                  <w:vAlign w:val="center"/>
                </w:tcPr>
                <w:p>
                  <w:pPr>
                    <w:keepNext w:val="0"/>
                    <w:keepLines w:val="0"/>
                    <w:suppressLineNumbers w:val="0"/>
                    <w:snapToGrid w:val="0"/>
                    <w:spacing w:before="0" w:beforeAutospacing="0" w:after="0" w:afterAutospacing="0"/>
                    <w:ind w:left="0" w:right="0"/>
                    <w:jc w:val="center"/>
                    <w:rPr>
                      <w:rFonts w:hint="eastAsia" w:ascii="Times New Roman" w:hAnsi="Times New Roman" w:eastAsia="新宋体" w:cs="Times New Roman"/>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2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rPr>
                  </w:pPr>
                </w:p>
              </w:tc>
              <w:tc>
                <w:tcPr>
                  <w:tcW w:w="301"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5</w:t>
                  </w:r>
                </w:p>
              </w:tc>
              <w:tc>
                <w:tcPr>
                  <w:tcW w:w="673" w:type="pct"/>
                  <w:noWrap w:val="0"/>
                  <w:vAlign w:val="center"/>
                </w:tcPr>
                <w:p>
                  <w:pPr>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eastAsia="zh-CN"/>
                    </w:rPr>
                    <w:t>西安市糖酒公司家属院</w:t>
                  </w:r>
                </w:p>
              </w:tc>
              <w:tc>
                <w:tcPr>
                  <w:tcW w:w="1378"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3794079.417</w:t>
                  </w:r>
                </w:p>
              </w:tc>
              <w:tc>
                <w:tcPr>
                  <w:tcW w:w="1266"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308794.297</w:t>
                  </w:r>
                </w:p>
              </w:tc>
              <w:tc>
                <w:tcPr>
                  <w:tcW w:w="367" w:type="pct"/>
                  <w:noWrap w:val="0"/>
                  <w:vAlign w:val="center"/>
                </w:tcPr>
                <w:p>
                  <w:pPr>
                    <w:keepNext w:val="0"/>
                    <w:keepLines w:val="0"/>
                    <w:suppressLineNumbers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eastAsia" w:cs="Times New Roman"/>
                      <w:color w:val="auto"/>
                      <w:kern w:val="0"/>
                      <w:szCs w:val="21"/>
                      <w:lang w:val="en-US" w:eastAsia="zh-CN"/>
                    </w:rPr>
                    <w:t>E</w:t>
                  </w:r>
                </w:p>
              </w:tc>
              <w:tc>
                <w:tcPr>
                  <w:tcW w:w="556" w:type="pct"/>
                  <w:noWrap w:val="0"/>
                  <w:vAlign w:val="center"/>
                </w:tcPr>
                <w:p>
                  <w:pPr>
                    <w:keepNext w:val="0"/>
                    <w:keepLines w:val="0"/>
                    <w:suppressLineNumbers w:val="0"/>
                    <w:snapToGrid w:val="0"/>
                    <w:spacing w:before="0" w:beforeAutospacing="0" w:after="0" w:afterAutospacing="0"/>
                    <w:ind w:left="0" w:leftChars="0" w:right="0" w:rightChars="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300</w:t>
                  </w:r>
                </w:p>
              </w:tc>
              <w:tc>
                <w:tcPr>
                  <w:tcW w:w="524" w:type="pct"/>
                  <w:vMerge w:val="continue"/>
                  <w:noWrap w:val="0"/>
                  <w:vAlign w:val="center"/>
                </w:tcPr>
                <w:p>
                  <w:pPr>
                    <w:keepNext w:val="0"/>
                    <w:keepLines w:val="0"/>
                    <w:suppressLineNumbers w:val="0"/>
                    <w:snapToGrid w:val="0"/>
                    <w:spacing w:before="0" w:beforeAutospacing="0" w:after="0" w:afterAutospacing="0"/>
                    <w:ind w:left="0" w:leftChars="0" w:right="0" w:rightChars="0"/>
                    <w:jc w:val="center"/>
                    <w:rPr>
                      <w:rFonts w:hint="eastAsia" w:ascii="Times New Roman" w:hAnsi="Times New Roman" w:eastAsia="新宋体" w:cs="Times New Roman"/>
                      <w:color w:val="auto"/>
                      <w:szCs w:val="21"/>
                      <w:lang w:eastAsia="zh-CN"/>
                    </w:rPr>
                  </w:pPr>
                </w:p>
              </w:tc>
              <w:tc>
                <w:tcPr>
                  <w:tcW w:w="819" w:type="pct"/>
                  <w:vMerge w:val="continue"/>
                  <w:noWrap w:val="0"/>
                  <w:vAlign w:val="center"/>
                </w:tcPr>
                <w:p>
                  <w:pPr>
                    <w:keepNext w:val="0"/>
                    <w:keepLines w:val="0"/>
                    <w:suppressLineNumbers w:val="0"/>
                    <w:snapToGrid w:val="0"/>
                    <w:spacing w:before="0" w:beforeAutospacing="0" w:after="0" w:afterAutospacing="0"/>
                    <w:ind w:left="0" w:leftChars="0" w:right="0" w:rightChars="0"/>
                    <w:jc w:val="center"/>
                    <w:rPr>
                      <w:rFonts w:hint="eastAsia" w:ascii="Times New Roman" w:hAnsi="Times New Roman" w:eastAsia="新宋体" w:cs="Times New Roman"/>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0" w:hRule="atLeast"/>
                <w:jc w:val="center"/>
              </w:trPr>
              <w:tc>
                <w:tcPr>
                  <w:tcW w:w="2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lang w:eastAsia="zh-CN"/>
                    </w:rPr>
                  </w:pPr>
                </w:p>
              </w:tc>
              <w:tc>
                <w:tcPr>
                  <w:tcW w:w="301"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6</w:t>
                  </w:r>
                </w:p>
              </w:tc>
              <w:tc>
                <w:tcPr>
                  <w:tcW w:w="673"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eastAsia="zh-CN"/>
                    </w:rPr>
                    <w:t>大庆商场家属院</w:t>
                  </w:r>
                </w:p>
              </w:tc>
              <w:tc>
                <w:tcPr>
                  <w:tcW w:w="1378"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3793935.496</w:t>
                  </w:r>
                </w:p>
              </w:tc>
              <w:tc>
                <w:tcPr>
                  <w:tcW w:w="1266"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308788.393</w:t>
                  </w:r>
                </w:p>
              </w:tc>
              <w:tc>
                <w:tcPr>
                  <w:tcW w:w="36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eastAsia" w:cs="Times New Roman"/>
                      <w:color w:val="auto"/>
                      <w:kern w:val="0"/>
                      <w:szCs w:val="21"/>
                      <w:lang w:val="en-US" w:eastAsia="zh-CN"/>
                    </w:rPr>
                    <w:t>SE</w:t>
                  </w:r>
                </w:p>
              </w:tc>
              <w:tc>
                <w:tcPr>
                  <w:tcW w:w="5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right="0"/>
                    <w:jc w:val="center"/>
                    <w:textAlignment w:val="auto"/>
                    <w:rPr>
                      <w:rFonts w:hint="default" w:ascii="Times New Roman" w:hAnsi="Times New Roman" w:eastAsia="宋体" w:cs="Times New Roman"/>
                      <w:color w:val="auto"/>
                      <w:lang w:val="en-US" w:eastAsia="zh-CN"/>
                    </w:rPr>
                  </w:pPr>
                  <w:r>
                    <w:rPr>
                      <w:rFonts w:hint="eastAsia" w:eastAsia="宋体" w:cs="Times New Roman"/>
                      <w:color w:val="auto"/>
                      <w:lang w:val="en-US" w:eastAsia="zh-CN"/>
                    </w:rPr>
                    <w:t>300</w:t>
                  </w:r>
                </w:p>
              </w:tc>
              <w:tc>
                <w:tcPr>
                  <w:tcW w:w="5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rPr>
                  </w:pPr>
                </w:p>
              </w:tc>
              <w:tc>
                <w:tcPr>
                  <w:tcW w:w="819"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2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lang w:eastAsia="zh-CN"/>
                    </w:rPr>
                  </w:pPr>
                </w:p>
              </w:tc>
              <w:tc>
                <w:tcPr>
                  <w:tcW w:w="301"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7</w:t>
                  </w:r>
                </w:p>
              </w:tc>
              <w:tc>
                <w:tcPr>
                  <w:tcW w:w="673"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eastAsia="zh-CN"/>
                    </w:rPr>
                    <w:t>化工大院</w:t>
                  </w:r>
                </w:p>
              </w:tc>
              <w:tc>
                <w:tcPr>
                  <w:tcW w:w="1378"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3793839.274</w:t>
                  </w:r>
                </w:p>
              </w:tc>
              <w:tc>
                <w:tcPr>
                  <w:tcW w:w="1266"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308661.901</w:t>
                  </w:r>
                </w:p>
              </w:tc>
              <w:tc>
                <w:tcPr>
                  <w:tcW w:w="36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eastAsia" w:cs="Times New Roman"/>
                      <w:color w:val="auto"/>
                      <w:kern w:val="0"/>
                      <w:szCs w:val="21"/>
                      <w:lang w:val="en-US" w:eastAsia="zh-CN"/>
                    </w:rPr>
                    <w:t>SE</w:t>
                  </w:r>
                </w:p>
              </w:tc>
              <w:tc>
                <w:tcPr>
                  <w:tcW w:w="5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right="0"/>
                    <w:jc w:val="center"/>
                    <w:textAlignment w:val="auto"/>
                    <w:rPr>
                      <w:rFonts w:hint="default" w:ascii="Times New Roman" w:hAnsi="Times New Roman" w:eastAsia="宋体" w:cs="Times New Roman"/>
                      <w:color w:val="auto"/>
                      <w:lang w:val="en-US" w:eastAsia="zh-CN"/>
                    </w:rPr>
                  </w:pPr>
                  <w:r>
                    <w:rPr>
                      <w:rFonts w:hint="eastAsia" w:eastAsia="宋体" w:cs="Times New Roman"/>
                      <w:color w:val="auto"/>
                      <w:lang w:val="en-US" w:eastAsia="zh-CN"/>
                    </w:rPr>
                    <w:t>330</w:t>
                  </w:r>
                </w:p>
              </w:tc>
              <w:tc>
                <w:tcPr>
                  <w:tcW w:w="5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rPr>
                  </w:pPr>
                </w:p>
              </w:tc>
              <w:tc>
                <w:tcPr>
                  <w:tcW w:w="819"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2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lang w:eastAsia="zh-CN"/>
                    </w:rPr>
                  </w:pPr>
                </w:p>
              </w:tc>
              <w:tc>
                <w:tcPr>
                  <w:tcW w:w="301"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8</w:t>
                  </w:r>
                </w:p>
              </w:tc>
              <w:tc>
                <w:tcPr>
                  <w:tcW w:w="673"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eastAsia="zh-CN"/>
                    </w:rPr>
                    <w:t>邮政方记实业公司家属院</w:t>
                  </w:r>
                </w:p>
              </w:tc>
              <w:tc>
                <w:tcPr>
                  <w:tcW w:w="1378"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3793833.746</w:t>
                  </w:r>
                </w:p>
              </w:tc>
              <w:tc>
                <w:tcPr>
                  <w:tcW w:w="1266"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308757.654</w:t>
                  </w:r>
                </w:p>
              </w:tc>
              <w:tc>
                <w:tcPr>
                  <w:tcW w:w="36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eastAsia" w:cs="Times New Roman"/>
                      <w:color w:val="auto"/>
                      <w:kern w:val="0"/>
                      <w:szCs w:val="21"/>
                      <w:lang w:val="en-US" w:eastAsia="zh-CN"/>
                    </w:rPr>
                    <w:t>SE</w:t>
                  </w:r>
                </w:p>
              </w:tc>
              <w:tc>
                <w:tcPr>
                  <w:tcW w:w="5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leftChars="0" w:right="0" w:rightChars="0"/>
                    <w:jc w:val="center"/>
                    <w:textAlignment w:val="auto"/>
                    <w:rPr>
                      <w:rFonts w:hint="default" w:ascii="Times New Roman" w:hAnsi="Times New Roman" w:eastAsia="宋体" w:cs="Times New Roman"/>
                      <w:color w:val="auto"/>
                      <w:kern w:val="2"/>
                      <w:sz w:val="21"/>
                      <w:szCs w:val="24"/>
                      <w:lang w:val="en-US" w:eastAsia="zh-CN" w:bidi="ar-SA"/>
                    </w:rPr>
                  </w:pPr>
                  <w:r>
                    <w:rPr>
                      <w:rFonts w:hint="eastAsia" w:eastAsia="宋体" w:cs="Times New Roman"/>
                      <w:color w:val="auto"/>
                      <w:lang w:val="en-US" w:eastAsia="zh-CN"/>
                    </w:rPr>
                    <w:t>420</w:t>
                  </w:r>
                </w:p>
              </w:tc>
              <w:tc>
                <w:tcPr>
                  <w:tcW w:w="5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rPr>
                  </w:pPr>
                </w:p>
              </w:tc>
              <w:tc>
                <w:tcPr>
                  <w:tcW w:w="819"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rPr>
                  </w:pPr>
                </w:p>
              </w:tc>
              <w:tc>
                <w:tcPr>
                  <w:tcW w:w="301"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9</w:t>
                  </w:r>
                </w:p>
              </w:tc>
              <w:tc>
                <w:tcPr>
                  <w:tcW w:w="673" w:type="pct"/>
                  <w:noWrap w:val="0"/>
                  <w:vAlign w:val="center"/>
                </w:tcPr>
                <w:p>
                  <w:pPr>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eastAsia="zh-CN"/>
                    </w:rPr>
                    <w:t>爱稚双语幼儿园</w:t>
                  </w:r>
                </w:p>
              </w:tc>
              <w:tc>
                <w:tcPr>
                  <w:tcW w:w="1378"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3793724.354</w:t>
                  </w:r>
                </w:p>
              </w:tc>
              <w:tc>
                <w:tcPr>
                  <w:tcW w:w="1266"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308693.156</w:t>
                  </w:r>
                </w:p>
              </w:tc>
              <w:tc>
                <w:tcPr>
                  <w:tcW w:w="36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0"/>
                      <w:szCs w:val="21"/>
                      <w:lang w:val="en-US" w:eastAsia="zh-CN"/>
                    </w:rPr>
                    <w:t>SE</w:t>
                  </w:r>
                </w:p>
              </w:tc>
              <w:tc>
                <w:tcPr>
                  <w:tcW w:w="5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leftChars="0" w:right="0" w:rightChars="0"/>
                    <w:jc w:val="center"/>
                    <w:textAlignment w:val="auto"/>
                    <w:rPr>
                      <w:rFonts w:hint="default" w:ascii="Times New Roman" w:hAnsi="Times New Roman" w:cs="Times New Roman"/>
                      <w:color w:val="auto"/>
                      <w:szCs w:val="21"/>
                      <w:lang w:val="en-US" w:eastAsia="zh-CN"/>
                    </w:rPr>
                  </w:pPr>
                  <w:r>
                    <w:rPr>
                      <w:rFonts w:hint="eastAsia" w:eastAsia="宋体" w:cs="Times New Roman"/>
                      <w:color w:val="auto"/>
                      <w:lang w:val="en-US" w:eastAsia="zh-CN"/>
                    </w:rPr>
                    <w:t>460</w:t>
                  </w:r>
                </w:p>
              </w:tc>
              <w:tc>
                <w:tcPr>
                  <w:tcW w:w="5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c>
                <w:tcPr>
                  <w:tcW w:w="819"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rPr>
                  </w:pPr>
                </w:p>
              </w:tc>
              <w:tc>
                <w:tcPr>
                  <w:tcW w:w="301"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10</w:t>
                  </w:r>
                </w:p>
              </w:tc>
              <w:tc>
                <w:tcPr>
                  <w:tcW w:w="673"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eastAsia="zh-CN"/>
                    </w:rPr>
                    <w:t>西城坊小区</w:t>
                  </w:r>
                </w:p>
              </w:tc>
              <w:tc>
                <w:tcPr>
                  <w:tcW w:w="1378"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3793597.918</w:t>
                  </w:r>
                </w:p>
              </w:tc>
              <w:tc>
                <w:tcPr>
                  <w:tcW w:w="1266"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308705.398</w:t>
                  </w:r>
                </w:p>
              </w:tc>
              <w:tc>
                <w:tcPr>
                  <w:tcW w:w="36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0"/>
                      <w:szCs w:val="21"/>
                      <w:lang w:val="en-US" w:eastAsia="zh-CN"/>
                    </w:rPr>
                    <w:t>SE</w:t>
                  </w:r>
                </w:p>
              </w:tc>
              <w:tc>
                <w:tcPr>
                  <w:tcW w:w="5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leftChars="0" w:right="0" w:rightChars="0"/>
                    <w:jc w:val="center"/>
                    <w:textAlignment w:val="auto"/>
                    <w:rPr>
                      <w:rFonts w:hint="eastAsia" w:ascii="Times New Roman" w:hAnsi="Times New Roman" w:cs="Times New Roman"/>
                      <w:color w:val="auto"/>
                      <w:szCs w:val="21"/>
                      <w:lang w:val="en-US" w:eastAsia="zh-CN"/>
                    </w:rPr>
                  </w:pPr>
                  <w:r>
                    <w:rPr>
                      <w:rFonts w:hint="eastAsia" w:eastAsia="宋体" w:cs="Times New Roman"/>
                      <w:color w:val="auto"/>
                      <w:lang w:val="en-US" w:eastAsia="zh-CN"/>
                    </w:rPr>
                    <w:t>490</w:t>
                  </w:r>
                </w:p>
              </w:tc>
              <w:tc>
                <w:tcPr>
                  <w:tcW w:w="5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c>
                <w:tcPr>
                  <w:tcW w:w="819"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2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rPr>
                  </w:pPr>
                </w:p>
              </w:tc>
              <w:tc>
                <w:tcPr>
                  <w:tcW w:w="301"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11</w:t>
                  </w:r>
                </w:p>
              </w:tc>
              <w:tc>
                <w:tcPr>
                  <w:tcW w:w="673"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eastAsia="zh-CN"/>
                    </w:rPr>
                    <w:t>自由际小区</w:t>
                  </w:r>
                </w:p>
              </w:tc>
              <w:tc>
                <w:tcPr>
                  <w:tcW w:w="1378"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3793578.379</w:t>
                  </w:r>
                </w:p>
              </w:tc>
              <w:tc>
                <w:tcPr>
                  <w:tcW w:w="1266"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308147.573</w:t>
                  </w:r>
                </w:p>
              </w:tc>
              <w:tc>
                <w:tcPr>
                  <w:tcW w:w="36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0"/>
                      <w:szCs w:val="21"/>
                      <w:lang w:val="en-US" w:eastAsia="zh-CN"/>
                    </w:rPr>
                    <w:t>SW</w:t>
                  </w:r>
                </w:p>
              </w:tc>
              <w:tc>
                <w:tcPr>
                  <w:tcW w:w="5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right="0"/>
                    <w:jc w:val="center"/>
                    <w:textAlignment w:val="auto"/>
                    <w:rPr>
                      <w:rFonts w:hint="default" w:ascii="Times New Roman" w:hAnsi="Times New Roman" w:cs="Times New Roman"/>
                      <w:color w:val="auto"/>
                      <w:szCs w:val="21"/>
                      <w:lang w:val="en-US" w:eastAsia="zh-CN"/>
                    </w:rPr>
                  </w:pPr>
                  <w:r>
                    <w:rPr>
                      <w:rFonts w:hint="eastAsia" w:cs="Times New Roman"/>
                      <w:color w:val="auto"/>
                      <w:szCs w:val="21"/>
                      <w:lang w:val="en-US" w:eastAsia="zh-CN"/>
                    </w:rPr>
                    <w:t>360</w:t>
                  </w:r>
                </w:p>
              </w:tc>
              <w:tc>
                <w:tcPr>
                  <w:tcW w:w="5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c>
                <w:tcPr>
                  <w:tcW w:w="819"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rPr>
                  </w:pPr>
                </w:p>
              </w:tc>
              <w:tc>
                <w:tcPr>
                  <w:tcW w:w="301"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12</w:t>
                  </w:r>
                </w:p>
              </w:tc>
              <w:tc>
                <w:tcPr>
                  <w:tcW w:w="673"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eastAsia="zh-CN"/>
                    </w:rPr>
                    <w:t>西安市第一中学</w:t>
                  </w:r>
                </w:p>
              </w:tc>
              <w:tc>
                <w:tcPr>
                  <w:tcW w:w="1378"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3793640.756</w:t>
                  </w:r>
                </w:p>
              </w:tc>
              <w:tc>
                <w:tcPr>
                  <w:tcW w:w="1266"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307950.195</w:t>
                  </w:r>
                </w:p>
              </w:tc>
              <w:tc>
                <w:tcPr>
                  <w:tcW w:w="36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0"/>
                      <w:szCs w:val="21"/>
                      <w:lang w:val="en-US" w:eastAsia="zh-CN"/>
                    </w:rPr>
                    <w:t>SW</w:t>
                  </w:r>
                </w:p>
              </w:tc>
              <w:tc>
                <w:tcPr>
                  <w:tcW w:w="5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right="0"/>
                    <w:jc w:val="center"/>
                    <w:textAlignment w:val="auto"/>
                    <w:rPr>
                      <w:rFonts w:hint="default" w:ascii="Times New Roman" w:hAnsi="Times New Roman" w:cs="Times New Roman"/>
                      <w:color w:val="auto"/>
                      <w:szCs w:val="21"/>
                      <w:lang w:val="en-US" w:eastAsia="zh-CN"/>
                    </w:rPr>
                  </w:pPr>
                  <w:r>
                    <w:rPr>
                      <w:rFonts w:hint="eastAsia" w:cs="Times New Roman"/>
                      <w:color w:val="auto"/>
                      <w:szCs w:val="21"/>
                      <w:lang w:val="en-US" w:eastAsia="zh-CN"/>
                    </w:rPr>
                    <w:t>450</w:t>
                  </w:r>
                </w:p>
              </w:tc>
              <w:tc>
                <w:tcPr>
                  <w:tcW w:w="5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c>
                <w:tcPr>
                  <w:tcW w:w="819"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rPr>
                  </w:pPr>
                </w:p>
              </w:tc>
              <w:tc>
                <w:tcPr>
                  <w:tcW w:w="301"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13</w:t>
                  </w:r>
                </w:p>
              </w:tc>
              <w:tc>
                <w:tcPr>
                  <w:tcW w:w="673"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eastAsia="zh-CN"/>
                    </w:rPr>
                    <w:t>五一新村</w:t>
                  </w:r>
                </w:p>
              </w:tc>
              <w:tc>
                <w:tcPr>
                  <w:tcW w:w="1378"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3793764.008</w:t>
                  </w:r>
                </w:p>
              </w:tc>
              <w:tc>
                <w:tcPr>
                  <w:tcW w:w="1266"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307919.119</w:t>
                  </w:r>
                </w:p>
              </w:tc>
              <w:tc>
                <w:tcPr>
                  <w:tcW w:w="36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0"/>
                      <w:szCs w:val="21"/>
                      <w:lang w:val="en-US" w:eastAsia="zh-CN"/>
                    </w:rPr>
                    <w:t>SW</w:t>
                  </w:r>
                </w:p>
              </w:tc>
              <w:tc>
                <w:tcPr>
                  <w:tcW w:w="5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right="0"/>
                    <w:jc w:val="center"/>
                    <w:textAlignment w:val="auto"/>
                    <w:rPr>
                      <w:rFonts w:hint="default" w:ascii="Times New Roman" w:hAnsi="Times New Roman" w:cs="Times New Roman"/>
                      <w:color w:val="auto"/>
                      <w:szCs w:val="21"/>
                      <w:lang w:val="en-US" w:eastAsia="zh-CN"/>
                    </w:rPr>
                  </w:pPr>
                  <w:r>
                    <w:rPr>
                      <w:rFonts w:hint="eastAsia" w:cs="Times New Roman"/>
                      <w:color w:val="auto"/>
                      <w:szCs w:val="21"/>
                      <w:lang w:val="en-US" w:eastAsia="zh-CN"/>
                    </w:rPr>
                    <w:t>420</w:t>
                  </w:r>
                </w:p>
              </w:tc>
              <w:tc>
                <w:tcPr>
                  <w:tcW w:w="5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c>
                <w:tcPr>
                  <w:tcW w:w="819"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2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rPr>
                  </w:pPr>
                </w:p>
              </w:tc>
              <w:tc>
                <w:tcPr>
                  <w:tcW w:w="301"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14</w:t>
                  </w:r>
                </w:p>
              </w:tc>
              <w:tc>
                <w:tcPr>
                  <w:tcW w:w="673"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eastAsia="zh-CN"/>
                    </w:rPr>
                    <w:t>马家庄</w:t>
                  </w:r>
                </w:p>
              </w:tc>
              <w:tc>
                <w:tcPr>
                  <w:tcW w:w="1378"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3793769.152</w:t>
                  </w:r>
                </w:p>
              </w:tc>
              <w:tc>
                <w:tcPr>
                  <w:tcW w:w="1266"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308132.703</w:t>
                  </w:r>
                </w:p>
              </w:tc>
              <w:tc>
                <w:tcPr>
                  <w:tcW w:w="36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0"/>
                      <w:szCs w:val="21"/>
                      <w:lang w:val="en-US" w:eastAsia="zh-CN"/>
                    </w:rPr>
                    <w:t>SW</w:t>
                  </w:r>
                </w:p>
              </w:tc>
              <w:tc>
                <w:tcPr>
                  <w:tcW w:w="5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right="0"/>
                    <w:jc w:val="center"/>
                    <w:textAlignment w:val="auto"/>
                    <w:rPr>
                      <w:rFonts w:hint="default" w:ascii="Times New Roman" w:hAnsi="Times New Roman" w:cs="Times New Roman"/>
                      <w:color w:val="auto"/>
                      <w:szCs w:val="21"/>
                      <w:lang w:val="en-US" w:eastAsia="zh-CN"/>
                    </w:rPr>
                  </w:pPr>
                  <w:r>
                    <w:rPr>
                      <w:rFonts w:hint="eastAsia" w:cs="Times New Roman"/>
                      <w:color w:val="auto"/>
                      <w:szCs w:val="21"/>
                      <w:lang w:val="en-US" w:eastAsia="zh-CN"/>
                    </w:rPr>
                    <w:t>290</w:t>
                  </w:r>
                </w:p>
              </w:tc>
              <w:tc>
                <w:tcPr>
                  <w:tcW w:w="5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c>
                <w:tcPr>
                  <w:tcW w:w="819"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rPr>
                  </w:pPr>
                </w:p>
              </w:tc>
              <w:tc>
                <w:tcPr>
                  <w:tcW w:w="301"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15</w:t>
                  </w:r>
                </w:p>
              </w:tc>
              <w:tc>
                <w:tcPr>
                  <w:tcW w:w="673"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eastAsia="zh-CN"/>
                    </w:rPr>
                    <w:t>华美小区</w:t>
                  </w:r>
                </w:p>
              </w:tc>
              <w:tc>
                <w:tcPr>
                  <w:tcW w:w="1378"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3793859.122</w:t>
                  </w:r>
                </w:p>
              </w:tc>
              <w:tc>
                <w:tcPr>
                  <w:tcW w:w="1266"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308157.278</w:t>
                  </w:r>
                </w:p>
              </w:tc>
              <w:tc>
                <w:tcPr>
                  <w:tcW w:w="36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0"/>
                      <w:szCs w:val="21"/>
                      <w:lang w:val="en-US" w:eastAsia="zh-CN"/>
                    </w:rPr>
                    <w:t>SW</w:t>
                  </w:r>
                </w:p>
              </w:tc>
              <w:tc>
                <w:tcPr>
                  <w:tcW w:w="5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right="0"/>
                    <w:jc w:val="center"/>
                    <w:textAlignment w:val="auto"/>
                    <w:rPr>
                      <w:rFonts w:hint="default" w:ascii="Times New Roman" w:hAnsi="Times New Roman" w:cs="Times New Roman"/>
                      <w:color w:val="auto"/>
                      <w:szCs w:val="21"/>
                      <w:lang w:val="en-US" w:eastAsia="zh-CN"/>
                    </w:rPr>
                  </w:pPr>
                  <w:r>
                    <w:rPr>
                      <w:rFonts w:hint="eastAsia" w:cs="Times New Roman"/>
                      <w:color w:val="auto"/>
                      <w:szCs w:val="21"/>
                      <w:lang w:val="en-US" w:eastAsia="zh-CN"/>
                    </w:rPr>
                    <w:t>150</w:t>
                  </w:r>
                </w:p>
              </w:tc>
              <w:tc>
                <w:tcPr>
                  <w:tcW w:w="5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c>
                <w:tcPr>
                  <w:tcW w:w="819"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2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rPr>
                  </w:pPr>
                </w:p>
              </w:tc>
              <w:tc>
                <w:tcPr>
                  <w:tcW w:w="301"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16</w:t>
                  </w:r>
                </w:p>
              </w:tc>
              <w:tc>
                <w:tcPr>
                  <w:tcW w:w="673"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eastAsia="zh-CN"/>
                    </w:rPr>
                    <w:t>恒天国际</w:t>
                  </w:r>
                </w:p>
              </w:tc>
              <w:tc>
                <w:tcPr>
                  <w:tcW w:w="1378"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3793868.398</w:t>
                  </w:r>
                </w:p>
              </w:tc>
              <w:tc>
                <w:tcPr>
                  <w:tcW w:w="1266"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307937.074</w:t>
                  </w:r>
                </w:p>
              </w:tc>
              <w:tc>
                <w:tcPr>
                  <w:tcW w:w="36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eastAsia="宋体" w:cs="Times New Roman"/>
                      <w:color w:val="auto"/>
                      <w:szCs w:val="21"/>
                      <w:lang w:val="en-US" w:eastAsia="zh-CN"/>
                    </w:rPr>
                    <w:t>W</w:t>
                  </w:r>
                </w:p>
              </w:tc>
              <w:tc>
                <w:tcPr>
                  <w:tcW w:w="5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right="0"/>
                    <w:jc w:val="center"/>
                    <w:textAlignment w:val="auto"/>
                    <w:rPr>
                      <w:rFonts w:hint="default" w:ascii="Times New Roman" w:hAnsi="Times New Roman" w:cs="Times New Roman"/>
                      <w:color w:val="auto"/>
                      <w:szCs w:val="21"/>
                      <w:lang w:val="en-US" w:eastAsia="zh-CN"/>
                    </w:rPr>
                  </w:pPr>
                  <w:r>
                    <w:rPr>
                      <w:rFonts w:hint="eastAsia" w:cs="Times New Roman"/>
                      <w:color w:val="auto"/>
                      <w:szCs w:val="21"/>
                      <w:lang w:val="en-US" w:eastAsia="zh-CN"/>
                    </w:rPr>
                    <w:t>320</w:t>
                  </w:r>
                </w:p>
              </w:tc>
              <w:tc>
                <w:tcPr>
                  <w:tcW w:w="5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c>
                <w:tcPr>
                  <w:tcW w:w="819"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rPr>
                  </w:pPr>
                </w:p>
              </w:tc>
              <w:tc>
                <w:tcPr>
                  <w:tcW w:w="301"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17</w:t>
                  </w:r>
                </w:p>
              </w:tc>
              <w:tc>
                <w:tcPr>
                  <w:tcW w:w="673"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eastAsia="zh-CN"/>
                    </w:rPr>
                    <w:t>蔚蓝国际</w:t>
                  </w:r>
                </w:p>
              </w:tc>
              <w:tc>
                <w:tcPr>
                  <w:tcW w:w="1378"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3794285.742</w:t>
                  </w:r>
                </w:p>
              </w:tc>
              <w:tc>
                <w:tcPr>
                  <w:tcW w:w="1266"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308193.69</w:t>
                  </w:r>
                </w:p>
              </w:tc>
              <w:tc>
                <w:tcPr>
                  <w:tcW w:w="36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0"/>
                      <w:szCs w:val="21"/>
                      <w:lang w:val="en-US" w:eastAsia="zh-CN"/>
                    </w:rPr>
                    <w:t>NW</w:t>
                  </w:r>
                </w:p>
              </w:tc>
              <w:tc>
                <w:tcPr>
                  <w:tcW w:w="5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right="0"/>
                    <w:jc w:val="center"/>
                    <w:textAlignment w:val="auto"/>
                    <w:rPr>
                      <w:rFonts w:hint="default" w:ascii="Times New Roman" w:hAnsi="Times New Roman" w:cs="Times New Roman"/>
                      <w:color w:val="auto"/>
                      <w:szCs w:val="21"/>
                      <w:lang w:val="en-US" w:eastAsia="zh-CN"/>
                    </w:rPr>
                  </w:pPr>
                  <w:r>
                    <w:rPr>
                      <w:rFonts w:hint="eastAsia" w:cs="Times New Roman"/>
                      <w:color w:val="auto"/>
                      <w:szCs w:val="21"/>
                      <w:lang w:val="en-US" w:eastAsia="zh-CN"/>
                    </w:rPr>
                    <w:t>220</w:t>
                  </w:r>
                </w:p>
              </w:tc>
              <w:tc>
                <w:tcPr>
                  <w:tcW w:w="5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c>
                <w:tcPr>
                  <w:tcW w:w="819"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2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rPr>
                  </w:pPr>
                </w:p>
              </w:tc>
              <w:tc>
                <w:tcPr>
                  <w:tcW w:w="301"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18</w:t>
                  </w:r>
                </w:p>
              </w:tc>
              <w:tc>
                <w:tcPr>
                  <w:tcW w:w="673"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eastAsia="zh-CN"/>
                    </w:rPr>
                    <w:t>天朗地产家属院</w:t>
                  </w:r>
                </w:p>
              </w:tc>
              <w:tc>
                <w:tcPr>
                  <w:tcW w:w="1378"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3794375.554</w:t>
                  </w:r>
                </w:p>
              </w:tc>
              <w:tc>
                <w:tcPr>
                  <w:tcW w:w="1266"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308167.859</w:t>
                  </w:r>
                </w:p>
              </w:tc>
              <w:tc>
                <w:tcPr>
                  <w:tcW w:w="36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0"/>
                      <w:szCs w:val="21"/>
                      <w:lang w:val="en-US" w:eastAsia="zh-CN"/>
                    </w:rPr>
                    <w:t>NW</w:t>
                  </w:r>
                </w:p>
              </w:tc>
              <w:tc>
                <w:tcPr>
                  <w:tcW w:w="5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right="0"/>
                    <w:jc w:val="center"/>
                    <w:textAlignment w:val="auto"/>
                    <w:rPr>
                      <w:rFonts w:hint="default" w:ascii="Times New Roman" w:hAnsi="Times New Roman" w:cs="Times New Roman"/>
                      <w:color w:val="auto"/>
                      <w:szCs w:val="21"/>
                      <w:lang w:val="en-US" w:eastAsia="zh-CN"/>
                    </w:rPr>
                  </w:pPr>
                  <w:r>
                    <w:rPr>
                      <w:rFonts w:hint="eastAsia" w:cs="Times New Roman"/>
                      <w:color w:val="auto"/>
                      <w:szCs w:val="21"/>
                      <w:lang w:val="en-US" w:eastAsia="zh-CN"/>
                    </w:rPr>
                    <w:t>340</w:t>
                  </w:r>
                </w:p>
              </w:tc>
              <w:tc>
                <w:tcPr>
                  <w:tcW w:w="5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c>
                <w:tcPr>
                  <w:tcW w:w="819"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rPr>
                  </w:pPr>
                </w:p>
              </w:tc>
              <w:tc>
                <w:tcPr>
                  <w:tcW w:w="301"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19</w:t>
                  </w:r>
                </w:p>
              </w:tc>
              <w:tc>
                <w:tcPr>
                  <w:tcW w:w="673"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eastAsia="zh-CN"/>
                    </w:rPr>
                    <w:t>友谊集团家属院</w:t>
                  </w:r>
                </w:p>
              </w:tc>
              <w:tc>
                <w:tcPr>
                  <w:tcW w:w="1378"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3794317.186</w:t>
                  </w:r>
                </w:p>
              </w:tc>
              <w:tc>
                <w:tcPr>
                  <w:tcW w:w="1266"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307937.385</w:t>
                  </w:r>
                </w:p>
              </w:tc>
              <w:tc>
                <w:tcPr>
                  <w:tcW w:w="36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0"/>
                      <w:szCs w:val="21"/>
                      <w:lang w:val="en-US" w:eastAsia="zh-CN"/>
                    </w:rPr>
                    <w:t>NW</w:t>
                  </w:r>
                </w:p>
              </w:tc>
              <w:tc>
                <w:tcPr>
                  <w:tcW w:w="5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right="0"/>
                    <w:jc w:val="center"/>
                    <w:textAlignment w:val="auto"/>
                    <w:rPr>
                      <w:rFonts w:hint="default" w:ascii="Times New Roman" w:hAnsi="Times New Roman" w:cs="Times New Roman"/>
                      <w:color w:val="auto"/>
                      <w:szCs w:val="21"/>
                      <w:lang w:val="en-US" w:eastAsia="zh-CN"/>
                    </w:rPr>
                  </w:pPr>
                  <w:r>
                    <w:rPr>
                      <w:rFonts w:hint="eastAsia" w:cs="Times New Roman"/>
                      <w:color w:val="auto"/>
                      <w:szCs w:val="21"/>
                      <w:lang w:val="en-US" w:eastAsia="zh-CN"/>
                    </w:rPr>
                    <w:t>410</w:t>
                  </w:r>
                </w:p>
              </w:tc>
              <w:tc>
                <w:tcPr>
                  <w:tcW w:w="5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c>
                <w:tcPr>
                  <w:tcW w:w="819"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rPr>
                  </w:pPr>
                </w:p>
              </w:tc>
              <w:tc>
                <w:tcPr>
                  <w:tcW w:w="301"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20</w:t>
                  </w:r>
                </w:p>
              </w:tc>
              <w:tc>
                <w:tcPr>
                  <w:tcW w:w="673"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eastAsia="zh-CN"/>
                    </w:rPr>
                    <w:t>古都小区</w:t>
                  </w:r>
                </w:p>
              </w:tc>
              <w:tc>
                <w:tcPr>
                  <w:tcW w:w="1378"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3794451.73</w:t>
                  </w:r>
                </w:p>
              </w:tc>
              <w:tc>
                <w:tcPr>
                  <w:tcW w:w="1266"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307936.192</w:t>
                  </w:r>
                </w:p>
              </w:tc>
              <w:tc>
                <w:tcPr>
                  <w:tcW w:w="36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0"/>
                      <w:szCs w:val="21"/>
                      <w:lang w:val="en-US" w:eastAsia="zh-CN"/>
                    </w:rPr>
                    <w:t>NW</w:t>
                  </w:r>
                </w:p>
              </w:tc>
              <w:tc>
                <w:tcPr>
                  <w:tcW w:w="5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right="0"/>
                    <w:jc w:val="center"/>
                    <w:textAlignment w:val="auto"/>
                    <w:rPr>
                      <w:rFonts w:hint="default" w:ascii="Times New Roman" w:hAnsi="Times New Roman" w:cs="Times New Roman"/>
                      <w:color w:val="auto"/>
                      <w:szCs w:val="21"/>
                      <w:lang w:val="en-US" w:eastAsia="zh-CN"/>
                    </w:rPr>
                  </w:pPr>
                  <w:r>
                    <w:rPr>
                      <w:rFonts w:hint="eastAsia" w:cs="Times New Roman"/>
                      <w:color w:val="auto"/>
                      <w:szCs w:val="21"/>
                      <w:lang w:val="en-US" w:eastAsia="zh-CN"/>
                    </w:rPr>
                    <w:t>450</w:t>
                  </w:r>
                </w:p>
              </w:tc>
              <w:tc>
                <w:tcPr>
                  <w:tcW w:w="5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c>
                <w:tcPr>
                  <w:tcW w:w="819"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2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rPr>
                  </w:pPr>
                </w:p>
              </w:tc>
              <w:tc>
                <w:tcPr>
                  <w:tcW w:w="301"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21</w:t>
                  </w:r>
                </w:p>
              </w:tc>
              <w:tc>
                <w:tcPr>
                  <w:tcW w:w="673"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eastAsia="zh-CN"/>
                    </w:rPr>
                    <w:t>黄金嘉境</w:t>
                  </w:r>
                </w:p>
              </w:tc>
              <w:tc>
                <w:tcPr>
                  <w:tcW w:w="1378"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3794574.962</w:t>
                  </w:r>
                </w:p>
              </w:tc>
              <w:tc>
                <w:tcPr>
                  <w:tcW w:w="1266"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307906.108</w:t>
                  </w:r>
                </w:p>
              </w:tc>
              <w:tc>
                <w:tcPr>
                  <w:tcW w:w="36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0"/>
                      <w:szCs w:val="21"/>
                      <w:lang w:val="en-US" w:eastAsia="zh-CN"/>
                    </w:rPr>
                    <w:t>NW</w:t>
                  </w:r>
                </w:p>
              </w:tc>
              <w:tc>
                <w:tcPr>
                  <w:tcW w:w="5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right="0"/>
                    <w:jc w:val="center"/>
                    <w:textAlignment w:val="auto"/>
                    <w:rPr>
                      <w:rFonts w:hint="default" w:ascii="Times New Roman" w:hAnsi="Times New Roman" w:cs="Times New Roman"/>
                      <w:color w:val="auto"/>
                      <w:szCs w:val="21"/>
                      <w:lang w:val="en-US" w:eastAsia="zh-CN"/>
                    </w:rPr>
                  </w:pPr>
                  <w:r>
                    <w:rPr>
                      <w:rFonts w:hint="eastAsia" w:cs="Times New Roman"/>
                      <w:color w:val="auto"/>
                      <w:szCs w:val="21"/>
                      <w:lang w:val="en-US" w:eastAsia="zh-CN"/>
                    </w:rPr>
                    <w:t>500</w:t>
                  </w:r>
                </w:p>
              </w:tc>
              <w:tc>
                <w:tcPr>
                  <w:tcW w:w="5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c>
                <w:tcPr>
                  <w:tcW w:w="819"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rPr>
                  </w:pPr>
                </w:p>
              </w:tc>
              <w:tc>
                <w:tcPr>
                  <w:tcW w:w="301"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22</w:t>
                  </w:r>
                </w:p>
              </w:tc>
              <w:tc>
                <w:tcPr>
                  <w:tcW w:w="673"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eastAsia="zh-CN"/>
                    </w:rPr>
                    <w:t>玉祥阁家属院</w:t>
                  </w:r>
                </w:p>
              </w:tc>
              <w:tc>
                <w:tcPr>
                  <w:tcW w:w="1378"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3794441.765</w:t>
                  </w:r>
                </w:p>
              </w:tc>
              <w:tc>
                <w:tcPr>
                  <w:tcW w:w="1266"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308189.969</w:t>
                  </w:r>
                </w:p>
              </w:tc>
              <w:tc>
                <w:tcPr>
                  <w:tcW w:w="36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0"/>
                      <w:szCs w:val="21"/>
                      <w:lang w:val="en-US" w:eastAsia="zh-CN"/>
                    </w:rPr>
                    <w:t>NW</w:t>
                  </w:r>
                </w:p>
              </w:tc>
              <w:tc>
                <w:tcPr>
                  <w:tcW w:w="5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right="0"/>
                    <w:jc w:val="center"/>
                    <w:textAlignment w:val="auto"/>
                    <w:rPr>
                      <w:rFonts w:hint="default" w:ascii="Times New Roman" w:hAnsi="Times New Roman" w:cs="Times New Roman"/>
                      <w:color w:val="auto"/>
                      <w:szCs w:val="21"/>
                      <w:lang w:val="en-US" w:eastAsia="zh-CN"/>
                    </w:rPr>
                  </w:pPr>
                  <w:r>
                    <w:rPr>
                      <w:rFonts w:hint="eastAsia" w:cs="Times New Roman"/>
                      <w:color w:val="auto"/>
                      <w:szCs w:val="21"/>
                      <w:lang w:val="en-US" w:eastAsia="zh-CN"/>
                    </w:rPr>
                    <w:t>300</w:t>
                  </w:r>
                </w:p>
              </w:tc>
              <w:tc>
                <w:tcPr>
                  <w:tcW w:w="5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c>
                <w:tcPr>
                  <w:tcW w:w="819"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2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rPr>
                  </w:pPr>
                </w:p>
              </w:tc>
              <w:tc>
                <w:tcPr>
                  <w:tcW w:w="301"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23</w:t>
                  </w:r>
                </w:p>
              </w:tc>
              <w:tc>
                <w:tcPr>
                  <w:tcW w:w="673"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eastAsia="zh-CN"/>
                    </w:rPr>
                    <w:t>逸园小区</w:t>
                  </w:r>
                </w:p>
              </w:tc>
              <w:tc>
                <w:tcPr>
                  <w:tcW w:w="1378"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3794502.974</w:t>
                  </w:r>
                </w:p>
              </w:tc>
              <w:tc>
                <w:tcPr>
                  <w:tcW w:w="1266" w:type="dxa"/>
                  <w:noWrap w:val="0"/>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308223.835</w:t>
                  </w:r>
                </w:p>
              </w:tc>
              <w:tc>
                <w:tcPr>
                  <w:tcW w:w="36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0"/>
                      <w:szCs w:val="21"/>
                      <w:lang w:val="en-US" w:eastAsia="zh-CN"/>
                    </w:rPr>
                    <w:t>NW</w:t>
                  </w:r>
                </w:p>
              </w:tc>
              <w:tc>
                <w:tcPr>
                  <w:tcW w:w="5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right="0"/>
                    <w:jc w:val="center"/>
                    <w:textAlignment w:val="auto"/>
                    <w:rPr>
                      <w:rFonts w:hint="default" w:ascii="Times New Roman" w:hAnsi="Times New Roman" w:cs="Times New Roman"/>
                      <w:color w:val="auto"/>
                      <w:szCs w:val="21"/>
                      <w:lang w:val="en-US" w:eastAsia="zh-CN"/>
                    </w:rPr>
                  </w:pPr>
                  <w:r>
                    <w:rPr>
                      <w:rFonts w:hint="eastAsia" w:cs="Times New Roman"/>
                      <w:color w:val="auto"/>
                      <w:szCs w:val="21"/>
                      <w:lang w:val="en-US" w:eastAsia="zh-CN"/>
                    </w:rPr>
                    <w:t>380</w:t>
                  </w:r>
                </w:p>
              </w:tc>
              <w:tc>
                <w:tcPr>
                  <w:tcW w:w="5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c>
                <w:tcPr>
                  <w:tcW w:w="819"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rPr>
                  </w:pPr>
                </w:p>
              </w:tc>
              <w:tc>
                <w:tcPr>
                  <w:tcW w:w="301"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24</w:t>
                  </w:r>
                </w:p>
              </w:tc>
              <w:tc>
                <w:tcPr>
                  <w:tcW w:w="673"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eastAsia="zh-CN"/>
                    </w:rPr>
                    <w:t>陕西省皮肤性病防治所</w:t>
                  </w:r>
                </w:p>
              </w:tc>
              <w:tc>
                <w:tcPr>
                  <w:tcW w:w="1378"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3794296.375</w:t>
                  </w:r>
                </w:p>
              </w:tc>
              <w:tc>
                <w:tcPr>
                  <w:tcW w:w="1266"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308648.511</w:t>
                  </w:r>
                </w:p>
              </w:tc>
              <w:tc>
                <w:tcPr>
                  <w:tcW w:w="36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NE</w:t>
                  </w:r>
                </w:p>
              </w:tc>
              <w:tc>
                <w:tcPr>
                  <w:tcW w:w="5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right="0"/>
                    <w:jc w:val="center"/>
                    <w:textAlignment w:val="auto"/>
                    <w:rPr>
                      <w:rFonts w:hint="default" w:ascii="Times New Roman" w:hAnsi="Times New Roman" w:cs="Times New Roman"/>
                      <w:color w:val="auto"/>
                      <w:szCs w:val="21"/>
                      <w:lang w:val="en-US" w:eastAsia="zh-CN"/>
                    </w:rPr>
                  </w:pPr>
                  <w:r>
                    <w:rPr>
                      <w:rFonts w:hint="eastAsia" w:cs="Times New Roman"/>
                      <w:color w:val="auto"/>
                      <w:szCs w:val="21"/>
                      <w:lang w:val="en-US" w:eastAsia="zh-CN"/>
                    </w:rPr>
                    <w:t>280</w:t>
                  </w:r>
                </w:p>
              </w:tc>
              <w:tc>
                <w:tcPr>
                  <w:tcW w:w="5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c>
                <w:tcPr>
                  <w:tcW w:w="819"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2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rPr>
                  </w:pPr>
                </w:p>
              </w:tc>
              <w:tc>
                <w:tcPr>
                  <w:tcW w:w="301"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25</w:t>
                  </w:r>
                </w:p>
              </w:tc>
              <w:tc>
                <w:tcPr>
                  <w:tcW w:w="673"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eastAsia="zh-CN"/>
                    </w:rPr>
                    <w:t>陕西省皮防所医院</w:t>
                  </w:r>
                </w:p>
              </w:tc>
              <w:tc>
                <w:tcPr>
                  <w:tcW w:w="1378"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3794278.643</w:t>
                  </w:r>
                </w:p>
              </w:tc>
              <w:tc>
                <w:tcPr>
                  <w:tcW w:w="1266"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308598.735</w:t>
                  </w:r>
                </w:p>
              </w:tc>
              <w:tc>
                <w:tcPr>
                  <w:tcW w:w="36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NE</w:t>
                  </w:r>
                </w:p>
              </w:tc>
              <w:tc>
                <w:tcPr>
                  <w:tcW w:w="5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right="0"/>
                    <w:jc w:val="center"/>
                    <w:textAlignment w:val="auto"/>
                    <w:rPr>
                      <w:rFonts w:hint="default" w:ascii="Times New Roman" w:hAnsi="Times New Roman" w:cs="Times New Roman"/>
                      <w:color w:val="auto"/>
                      <w:szCs w:val="21"/>
                      <w:lang w:val="en-US" w:eastAsia="zh-CN"/>
                    </w:rPr>
                  </w:pPr>
                  <w:r>
                    <w:rPr>
                      <w:rFonts w:hint="eastAsia" w:cs="Times New Roman"/>
                      <w:color w:val="auto"/>
                      <w:szCs w:val="21"/>
                      <w:lang w:val="en-US" w:eastAsia="zh-CN"/>
                    </w:rPr>
                    <w:t>330</w:t>
                  </w:r>
                </w:p>
              </w:tc>
              <w:tc>
                <w:tcPr>
                  <w:tcW w:w="5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c>
                <w:tcPr>
                  <w:tcW w:w="819"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rPr>
                  </w:pPr>
                </w:p>
              </w:tc>
              <w:tc>
                <w:tcPr>
                  <w:tcW w:w="301"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26</w:t>
                  </w:r>
                </w:p>
              </w:tc>
              <w:tc>
                <w:tcPr>
                  <w:tcW w:w="673"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eastAsia="zh-CN"/>
                    </w:rPr>
                    <w:t>瑞美尔口腔护理</w:t>
                  </w:r>
                </w:p>
              </w:tc>
              <w:tc>
                <w:tcPr>
                  <w:tcW w:w="1378"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3794286.324</w:t>
                  </w:r>
                </w:p>
              </w:tc>
              <w:tc>
                <w:tcPr>
                  <w:tcW w:w="1266"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308805.44</w:t>
                  </w:r>
                </w:p>
              </w:tc>
              <w:tc>
                <w:tcPr>
                  <w:tcW w:w="36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NE</w:t>
                  </w:r>
                </w:p>
              </w:tc>
              <w:tc>
                <w:tcPr>
                  <w:tcW w:w="5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right="0"/>
                    <w:jc w:val="center"/>
                    <w:textAlignment w:val="auto"/>
                    <w:rPr>
                      <w:rFonts w:hint="default" w:ascii="Times New Roman" w:hAnsi="Times New Roman" w:cs="Times New Roman"/>
                      <w:color w:val="auto"/>
                      <w:szCs w:val="21"/>
                      <w:lang w:val="en-US" w:eastAsia="zh-CN"/>
                    </w:rPr>
                  </w:pPr>
                  <w:r>
                    <w:rPr>
                      <w:rFonts w:hint="eastAsia" w:cs="Times New Roman"/>
                      <w:color w:val="auto"/>
                      <w:szCs w:val="21"/>
                      <w:lang w:val="en-US" w:eastAsia="zh-CN"/>
                    </w:rPr>
                    <w:t>460</w:t>
                  </w:r>
                </w:p>
              </w:tc>
              <w:tc>
                <w:tcPr>
                  <w:tcW w:w="5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c>
                <w:tcPr>
                  <w:tcW w:w="819"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rPr>
                  </w:pPr>
                </w:p>
              </w:tc>
              <w:tc>
                <w:tcPr>
                  <w:tcW w:w="301"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27</w:t>
                  </w:r>
                </w:p>
              </w:tc>
              <w:tc>
                <w:tcPr>
                  <w:tcW w:w="673"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eastAsia="zh-CN"/>
                    </w:rPr>
                    <w:t>正尙华西医院</w:t>
                  </w:r>
                </w:p>
              </w:tc>
              <w:tc>
                <w:tcPr>
                  <w:tcW w:w="1378"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3794137.714</w:t>
                  </w:r>
                </w:p>
              </w:tc>
              <w:tc>
                <w:tcPr>
                  <w:tcW w:w="1266"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308708.519</w:t>
                  </w:r>
                </w:p>
              </w:tc>
              <w:tc>
                <w:tcPr>
                  <w:tcW w:w="36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NE</w:t>
                  </w:r>
                </w:p>
              </w:tc>
              <w:tc>
                <w:tcPr>
                  <w:tcW w:w="5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right="0"/>
                    <w:jc w:val="center"/>
                    <w:textAlignment w:val="auto"/>
                    <w:rPr>
                      <w:rFonts w:hint="default" w:ascii="Times New Roman" w:hAnsi="Times New Roman" w:cs="Times New Roman"/>
                      <w:color w:val="auto"/>
                      <w:szCs w:val="21"/>
                      <w:lang w:val="en-US" w:eastAsia="zh-CN"/>
                    </w:rPr>
                  </w:pPr>
                  <w:r>
                    <w:rPr>
                      <w:rFonts w:hint="eastAsia" w:cs="Times New Roman"/>
                      <w:color w:val="auto"/>
                      <w:szCs w:val="21"/>
                      <w:lang w:val="en-US" w:eastAsia="zh-CN"/>
                    </w:rPr>
                    <w:t>330</w:t>
                  </w:r>
                </w:p>
              </w:tc>
              <w:tc>
                <w:tcPr>
                  <w:tcW w:w="524"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c>
                <w:tcPr>
                  <w:tcW w:w="819"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276" w:type="pct"/>
                  <w:vMerge w:val="continue"/>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rPr>
                  </w:pPr>
                </w:p>
              </w:tc>
              <w:tc>
                <w:tcPr>
                  <w:tcW w:w="301"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28</w:t>
                  </w:r>
                </w:p>
              </w:tc>
              <w:tc>
                <w:tcPr>
                  <w:tcW w:w="673" w:type="pct"/>
                  <w:noWrap w:val="0"/>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eastAsia="zh-CN"/>
                    </w:rPr>
                    <w:t>西安明城墙</w:t>
                  </w:r>
                </w:p>
              </w:tc>
              <w:tc>
                <w:tcPr>
                  <w:tcW w:w="1378"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3794074.52</w:t>
                  </w:r>
                </w:p>
              </w:tc>
              <w:tc>
                <w:tcPr>
                  <w:tcW w:w="1266"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308567.879</w:t>
                  </w:r>
                </w:p>
              </w:tc>
              <w:tc>
                <w:tcPr>
                  <w:tcW w:w="36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eastAsia="宋体" w:cs="Times New Roman"/>
                      <w:color w:val="auto"/>
                      <w:szCs w:val="21"/>
                      <w:lang w:val="en-US" w:eastAsia="zh-CN"/>
                    </w:rPr>
                    <w:t>E</w:t>
                  </w:r>
                </w:p>
              </w:tc>
              <w:tc>
                <w:tcPr>
                  <w:tcW w:w="5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63" w:beforeLines="20" w:beforeAutospacing="0" w:after="63" w:afterLines="20" w:afterAutospacing="0"/>
                    <w:ind w:left="0" w:right="0"/>
                    <w:jc w:val="center"/>
                    <w:textAlignment w:val="auto"/>
                    <w:rPr>
                      <w:rFonts w:hint="default" w:ascii="Times New Roman" w:hAnsi="Times New Roman" w:cs="Times New Roman"/>
                      <w:color w:val="auto"/>
                      <w:szCs w:val="21"/>
                      <w:lang w:val="en-US" w:eastAsia="zh-CN"/>
                    </w:rPr>
                  </w:pPr>
                  <w:r>
                    <w:rPr>
                      <w:rFonts w:hint="eastAsia" w:cs="Times New Roman"/>
                      <w:color w:val="auto"/>
                      <w:szCs w:val="21"/>
                      <w:lang w:val="en-US" w:eastAsia="zh-CN"/>
                    </w:rPr>
                    <w:t>180</w:t>
                  </w:r>
                </w:p>
              </w:tc>
              <w:tc>
                <w:tcPr>
                  <w:tcW w:w="524" w:type="pct"/>
                  <w:noWrap w:val="0"/>
                  <w:vAlign w:val="center"/>
                </w:tcPr>
                <w:p>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color w:val="auto"/>
                      <w:kern w:val="0"/>
                      <w:szCs w:val="21"/>
                      <w:lang w:eastAsia="zh-CN"/>
                    </w:rPr>
                  </w:pPr>
                  <w:r>
                    <w:rPr>
                      <w:rFonts w:hint="eastAsia" w:cs="Times New Roman"/>
                      <w:color w:val="auto"/>
                      <w:kern w:val="0"/>
                      <w:szCs w:val="21"/>
                      <w:lang w:eastAsia="zh-CN"/>
                    </w:rPr>
                    <w:t>国家级保护文物</w:t>
                  </w:r>
                </w:p>
              </w:tc>
              <w:tc>
                <w:tcPr>
                  <w:tcW w:w="819" w:type="pct"/>
                  <w:noWrap w:val="0"/>
                  <w:vAlign w:val="center"/>
                </w:tcPr>
                <w:p>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rPr>
                    <w:t>/</w:t>
                  </w:r>
                </w:p>
              </w:tc>
            </w:tr>
          </w:tbl>
          <w:p>
            <w:pPr>
              <w:pStyle w:val="24"/>
              <w:ind w:left="0" w:leftChars="0" w:firstLine="0" w:firstLineChars="0"/>
              <w:rPr>
                <w:rFonts w:hint="eastAsia"/>
                <w:color w:val="auto"/>
                <w:sz w:val="24"/>
                <w:szCs w:val="24"/>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02" w:type="pct"/>
            <w:tcMar>
              <w:left w:w="28" w:type="dxa"/>
              <w:right w:w="28" w:type="dxa"/>
            </w:tcMar>
            <w:vAlign w:val="center"/>
          </w:tcPr>
          <w:p>
            <w:pPr>
              <w:adjustRightInd w:val="0"/>
              <w:snapToGrid w:val="0"/>
              <w:jc w:val="center"/>
              <w:rPr>
                <w:color w:val="auto"/>
                <w:kern w:val="21"/>
                <w:sz w:val="24"/>
                <w:szCs w:val="24"/>
              </w:rPr>
            </w:pPr>
            <w:r>
              <w:rPr>
                <w:color w:val="auto"/>
                <w:kern w:val="21"/>
                <w:sz w:val="24"/>
                <w:szCs w:val="24"/>
              </w:rPr>
              <w:t>污染</w:t>
            </w:r>
          </w:p>
          <w:p>
            <w:pPr>
              <w:adjustRightInd w:val="0"/>
              <w:snapToGrid w:val="0"/>
              <w:jc w:val="center"/>
              <w:rPr>
                <w:color w:val="auto"/>
                <w:kern w:val="21"/>
                <w:sz w:val="24"/>
                <w:szCs w:val="24"/>
              </w:rPr>
            </w:pPr>
            <w:r>
              <w:rPr>
                <w:color w:val="auto"/>
                <w:kern w:val="21"/>
                <w:sz w:val="24"/>
                <w:szCs w:val="24"/>
              </w:rPr>
              <w:t>物排</w:t>
            </w:r>
          </w:p>
          <w:p>
            <w:pPr>
              <w:adjustRightInd w:val="0"/>
              <w:snapToGrid w:val="0"/>
              <w:jc w:val="center"/>
              <w:rPr>
                <w:color w:val="auto"/>
                <w:kern w:val="21"/>
                <w:sz w:val="24"/>
                <w:szCs w:val="24"/>
              </w:rPr>
            </w:pPr>
            <w:r>
              <w:rPr>
                <w:color w:val="auto"/>
                <w:kern w:val="21"/>
                <w:sz w:val="24"/>
                <w:szCs w:val="24"/>
              </w:rPr>
              <w:t>放控</w:t>
            </w:r>
          </w:p>
          <w:p>
            <w:pPr>
              <w:adjustRightInd w:val="0"/>
              <w:snapToGrid w:val="0"/>
              <w:jc w:val="center"/>
              <w:rPr>
                <w:color w:val="auto"/>
                <w:kern w:val="21"/>
                <w:sz w:val="24"/>
                <w:szCs w:val="24"/>
              </w:rPr>
            </w:pPr>
            <w:r>
              <w:rPr>
                <w:color w:val="auto"/>
                <w:kern w:val="21"/>
                <w:sz w:val="24"/>
                <w:szCs w:val="24"/>
              </w:rPr>
              <w:t>制标</w:t>
            </w:r>
          </w:p>
          <w:p>
            <w:pPr>
              <w:adjustRightInd w:val="0"/>
              <w:snapToGrid w:val="0"/>
              <w:jc w:val="center"/>
              <w:rPr>
                <w:color w:val="auto"/>
                <w:kern w:val="21"/>
                <w:sz w:val="24"/>
                <w:szCs w:val="24"/>
              </w:rPr>
            </w:pPr>
            <w:r>
              <w:rPr>
                <w:color w:val="auto"/>
                <w:kern w:val="21"/>
                <w:sz w:val="24"/>
                <w:szCs w:val="24"/>
              </w:rPr>
              <w:t>准</w:t>
            </w:r>
          </w:p>
        </w:tc>
        <w:tc>
          <w:tcPr>
            <w:tcW w:w="4597" w:type="pct"/>
            <w:vAlign w:val="center"/>
          </w:tcPr>
          <w:p>
            <w:pPr>
              <w:spacing w:before="120" w:beforeLines="50" w:line="360" w:lineRule="auto"/>
              <w:ind w:firstLine="480" w:firstLineChars="200"/>
              <w:rPr>
                <w:color w:val="auto"/>
                <w:sz w:val="24"/>
                <w:szCs w:val="24"/>
              </w:rPr>
            </w:pPr>
            <w:r>
              <w:rPr>
                <w:color w:val="auto"/>
                <w:sz w:val="24"/>
                <w:szCs w:val="24"/>
              </w:rPr>
              <w:t>1、大气污染物排放标准</w:t>
            </w:r>
          </w:p>
          <w:p>
            <w:pPr>
              <w:tabs>
                <w:tab w:val="left" w:pos="5142"/>
              </w:tabs>
              <w:adjustRightInd w:val="0"/>
              <w:snapToGrid w:val="0"/>
              <w:spacing w:line="360" w:lineRule="auto"/>
              <w:ind w:firstLine="480" w:firstLineChars="200"/>
              <w:rPr>
                <w:color w:val="auto"/>
                <w:sz w:val="24"/>
                <w:szCs w:val="24"/>
              </w:rPr>
            </w:pPr>
            <w:r>
              <w:rPr>
                <w:rFonts w:hint="eastAsia"/>
                <w:color w:val="auto"/>
                <w:sz w:val="24"/>
                <w:szCs w:val="24"/>
                <w:lang w:eastAsia="zh-CN"/>
              </w:rPr>
              <w:t>运营期：</w:t>
            </w:r>
            <w:r>
              <w:rPr>
                <w:color w:val="auto"/>
                <w:sz w:val="24"/>
                <w:szCs w:val="24"/>
              </w:rPr>
              <w:t>本项目废气主要为污水处理站产生的恶臭，污水处理站周边大气污染物浓度执行《医疗机构水污染物排放标准》（GB18466-2005）中表3标准，具体见表3-</w:t>
            </w:r>
            <w:r>
              <w:rPr>
                <w:rFonts w:hint="eastAsia"/>
                <w:color w:val="auto"/>
                <w:sz w:val="24"/>
                <w:szCs w:val="24"/>
                <w:lang w:val="en-US" w:eastAsia="zh-CN"/>
              </w:rPr>
              <w:t>4</w:t>
            </w:r>
            <w:r>
              <w:rPr>
                <w:color w:val="auto"/>
                <w:sz w:val="24"/>
                <w:szCs w:val="24"/>
              </w:rPr>
              <w:t>。</w:t>
            </w:r>
          </w:p>
          <w:p>
            <w:pPr>
              <w:keepNext/>
              <w:jc w:val="center"/>
              <w:rPr>
                <w:b/>
                <w:bCs/>
                <w:color w:val="auto"/>
              </w:rPr>
            </w:pPr>
            <w:r>
              <w:rPr>
                <w:b/>
                <w:bCs/>
                <w:color w:val="auto"/>
              </w:rPr>
              <w:t>表3-</w:t>
            </w:r>
            <w:r>
              <w:rPr>
                <w:rFonts w:hint="eastAsia"/>
                <w:b/>
                <w:bCs/>
                <w:color w:val="auto"/>
                <w:lang w:val="en-US" w:eastAsia="zh-CN"/>
              </w:rPr>
              <w:t>4</w:t>
            </w:r>
            <w:r>
              <w:rPr>
                <w:b/>
                <w:bCs/>
                <w:color w:val="auto"/>
              </w:rPr>
              <w:t xml:space="preserve"> 污水处理站周边大气污染物最高允许浓度</w:t>
            </w:r>
          </w:p>
          <w:tbl>
            <w:tblPr>
              <w:tblStyle w:val="26"/>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8"/>
              <w:gridCol w:w="4717"/>
              <w:gridCol w:w="2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0" w:type="dxa"/>
                  <w:vAlign w:val="center"/>
                </w:tcPr>
                <w:p>
                  <w:pPr>
                    <w:tabs>
                      <w:tab w:val="left" w:pos="5142"/>
                    </w:tabs>
                    <w:adjustRightInd w:val="0"/>
                    <w:snapToGrid w:val="0"/>
                    <w:jc w:val="center"/>
                    <w:rPr>
                      <w:b/>
                      <w:bCs/>
                      <w:color w:val="auto"/>
                    </w:rPr>
                  </w:pPr>
                  <w:r>
                    <w:rPr>
                      <w:b/>
                      <w:bCs/>
                      <w:color w:val="auto"/>
                    </w:rPr>
                    <w:t>序号</w:t>
                  </w:r>
                </w:p>
              </w:tc>
              <w:tc>
                <w:tcPr>
                  <w:tcW w:w="4307" w:type="dxa"/>
                  <w:vAlign w:val="center"/>
                </w:tcPr>
                <w:p>
                  <w:pPr>
                    <w:tabs>
                      <w:tab w:val="left" w:pos="5142"/>
                    </w:tabs>
                    <w:adjustRightInd w:val="0"/>
                    <w:snapToGrid w:val="0"/>
                    <w:jc w:val="center"/>
                    <w:rPr>
                      <w:b/>
                      <w:bCs/>
                      <w:color w:val="auto"/>
                    </w:rPr>
                  </w:pPr>
                  <w:r>
                    <w:rPr>
                      <w:b/>
                      <w:bCs/>
                      <w:color w:val="auto"/>
                    </w:rPr>
                    <w:t>控制项目</w:t>
                  </w:r>
                </w:p>
              </w:tc>
              <w:tc>
                <w:tcPr>
                  <w:tcW w:w="2719" w:type="dxa"/>
                  <w:vAlign w:val="center"/>
                </w:tcPr>
                <w:p>
                  <w:pPr>
                    <w:tabs>
                      <w:tab w:val="left" w:pos="5142"/>
                    </w:tabs>
                    <w:adjustRightInd w:val="0"/>
                    <w:snapToGrid w:val="0"/>
                    <w:jc w:val="center"/>
                    <w:rPr>
                      <w:b/>
                      <w:bCs/>
                      <w:color w:val="auto"/>
                    </w:rPr>
                  </w:pPr>
                  <w:r>
                    <w:rPr>
                      <w:b/>
                      <w:bCs/>
                      <w:color w:val="auto"/>
                    </w:rP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0" w:type="dxa"/>
                  <w:vAlign w:val="center"/>
                </w:tcPr>
                <w:p>
                  <w:pPr>
                    <w:tabs>
                      <w:tab w:val="left" w:pos="5142"/>
                    </w:tabs>
                    <w:adjustRightInd w:val="0"/>
                    <w:snapToGrid w:val="0"/>
                    <w:jc w:val="center"/>
                    <w:rPr>
                      <w:color w:val="auto"/>
                    </w:rPr>
                  </w:pPr>
                  <w:r>
                    <w:rPr>
                      <w:color w:val="auto"/>
                    </w:rPr>
                    <w:t>1</w:t>
                  </w:r>
                </w:p>
              </w:tc>
              <w:tc>
                <w:tcPr>
                  <w:tcW w:w="4307" w:type="dxa"/>
                  <w:vAlign w:val="center"/>
                </w:tcPr>
                <w:p>
                  <w:pPr>
                    <w:tabs>
                      <w:tab w:val="left" w:pos="5142"/>
                    </w:tabs>
                    <w:adjustRightInd w:val="0"/>
                    <w:snapToGrid w:val="0"/>
                    <w:jc w:val="center"/>
                    <w:rPr>
                      <w:color w:val="auto"/>
                    </w:rPr>
                  </w:pPr>
                  <w:r>
                    <w:rPr>
                      <w:color w:val="auto"/>
                    </w:rPr>
                    <w:t>氨（mg/m</w:t>
                  </w:r>
                  <w:r>
                    <w:rPr>
                      <w:color w:val="auto"/>
                      <w:vertAlign w:val="superscript"/>
                    </w:rPr>
                    <w:t>3</w:t>
                  </w:r>
                  <w:r>
                    <w:rPr>
                      <w:color w:val="auto"/>
                    </w:rPr>
                    <w:t>）</w:t>
                  </w:r>
                </w:p>
              </w:tc>
              <w:tc>
                <w:tcPr>
                  <w:tcW w:w="2719" w:type="dxa"/>
                  <w:vAlign w:val="center"/>
                </w:tcPr>
                <w:p>
                  <w:pPr>
                    <w:tabs>
                      <w:tab w:val="left" w:pos="5142"/>
                    </w:tabs>
                    <w:adjustRightInd w:val="0"/>
                    <w:snapToGrid w:val="0"/>
                    <w:jc w:val="center"/>
                    <w:rPr>
                      <w:color w:val="auto"/>
                    </w:rPr>
                  </w:pPr>
                  <w:r>
                    <w:rPr>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0" w:type="dxa"/>
                  <w:vAlign w:val="center"/>
                </w:tcPr>
                <w:p>
                  <w:pPr>
                    <w:tabs>
                      <w:tab w:val="left" w:pos="5142"/>
                    </w:tabs>
                    <w:adjustRightInd w:val="0"/>
                    <w:snapToGrid w:val="0"/>
                    <w:jc w:val="center"/>
                    <w:rPr>
                      <w:color w:val="auto"/>
                    </w:rPr>
                  </w:pPr>
                  <w:r>
                    <w:rPr>
                      <w:color w:val="auto"/>
                    </w:rPr>
                    <w:t>2</w:t>
                  </w:r>
                </w:p>
              </w:tc>
              <w:tc>
                <w:tcPr>
                  <w:tcW w:w="4307" w:type="dxa"/>
                  <w:vAlign w:val="center"/>
                </w:tcPr>
                <w:p>
                  <w:pPr>
                    <w:tabs>
                      <w:tab w:val="left" w:pos="5142"/>
                    </w:tabs>
                    <w:adjustRightInd w:val="0"/>
                    <w:snapToGrid w:val="0"/>
                    <w:jc w:val="center"/>
                    <w:rPr>
                      <w:color w:val="auto"/>
                    </w:rPr>
                  </w:pPr>
                  <w:r>
                    <w:rPr>
                      <w:color w:val="auto"/>
                    </w:rPr>
                    <w:t>硫化氢（mg/m</w:t>
                  </w:r>
                  <w:r>
                    <w:rPr>
                      <w:color w:val="auto"/>
                      <w:vertAlign w:val="superscript"/>
                    </w:rPr>
                    <w:t>3</w:t>
                  </w:r>
                  <w:r>
                    <w:rPr>
                      <w:color w:val="auto"/>
                    </w:rPr>
                    <w:t>）</w:t>
                  </w:r>
                </w:p>
              </w:tc>
              <w:tc>
                <w:tcPr>
                  <w:tcW w:w="2719" w:type="dxa"/>
                  <w:vAlign w:val="center"/>
                </w:tcPr>
                <w:p>
                  <w:pPr>
                    <w:tabs>
                      <w:tab w:val="left" w:pos="5142"/>
                    </w:tabs>
                    <w:adjustRightInd w:val="0"/>
                    <w:snapToGrid w:val="0"/>
                    <w:jc w:val="center"/>
                    <w:rPr>
                      <w:color w:val="auto"/>
                    </w:rPr>
                  </w:pPr>
                  <w:r>
                    <w:rPr>
                      <w:color w:val="auto"/>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0" w:type="dxa"/>
                  <w:vAlign w:val="center"/>
                </w:tcPr>
                <w:p>
                  <w:pPr>
                    <w:tabs>
                      <w:tab w:val="left" w:pos="5142"/>
                    </w:tabs>
                    <w:adjustRightInd w:val="0"/>
                    <w:snapToGrid w:val="0"/>
                    <w:jc w:val="center"/>
                    <w:rPr>
                      <w:color w:val="auto"/>
                    </w:rPr>
                  </w:pPr>
                  <w:r>
                    <w:rPr>
                      <w:color w:val="auto"/>
                    </w:rPr>
                    <w:t>3</w:t>
                  </w:r>
                </w:p>
              </w:tc>
              <w:tc>
                <w:tcPr>
                  <w:tcW w:w="4307" w:type="dxa"/>
                  <w:vAlign w:val="center"/>
                </w:tcPr>
                <w:p>
                  <w:pPr>
                    <w:tabs>
                      <w:tab w:val="left" w:pos="5142"/>
                    </w:tabs>
                    <w:adjustRightInd w:val="0"/>
                    <w:snapToGrid w:val="0"/>
                    <w:jc w:val="center"/>
                    <w:rPr>
                      <w:color w:val="auto"/>
                    </w:rPr>
                  </w:pPr>
                  <w:r>
                    <w:rPr>
                      <w:color w:val="auto"/>
                    </w:rPr>
                    <w:t>臭气浓度（无量纲）</w:t>
                  </w:r>
                </w:p>
              </w:tc>
              <w:tc>
                <w:tcPr>
                  <w:tcW w:w="2719" w:type="dxa"/>
                  <w:vAlign w:val="center"/>
                </w:tcPr>
                <w:p>
                  <w:pPr>
                    <w:tabs>
                      <w:tab w:val="left" w:pos="5142"/>
                    </w:tabs>
                    <w:adjustRightInd w:val="0"/>
                    <w:snapToGrid w:val="0"/>
                    <w:jc w:val="center"/>
                    <w:rPr>
                      <w:color w:val="auto"/>
                    </w:rPr>
                  </w:pPr>
                  <w:r>
                    <w:rPr>
                      <w:color w:val="auto"/>
                    </w:rPr>
                    <w:t>10</w:t>
                  </w:r>
                </w:p>
              </w:tc>
            </w:tr>
          </w:tbl>
          <w:p>
            <w:pPr>
              <w:pStyle w:val="76"/>
              <w:keepNext w:val="0"/>
              <w:keepLines w:val="0"/>
              <w:pageBreakBefore w:val="0"/>
              <w:widowControl w:val="0"/>
              <w:kinsoku/>
              <w:wordWrap/>
              <w:overflowPunct/>
              <w:topLinePunct w:val="0"/>
              <w:autoSpaceDE/>
              <w:autoSpaceDN/>
              <w:bidi w:val="0"/>
              <w:adjustRightInd w:val="0"/>
              <w:snapToGrid w:val="0"/>
              <w:spacing w:before="157" w:beforeLines="50"/>
              <w:ind w:firstLine="420"/>
              <w:jc w:val="left"/>
              <w:textAlignment w:val="auto"/>
              <w:rPr>
                <w:color w:val="auto"/>
              </w:rPr>
            </w:pPr>
            <w:r>
              <w:rPr>
                <w:rFonts w:hint="eastAsia"/>
                <w:color w:val="auto"/>
                <w:lang w:eastAsia="zh-CN"/>
              </w:rPr>
              <w:t>施工期</w:t>
            </w:r>
            <w:r>
              <w:rPr>
                <w:color w:val="auto"/>
              </w:rPr>
              <w:t>施工扬尘执行《施工场界扬尘排放限值》（DB61/1078-2017）。</w:t>
            </w:r>
          </w:p>
          <w:p>
            <w:pPr>
              <w:pStyle w:val="17"/>
              <w:snapToGri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表3-</w:t>
            </w:r>
            <w:r>
              <w:rPr>
                <w:rFonts w:hint="eastAsia" w:ascii="Times New Roman" w:hAnsi="Times New Roman" w:cs="Times New Roman"/>
                <w:b/>
                <w:bCs/>
                <w:color w:val="auto"/>
                <w:sz w:val="21"/>
                <w:szCs w:val="21"/>
                <w:lang w:val="en-US" w:eastAsia="zh-CN"/>
              </w:rPr>
              <w:t>5</w:t>
            </w:r>
            <w:r>
              <w:rPr>
                <w:rFonts w:hint="default" w:ascii="Times New Roman" w:hAnsi="Times New Roman" w:cs="Times New Roman"/>
                <w:b/>
                <w:bCs/>
                <w:color w:val="auto"/>
                <w:sz w:val="21"/>
                <w:szCs w:val="21"/>
              </w:rPr>
              <w:t xml:space="preserve">  《施工场界扬尘排放限值》（DB61/1078-2017）</w:t>
            </w: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3"/>
              <w:gridCol w:w="2233"/>
              <w:gridCol w:w="2233"/>
              <w:gridCol w:w="22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noWrap w:val="0"/>
                  <w:vAlign w:val="center"/>
                </w:tcPr>
                <w:p>
                  <w:pPr>
                    <w:pStyle w:val="39"/>
                    <w:adjustRightInd w:val="0"/>
                    <w:snapToGri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w:t>
                  </w:r>
                </w:p>
              </w:tc>
              <w:tc>
                <w:tcPr>
                  <w:tcW w:w="1250" w:type="pct"/>
                  <w:noWrap w:val="0"/>
                  <w:vAlign w:val="center"/>
                </w:tcPr>
                <w:p>
                  <w:pPr>
                    <w:pStyle w:val="39"/>
                    <w:adjustRightInd w:val="0"/>
                    <w:snapToGri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监控点</w:t>
                  </w:r>
                </w:p>
              </w:tc>
              <w:tc>
                <w:tcPr>
                  <w:tcW w:w="1250" w:type="pct"/>
                  <w:noWrap w:val="0"/>
                  <w:vAlign w:val="center"/>
                </w:tcPr>
                <w:p>
                  <w:pPr>
                    <w:pStyle w:val="39"/>
                    <w:adjustRightInd w:val="0"/>
                    <w:snapToGri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施工阶段</w:t>
                  </w:r>
                </w:p>
              </w:tc>
              <w:tc>
                <w:tcPr>
                  <w:tcW w:w="1250" w:type="pct"/>
                  <w:noWrap w:val="0"/>
                  <w:vAlign w:val="center"/>
                </w:tcPr>
                <w:p>
                  <w:pPr>
                    <w:pStyle w:val="39"/>
                    <w:adjustRightInd w:val="0"/>
                    <w:snapToGri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小时平均浓度限值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noWrap w:val="0"/>
                  <w:vAlign w:val="center"/>
                </w:tcPr>
                <w:p>
                  <w:pPr>
                    <w:pStyle w:val="39"/>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rPr>
                    <w:t>施工扬尘（即总悬浮颗粒物TSP）</w:t>
                  </w:r>
                </w:p>
              </w:tc>
              <w:tc>
                <w:tcPr>
                  <w:tcW w:w="1250" w:type="pct"/>
                  <w:noWrap w:val="0"/>
                  <w:vAlign w:val="center"/>
                </w:tcPr>
                <w:p>
                  <w:pPr>
                    <w:pStyle w:val="39"/>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rPr>
                    <w:t>周界外浓度最高点</w:t>
                  </w:r>
                </w:p>
              </w:tc>
              <w:tc>
                <w:tcPr>
                  <w:tcW w:w="1250" w:type="pct"/>
                  <w:noWrap w:val="0"/>
                  <w:vAlign w:val="center"/>
                </w:tcPr>
                <w:p>
                  <w:pPr>
                    <w:pStyle w:val="39"/>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rPr>
                    <w:t>基础、主体结构及装饰工程</w:t>
                  </w:r>
                </w:p>
              </w:tc>
              <w:tc>
                <w:tcPr>
                  <w:tcW w:w="1250" w:type="pct"/>
                  <w:noWrap w:val="0"/>
                  <w:vAlign w:val="center"/>
                </w:tcPr>
                <w:p>
                  <w:pPr>
                    <w:pStyle w:val="39"/>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rPr>
                    <w:t>≤0.7mg/m</w:t>
                  </w:r>
                  <w:r>
                    <w:rPr>
                      <w:rFonts w:hint="default" w:ascii="Times New Roman" w:hAnsi="Times New Roman" w:cs="Times New Roman"/>
                      <w:color w:val="auto"/>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noWrap w:val="0"/>
                  <w:vAlign w:val="top"/>
                </w:tcPr>
                <w:p>
                  <w:pPr>
                    <w:pStyle w:val="17"/>
                    <w:snapToGrid w:val="0"/>
                    <w:jc w:val="center"/>
                    <w:rPr>
                      <w:rFonts w:hint="default" w:ascii="Times New Roman" w:hAnsi="Times New Roman" w:cs="Times New Roman"/>
                      <w:color w:val="auto"/>
                    </w:rPr>
                  </w:pPr>
                  <w:r>
                    <w:rPr>
                      <w:rFonts w:hint="default" w:ascii="Times New Roman" w:hAnsi="Times New Roman" w:cs="Times New Roman"/>
                      <w:color w:val="auto"/>
                    </w:rPr>
                    <w:t>周界外浓度最高点一般应设置于无组织排放源下风向的单位周界外10m范围内，若预计无组织排放的最大落地浓度点超出10m范围，可将监控点移至该预计浓度最高点附近</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leftChars="0" w:firstLine="480" w:firstLineChars="200"/>
              <w:textAlignment w:val="auto"/>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rPr>
              <w:t>2、</w:t>
            </w:r>
            <w:r>
              <w:rPr>
                <w:rFonts w:hint="default" w:ascii="Times New Roman" w:hAnsi="Times New Roman" w:cs="Times New Roman"/>
                <w:color w:val="auto"/>
                <w:sz w:val="24"/>
                <w:szCs w:val="24"/>
                <w:lang w:eastAsia="zh-CN"/>
              </w:rPr>
              <w:t>废水排放标准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rPr>
              <w:t>运营期废水排放执行《医疗机构水污染物排放标准》（GB18466-2005）中表2水污染物预处理排放限值</w:t>
            </w:r>
            <w:r>
              <w:rPr>
                <w:rFonts w:hint="default" w:ascii="Times New Roman" w:hAnsi="Times New Roman" w:cs="Times New Roman"/>
                <w:color w:val="auto"/>
                <w:sz w:val="24"/>
                <w:szCs w:val="24"/>
                <w:lang w:eastAsia="zh-CN"/>
              </w:rPr>
              <w:t>，氨氮执行</w:t>
            </w:r>
            <w:r>
              <w:rPr>
                <w:rFonts w:hint="default" w:ascii="Times New Roman" w:hAnsi="Times New Roman" w:cs="Times New Roman"/>
                <w:color w:val="auto"/>
                <w:sz w:val="24"/>
                <w:szCs w:val="24"/>
              </w:rPr>
              <w:t>《污水排入城镇下水道水质标准》（GB/T31962-2015）</w:t>
            </w:r>
            <w:r>
              <w:rPr>
                <w:rFonts w:hint="default" w:ascii="Times New Roman" w:hAnsi="Times New Roman" w:cs="Times New Roman"/>
                <w:color w:val="auto"/>
                <w:sz w:val="24"/>
                <w:szCs w:val="24"/>
                <w:lang w:val="en-US" w:eastAsia="zh-CN"/>
              </w:rPr>
              <w:t>B</w:t>
            </w:r>
            <w:r>
              <w:rPr>
                <w:rFonts w:hint="default" w:ascii="Times New Roman" w:hAnsi="Times New Roman" w:cs="Times New Roman"/>
                <w:color w:val="auto"/>
                <w:sz w:val="24"/>
                <w:szCs w:val="24"/>
              </w:rPr>
              <w:t>级标准</w:t>
            </w:r>
            <w:r>
              <w:rPr>
                <w:rFonts w:hint="default" w:ascii="Times New Roman" w:hAnsi="Times New Roman" w:cs="Times New Roman"/>
                <w:color w:val="auto"/>
                <w:sz w:val="24"/>
                <w:szCs w:val="24"/>
                <w:lang w:eastAsia="zh-CN"/>
              </w:rPr>
              <w:t>。</w:t>
            </w:r>
          </w:p>
          <w:p>
            <w:pPr>
              <w:pStyle w:val="41"/>
              <w:keepNext w:val="0"/>
              <w:keepLines w:val="0"/>
              <w:pageBreakBefore w:val="0"/>
              <w:widowControl/>
              <w:kinsoku/>
              <w:wordWrap/>
              <w:overflowPunct/>
              <w:topLinePunct w:val="0"/>
              <w:autoSpaceDE/>
              <w:autoSpaceDN/>
              <w:bidi w:val="0"/>
              <w:adjustRightInd/>
              <w:snapToGrid/>
              <w:spacing w:beforeLines="0" w:afterLines="0" w:line="240" w:lineRule="auto"/>
              <w:ind w:left="198" w:hanging="198"/>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表</w:t>
            </w:r>
            <w:r>
              <w:rPr>
                <w:rFonts w:hint="default" w:ascii="Times New Roman" w:hAnsi="Times New Roman" w:cs="Times New Roman"/>
                <w:b/>
                <w:bCs/>
                <w:color w:val="auto"/>
                <w:sz w:val="21"/>
                <w:szCs w:val="21"/>
                <w:lang w:val="en-US" w:eastAsia="zh-CN"/>
              </w:rPr>
              <w:t>3-</w:t>
            </w:r>
            <w:r>
              <w:rPr>
                <w:rFonts w:hint="eastAsia" w:ascii="Times New Roman" w:cs="Times New Roman"/>
                <w:b/>
                <w:bCs/>
                <w:color w:val="auto"/>
                <w:sz w:val="21"/>
                <w:szCs w:val="21"/>
                <w:lang w:val="en-US" w:eastAsia="zh-CN"/>
              </w:rPr>
              <w:t>6</w:t>
            </w:r>
            <w:r>
              <w:rPr>
                <w:rFonts w:hint="default" w:ascii="Times New Roman" w:hAnsi="Times New Roman" w:cs="Times New Roman"/>
                <w:b/>
                <w:bCs/>
                <w:color w:val="auto"/>
                <w:sz w:val="21"/>
                <w:szCs w:val="21"/>
                <w:lang w:val="en-US" w:eastAsia="zh-CN"/>
              </w:rPr>
              <w:t xml:space="preserve">  </w:t>
            </w:r>
            <w:r>
              <w:rPr>
                <w:rFonts w:hint="default" w:ascii="Times New Roman" w:hAnsi="Times New Roman" w:cs="Times New Roman"/>
                <w:b/>
                <w:bCs/>
                <w:color w:val="auto"/>
                <w:sz w:val="21"/>
                <w:szCs w:val="21"/>
              </w:rPr>
              <w:t>水污染物排放标准</w:t>
            </w:r>
            <w:r>
              <w:rPr>
                <w:rFonts w:hint="default" w:ascii="Times New Roman" w:hAnsi="Times New Roman" w:cs="Times New Roman"/>
                <w:b/>
                <w:bCs/>
                <w:color w:val="auto"/>
                <w:sz w:val="21"/>
                <w:szCs w:val="21"/>
                <w:lang w:val="en-US" w:eastAsia="zh-CN"/>
              </w:rPr>
              <w:t xml:space="preserve">  单位：</w:t>
            </w:r>
            <w:r>
              <w:rPr>
                <w:rFonts w:hint="default" w:ascii="Times New Roman" w:hAnsi="Times New Roman" w:cs="Times New Roman"/>
                <w:b/>
                <w:bCs/>
                <w:color w:val="auto"/>
                <w:sz w:val="21"/>
                <w:szCs w:val="21"/>
              </w:rPr>
              <w:t>mg/L</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74"/>
              <w:gridCol w:w="578"/>
              <w:gridCol w:w="1971"/>
              <w:gridCol w:w="1044"/>
              <w:gridCol w:w="2906"/>
              <w:gridCol w:w="635"/>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jc w:val="center"/>
              </w:trPr>
              <w:tc>
                <w:tcPr>
                  <w:tcW w:w="321" w:type="pct"/>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污水排口</w:t>
                  </w:r>
                </w:p>
              </w:tc>
              <w:tc>
                <w:tcPr>
                  <w:tcW w:w="323" w:type="pct"/>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类别</w:t>
                  </w:r>
                </w:p>
              </w:tc>
              <w:tc>
                <w:tcPr>
                  <w:tcW w:w="1102" w:type="pct"/>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执行标准</w:t>
                  </w:r>
                </w:p>
              </w:tc>
              <w:tc>
                <w:tcPr>
                  <w:tcW w:w="584" w:type="pct"/>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标准级别</w:t>
                  </w:r>
                </w:p>
              </w:tc>
              <w:tc>
                <w:tcPr>
                  <w:tcW w:w="1625" w:type="pct"/>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指标</w:t>
                  </w:r>
                </w:p>
              </w:tc>
              <w:tc>
                <w:tcPr>
                  <w:tcW w:w="355" w:type="pct"/>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标准限值</w:t>
                  </w:r>
                </w:p>
              </w:tc>
              <w:tc>
                <w:tcPr>
                  <w:tcW w:w="685" w:type="pct"/>
                  <w:vAlign w:val="center"/>
                </w:tcPr>
                <w:p>
                  <w:pPr>
                    <w:jc w:val="center"/>
                    <w:rPr>
                      <w:rFonts w:hint="default" w:ascii="Times New Roman" w:hAnsi="Times New Roman" w:cs="Times New Roman"/>
                      <w:b/>
                      <w:bCs/>
                      <w:color w:val="auto"/>
                    </w:rPr>
                  </w:pPr>
                  <w:r>
                    <w:rPr>
                      <w:rFonts w:hint="default" w:ascii="Times New Roman" w:hAnsi="Times New Roman" w:cs="Times New Roman"/>
                      <w:b/>
                      <w:bCs/>
                      <w:color w:val="auto"/>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jc w:val="center"/>
              </w:trPr>
              <w:tc>
                <w:tcPr>
                  <w:tcW w:w="321" w:type="pct"/>
                  <w:vMerge w:val="restar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项目</w:t>
                  </w:r>
                </w:p>
                <w:p>
                  <w:pPr>
                    <w:jc w:val="center"/>
                    <w:rPr>
                      <w:rFonts w:hint="default" w:ascii="Times New Roman" w:hAnsi="Times New Roman" w:cs="Times New Roman"/>
                      <w:color w:val="auto"/>
                    </w:rPr>
                  </w:pPr>
                  <w:r>
                    <w:rPr>
                      <w:rFonts w:hint="default" w:ascii="Times New Roman" w:hAnsi="Times New Roman" w:cs="Times New Roman"/>
                      <w:color w:val="auto"/>
                    </w:rPr>
                    <w:t>排口</w:t>
                  </w:r>
                </w:p>
              </w:tc>
              <w:tc>
                <w:tcPr>
                  <w:tcW w:w="323" w:type="pct"/>
                  <w:vMerge w:val="restart"/>
                  <w:vAlign w:val="center"/>
                </w:tcPr>
                <w:p>
                  <w:pPr>
                    <w:jc w:val="center"/>
                    <w:rPr>
                      <w:rFonts w:hint="eastAsia" w:ascii="Times New Roman" w:hAnsi="Times New Roman" w:eastAsia="宋体" w:cs="Times New Roman"/>
                      <w:color w:val="auto"/>
                      <w:lang w:eastAsia="zh-CN"/>
                    </w:rPr>
                  </w:pPr>
                  <w:r>
                    <w:rPr>
                      <w:rFonts w:hint="eastAsia" w:cs="Times New Roman"/>
                      <w:color w:val="auto"/>
                      <w:lang w:eastAsia="zh-CN"/>
                    </w:rPr>
                    <w:t>医疗废水</w:t>
                  </w:r>
                </w:p>
              </w:tc>
              <w:tc>
                <w:tcPr>
                  <w:tcW w:w="1102" w:type="pct"/>
                  <w:vMerge w:val="restar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《医疗机构水污染物排放标准》（GB18466-2005）</w:t>
                  </w:r>
                </w:p>
              </w:tc>
              <w:tc>
                <w:tcPr>
                  <w:tcW w:w="584" w:type="pct"/>
                  <w:vMerge w:val="restar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表2预处理标准</w:t>
                  </w:r>
                </w:p>
              </w:tc>
              <w:tc>
                <w:tcPr>
                  <w:tcW w:w="162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pH</w:t>
                  </w:r>
                </w:p>
              </w:tc>
              <w:tc>
                <w:tcPr>
                  <w:tcW w:w="35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6-9</w:t>
                  </w:r>
                </w:p>
              </w:tc>
              <w:tc>
                <w:tcPr>
                  <w:tcW w:w="68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321" w:type="pct"/>
                  <w:vMerge w:val="continue"/>
                  <w:vAlign w:val="center"/>
                </w:tcPr>
                <w:p>
                  <w:pPr>
                    <w:jc w:val="center"/>
                    <w:rPr>
                      <w:rFonts w:hint="default" w:ascii="Times New Roman" w:hAnsi="Times New Roman" w:cs="Times New Roman"/>
                      <w:color w:val="auto"/>
                    </w:rPr>
                  </w:pPr>
                </w:p>
              </w:tc>
              <w:tc>
                <w:tcPr>
                  <w:tcW w:w="323" w:type="pct"/>
                  <w:vMerge w:val="continue"/>
                  <w:vAlign w:val="center"/>
                </w:tcPr>
                <w:p>
                  <w:pPr>
                    <w:jc w:val="center"/>
                    <w:rPr>
                      <w:rFonts w:hint="default" w:ascii="Times New Roman" w:hAnsi="Times New Roman" w:cs="Times New Roman"/>
                      <w:color w:val="auto"/>
                    </w:rPr>
                  </w:pPr>
                </w:p>
              </w:tc>
              <w:tc>
                <w:tcPr>
                  <w:tcW w:w="1102" w:type="pct"/>
                  <w:vMerge w:val="continue"/>
                  <w:vAlign w:val="center"/>
                </w:tcPr>
                <w:p>
                  <w:pPr>
                    <w:jc w:val="center"/>
                    <w:rPr>
                      <w:rFonts w:hint="default" w:ascii="Times New Roman" w:hAnsi="Times New Roman" w:cs="Times New Roman"/>
                      <w:color w:val="auto"/>
                    </w:rPr>
                  </w:pPr>
                </w:p>
              </w:tc>
              <w:tc>
                <w:tcPr>
                  <w:tcW w:w="584" w:type="pct"/>
                  <w:vMerge w:val="continue"/>
                  <w:vAlign w:val="center"/>
                </w:tcPr>
                <w:p>
                  <w:pPr>
                    <w:jc w:val="center"/>
                    <w:rPr>
                      <w:rFonts w:hint="default" w:ascii="Times New Roman" w:hAnsi="Times New Roman" w:cs="Times New Roman"/>
                      <w:color w:val="auto"/>
                    </w:rPr>
                  </w:pPr>
                </w:p>
              </w:tc>
              <w:tc>
                <w:tcPr>
                  <w:tcW w:w="1625" w:type="pct"/>
                  <w:vAlign w:val="center"/>
                </w:tcPr>
                <w:p>
                  <w:pPr>
                    <w:snapToGrid w:val="0"/>
                    <w:jc w:val="center"/>
                    <w:rPr>
                      <w:rFonts w:hint="default" w:ascii="Times New Roman" w:hAnsi="Times New Roman" w:cs="Times New Roman"/>
                      <w:color w:val="auto"/>
                    </w:rPr>
                  </w:pPr>
                  <w:r>
                    <w:rPr>
                      <w:rFonts w:hint="default" w:ascii="Times New Roman" w:hAnsi="Times New Roman" w:cs="Times New Roman"/>
                      <w:color w:val="auto"/>
                    </w:rPr>
                    <w:t>COD（浓度）</w:t>
                  </w:r>
                </w:p>
                <w:p>
                  <w:pPr>
                    <w:snapToGrid w:val="0"/>
                    <w:jc w:val="center"/>
                    <w:rPr>
                      <w:rFonts w:hint="default" w:ascii="Times New Roman" w:hAnsi="Times New Roman" w:cs="Times New Roman"/>
                      <w:color w:val="auto"/>
                    </w:rPr>
                  </w:pPr>
                  <w:r>
                    <w:rPr>
                      <w:rFonts w:hint="default" w:ascii="Times New Roman" w:hAnsi="Times New Roman" w:cs="Times New Roman"/>
                      <w:color w:val="auto"/>
                    </w:rPr>
                    <w:t>COD（最高允许排放负荷）</w:t>
                  </w:r>
                </w:p>
              </w:tc>
              <w:tc>
                <w:tcPr>
                  <w:tcW w:w="35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250</w:t>
                  </w:r>
                </w:p>
                <w:p>
                  <w:pPr>
                    <w:jc w:val="center"/>
                    <w:rPr>
                      <w:rFonts w:hint="default" w:ascii="Times New Roman" w:hAnsi="Times New Roman" w:cs="Times New Roman"/>
                      <w:color w:val="auto"/>
                    </w:rPr>
                  </w:pPr>
                  <w:r>
                    <w:rPr>
                      <w:rFonts w:hint="default" w:ascii="Times New Roman" w:hAnsi="Times New Roman" w:cs="Times New Roman"/>
                      <w:color w:val="auto"/>
                    </w:rPr>
                    <w:t>250</w:t>
                  </w:r>
                </w:p>
              </w:tc>
              <w:tc>
                <w:tcPr>
                  <w:tcW w:w="68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mg/L</w:t>
                  </w:r>
                </w:p>
                <w:p>
                  <w:pPr>
                    <w:jc w:val="center"/>
                    <w:rPr>
                      <w:rFonts w:hint="default" w:ascii="Times New Roman" w:hAnsi="Times New Roman" w:cs="Times New Roman"/>
                      <w:color w:val="auto"/>
                    </w:rPr>
                  </w:pPr>
                  <w:r>
                    <w:rPr>
                      <w:rFonts w:hint="default" w:ascii="Times New Roman" w:hAnsi="Times New Roman" w:cs="Times New Roman"/>
                      <w:color w:val="auto"/>
                    </w:rPr>
                    <w:t>g/(床位·d)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jc w:val="center"/>
              </w:trPr>
              <w:tc>
                <w:tcPr>
                  <w:tcW w:w="321" w:type="pct"/>
                  <w:vMerge w:val="continue"/>
                  <w:vAlign w:val="center"/>
                </w:tcPr>
                <w:p>
                  <w:pPr>
                    <w:jc w:val="center"/>
                    <w:rPr>
                      <w:rFonts w:hint="default" w:ascii="Times New Roman" w:hAnsi="Times New Roman" w:cs="Times New Roman"/>
                      <w:color w:val="auto"/>
                    </w:rPr>
                  </w:pPr>
                </w:p>
              </w:tc>
              <w:tc>
                <w:tcPr>
                  <w:tcW w:w="323" w:type="pct"/>
                  <w:vMerge w:val="continue"/>
                  <w:vAlign w:val="center"/>
                </w:tcPr>
                <w:p>
                  <w:pPr>
                    <w:jc w:val="center"/>
                    <w:rPr>
                      <w:rFonts w:hint="default" w:ascii="Times New Roman" w:hAnsi="Times New Roman" w:cs="Times New Roman"/>
                      <w:color w:val="auto"/>
                    </w:rPr>
                  </w:pPr>
                </w:p>
              </w:tc>
              <w:tc>
                <w:tcPr>
                  <w:tcW w:w="1102" w:type="pct"/>
                  <w:vMerge w:val="continue"/>
                  <w:vAlign w:val="center"/>
                </w:tcPr>
                <w:p>
                  <w:pPr>
                    <w:jc w:val="center"/>
                    <w:rPr>
                      <w:rFonts w:hint="default" w:ascii="Times New Roman" w:hAnsi="Times New Roman" w:cs="Times New Roman"/>
                      <w:color w:val="auto"/>
                    </w:rPr>
                  </w:pPr>
                </w:p>
              </w:tc>
              <w:tc>
                <w:tcPr>
                  <w:tcW w:w="584" w:type="pct"/>
                  <w:vMerge w:val="continue"/>
                  <w:vAlign w:val="center"/>
                </w:tcPr>
                <w:p>
                  <w:pPr>
                    <w:jc w:val="center"/>
                    <w:rPr>
                      <w:rFonts w:hint="default" w:ascii="Times New Roman" w:hAnsi="Times New Roman" w:cs="Times New Roman"/>
                      <w:color w:val="auto"/>
                    </w:rPr>
                  </w:pPr>
                </w:p>
              </w:tc>
              <w:tc>
                <w:tcPr>
                  <w:tcW w:w="1625" w:type="pct"/>
                  <w:vAlign w:val="center"/>
                </w:tcPr>
                <w:p>
                  <w:pPr>
                    <w:snapToGrid w:val="0"/>
                    <w:jc w:val="center"/>
                    <w:rPr>
                      <w:rFonts w:hint="default" w:ascii="Times New Roman" w:hAnsi="Times New Roman" w:cs="Times New Roman"/>
                      <w:color w:val="auto"/>
                    </w:rPr>
                  </w:pPr>
                  <w:r>
                    <w:rPr>
                      <w:rFonts w:hint="default" w:ascii="Times New Roman" w:hAnsi="Times New Roman" w:cs="Times New Roman"/>
                      <w:color w:val="auto"/>
                    </w:rPr>
                    <w:t>SS（浓度）</w:t>
                  </w:r>
                </w:p>
                <w:p>
                  <w:pPr>
                    <w:jc w:val="center"/>
                    <w:rPr>
                      <w:rFonts w:hint="default" w:ascii="Times New Roman" w:hAnsi="Times New Roman" w:cs="Times New Roman"/>
                      <w:color w:val="auto"/>
                    </w:rPr>
                  </w:pPr>
                  <w:r>
                    <w:rPr>
                      <w:rFonts w:hint="default" w:ascii="Times New Roman" w:hAnsi="Times New Roman" w:cs="Times New Roman"/>
                      <w:color w:val="auto"/>
                    </w:rPr>
                    <w:t>SS（最高允许排放负荷）</w:t>
                  </w:r>
                </w:p>
              </w:tc>
              <w:tc>
                <w:tcPr>
                  <w:tcW w:w="355" w:type="pct"/>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20*</w:t>
                  </w:r>
                </w:p>
                <w:p>
                  <w:pPr>
                    <w:jc w:val="center"/>
                    <w:rPr>
                      <w:rFonts w:hint="default" w:ascii="Times New Roman" w:hAnsi="Times New Roman" w:cs="Times New Roman"/>
                      <w:color w:val="auto"/>
                    </w:rPr>
                  </w:pPr>
                  <w:r>
                    <w:rPr>
                      <w:rFonts w:hint="default" w:ascii="Times New Roman" w:hAnsi="Times New Roman" w:cs="Times New Roman"/>
                      <w:color w:val="auto"/>
                    </w:rPr>
                    <w:t>60</w:t>
                  </w:r>
                </w:p>
              </w:tc>
              <w:tc>
                <w:tcPr>
                  <w:tcW w:w="68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mg/L</w:t>
                  </w:r>
                </w:p>
                <w:p>
                  <w:pPr>
                    <w:jc w:val="center"/>
                    <w:rPr>
                      <w:rFonts w:hint="default" w:ascii="Times New Roman" w:hAnsi="Times New Roman" w:cs="Times New Roman"/>
                      <w:color w:val="auto"/>
                    </w:rPr>
                  </w:pPr>
                  <w:r>
                    <w:rPr>
                      <w:rFonts w:hint="default" w:ascii="Times New Roman" w:hAnsi="Times New Roman" w:cs="Times New Roman"/>
                      <w:color w:val="auto"/>
                    </w:rPr>
                    <w:t>g/(床位·d)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jc w:val="center"/>
              </w:trPr>
              <w:tc>
                <w:tcPr>
                  <w:tcW w:w="321" w:type="pct"/>
                  <w:vMerge w:val="continue"/>
                  <w:vAlign w:val="center"/>
                </w:tcPr>
                <w:p>
                  <w:pPr>
                    <w:jc w:val="center"/>
                    <w:rPr>
                      <w:rFonts w:hint="default" w:ascii="Times New Roman" w:hAnsi="Times New Roman" w:cs="Times New Roman"/>
                      <w:color w:val="auto"/>
                    </w:rPr>
                  </w:pPr>
                </w:p>
              </w:tc>
              <w:tc>
                <w:tcPr>
                  <w:tcW w:w="323" w:type="pct"/>
                  <w:vMerge w:val="continue"/>
                  <w:vAlign w:val="center"/>
                </w:tcPr>
                <w:p>
                  <w:pPr>
                    <w:jc w:val="center"/>
                    <w:rPr>
                      <w:rFonts w:hint="default" w:ascii="Times New Roman" w:hAnsi="Times New Roman" w:cs="Times New Roman"/>
                      <w:color w:val="auto"/>
                    </w:rPr>
                  </w:pPr>
                </w:p>
              </w:tc>
              <w:tc>
                <w:tcPr>
                  <w:tcW w:w="1102" w:type="pct"/>
                  <w:vMerge w:val="continue"/>
                  <w:vAlign w:val="center"/>
                </w:tcPr>
                <w:p>
                  <w:pPr>
                    <w:jc w:val="center"/>
                    <w:rPr>
                      <w:rFonts w:hint="default" w:ascii="Times New Roman" w:hAnsi="Times New Roman" w:cs="Times New Roman"/>
                      <w:color w:val="auto"/>
                    </w:rPr>
                  </w:pPr>
                </w:p>
              </w:tc>
              <w:tc>
                <w:tcPr>
                  <w:tcW w:w="584" w:type="pct"/>
                  <w:vMerge w:val="continue"/>
                  <w:vAlign w:val="center"/>
                </w:tcPr>
                <w:p>
                  <w:pPr>
                    <w:jc w:val="center"/>
                    <w:rPr>
                      <w:rFonts w:hint="default" w:ascii="Times New Roman" w:hAnsi="Times New Roman" w:cs="Times New Roman"/>
                      <w:color w:val="auto"/>
                    </w:rPr>
                  </w:pPr>
                </w:p>
              </w:tc>
              <w:tc>
                <w:tcPr>
                  <w:tcW w:w="162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粪大肠菌群数</w:t>
                  </w:r>
                </w:p>
              </w:tc>
              <w:tc>
                <w:tcPr>
                  <w:tcW w:w="35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5000</w:t>
                  </w:r>
                </w:p>
              </w:tc>
              <w:tc>
                <w:tcPr>
                  <w:tcW w:w="68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MPN/L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321" w:type="pct"/>
                  <w:vMerge w:val="continue"/>
                  <w:vAlign w:val="center"/>
                </w:tcPr>
                <w:p>
                  <w:pPr>
                    <w:jc w:val="center"/>
                    <w:rPr>
                      <w:rFonts w:hint="default" w:ascii="Times New Roman" w:hAnsi="Times New Roman" w:cs="Times New Roman"/>
                      <w:color w:val="auto"/>
                    </w:rPr>
                  </w:pPr>
                </w:p>
              </w:tc>
              <w:tc>
                <w:tcPr>
                  <w:tcW w:w="323" w:type="pct"/>
                  <w:vMerge w:val="continue"/>
                  <w:vAlign w:val="center"/>
                </w:tcPr>
                <w:p>
                  <w:pPr>
                    <w:jc w:val="center"/>
                    <w:rPr>
                      <w:rFonts w:hint="default" w:ascii="Times New Roman" w:hAnsi="Times New Roman" w:cs="Times New Roman"/>
                      <w:color w:val="auto"/>
                    </w:rPr>
                  </w:pPr>
                </w:p>
              </w:tc>
              <w:tc>
                <w:tcPr>
                  <w:tcW w:w="1102" w:type="pct"/>
                  <w:vMerge w:val="continue"/>
                  <w:vAlign w:val="center"/>
                </w:tcPr>
                <w:p>
                  <w:pPr>
                    <w:jc w:val="center"/>
                    <w:rPr>
                      <w:rFonts w:hint="default" w:ascii="Times New Roman" w:hAnsi="Times New Roman" w:cs="Times New Roman"/>
                      <w:color w:val="auto"/>
                    </w:rPr>
                  </w:pPr>
                </w:p>
              </w:tc>
              <w:tc>
                <w:tcPr>
                  <w:tcW w:w="584" w:type="pct"/>
                  <w:vMerge w:val="continue"/>
                  <w:vAlign w:val="center"/>
                </w:tcPr>
                <w:p>
                  <w:pPr>
                    <w:jc w:val="center"/>
                    <w:rPr>
                      <w:rFonts w:hint="default" w:ascii="Times New Roman" w:hAnsi="Times New Roman" w:cs="Times New Roman"/>
                      <w:color w:val="auto"/>
                    </w:rPr>
                  </w:pPr>
                </w:p>
              </w:tc>
              <w:tc>
                <w:tcPr>
                  <w:tcW w:w="162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BOD</w:t>
                  </w:r>
                  <w:r>
                    <w:rPr>
                      <w:rFonts w:hint="default" w:ascii="Times New Roman" w:hAnsi="Times New Roman" w:cs="Times New Roman"/>
                      <w:color w:val="auto"/>
                      <w:vertAlign w:val="subscript"/>
                    </w:rPr>
                    <w:t>5</w:t>
                  </w:r>
                </w:p>
              </w:tc>
              <w:tc>
                <w:tcPr>
                  <w:tcW w:w="35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100</w:t>
                  </w:r>
                </w:p>
              </w:tc>
              <w:tc>
                <w:tcPr>
                  <w:tcW w:w="68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jc w:val="center"/>
              </w:trPr>
              <w:tc>
                <w:tcPr>
                  <w:tcW w:w="321" w:type="pct"/>
                  <w:vMerge w:val="continue"/>
                  <w:vAlign w:val="center"/>
                </w:tcPr>
                <w:p>
                  <w:pPr>
                    <w:jc w:val="center"/>
                    <w:rPr>
                      <w:rFonts w:hint="default" w:ascii="Times New Roman" w:hAnsi="Times New Roman" w:cs="Times New Roman"/>
                      <w:color w:val="auto"/>
                    </w:rPr>
                  </w:pPr>
                </w:p>
              </w:tc>
              <w:tc>
                <w:tcPr>
                  <w:tcW w:w="323" w:type="pct"/>
                  <w:vMerge w:val="continue"/>
                  <w:vAlign w:val="center"/>
                </w:tcPr>
                <w:p>
                  <w:pPr>
                    <w:jc w:val="center"/>
                    <w:rPr>
                      <w:rFonts w:hint="default" w:ascii="Times New Roman" w:hAnsi="Times New Roman" w:cs="Times New Roman"/>
                      <w:color w:val="auto"/>
                    </w:rPr>
                  </w:pPr>
                </w:p>
              </w:tc>
              <w:tc>
                <w:tcPr>
                  <w:tcW w:w="1102" w:type="pct"/>
                  <w:vAlign w:val="center"/>
                </w:tcPr>
                <w:p>
                  <w:pPr>
                    <w:rPr>
                      <w:rFonts w:hint="default" w:ascii="Times New Roman" w:hAnsi="Times New Roman" w:cs="Times New Roman"/>
                      <w:color w:val="auto"/>
                    </w:rPr>
                  </w:pPr>
                  <w:r>
                    <w:rPr>
                      <w:rFonts w:hint="default" w:ascii="Times New Roman" w:hAnsi="Times New Roman" w:cs="Times New Roman"/>
                      <w:color w:val="auto"/>
                    </w:rPr>
                    <w:t>《污水排入城镇下水道水质标准》（GB/T31962-2015）</w:t>
                  </w:r>
                </w:p>
              </w:tc>
              <w:tc>
                <w:tcPr>
                  <w:tcW w:w="584"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表1中</w:t>
                  </w:r>
                  <w:r>
                    <w:rPr>
                      <w:rFonts w:hint="default" w:ascii="Times New Roman" w:hAnsi="Times New Roman" w:cs="Times New Roman"/>
                      <w:color w:val="auto"/>
                      <w:lang w:val="en-US" w:eastAsia="zh-CN"/>
                    </w:rPr>
                    <w:t>B</w:t>
                  </w:r>
                  <w:r>
                    <w:rPr>
                      <w:rFonts w:hint="default" w:ascii="Times New Roman" w:hAnsi="Times New Roman" w:cs="Times New Roman"/>
                      <w:color w:val="auto"/>
                    </w:rPr>
                    <w:t>级标准</w:t>
                  </w:r>
                </w:p>
              </w:tc>
              <w:tc>
                <w:tcPr>
                  <w:tcW w:w="162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NH</w:t>
                  </w:r>
                  <w:r>
                    <w:rPr>
                      <w:rFonts w:hint="default" w:ascii="Times New Roman" w:hAnsi="Times New Roman" w:cs="Times New Roman"/>
                      <w:color w:val="auto"/>
                      <w:vertAlign w:val="superscript"/>
                    </w:rPr>
                    <w:t>3</w:t>
                  </w:r>
                  <w:r>
                    <w:rPr>
                      <w:rFonts w:hint="default" w:ascii="Times New Roman" w:hAnsi="Times New Roman" w:cs="Times New Roman"/>
                      <w:color w:val="auto"/>
                    </w:rPr>
                    <w:t>-N</w:t>
                  </w:r>
                </w:p>
              </w:tc>
              <w:tc>
                <w:tcPr>
                  <w:tcW w:w="35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45</w:t>
                  </w:r>
                </w:p>
              </w:tc>
              <w:tc>
                <w:tcPr>
                  <w:tcW w:w="685" w:type="pct"/>
                  <w:vAlign w:val="center"/>
                </w:tcPr>
                <w:p>
                  <w:pPr>
                    <w:jc w:val="center"/>
                    <w:rPr>
                      <w:rFonts w:hint="default" w:ascii="Times New Roman" w:hAnsi="Times New Roman" w:cs="Times New Roman"/>
                      <w:color w:val="auto"/>
                    </w:rPr>
                  </w:pPr>
                  <w:r>
                    <w:rPr>
                      <w:rFonts w:hint="default" w:ascii="Times New Roman" w:hAnsi="Times New Roman" w:cs="Times New Roman"/>
                      <w:color w:val="auto"/>
                    </w:rPr>
                    <w:t>mg/L</w:t>
                  </w:r>
                </w:p>
              </w:tc>
            </w:tr>
          </w:tbl>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eastAsia="zh-CN"/>
              </w:rPr>
              <w:t>注</w:t>
            </w:r>
            <w:r>
              <w:rPr>
                <w:rFonts w:hint="default" w:ascii="Times New Roman" w:hAnsi="Times New Roman" w:cs="Times New Roman"/>
                <w:b/>
                <w:bCs/>
                <w:color w:val="auto"/>
                <w:lang w:val="en-US" w:eastAsia="zh-CN"/>
              </w:rPr>
              <w:t>*：采用臭氧消毒，污水悬浮物浓度应小于20mg/L。</w:t>
            </w:r>
          </w:p>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3、噪声标准</w:t>
            </w:r>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运营期：</w:t>
            </w:r>
            <w:r>
              <w:rPr>
                <w:rFonts w:hint="eastAsia" w:ascii="Times New Roman" w:hAnsi="Times New Roman" w:cs="Times New Roman"/>
                <w:color w:val="auto"/>
                <w:sz w:val="24"/>
                <w:szCs w:val="24"/>
                <w:lang w:eastAsia="zh-CN"/>
              </w:rPr>
              <w:t>根据《西安市声环境功能区划方案》（</w:t>
            </w:r>
            <w:r>
              <w:rPr>
                <w:rFonts w:hint="eastAsia" w:ascii="Times New Roman" w:hAnsi="Times New Roman" w:cs="Times New Roman"/>
                <w:color w:val="auto"/>
                <w:sz w:val="24"/>
                <w:szCs w:val="24"/>
                <w:lang w:val="en-US" w:eastAsia="zh-CN"/>
              </w:rPr>
              <w:t>2019年4月16日</w:t>
            </w:r>
            <w:r>
              <w:rPr>
                <w:rFonts w:hint="eastAsia" w:ascii="Times New Roman" w:hAnsi="Times New Roman" w:cs="Times New Roman"/>
                <w:color w:val="auto"/>
                <w:sz w:val="24"/>
                <w:szCs w:val="24"/>
                <w:lang w:eastAsia="zh-CN"/>
              </w:rPr>
              <w:t>），项目属于</w:t>
            </w:r>
            <w:r>
              <w:rPr>
                <w:rFonts w:hint="eastAsia" w:ascii="Times New Roman" w:hAnsi="Times New Roman" w:cs="Times New Roman"/>
                <w:color w:val="auto"/>
                <w:sz w:val="24"/>
                <w:szCs w:val="24"/>
                <w:lang w:val="en-US" w:eastAsia="zh-CN"/>
              </w:rPr>
              <w:t>2类标准适用区域内的旧城区小区区域，</w:t>
            </w:r>
            <w:r>
              <w:rPr>
                <w:rFonts w:hint="default" w:ascii="Times New Roman" w:hAnsi="Times New Roman" w:cs="Times New Roman"/>
                <w:color w:val="auto"/>
                <w:sz w:val="24"/>
                <w:szCs w:val="24"/>
                <w:lang w:eastAsia="zh-CN"/>
              </w:rPr>
              <w:t>由于项目西侧临环城西路（</w:t>
            </w:r>
            <w:r>
              <w:rPr>
                <w:rFonts w:hint="eastAsia" w:cs="Times New Roman"/>
                <w:color w:val="auto"/>
                <w:sz w:val="24"/>
                <w:szCs w:val="24"/>
                <w:lang w:eastAsia="zh-CN"/>
              </w:rPr>
              <w:t>最近</w:t>
            </w:r>
            <w:r>
              <w:rPr>
                <w:rFonts w:hint="default" w:ascii="Times New Roman" w:hAnsi="Times New Roman" w:cs="Times New Roman"/>
                <w:color w:val="auto"/>
                <w:sz w:val="24"/>
                <w:szCs w:val="24"/>
                <w:lang w:eastAsia="zh-CN"/>
              </w:rPr>
              <w:t>距离</w:t>
            </w:r>
            <w:r>
              <w:rPr>
                <w:rFonts w:hint="default" w:ascii="Times New Roman" w:hAnsi="Times New Roman" w:cs="Times New Roman"/>
                <w:color w:val="auto"/>
                <w:sz w:val="24"/>
                <w:szCs w:val="24"/>
                <w:lang w:val="en-US" w:eastAsia="zh-CN"/>
              </w:rPr>
              <w:t>23m</w:t>
            </w:r>
            <w:r>
              <w:rPr>
                <w:rFonts w:hint="default" w:ascii="Times New Roman" w:hAnsi="Times New Roman" w:cs="Times New Roman"/>
                <w:color w:val="auto"/>
                <w:sz w:val="24"/>
                <w:szCs w:val="24"/>
                <w:lang w:eastAsia="zh-CN"/>
              </w:rPr>
              <w:t>），北侧临大庆路</w:t>
            </w:r>
            <w:r>
              <w:rPr>
                <w:rFonts w:hint="eastAsia" w:ascii="Times New Roman" w:hAnsi="Times New Roman" w:cs="Times New Roman"/>
                <w:color w:val="auto"/>
                <w:sz w:val="24"/>
                <w:szCs w:val="24"/>
                <w:lang w:eastAsia="zh-CN"/>
              </w:rPr>
              <w:t>环道</w:t>
            </w:r>
            <w:r>
              <w:rPr>
                <w:rFonts w:hint="default" w:ascii="Times New Roman" w:hAnsi="Times New Roman" w:cs="Times New Roman"/>
                <w:color w:val="auto"/>
                <w:sz w:val="24"/>
                <w:szCs w:val="24"/>
                <w:lang w:eastAsia="zh-CN"/>
              </w:rPr>
              <w:t>（</w:t>
            </w:r>
            <w:r>
              <w:rPr>
                <w:rFonts w:hint="eastAsia" w:cs="Times New Roman"/>
                <w:color w:val="auto"/>
                <w:sz w:val="24"/>
                <w:szCs w:val="24"/>
                <w:lang w:eastAsia="zh-CN"/>
              </w:rPr>
              <w:t>最近</w:t>
            </w:r>
            <w:r>
              <w:rPr>
                <w:rFonts w:hint="default" w:ascii="Times New Roman" w:hAnsi="Times New Roman" w:cs="Times New Roman"/>
                <w:color w:val="auto"/>
                <w:sz w:val="24"/>
                <w:szCs w:val="24"/>
                <w:lang w:eastAsia="zh-CN"/>
              </w:rPr>
              <w:t>距离</w:t>
            </w:r>
            <w:r>
              <w:rPr>
                <w:rFonts w:hint="default" w:ascii="Times New Roman" w:hAnsi="Times New Roman" w:cs="Times New Roman"/>
                <w:color w:val="auto"/>
                <w:sz w:val="24"/>
                <w:szCs w:val="24"/>
                <w:lang w:val="en-US" w:eastAsia="zh-CN"/>
              </w:rPr>
              <w:t>28m</w:t>
            </w:r>
            <w:r>
              <w:rPr>
                <w:rFonts w:hint="default" w:ascii="Times New Roman" w:hAnsi="Times New Roman" w:cs="Times New Roman"/>
                <w:color w:val="auto"/>
                <w:sz w:val="24"/>
                <w:szCs w:val="24"/>
                <w:lang w:eastAsia="zh-CN"/>
              </w:rPr>
              <w:t>），环城西路及大庆路均属于城市主干道，因此</w:t>
            </w:r>
            <w:r>
              <w:rPr>
                <w:rFonts w:hint="default" w:ascii="Times New Roman" w:hAnsi="Times New Roman" w:cs="Times New Roman"/>
                <w:color w:val="auto"/>
                <w:sz w:val="24"/>
                <w:szCs w:val="24"/>
              </w:rPr>
              <w:t>运营期</w:t>
            </w:r>
            <w:r>
              <w:rPr>
                <w:rFonts w:hint="default" w:ascii="Times New Roman" w:hAnsi="Times New Roman" w:cs="Times New Roman"/>
                <w:color w:val="auto"/>
                <w:sz w:val="24"/>
                <w:szCs w:val="24"/>
                <w:lang w:eastAsia="zh-CN"/>
              </w:rPr>
              <w:t>院区</w:t>
            </w:r>
            <w:r>
              <w:rPr>
                <w:rFonts w:hint="default" w:ascii="Times New Roman" w:hAnsi="Times New Roman" w:cs="Times New Roman"/>
                <w:color w:val="auto"/>
                <w:sz w:val="24"/>
                <w:szCs w:val="24"/>
                <w:lang w:val="en-US" w:eastAsia="zh-CN"/>
              </w:rPr>
              <w:t>北、西侧</w:t>
            </w:r>
            <w:r>
              <w:rPr>
                <w:rFonts w:hint="eastAsia" w:cs="Times New Roman"/>
                <w:color w:val="auto"/>
                <w:sz w:val="24"/>
                <w:szCs w:val="24"/>
                <w:lang w:val="en-US" w:eastAsia="zh-CN"/>
              </w:rPr>
              <w:t>面向道路一侧</w:t>
            </w:r>
            <w:r>
              <w:rPr>
                <w:rFonts w:hint="default" w:ascii="Times New Roman" w:hAnsi="Times New Roman" w:cs="Times New Roman"/>
                <w:color w:val="auto"/>
                <w:sz w:val="24"/>
                <w:szCs w:val="24"/>
                <w:lang w:val="en-US" w:eastAsia="zh-CN"/>
              </w:rPr>
              <w:t>噪声</w:t>
            </w:r>
            <w:r>
              <w:rPr>
                <w:rFonts w:hint="default" w:ascii="Times New Roman" w:hAnsi="Times New Roman" w:cs="Times New Roman"/>
                <w:color w:val="auto"/>
                <w:sz w:val="24"/>
                <w:szCs w:val="24"/>
              </w:rPr>
              <w:t>排放执行《工业企业厂界环境噪声排放标准》（GB12348-2008）中的</w:t>
            </w:r>
            <w:r>
              <w:rPr>
                <w:rFonts w:hint="default" w:ascii="Times New Roman" w:hAnsi="Times New Roman" w:cs="Times New Roman"/>
                <w:color w:val="auto"/>
                <w:sz w:val="24"/>
                <w:szCs w:val="24"/>
                <w:lang w:val="en-US" w:eastAsia="zh-CN"/>
              </w:rPr>
              <w:t>4a</w:t>
            </w:r>
            <w:r>
              <w:rPr>
                <w:rFonts w:hint="default" w:ascii="Times New Roman" w:hAnsi="Times New Roman" w:cs="Times New Roman"/>
                <w:color w:val="auto"/>
                <w:sz w:val="24"/>
                <w:szCs w:val="24"/>
              </w:rPr>
              <w:t>类标准</w:t>
            </w:r>
            <w:r>
              <w:rPr>
                <w:rFonts w:hint="default" w:ascii="Times New Roman" w:hAnsi="Times New Roman" w:cs="Times New Roman"/>
                <w:color w:val="auto"/>
                <w:sz w:val="24"/>
                <w:szCs w:val="24"/>
                <w:lang w:eastAsia="zh-CN"/>
              </w:rPr>
              <w:t>；东、南侧噪声执行</w:t>
            </w:r>
            <w:r>
              <w:rPr>
                <w:rFonts w:hint="eastAsia"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类标准。具体标准值见下表3-</w:t>
            </w:r>
            <w:r>
              <w:rPr>
                <w:rFonts w:hint="eastAsia" w:cs="Times New Roman"/>
                <w:color w:val="auto"/>
                <w:sz w:val="24"/>
                <w:szCs w:val="24"/>
                <w:lang w:val="en-US" w:eastAsia="zh-CN"/>
              </w:rPr>
              <w:t>7</w:t>
            </w:r>
            <w:r>
              <w:rPr>
                <w:rFonts w:hint="default" w:ascii="Times New Roman" w:hAnsi="Times New Roman" w:cs="Times New Roman"/>
                <w:color w:val="auto"/>
                <w:sz w:val="24"/>
                <w:szCs w:val="24"/>
              </w:rPr>
              <w:t>。</w:t>
            </w:r>
          </w:p>
          <w:p>
            <w:pPr>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表3-</w:t>
            </w:r>
            <w:r>
              <w:rPr>
                <w:rFonts w:hint="eastAsia" w:cs="Times New Roman"/>
                <w:b/>
                <w:bCs/>
                <w:color w:val="auto"/>
                <w:sz w:val="21"/>
                <w:szCs w:val="21"/>
                <w:lang w:val="en-US" w:eastAsia="zh-CN"/>
              </w:rPr>
              <w:t>7</w:t>
            </w:r>
            <w:r>
              <w:rPr>
                <w:rFonts w:hint="default" w:ascii="Times New Roman" w:hAnsi="Times New Roman" w:cs="Times New Roman"/>
                <w:b/>
                <w:bCs/>
                <w:color w:val="auto"/>
                <w:sz w:val="21"/>
                <w:szCs w:val="21"/>
                <w:lang w:val="en-US" w:eastAsia="zh-CN"/>
              </w:rPr>
              <w:t xml:space="preserve">  </w:t>
            </w:r>
            <w:r>
              <w:rPr>
                <w:rFonts w:hint="default" w:ascii="Times New Roman" w:hAnsi="Times New Roman" w:cs="Times New Roman"/>
                <w:b/>
                <w:bCs/>
                <w:color w:val="auto"/>
                <w:sz w:val="21"/>
                <w:szCs w:val="21"/>
              </w:rPr>
              <w:t>噪声污染物排放标准单位：dB（A）</w:t>
            </w:r>
          </w:p>
          <w:tbl>
            <w:tblPr>
              <w:tblStyle w:val="25"/>
              <w:tblW w:w="4997"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324"/>
              <w:gridCol w:w="2125"/>
              <w:gridCol w:w="1155"/>
              <w:gridCol w:w="1014"/>
              <w:gridCol w:w="330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3" w:hRule="atLeast"/>
                <w:jc w:val="center"/>
              </w:trPr>
              <w:tc>
                <w:tcPr>
                  <w:tcW w:w="742" w:type="pct"/>
                  <w:vMerge w:val="restart"/>
                  <w:tcMar>
                    <w:left w:w="0" w:type="dxa"/>
                    <w:right w:w="0" w:type="dxa"/>
                  </w:tcMar>
                  <w:vAlign w:val="center"/>
                </w:tcPr>
                <w:p>
                  <w:pPr>
                    <w:pStyle w:val="41"/>
                    <w:keepNext w:val="0"/>
                    <w:keepLines w:val="0"/>
                    <w:pageBreakBefore w:val="0"/>
                    <w:kinsoku/>
                    <w:wordWrap/>
                    <w:overflowPunct/>
                    <w:topLinePunct w:val="0"/>
                    <w:autoSpaceDE/>
                    <w:autoSpaceDN/>
                    <w:bidi w:val="0"/>
                    <w:adjustRightInd/>
                    <w:spacing w:beforeLines="0" w:afterLines="0" w:line="240" w:lineRule="auto"/>
                    <w:ind w:left="0" w:firstLine="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污染物名称</w:t>
                  </w:r>
                </w:p>
              </w:tc>
              <w:tc>
                <w:tcPr>
                  <w:tcW w:w="1191" w:type="pct"/>
                  <w:vMerge w:val="restart"/>
                  <w:tcMar>
                    <w:left w:w="0" w:type="dxa"/>
                    <w:right w:w="0" w:type="dxa"/>
                  </w:tcMar>
                  <w:vAlign w:val="center"/>
                </w:tcPr>
                <w:p>
                  <w:pPr>
                    <w:pStyle w:val="41"/>
                    <w:keepNext w:val="0"/>
                    <w:keepLines w:val="0"/>
                    <w:pageBreakBefore w:val="0"/>
                    <w:kinsoku/>
                    <w:wordWrap/>
                    <w:overflowPunct/>
                    <w:topLinePunct w:val="0"/>
                    <w:autoSpaceDE/>
                    <w:autoSpaceDN/>
                    <w:bidi w:val="0"/>
                    <w:adjustRightInd/>
                    <w:spacing w:beforeLines="0" w:afterLines="0" w:line="240" w:lineRule="auto"/>
                    <w:ind w:left="0" w:firstLine="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执行标准</w:t>
                  </w:r>
                </w:p>
              </w:tc>
              <w:tc>
                <w:tcPr>
                  <w:tcW w:w="1215" w:type="pct"/>
                  <w:gridSpan w:val="2"/>
                  <w:tcMar>
                    <w:left w:w="0" w:type="dxa"/>
                    <w:right w:w="0" w:type="dxa"/>
                  </w:tcMar>
                  <w:vAlign w:val="center"/>
                </w:tcPr>
                <w:p>
                  <w:pPr>
                    <w:pStyle w:val="41"/>
                    <w:keepNext w:val="0"/>
                    <w:keepLines w:val="0"/>
                    <w:pageBreakBefore w:val="0"/>
                    <w:kinsoku/>
                    <w:wordWrap/>
                    <w:overflowPunct/>
                    <w:topLinePunct w:val="0"/>
                    <w:autoSpaceDE/>
                    <w:autoSpaceDN/>
                    <w:bidi w:val="0"/>
                    <w:adjustRightInd/>
                    <w:spacing w:beforeLines="0" w:afterLines="0" w:line="240" w:lineRule="auto"/>
                    <w:ind w:left="0" w:firstLine="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标准值</w:t>
                  </w:r>
                </w:p>
              </w:tc>
              <w:tc>
                <w:tcPr>
                  <w:tcW w:w="1849" w:type="pct"/>
                  <w:vMerge w:val="restart"/>
                  <w:tcMar>
                    <w:left w:w="0" w:type="dxa"/>
                    <w:right w:w="0" w:type="dxa"/>
                  </w:tcMar>
                  <w:vAlign w:val="center"/>
                </w:tcPr>
                <w:p>
                  <w:pPr>
                    <w:pStyle w:val="41"/>
                    <w:keepNext w:val="0"/>
                    <w:keepLines w:val="0"/>
                    <w:pageBreakBefore w:val="0"/>
                    <w:kinsoku/>
                    <w:wordWrap/>
                    <w:overflowPunct/>
                    <w:topLinePunct w:val="0"/>
                    <w:autoSpaceDE/>
                    <w:autoSpaceDN/>
                    <w:bidi w:val="0"/>
                    <w:adjustRightInd/>
                    <w:spacing w:beforeLines="0" w:afterLines="0" w:line="240" w:lineRule="auto"/>
                    <w:ind w:left="0" w:firstLine="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标准来源</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3" w:hRule="atLeast"/>
                <w:jc w:val="center"/>
              </w:trPr>
              <w:tc>
                <w:tcPr>
                  <w:tcW w:w="742" w:type="pct"/>
                  <w:vMerge w:val="continue"/>
                  <w:tcMar>
                    <w:left w:w="0" w:type="dxa"/>
                    <w:right w:w="0" w:type="dxa"/>
                  </w:tcMar>
                  <w:vAlign w:val="center"/>
                </w:tcPr>
                <w:p>
                  <w:pPr>
                    <w:pStyle w:val="41"/>
                    <w:keepNext w:val="0"/>
                    <w:keepLines w:val="0"/>
                    <w:pageBreakBefore w:val="0"/>
                    <w:kinsoku/>
                    <w:wordWrap/>
                    <w:overflowPunct/>
                    <w:topLinePunct w:val="0"/>
                    <w:autoSpaceDE/>
                    <w:autoSpaceDN/>
                    <w:bidi w:val="0"/>
                    <w:adjustRightInd/>
                    <w:spacing w:beforeLines="0" w:afterLines="0" w:line="240" w:lineRule="auto"/>
                    <w:ind w:left="0" w:firstLine="0"/>
                    <w:jc w:val="center"/>
                    <w:rPr>
                      <w:rFonts w:hint="default" w:ascii="Times New Roman" w:hAnsi="Times New Roman" w:cs="Times New Roman"/>
                      <w:color w:val="auto"/>
                      <w:sz w:val="21"/>
                      <w:szCs w:val="21"/>
                    </w:rPr>
                  </w:pPr>
                </w:p>
              </w:tc>
              <w:tc>
                <w:tcPr>
                  <w:tcW w:w="1191" w:type="pct"/>
                  <w:vMerge w:val="continue"/>
                  <w:tcMar>
                    <w:left w:w="0" w:type="dxa"/>
                    <w:right w:w="0" w:type="dxa"/>
                  </w:tcMar>
                  <w:vAlign w:val="center"/>
                </w:tcPr>
                <w:p>
                  <w:pPr>
                    <w:pStyle w:val="41"/>
                    <w:keepNext w:val="0"/>
                    <w:keepLines w:val="0"/>
                    <w:pageBreakBefore w:val="0"/>
                    <w:kinsoku/>
                    <w:wordWrap/>
                    <w:overflowPunct/>
                    <w:topLinePunct w:val="0"/>
                    <w:autoSpaceDE/>
                    <w:autoSpaceDN/>
                    <w:bidi w:val="0"/>
                    <w:adjustRightInd/>
                    <w:spacing w:beforeLines="0" w:afterLines="0" w:line="240" w:lineRule="auto"/>
                    <w:ind w:left="0" w:firstLine="0"/>
                    <w:jc w:val="center"/>
                    <w:rPr>
                      <w:rFonts w:hint="default" w:ascii="Times New Roman" w:hAnsi="Times New Roman" w:cs="Times New Roman"/>
                      <w:color w:val="auto"/>
                      <w:sz w:val="21"/>
                      <w:szCs w:val="21"/>
                    </w:rPr>
                  </w:pPr>
                </w:p>
              </w:tc>
              <w:tc>
                <w:tcPr>
                  <w:tcW w:w="647" w:type="pct"/>
                  <w:tcMar>
                    <w:left w:w="0" w:type="dxa"/>
                    <w:right w:w="0" w:type="dxa"/>
                  </w:tcMar>
                  <w:vAlign w:val="center"/>
                </w:tcPr>
                <w:p>
                  <w:pPr>
                    <w:pStyle w:val="41"/>
                    <w:keepNext w:val="0"/>
                    <w:keepLines w:val="0"/>
                    <w:pageBreakBefore w:val="0"/>
                    <w:kinsoku/>
                    <w:wordWrap/>
                    <w:overflowPunct/>
                    <w:topLinePunct w:val="0"/>
                    <w:autoSpaceDE/>
                    <w:autoSpaceDN/>
                    <w:bidi w:val="0"/>
                    <w:adjustRightInd/>
                    <w:spacing w:beforeLines="0" w:afterLines="0" w:line="240" w:lineRule="auto"/>
                    <w:ind w:left="0" w:firstLine="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昼间</w:t>
                  </w:r>
                </w:p>
              </w:tc>
              <w:tc>
                <w:tcPr>
                  <w:tcW w:w="568" w:type="pct"/>
                  <w:tcMar>
                    <w:left w:w="0" w:type="dxa"/>
                    <w:right w:w="0" w:type="dxa"/>
                  </w:tcMar>
                  <w:vAlign w:val="center"/>
                </w:tcPr>
                <w:p>
                  <w:pPr>
                    <w:pStyle w:val="41"/>
                    <w:keepNext w:val="0"/>
                    <w:keepLines w:val="0"/>
                    <w:pageBreakBefore w:val="0"/>
                    <w:kinsoku/>
                    <w:wordWrap/>
                    <w:overflowPunct/>
                    <w:topLinePunct w:val="0"/>
                    <w:autoSpaceDE/>
                    <w:autoSpaceDN/>
                    <w:bidi w:val="0"/>
                    <w:adjustRightInd/>
                    <w:spacing w:beforeLines="0" w:afterLines="0" w:line="240" w:lineRule="auto"/>
                    <w:ind w:left="0" w:firstLine="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夜间</w:t>
                  </w:r>
                </w:p>
              </w:tc>
              <w:tc>
                <w:tcPr>
                  <w:tcW w:w="1849" w:type="pct"/>
                  <w:vMerge w:val="continue"/>
                  <w:tcMar>
                    <w:left w:w="0" w:type="dxa"/>
                    <w:right w:w="0" w:type="dxa"/>
                  </w:tcMar>
                  <w:vAlign w:val="center"/>
                </w:tcPr>
                <w:p>
                  <w:pPr>
                    <w:pStyle w:val="41"/>
                    <w:keepNext w:val="0"/>
                    <w:keepLines w:val="0"/>
                    <w:pageBreakBefore w:val="0"/>
                    <w:kinsoku/>
                    <w:wordWrap/>
                    <w:overflowPunct/>
                    <w:topLinePunct w:val="0"/>
                    <w:autoSpaceDE/>
                    <w:autoSpaceDN/>
                    <w:bidi w:val="0"/>
                    <w:adjustRightInd/>
                    <w:spacing w:beforeLines="0" w:afterLines="0" w:line="240" w:lineRule="auto"/>
                    <w:ind w:left="0" w:firstLine="0"/>
                    <w:jc w:val="center"/>
                    <w:rPr>
                      <w:rFonts w:hint="default" w:ascii="Times New Roman" w:hAnsi="Times New Roman" w:cs="Times New Roman"/>
                      <w:color w:val="auto"/>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3" w:hRule="atLeast"/>
                <w:jc w:val="center"/>
              </w:trPr>
              <w:tc>
                <w:tcPr>
                  <w:tcW w:w="742" w:type="pct"/>
                  <w:tcMar>
                    <w:left w:w="0" w:type="dxa"/>
                    <w:right w:w="0" w:type="dxa"/>
                  </w:tcMar>
                  <w:vAlign w:val="center"/>
                </w:tcPr>
                <w:p>
                  <w:pPr>
                    <w:keepNext w:val="0"/>
                    <w:keepLines w:val="0"/>
                    <w:pageBreakBefore w:val="0"/>
                    <w:kinsoku/>
                    <w:wordWrap/>
                    <w:overflowPunct/>
                    <w:topLinePunct w:val="0"/>
                    <w:autoSpaceDE/>
                    <w:autoSpaceDN/>
                    <w:bidi w:val="0"/>
                    <w:adjustRightInd/>
                    <w:ind w:firstLine="0"/>
                    <w:jc w:val="center"/>
                    <w:textAlignment w:val="baseline"/>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院界北、西侧</w:t>
                  </w:r>
                </w:p>
              </w:tc>
              <w:tc>
                <w:tcPr>
                  <w:tcW w:w="1191" w:type="pct"/>
                  <w:tcMar>
                    <w:left w:w="0" w:type="dxa"/>
                    <w:right w:w="0" w:type="dxa"/>
                  </w:tcMar>
                  <w:vAlign w:val="center"/>
                </w:tcPr>
                <w:p>
                  <w:pPr>
                    <w:keepNext w:val="0"/>
                    <w:keepLines w:val="0"/>
                    <w:pageBreakBefore w:val="0"/>
                    <w:kinsoku/>
                    <w:wordWrap/>
                    <w:overflowPunct/>
                    <w:topLinePunct w:val="0"/>
                    <w:autoSpaceDE/>
                    <w:autoSpaceDN/>
                    <w:bidi w:val="0"/>
                    <w:adjustRightInd/>
                    <w:ind w:firstLine="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4a</w:t>
                  </w:r>
                  <w:r>
                    <w:rPr>
                      <w:rFonts w:hint="default" w:ascii="Times New Roman" w:hAnsi="Times New Roman" w:cs="Times New Roman"/>
                      <w:color w:val="auto"/>
                      <w:sz w:val="21"/>
                      <w:szCs w:val="21"/>
                    </w:rPr>
                    <w:t>类标准，dB（A）</w:t>
                  </w:r>
                </w:p>
              </w:tc>
              <w:tc>
                <w:tcPr>
                  <w:tcW w:w="647" w:type="pct"/>
                  <w:tcMar>
                    <w:left w:w="0" w:type="dxa"/>
                    <w:right w:w="0" w:type="dxa"/>
                  </w:tcMar>
                  <w:vAlign w:val="center"/>
                </w:tcPr>
                <w:p>
                  <w:pPr>
                    <w:keepNext w:val="0"/>
                    <w:keepLines w:val="0"/>
                    <w:pageBreakBefore w:val="0"/>
                    <w:kinsoku/>
                    <w:wordWrap/>
                    <w:overflowPunct/>
                    <w:topLinePunct w:val="0"/>
                    <w:autoSpaceDE/>
                    <w:autoSpaceDN/>
                    <w:bidi w:val="0"/>
                    <w:adjustRightInd/>
                    <w:ind w:firstLine="0"/>
                    <w:jc w:val="center"/>
                    <w:textAlignment w:val="baseline"/>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70</w:t>
                  </w:r>
                </w:p>
              </w:tc>
              <w:tc>
                <w:tcPr>
                  <w:tcW w:w="568" w:type="pct"/>
                  <w:tcMar>
                    <w:left w:w="0" w:type="dxa"/>
                    <w:right w:w="0" w:type="dxa"/>
                  </w:tcMar>
                  <w:vAlign w:val="center"/>
                </w:tcPr>
                <w:p>
                  <w:pPr>
                    <w:keepNext w:val="0"/>
                    <w:keepLines w:val="0"/>
                    <w:pageBreakBefore w:val="0"/>
                    <w:kinsoku/>
                    <w:wordWrap/>
                    <w:overflowPunct/>
                    <w:topLinePunct w:val="0"/>
                    <w:autoSpaceDE/>
                    <w:autoSpaceDN/>
                    <w:bidi w:val="0"/>
                    <w:adjustRightInd/>
                    <w:ind w:firstLine="0"/>
                    <w:jc w:val="center"/>
                    <w:textAlignment w:val="baseline"/>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55</w:t>
                  </w:r>
                </w:p>
              </w:tc>
              <w:tc>
                <w:tcPr>
                  <w:tcW w:w="1849" w:type="pct"/>
                  <w:vMerge w:val="restart"/>
                  <w:tcMar>
                    <w:left w:w="0" w:type="dxa"/>
                    <w:right w:w="0" w:type="dxa"/>
                  </w:tcMar>
                  <w:vAlign w:val="center"/>
                </w:tcPr>
                <w:p>
                  <w:pPr>
                    <w:keepNext w:val="0"/>
                    <w:keepLines w:val="0"/>
                    <w:pageBreakBefore w:val="0"/>
                    <w:kinsoku/>
                    <w:wordWrap/>
                    <w:overflowPunct/>
                    <w:topLinePunct w:val="0"/>
                    <w:autoSpaceDE/>
                    <w:autoSpaceDN/>
                    <w:bidi w:val="0"/>
                    <w:adjustRightInd/>
                    <w:ind w:firstLine="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《工业企业厂界环境噪声排放标准》(GB12348－2008)标准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3" w:hRule="atLeast"/>
                <w:jc w:val="center"/>
              </w:trPr>
              <w:tc>
                <w:tcPr>
                  <w:tcW w:w="742" w:type="pct"/>
                  <w:tcMar>
                    <w:left w:w="0" w:type="dxa"/>
                    <w:right w:w="0" w:type="dxa"/>
                  </w:tcMar>
                  <w:vAlign w:val="center"/>
                </w:tcPr>
                <w:p>
                  <w:pPr>
                    <w:keepNext w:val="0"/>
                    <w:keepLines w:val="0"/>
                    <w:pageBreakBefore w:val="0"/>
                    <w:kinsoku/>
                    <w:wordWrap/>
                    <w:overflowPunct/>
                    <w:topLinePunct w:val="0"/>
                    <w:autoSpaceDE/>
                    <w:autoSpaceDN/>
                    <w:bidi w:val="0"/>
                    <w:adjustRightInd/>
                    <w:ind w:firstLine="0"/>
                    <w:jc w:val="center"/>
                    <w:textAlignment w:val="baseline"/>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院界东、南侧</w:t>
                  </w:r>
                </w:p>
              </w:tc>
              <w:tc>
                <w:tcPr>
                  <w:tcW w:w="1191" w:type="pct"/>
                  <w:tcMar>
                    <w:left w:w="0" w:type="dxa"/>
                    <w:right w:w="0" w:type="dxa"/>
                  </w:tcMar>
                  <w:vAlign w:val="center"/>
                </w:tcPr>
                <w:p>
                  <w:pPr>
                    <w:keepNext w:val="0"/>
                    <w:keepLines w:val="0"/>
                    <w:pageBreakBefore w:val="0"/>
                    <w:kinsoku/>
                    <w:wordWrap/>
                    <w:overflowPunct/>
                    <w:topLinePunct w:val="0"/>
                    <w:autoSpaceDE/>
                    <w:autoSpaceDN/>
                    <w:bidi w:val="0"/>
                    <w:adjustRightInd/>
                    <w:ind w:firstLine="0"/>
                    <w:jc w:val="center"/>
                    <w:textAlignment w:val="baseline"/>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rPr>
                    <w:t>类标准，dB（A）</w:t>
                  </w:r>
                </w:p>
              </w:tc>
              <w:tc>
                <w:tcPr>
                  <w:tcW w:w="647" w:type="pct"/>
                  <w:tcMar>
                    <w:left w:w="0" w:type="dxa"/>
                    <w:right w:w="0" w:type="dxa"/>
                  </w:tcMar>
                  <w:vAlign w:val="center"/>
                </w:tcPr>
                <w:p>
                  <w:pPr>
                    <w:keepNext w:val="0"/>
                    <w:keepLines w:val="0"/>
                    <w:pageBreakBefore w:val="0"/>
                    <w:kinsoku/>
                    <w:wordWrap/>
                    <w:overflowPunct/>
                    <w:topLinePunct w:val="0"/>
                    <w:autoSpaceDE/>
                    <w:autoSpaceDN/>
                    <w:bidi w:val="0"/>
                    <w:adjustRightInd/>
                    <w:ind w:firstLine="0" w:firstLineChars="0"/>
                    <w:jc w:val="center"/>
                    <w:textAlignment w:val="baseline"/>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60</w:t>
                  </w:r>
                </w:p>
              </w:tc>
              <w:tc>
                <w:tcPr>
                  <w:tcW w:w="568" w:type="pct"/>
                  <w:tcMar>
                    <w:left w:w="0" w:type="dxa"/>
                    <w:right w:w="0" w:type="dxa"/>
                  </w:tcMar>
                  <w:vAlign w:val="center"/>
                </w:tcPr>
                <w:p>
                  <w:pPr>
                    <w:keepNext w:val="0"/>
                    <w:keepLines w:val="0"/>
                    <w:pageBreakBefore w:val="0"/>
                    <w:kinsoku/>
                    <w:wordWrap/>
                    <w:overflowPunct/>
                    <w:topLinePunct w:val="0"/>
                    <w:autoSpaceDE/>
                    <w:autoSpaceDN/>
                    <w:bidi w:val="0"/>
                    <w:adjustRightInd/>
                    <w:ind w:firstLine="0" w:firstLineChars="0"/>
                    <w:jc w:val="center"/>
                    <w:textAlignment w:val="baseline"/>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50</w:t>
                  </w:r>
                </w:p>
              </w:tc>
              <w:tc>
                <w:tcPr>
                  <w:tcW w:w="1849" w:type="pct"/>
                  <w:vMerge w:val="continue"/>
                  <w:tcMar>
                    <w:left w:w="0" w:type="dxa"/>
                    <w:right w:w="0" w:type="dxa"/>
                  </w:tcMar>
                  <w:vAlign w:val="center"/>
                </w:tcPr>
                <w:p>
                  <w:pPr>
                    <w:keepNext w:val="0"/>
                    <w:keepLines w:val="0"/>
                    <w:pageBreakBefore w:val="0"/>
                    <w:kinsoku/>
                    <w:wordWrap/>
                    <w:overflowPunct/>
                    <w:topLinePunct w:val="0"/>
                    <w:autoSpaceDE/>
                    <w:autoSpaceDN/>
                    <w:bidi w:val="0"/>
                    <w:adjustRightInd/>
                    <w:ind w:firstLine="0"/>
                    <w:jc w:val="center"/>
                    <w:textAlignment w:val="baseline"/>
                    <w:rPr>
                      <w:rFonts w:hint="default" w:ascii="Times New Roman" w:hAnsi="Times New Roman" w:cs="Times New Roman"/>
                      <w:color w:val="auto"/>
                      <w:sz w:val="21"/>
                      <w:szCs w:val="21"/>
                    </w:rPr>
                  </w:pPr>
                </w:p>
              </w:tc>
            </w:tr>
          </w:tbl>
          <w:p>
            <w:pPr>
              <w:pStyle w:val="76"/>
              <w:keepNext w:val="0"/>
              <w:keepLines w:val="0"/>
              <w:pageBreakBefore w:val="0"/>
              <w:widowControl w:val="0"/>
              <w:kinsoku/>
              <w:wordWrap/>
              <w:overflowPunct/>
              <w:topLinePunct w:val="0"/>
              <w:autoSpaceDE/>
              <w:autoSpaceDN/>
              <w:bidi w:val="0"/>
              <w:adjustRightInd w:val="0"/>
              <w:snapToGrid w:val="0"/>
              <w:spacing w:before="157" w:beforeLines="50"/>
              <w:ind w:firstLine="420"/>
              <w:textAlignment w:val="auto"/>
              <w:rPr>
                <w:rFonts w:hint="default" w:ascii="Times New Roman" w:hAnsi="Times New Roman" w:cs="Times New Roman"/>
                <w:color w:val="auto"/>
              </w:rPr>
            </w:pPr>
            <w:r>
              <w:rPr>
                <w:rFonts w:hint="default" w:ascii="Times New Roman" w:hAnsi="Times New Roman" w:cs="Times New Roman"/>
                <w:color w:val="auto"/>
                <w:lang w:eastAsia="zh-CN"/>
              </w:rPr>
              <w:t>施工期：</w:t>
            </w:r>
            <w:r>
              <w:rPr>
                <w:rFonts w:hint="default" w:ascii="Times New Roman" w:hAnsi="Times New Roman" w:cs="Times New Roman"/>
                <w:color w:val="auto"/>
              </w:rPr>
              <w:t>施工期噪声排放执行《建筑施工厂界环境噪声排放标准》（GB12523-2011）限值。</w:t>
            </w:r>
          </w:p>
          <w:p>
            <w:pPr>
              <w:pStyle w:val="17"/>
              <w:snapToGrid w:val="0"/>
              <w:jc w:val="center"/>
              <w:rPr>
                <w:rFonts w:hint="default" w:ascii="Times New Roman" w:hAnsi="Times New Roman" w:cs="Times New Roman"/>
                <w:b/>
                <w:bCs/>
                <w:color w:val="auto"/>
              </w:rPr>
            </w:pPr>
            <w:r>
              <w:rPr>
                <w:rFonts w:hint="default" w:ascii="Times New Roman" w:hAnsi="Times New Roman" w:cs="Times New Roman"/>
                <w:b/>
                <w:bCs/>
                <w:color w:val="auto"/>
              </w:rPr>
              <w:t>表3-</w:t>
            </w:r>
            <w:r>
              <w:rPr>
                <w:rFonts w:hint="eastAsia" w:ascii="Times New Roman" w:hAnsi="Times New Roman" w:cs="Times New Roman"/>
                <w:b/>
                <w:bCs/>
                <w:color w:val="auto"/>
                <w:lang w:val="en-US" w:eastAsia="zh-CN"/>
              </w:rPr>
              <w:t>8</w:t>
            </w:r>
            <w:r>
              <w:rPr>
                <w:rFonts w:hint="default" w:ascii="Times New Roman" w:hAnsi="Times New Roman" w:cs="Times New Roman"/>
                <w:b/>
                <w:bCs/>
                <w:color w:val="auto"/>
              </w:rPr>
              <w:t xml:space="preserve">  《建筑施工厂界环境噪声排放标准》（GB12523-2011）</w:t>
            </w:r>
          </w:p>
          <w:tbl>
            <w:tblPr>
              <w:tblStyle w:val="25"/>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309"/>
              <w:gridCol w:w="46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2412" w:type="pct"/>
                  <w:noWrap w:val="0"/>
                  <w:vAlign w:val="top"/>
                </w:tcPr>
                <w:p>
                  <w:pPr>
                    <w:pStyle w:val="39"/>
                    <w:tabs>
                      <w:tab w:val="left" w:pos="717"/>
                    </w:tabs>
                    <w:spacing w:before="39"/>
                    <w:ind w:left="24"/>
                    <w:jc w:val="center"/>
                    <w:rPr>
                      <w:rFonts w:hint="default" w:ascii="Times New Roman" w:hAnsi="Times New Roman" w:cs="Times New Roman"/>
                      <w:b/>
                      <w:bCs/>
                      <w:color w:val="auto"/>
                    </w:rPr>
                  </w:pPr>
                  <w:r>
                    <w:rPr>
                      <w:rFonts w:hint="default" w:ascii="Times New Roman" w:hAnsi="Times New Roman" w:cs="Times New Roman"/>
                      <w:b/>
                      <w:bCs/>
                      <w:color w:val="auto"/>
                    </w:rPr>
                    <w:t>昼间</w:t>
                  </w:r>
                </w:p>
              </w:tc>
              <w:tc>
                <w:tcPr>
                  <w:tcW w:w="2587" w:type="pct"/>
                  <w:noWrap w:val="0"/>
                  <w:vAlign w:val="top"/>
                </w:tcPr>
                <w:p>
                  <w:pPr>
                    <w:pStyle w:val="39"/>
                    <w:tabs>
                      <w:tab w:val="left" w:pos="721"/>
                    </w:tabs>
                    <w:spacing w:before="39"/>
                    <w:ind w:left="27"/>
                    <w:jc w:val="center"/>
                    <w:rPr>
                      <w:rFonts w:hint="default" w:ascii="Times New Roman" w:hAnsi="Times New Roman" w:cs="Times New Roman"/>
                      <w:b/>
                      <w:bCs/>
                      <w:color w:val="auto"/>
                    </w:rPr>
                  </w:pPr>
                  <w:r>
                    <w:rPr>
                      <w:rFonts w:hint="default" w:ascii="Times New Roman" w:hAnsi="Times New Roman" w:cs="Times New Roman"/>
                      <w:b/>
                      <w:bCs/>
                      <w:color w:val="auto"/>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2412" w:type="pct"/>
                  <w:noWrap w:val="0"/>
                  <w:vAlign w:val="top"/>
                </w:tcPr>
                <w:p>
                  <w:pPr>
                    <w:pStyle w:val="39"/>
                    <w:spacing w:before="39"/>
                    <w:ind w:left="22"/>
                    <w:jc w:val="center"/>
                    <w:rPr>
                      <w:rFonts w:hint="default" w:ascii="Times New Roman" w:hAnsi="Times New Roman" w:cs="Times New Roman"/>
                      <w:color w:val="auto"/>
                    </w:rPr>
                  </w:pPr>
                  <w:r>
                    <w:rPr>
                      <w:rFonts w:hint="default" w:ascii="Times New Roman" w:hAnsi="Times New Roman" w:cs="Times New Roman"/>
                      <w:color w:val="auto"/>
                    </w:rPr>
                    <w:t>70dB（A）</w:t>
                  </w:r>
                </w:p>
              </w:tc>
              <w:tc>
                <w:tcPr>
                  <w:tcW w:w="2587" w:type="pct"/>
                  <w:noWrap w:val="0"/>
                  <w:vAlign w:val="top"/>
                </w:tcPr>
                <w:p>
                  <w:pPr>
                    <w:pStyle w:val="39"/>
                    <w:spacing w:before="39"/>
                    <w:ind w:left="30"/>
                    <w:jc w:val="center"/>
                    <w:rPr>
                      <w:rFonts w:hint="default" w:ascii="Times New Roman" w:hAnsi="Times New Roman" w:cs="Times New Roman"/>
                      <w:color w:val="auto"/>
                    </w:rPr>
                  </w:pPr>
                  <w:r>
                    <w:rPr>
                      <w:rFonts w:hint="default" w:ascii="Times New Roman" w:hAnsi="Times New Roman" w:cs="Times New Roman"/>
                      <w:color w:val="auto"/>
                    </w:rPr>
                    <w:t>55dB（A）</w:t>
                  </w:r>
                </w:p>
              </w:tc>
            </w:tr>
          </w:tbl>
          <w:p>
            <w:pPr>
              <w:spacing w:before="120" w:beforeLines="50"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4、固体废物污染控制标准</w:t>
            </w:r>
          </w:p>
          <w:p>
            <w:pPr>
              <w:adjustRightInd w:val="0"/>
              <w:snapToGri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一般工业固体废弃物的贮存、处置执行</w:t>
            </w:r>
            <w:r>
              <w:rPr>
                <w:rFonts w:hint="default" w:ascii="Times New Roman" w:hAnsi="Times New Roman" w:cs="Times New Roman"/>
                <w:color w:val="auto"/>
                <w:sz w:val="24"/>
                <w:szCs w:val="24"/>
                <w:lang w:val="en-US" w:eastAsia="zh-CN"/>
              </w:rPr>
              <w:t>《一般工业固体废物贮存和填埋污染控制标准》(GB18599-2020)中的规定和要求</w:t>
            </w:r>
            <w:r>
              <w:rPr>
                <w:rFonts w:hint="default" w:ascii="Times New Roman" w:hAnsi="Times New Roman" w:cs="Times New Roman"/>
                <w:color w:val="auto"/>
                <w:sz w:val="24"/>
                <w:szCs w:val="24"/>
              </w:rPr>
              <w:t>；涉及危险废物的按照《危险废物贮存污染控制标准》（GB18597-20</w:t>
            </w:r>
            <w:r>
              <w:rPr>
                <w:rFonts w:hint="default" w:ascii="Times New Roman" w:hAnsi="Times New Roman" w:cs="Times New Roman"/>
                <w:color w:val="auto"/>
                <w:sz w:val="24"/>
                <w:szCs w:val="24"/>
                <w:lang w:val="en-US" w:eastAsia="zh-CN"/>
              </w:rPr>
              <w:t>23</w:t>
            </w:r>
            <w:r>
              <w:rPr>
                <w:rFonts w:hint="default" w:ascii="Times New Roman" w:hAnsi="Times New Roman" w:cs="Times New Roman"/>
                <w:color w:val="auto"/>
                <w:sz w:val="24"/>
                <w:szCs w:val="24"/>
              </w:rPr>
              <w:t>）中的有关规定执行。生活垃圾分类收集后交由环卫部门统一处理。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lang w:eastAsia="zh-CN"/>
              </w:rPr>
              <w:t>根据</w:t>
            </w:r>
            <w:r>
              <w:rPr>
                <w:rFonts w:hint="default" w:ascii="Times New Roman" w:hAnsi="Times New Roman" w:eastAsia="宋体" w:cs="Times New Roman"/>
                <w:color w:val="auto"/>
                <w:sz w:val="24"/>
                <w:szCs w:val="24"/>
              </w:rPr>
              <w:t>《医疗机构水污染物排放标准》（GB18466-2005）</w:t>
            </w:r>
            <w:r>
              <w:rPr>
                <w:rFonts w:hint="default" w:ascii="Times New Roman" w:hAnsi="Times New Roman" w:cs="Times New Roman"/>
                <w:color w:val="auto"/>
                <w:sz w:val="24"/>
                <w:szCs w:val="24"/>
                <w:lang w:eastAsia="zh-CN"/>
              </w:rPr>
              <w:t>中对污泥控制与处置的要求，栅渣、化粪池和污水处理站污泥属于危险废物，应按危险废物进行处理和处置；污泥清掏前应进行监测，达到下表要求。</w:t>
            </w:r>
          </w:p>
          <w:p>
            <w:pPr>
              <w:pStyle w:val="41"/>
              <w:keepNext w:val="0"/>
              <w:keepLines w:val="0"/>
              <w:pageBreakBefore w:val="0"/>
              <w:widowControl/>
              <w:kinsoku/>
              <w:wordWrap/>
              <w:overflowPunct/>
              <w:topLinePunct w:val="0"/>
              <w:autoSpaceDE/>
              <w:autoSpaceDN/>
              <w:bidi w:val="0"/>
              <w:adjustRightInd/>
              <w:snapToGrid/>
              <w:spacing w:beforeLines="0" w:afterLines="0" w:line="240" w:lineRule="auto"/>
              <w:ind w:left="198" w:hanging="198"/>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表</w:t>
            </w:r>
            <w:r>
              <w:rPr>
                <w:rFonts w:hint="default" w:ascii="Times New Roman" w:hAnsi="Times New Roman" w:eastAsia="宋体" w:cs="Times New Roman"/>
                <w:b/>
                <w:bCs/>
                <w:color w:val="auto"/>
                <w:sz w:val="21"/>
                <w:szCs w:val="21"/>
                <w:lang w:val="en-US" w:eastAsia="zh-CN"/>
              </w:rPr>
              <w:t>3-</w:t>
            </w:r>
            <w:r>
              <w:rPr>
                <w:rFonts w:hint="eastAsia" w:ascii="Times New Roman" w:cs="Times New Roman"/>
                <w:b/>
                <w:bCs/>
                <w:color w:val="auto"/>
                <w:sz w:val="21"/>
                <w:szCs w:val="21"/>
                <w:lang w:val="en-US" w:eastAsia="zh-CN"/>
              </w:rPr>
              <w:t>9</w:t>
            </w:r>
            <w:r>
              <w:rPr>
                <w:rFonts w:hint="default" w:ascii="Times New Roman" w:hAnsi="Times New Roman" w:cs="Times New Roman"/>
                <w:b/>
                <w:bCs/>
                <w:color w:val="auto"/>
                <w:sz w:val="21"/>
                <w:szCs w:val="21"/>
                <w:lang w:val="en-US" w:eastAsia="zh-CN"/>
              </w:rPr>
              <w:t xml:space="preserve">  </w:t>
            </w:r>
            <w:r>
              <w:rPr>
                <w:rFonts w:hint="eastAsia" w:ascii="Times New Roman" w:hAnsi="Times New Roman" w:cs="Times New Roman"/>
                <w:b/>
                <w:bCs/>
                <w:color w:val="auto"/>
                <w:sz w:val="21"/>
                <w:szCs w:val="21"/>
                <w:lang w:val="en-US" w:eastAsia="zh-CN"/>
              </w:rPr>
              <w:t>医疗机构污泥控制</w:t>
            </w:r>
            <w:r>
              <w:rPr>
                <w:rFonts w:hint="default" w:ascii="Times New Roman" w:hAnsi="Times New Roman" w:eastAsia="宋体" w:cs="Times New Roman"/>
                <w:b/>
                <w:bCs/>
                <w:color w:val="auto"/>
                <w:sz w:val="21"/>
                <w:szCs w:val="21"/>
              </w:rPr>
              <w:t>标准</w:t>
            </w:r>
          </w:p>
          <w:tbl>
            <w:tblPr>
              <w:tblStyle w:val="2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649"/>
              <w:gridCol w:w="1765"/>
              <w:gridCol w:w="1567"/>
              <w:gridCol w:w="1283"/>
              <w:gridCol w:w="1235"/>
              <w:gridCol w:w="1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jc w:val="center"/>
              </w:trPr>
              <w:tc>
                <w:tcPr>
                  <w:tcW w:w="923" w:type="pct"/>
                  <w:vAlign w:val="center"/>
                </w:tcPr>
                <w:p>
                  <w:pPr>
                    <w:jc w:val="center"/>
                    <w:rPr>
                      <w:rFonts w:hint="eastAsia" w:ascii="Times New Roman" w:hAnsi="Times New Roman" w:eastAsia="宋体" w:cs="Times New Roman"/>
                      <w:b/>
                      <w:color w:val="auto"/>
                      <w:sz w:val="21"/>
                      <w:szCs w:val="21"/>
                      <w:lang w:eastAsia="zh-CN"/>
                    </w:rPr>
                  </w:pPr>
                  <w:r>
                    <w:rPr>
                      <w:rFonts w:hint="eastAsia" w:ascii="Times New Roman" w:hAnsi="Times New Roman" w:cs="Times New Roman"/>
                      <w:b/>
                      <w:color w:val="auto"/>
                      <w:sz w:val="21"/>
                      <w:szCs w:val="21"/>
                      <w:lang w:eastAsia="zh-CN"/>
                    </w:rPr>
                    <w:t>医疗机构类别</w:t>
                  </w:r>
                </w:p>
              </w:tc>
              <w:tc>
                <w:tcPr>
                  <w:tcW w:w="988" w:type="pct"/>
                  <w:vAlign w:val="center"/>
                </w:tcPr>
                <w:p>
                  <w:pPr>
                    <w:jc w:val="center"/>
                    <w:rPr>
                      <w:rFonts w:hint="default" w:ascii="Times New Roman" w:hAnsi="Times New Roman" w:eastAsia="宋体" w:cs="Times New Roman"/>
                      <w:b/>
                      <w:color w:val="auto"/>
                      <w:sz w:val="21"/>
                      <w:szCs w:val="21"/>
                      <w:lang w:val="en-US" w:eastAsia="zh-CN"/>
                    </w:rPr>
                  </w:pPr>
                  <w:r>
                    <w:rPr>
                      <w:rFonts w:hint="eastAsia" w:ascii="Times New Roman" w:hAnsi="Times New Roman" w:cs="Times New Roman"/>
                      <w:b/>
                      <w:color w:val="auto"/>
                      <w:sz w:val="21"/>
                      <w:szCs w:val="21"/>
                      <w:lang w:eastAsia="zh-CN"/>
                    </w:rPr>
                    <w:t>粪大肠菌群数</w:t>
                  </w:r>
                  <w:r>
                    <w:rPr>
                      <w:rFonts w:hint="eastAsia" w:ascii="Times New Roman" w:hAnsi="Times New Roman" w:cs="Times New Roman"/>
                      <w:b/>
                      <w:color w:val="auto"/>
                      <w:sz w:val="21"/>
                      <w:szCs w:val="21"/>
                      <w:lang w:val="en-US" w:eastAsia="zh-CN"/>
                    </w:rPr>
                    <w:t>/（MPN/g）</w:t>
                  </w:r>
                </w:p>
              </w:tc>
              <w:tc>
                <w:tcPr>
                  <w:tcW w:w="877" w:type="pct"/>
                  <w:vAlign w:val="center"/>
                </w:tcPr>
                <w:p>
                  <w:pPr>
                    <w:jc w:val="center"/>
                    <w:rPr>
                      <w:rFonts w:hint="eastAsia" w:ascii="Times New Roman" w:hAnsi="Times New Roman" w:eastAsia="宋体" w:cs="Times New Roman"/>
                      <w:b/>
                      <w:color w:val="auto"/>
                      <w:sz w:val="21"/>
                      <w:szCs w:val="21"/>
                      <w:lang w:eastAsia="zh-CN"/>
                    </w:rPr>
                  </w:pPr>
                  <w:r>
                    <w:rPr>
                      <w:rFonts w:hint="eastAsia" w:ascii="Times New Roman" w:hAnsi="Times New Roman" w:cs="Times New Roman"/>
                      <w:b/>
                      <w:color w:val="auto"/>
                      <w:sz w:val="21"/>
                      <w:szCs w:val="21"/>
                      <w:lang w:eastAsia="zh-CN"/>
                    </w:rPr>
                    <w:t>肠道致病菌</w:t>
                  </w:r>
                </w:p>
              </w:tc>
              <w:tc>
                <w:tcPr>
                  <w:tcW w:w="718" w:type="pct"/>
                  <w:vAlign w:val="center"/>
                </w:tcPr>
                <w:p>
                  <w:pPr>
                    <w:jc w:val="center"/>
                    <w:rPr>
                      <w:rFonts w:hint="eastAsia" w:ascii="Times New Roman" w:hAnsi="Times New Roman" w:eastAsia="宋体" w:cs="Times New Roman"/>
                      <w:b/>
                      <w:color w:val="auto"/>
                      <w:sz w:val="21"/>
                      <w:szCs w:val="21"/>
                      <w:lang w:eastAsia="zh-CN"/>
                    </w:rPr>
                  </w:pPr>
                  <w:r>
                    <w:rPr>
                      <w:rFonts w:hint="eastAsia" w:ascii="Times New Roman" w:hAnsi="Times New Roman" w:cs="Times New Roman"/>
                      <w:b/>
                      <w:color w:val="auto"/>
                      <w:sz w:val="21"/>
                      <w:szCs w:val="21"/>
                      <w:lang w:eastAsia="zh-CN"/>
                    </w:rPr>
                    <w:t>肠道病毒</w:t>
                  </w:r>
                </w:p>
              </w:tc>
              <w:tc>
                <w:tcPr>
                  <w:tcW w:w="691" w:type="pct"/>
                  <w:vAlign w:val="center"/>
                </w:tcPr>
                <w:p>
                  <w:pPr>
                    <w:jc w:val="center"/>
                    <w:rPr>
                      <w:rFonts w:hint="eastAsia" w:ascii="Times New Roman" w:hAnsi="Times New Roman" w:eastAsia="宋体" w:cs="Times New Roman"/>
                      <w:b/>
                      <w:color w:val="auto"/>
                      <w:sz w:val="21"/>
                      <w:szCs w:val="21"/>
                      <w:lang w:eastAsia="zh-CN"/>
                    </w:rPr>
                  </w:pPr>
                  <w:r>
                    <w:rPr>
                      <w:rFonts w:hint="eastAsia" w:ascii="Times New Roman" w:hAnsi="Times New Roman" w:cs="Times New Roman"/>
                      <w:b/>
                      <w:color w:val="auto"/>
                      <w:sz w:val="21"/>
                      <w:szCs w:val="21"/>
                      <w:lang w:eastAsia="zh-CN"/>
                    </w:rPr>
                    <w:t>结核杆菌</w:t>
                  </w:r>
                </w:p>
              </w:tc>
              <w:tc>
                <w:tcPr>
                  <w:tcW w:w="800" w:type="pct"/>
                  <w:vAlign w:val="center"/>
                </w:tcPr>
                <w:p>
                  <w:pPr>
                    <w:jc w:val="center"/>
                    <w:rPr>
                      <w:rFonts w:hint="eastAsia" w:ascii="Times New Roman" w:hAnsi="Times New Roman" w:eastAsia="宋体" w:cs="Times New Roman"/>
                      <w:b/>
                      <w:color w:val="auto"/>
                      <w:sz w:val="21"/>
                      <w:szCs w:val="21"/>
                      <w:lang w:eastAsia="zh-CN"/>
                    </w:rPr>
                  </w:pPr>
                  <w:r>
                    <w:rPr>
                      <w:rFonts w:hint="eastAsia" w:ascii="Times New Roman" w:hAnsi="Times New Roman" w:cs="Times New Roman"/>
                      <w:b/>
                      <w:color w:val="auto"/>
                      <w:sz w:val="21"/>
                      <w:szCs w:val="21"/>
                      <w:lang w:eastAsia="zh-CN"/>
                    </w:rPr>
                    <w:t>蛔虫卵死亡率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jc w:val="center"/>
              </w:trPr>
              <w:tc>
                <w:tcPr>
                  <w:tcW w:w="923" w:type="pct"/>
                  <w:vAlign w:val="center"/>
                </w:tcPr>
                <w:p>
                  <w:pPr>
                    <w:jc w:val="center"/>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综合医疗机构和其他医疗机构</w:t>
                  </w:r>
                </w:p>
              </w:tc>
              <w:tc>
                <w:tcPr>
                  <w:tcW w:w="988" w:type="pct"/>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100</w:t>
                  </w:r>
                </w:p>
              </w:tc>
              <w:tc>
                <w:tcPr>
                  <w:tcW w:w="877" w:type="pct"/>
                  <w:vAlign w:val="center"/>
                </w:tcPr>
                <w:p>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w:t>
                  </w:r>
                </w:p>
              </w:tc>
              <w:tc>
                <w:tcPr>
                  <w:tcW w:w="718" w:type="pct"/>
                  <w:vAlign w:val="center"/>
                </w:tcPr>
                <w:p>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w:t>
                  </w:r>
                </w:p>
              </w:tc>
              <w:tc>
                <w:tcPr>
                  <w:tcW w:w="691" w:type="pct"/>
                  <w:vAlign w:val="center"/>
                </w:tcPr>
                <w:p>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w:t>
                  </w:r>
                </w:p>
              </w:tc>
              <w:tc>
                <w:tcPr>
                  <w:tcW w:w="800" w:type="pct"/>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95</w:t>
                  </w:r>
                </w:p>
              </w:tc>
            </w:tr>
          </w:tbl>
          <w:p>
            <w:pPr>
              <w:pStyle w:val="31"/>
              <w:rPr>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402" w:type="pct"/>
            <w:vAlign w:val="center"/>
          </w:tcPr>
          <w:p>
            <w:pPr>
              <w:adjustRightInd w:val="0"/>
              <w:snapToGrid w:val="0"/>
              <w:jc w:val="center"/>
              <w:rPr>
                <w:color w:val="auto"/>
                <w:kern w:val="21"/>
                <w:sz w:val="24"/>
                <w:szCs w:val="24"/>
              </w:rPr>
            </w:pPr>
            <w:r>
              <w:rPr>
                <w:color w:val="auto"/>
                <w:kern w:val="21"/>
                <w:sz w:val="24"/>
                <w:szCs w:val="24"/>
              </w:rPr>
              <w:t>总量</w:t>
            </w:r>
          </w:p>
          <w:p>
            <w:pPr>
              <w:adjustRightInd w:val="0"/>
              <w:snapToGrid w:val="0"/>
              <w:jc w:val="center"/>
              <w:rPr>
                <w:color w:val="auto"/>
                <w:kern w:val="21"/>
                <w:sz w:val="24"/>
                <w:szCs w:val="24"/>
              </w:rPr>
            </w:pPr>
            <w:r>
              <w:rPr>
                <w:color w:val="auto"/>
                <w:kern w:val="21"/>
                <w:sz w:val="24"/>
                <w:szCs w:val="24"/>
              </w:rPr>
              <w:t>控制</w:t>
            </w:r>
          </w:p>
          <w:p>
            <w:pPr>
              <w:adjustRightInd w:val="0"/>
              <w:snapToGrid w:val="0"/>
              <w:jc w:val="center"/>
              <w:rPr>
                <w:color w:val="auto"/>
                <w:kern w:val="21"/>
                <w:sz w:val="24"/>
                <w:szCs w:val="24"/>
              </w:rPr>
            </w:pPr>
            <w:r>
              <w:rPr>
                <w:color w:val="auto"/>
                <w:kern w:val="21"/>
                <w:sz w:val="24"/>
                <w:szCs w:val="24"/>
              </w:rPr>
              <w:t>指标</w:t>
            </w:r>
          </w:p>
        </w:tc>
        <w:tc>
          <w:tcPr>
            <w:tcW w:w="4597" w:type="pct"/>
          </w:tcPr>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olor w:val="auto"/>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olor w:val="auto"/>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olor w:val="auto"/>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olor w:val="auto"/>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olor w:val="auto"/>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olor w:val="auto"/>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olor w:val="auto"/>
                <w:sz w:val="24"/>
                <w:szCs w:val="24"/>
                <w:lang w:eastAsia="zh-CN"/>
              </w:rPr>
            </w:pPr>
          </w:p>
          <w:p>
            <w:pPr>
              <w:pStyle w:val="31"/>
              <w:rPr>
                <w:rFonts w:hint="default"/>
                <w:color w:val="auto"/>
                <w:sz w:val="24"/>
                <w:szCs w:val="24"/>
                <w:lang w:eastAsia="zh-CN"/>
              </w:rPr>
            </w:pPr>
          </w:p>
          <w:p>
            <w:pPr>
              <w:pStyle w:val="33"/>
              <w:rPr>
                <w:rFonts w:hint="default"/>
                <w:color w:val="auto"/>
                <w:lang w:eastAsia="zh-CN"/>
              </w:rPr>
            </w:pPr>
          </w:p>
          <w:p>
            <w:pPr>
              <w:keepNext w:val="0"/>
              <w:keepLines w:val="0"/>
              <w:pageBreakBefore w:val="0"/>
              <w:widowControl w:val="0"/>
              <w:kinsoku/>
              <w:wordWrap/>
              <w:overflowPunct/>
              <w:topLinePunct w:val="0"/>
              <w:autoSpaceDE/>
              <w:autoSpaceDN/>
              <w:bidi w:val="0"/>
              <w:spacing w:line="360" w:lineRule="auto"/>
              <w:ind w:firstLine="480" w:firstLineChars="200"/>
              <w:jc w:val="center"/>
              <w:textAlignment w:val="auto"/>
              <w:rPr>
                <w:rFonts w:hint="eastAsia"/>
                <w:color w:val="auto"/>
                <w:sz w:val="24"/>
                <w:szCs w:val="24"/>
                <w:lang w:val="en-US" w:eastAsia="zh-CN"/>
              </w:rPr>
            </w:pPr>
            <w:r>
              <w:rPr>
                <w:rFonts w:hint="eastAsia"/>
                <w:color w:val="auto"/>
                <w:sz w:val="24"/>
                <w:szCs w:val="24"/>
                <w:lang w:eastAsia="zh-CN"/>
              </w:rPr>
              <w:t>无</w:t>
            </w:r>
          </w:p>
          <w:p>
            <w:pPr>
              <w:pStyle w:val="31"/>
              <w:rPr>
                <w:rFonts w:hint="eastAsia"/>
                <w:color w:val="auto"/>
                <w:sz w:val="24"/>
                <w:szCs w:val="24"/>
                <w:lang w:val="en-US" w:eastAsia="zh-CN"/>
              </w:rPr>
            </w:pPr>
          </w:p>
          <w:p>
            <w:pPr>
              <w:pStyle w:val="33"/>
              <w:rPr>
                <w:rFonts w:hint="eastAsia"/>
                <w:color w:val="auto"/>
                <w:sz w:val="24"/>
                <w:szCs w:val="24"/>
                <w:lang w:val="en-US" w:eastAsia="zh-CN"/>
              </w:rPr>
            </w:pPr>
          </w:p>
          <w:p>
            <w:pPr>
              <w:pStyle w:val="33"/>
              <w:ind w:left="0" w:leftChars="0" w:firstLine="0" w:firstLineChars="0"/>
              <w:rPr>
                <w:rFonts w:hint="eastAsia"/>
                <w:color w:val="auto"/>
                <w:sz w:val="24"/>
                <w:szCs w:val="24"/>
                <w:lang w:val="en-US" w:eastAsia="zh-CN"/>
              </w:rPr>
            </w:pPr>
          </w:p>
          <w:p>
            <w:pPr>
              <w:rPr>
                <w:rFonts w:hint="eastAsia"/>
                <w:color w:val="auto"/>
                <w:sz w:val="24"/>
                <w:szCs w:val="24"/>
                <w:lang w:val="en-US" w:eastAsia="zh-CN"/>
              </w:rPr>
            </w:pPr>
          </w:p>
          <w:p>
            <w:pPr>
              <w:rPr>
                <w:rFonts w:hint="eastAsia"/>
                <w:color w:val="auto"/>
                <w:sz w:val="24"/>
                <w:szCs w:val="24"/>
                <w:lang w:val="en-US" w:eastAsia="zh-CN"/>
              </w:rPr>
            </w:pPr>
          </w:p>
          <w:p>
            <w:pPr>
              <w:rPr>
                <w:rFonts w:hint="eastAsia"/>
                <w:color w:val="auto"/>
                <w:sz w:val="24"/>
                <w:szCs w:val="24"/>
                <w:lang w:val="en-US" w:eastAsia="zh-CN"/>
              </w:rPr>
            </w:pPr>
          </w:p>
          <w:p>
            <w:pPr>
              <w:pStyle w:val="31"/>
              <w:rPr>
                <w:rFonts w:hint="eastAsia"/>
                <w:color w:val="auto"/>
                <w:sz w:val="24"/>
                <w:szCs w:val="24"/>
                <w:lang w:val="en-US" w:eastAsia="zh-CN"/>
              </w:rPr>
            </w:pPr>
          </w:p>
          <w:p>
            <w:pPr>
              <w:pStyle w:val="33"/>
              <w:rPr>
                <w:rFonts w:hint="eastAsia"/>
                <w:color w:val="auto"/>
                <w:sz w:val="24"/>
                <w:szCs w:val="24"/>
                <w:lang w:val="en-US" w:eastAsia="zh-CN"/>
              </w:rPr>
            </w:pPr>
          </w:p>
          <w:p>
            <w:pPr>
              <w:rPr>
                <w:rFonts w:hint="eastAsia"/>
                <w:color w:val="auto"/>
                <w:sz w:val="24"/>
                <w:szCs w:val="24"/>
                <w:lang w:val="en-US" w:eastAsia="zh-CN"/>
              </w:rPr>
            </w:pPr>
          </w:p>
          <w:p>
            <w:pPr>
              <w:pStyle w:val="24"/>
              <w:ind w:left="0" w:leftChars="0" w:firstLine="0" w:firstLineChars="0"/>
              <w:rPr>
                <w:color w:val="auto"/>
                <w:sz w:val="24"/>
                <w:szCs w:val="24"/>
              </w:rPr>
            </w:pPr>
          </w:p>
        </w:tc>
      </w:tr>
    </w:tbl>
    <w:p>
      <w:pPr>
        <w:pStyle w:val="23"/>
        <w:adjustRightInd w:val="0"/>
        <w:snapToGrid w:val="0"/>
        <w:jc w:val="center"/>
        <w:outlineLvl w:val="0"/>
        <w:rPr>
          <w:rFonts w:ascii="Times New Roman" w:hAnsi="Times New Roman"/>
          <w:snapToGrid w:val="0"/>
          <w:color w:val="auto"/>
          <w:kern w:val="21"/>
          <w:sz w:val="30"/>
          <w:szCs w:val="30"/>
        </w:rPr>
      </w:pPr>
      <w:r>
        <w:rPr>
          <w:rFonts w:ascii="Times New Roman" w:hAnsi="Times New Roman"/>
          <w:snapToGrid w:val="0"/>
          <w:color w:val="auto"/>
          <w:kern w:val="21"/>
          <w:sz w:val="36"/>
          <w:szCs w:val="36"/>
        </w:rPr>
        <w:br w:type="page"/>
      </w:r>
      <w:r>
        <w:rPr>
          <w:rFonts w:ascii="Times New Roman" w:hAnsi="Times New Roman"/>
          <w:snapToGrid w:val="0"/>
          <w:color w:val="auto"/>
          <w:kern w:val="21"/>
          <w:sz w:val="30"/>
          <w:szCs w:val="30"/>
        </w:rPr>
        <w:t>四、主要环境影响和保护措施</w:t>
      </w:r>
    </w:p>
    <w:tbl>
      <w:tblPr>
        <w:tblStyle w:val="25"/>
        <w:tblW w:w="5081"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41"/>
        <w:gridCol w:w="930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73" w:type="pct"/>
            <w:tcMar>
              <w:left w:w="28" w:type="dxa"/>
              <w:right w:w="28" w:type="dxa"/>
            </w:tcMar>
            <w:vAlign w:val="center"/>
          </w:tcPr>
          <w:p>
            <w:pPr>
              <w:pStyle w:val="23"/>
              <w:adjustRightInd w:val="0"/>
              <w:snapToGrid w:val="0"/>
              <w:spacing w:before="0" w:beforeAutospacing="0" w:after="0" w:afterAutospacing="0"/>
              <w:jc w:val="center"/>
              <w:rPr>
                <w:rFonts w:ascii="Times New Roman" w:hAnsi="Times New Roman"/>
                <w:bCs/>
                <w:color w:val="auto"/>
                <w:kern w:val="21"/>
                <w:sz w:val="24"/>
                <w:szCs w:val="24"/>
              </w:rPr>
            </w:pPr>
            <w:r>
              <w:rPr>
                <w:rFonts w:ascii="Times New Roman" w:hAnsi="Times New Roman"/>
                <w:color w:val="auto"/>
                <w:kern w:val="21"/>
                <w:sz w:val="24"/>
                <w:szCs w:val="24"/>
              </w:rPr>
              <w:t>施工期环境保护措施</w:t>
            </w:r>
          </w:p>
        </w:tc>
        <w:tc>
          <w:tcPr>
            <w:tcW w:w="4626" w:type="pct"/>
            <w:vAlign w:val="center"/>
          </w:tcPr>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0" w:firstLineChars="200"/>
              <w:textAlignment w:val="auto"/>
              <w:rPr>
                <w:rFonts w:ascii="Times New Roman" w:hAnsi="Times New Roman" w:eastAsia="宋体"/>
                <w:bCs/>
                <w:color w:val="auto"/>
                <w:kern w:val="21"/>
                <w:sz w:val="24"/>
              </w:rPr>
            </w:pPr>
            <w:r>
              <w:rPr>
                <w:rFonts w:ascii="Times New Roman" w:hAnsi="Times New Roman" w:eastAsia="宋体"/>
                <w:bCs/>
                <w:color w:val="auto"/>
                <w:kern w:val="21"/>
                <w:sz w:val="24"/>
              </w:rPr>
              <w:t>施工期包括</w:t>
            </w:r>
            <w:r>
              <w:rPr>
                <w:rFonts w:hint="eastAsia"/>
                <w:bCs/>
                <w:color w:val="auto"/>
                <w:kern w:val="21"/>
                <w:sz w:val="24"/>
                <w:lang w:eastAsia="zh-CN"/>
              </w:rPr>
              <w:t>装修</w:t>
            </w:r>
            <w:r>
              <w:rPr>
                <w:rFonts w:ascii="Times New Roman" w:hAnsi="Times New Roman" w:eastAsia="宋体"/>
                <w:bCs/>
                <w:color w:val="auto"/>
                <w:kern w:val="21"/>
                <w:sz w:val="24"/>
              </w:rPr>
              <w:t>、设备安装、工程竣工及验收使用。施工日期为202</w:t>
            </w:r>
            <w:r>
              <w:rPr>
                <w:rFonts w:hint="eastAsia"/>
                <w:bCs/>
                <w:color w:val="auto"/>
                <w:kern w:val="21"/>
                <w:sz w:val="24"/>
                <w:lang w:val="en-US" w:eastAsia="zh-CN"/>
              </w:rPr>
              <w:t>4</w:t>
            </w:r>
            <w:r>
              <w:rPr>
                <w:rFonts w:ascii="Times New Roman" w:hAnsi="Times New Roman" w:eastAsia="宋体"/>
                <w:bCs/>
                <w:color w:val="auto"/>
                <w:kern w:val="21"/>
                <w:sz w:val="24"/>
              </w:rPr>
              <w:t>年4月</w:t>
            </w:r>
            <w:r>
              <w:rPr>
                <w:rFonts w:hint="eastAsia"/>
                <w:bCs/>
                <w:color w:val="auto"/>
                <w:kern w:val="21"/>
                <w:sz w:val="24"/>
                <w:lang w:val="en-US" w:eastAsia="zh-CN"/>
              </w:rPr>
              <w:t>~</w:t>
            </w:r>
            <w:r>
              <w:rPr>
                <w:rFonts w:ascii="Times New Roman" w:hAnsi="Times New Roman" w:eastAsia="宋体"/>
                <w:bCs/>
                <w:color w:val="auto"/>
                <w:kern w:val="21"/>
                <w:sz w:val="24"/>
              </w:rPr>
              <w:t>202</w:t>
            </w:r>
            <w:r>
              <w:rPr>
                <w:rFonts w:hint="eastAsia"/>
                <w:bCs/>
                <w:color w:val="auto"/>
                <w:kern w:val="21"/>
                <w:sz w:val="24"/>
                <w:lang w:val="en-US" w:eastAsia="zh-CN"/>
              </w:rPr>
              <w:t>4</w:t>
            </w:r>
            <w:r>
              <w:rPr>
                <w:rFonts w:ascii="Times New Roman" w:hAnsi="Times New Roman" w:eastAsia="宋体"/>
                <w:bCs/>
                <w:color w:val="auto"/>
                <w:kern w:val="21"/>
                <w:sz w:val="24"/>
              </w:rPr>
              <w:t>年</w:t>
            </w:r>
            <w:r>
              <w:rPr>
                <w:rFonts w:hint="eastAsia"/>
                <w:bCs/>
                <w:color w:val="auto"/>
                <w:kern w:val="21"/>
                <w:sz w:val="24"/>
                <w:lang w:val="en-US" w:eastAsia="zh-CN"/>
              </w:rPr>
              <w:t>6</w:t>
            </w:r>
            <w:r>
              <w:rPr>
                <w:rFonts w:ascii="Times New Roman" w:hAnsi="Times New Roman" w:eastAsia="宋体"/>
                <w:bCs/>
                <w:color w:val="auto"/>
                <w:kern w:val="21"/>
                <w:sz w:val="24"/>
              </w:rPr>
              <w:t>月。</w:t>
            </w:r>
          </w:p>
          <w:p>
            <w:pPr>
              <w:adjustRightInd w:val="0"/>
              <w:snapToGrid w:val="0"/>
              <w:spacing w:line="360" w:lineRule="auto"/>
              <w:rPr>
                <w:rFonts w:ascii="Times New Roman" w:hAnsi="Times New Roman" w:eastAsia="宋体"/>
                <w:b/>
                <w:color w:val="auto"/>
                <w:kern w:val="21"/>
                <w:sz w:val="24"/>
              </w:rPr>
            </w:pPr>
            <w:r>
              <w:rPr>
                <w:rFonts w:ascii="Times New Roman" w:hAnsi="Times New Roman" w:eastAsia="宋体"/>
                <w:b/>
                <w:color w:val="auto"/>
                <w:kern w:val="21"/>
                <w:sz w:val="24"/>
              </w:rPr>
              <w:t>1、废气</w:t>
            </w:r>
          </w:p>
          <w:p>
            <w:pPr>
              <w:adjustRightInd w:val="0"/>
              <w:snapToGrid w:val="0"/>
              <w:spacing w:line="360" w:lineRule="auto"/>
              <w:ind w:firstLine="480" w:firstLineChars="200"/>
              <w:rPr>
                <w:rFonts w:ascii="Times New Roman" w:hAnsi="Times New Roman" w:eastAsia="宋体"/>
                <w:bCs/>
                <w:color w:val="auto"/>
                <w:kern w:val="21"/>
                <w:sz w:val="24"/>
              </w:rPr>
            </w:pPr>
            <w:r>
              <w:rPr>
                <w:rFonts w:ascii="Times New Roman" w:hAnsi="Times New Roman" w:eastAsia="宋体"/>
                <w:bCs/>
                <w:color w:val="auto"/>
                <w:kern w:val="21"/>
                <w:sz w:val="24"/>
              </w:rPr>
              <w:t>施工期间，运输车辆汽车尾气的主要污染物为CO、NOx等，扬尘的主要污染物为颗粒物。施工期应加强施工车辆运行管理与维护保养以减少尾气排放对环境的污染；少量扬尘采取定期洒水降尘可降低对周围环境的影响。</w:t>
            </w:r>
          </w:p>
          <w:p>
            <w:pPr>
              <w:pStyle w:val="10"/>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eastAsia="宋体"/>
                <w:color w:val="auto"/>
                <w:lang w:eastAsia="zh-CN"/>
              </w:rPr>
            </w:pPr>
            <w:r>
              <w:rPr>
                <w:rFonts w:hint="eastAsia"/>
                <w:bCs/>
                <w:color w:val="auto"/>
                <w:kern w:val="21"/>
                <w:sz w:val="24"/>
                <w:lang w:eastAsia="zh-CN"/>
              </w:rPr>
              <w:t>装修废气的影响会随着施工期的结束而结束。</w:t>
            </w:r>
          </w:p>
          <w:p>
            <w:pPr>
              <w:adjustRightInd w:val="0"/>
              <w:snapToGrid w:val="0"/>
              <w:spacing w:line="360" w:lineRule="auto"/>
              <w:rPr>
                <w:rFonts w:ascii="Times New Roman" w:hAnsi="Times New Roman" w:eastAsia="宋体"/>
                <w:b/>
                <w:color w:val="auto"/>
                <w:kern w:val="21"/>
                <w:sz w:val="24"/>
              </w:rPr>
            </w:pPr>
            <w:r>
              <w:rPr>
                <w:rFonts w:ascii="Times New Roman" w:hAnsi="Times New Roman" w:eastAsia="宋体"/>
                <w:b/>
                <w:color w:val="auto"/>
                <w:kern w:val="21"/>
                <w:sz w:val="24"/>
              </w:rPr>
              <w:t>2、废水</w:t>
            </w:r>
          </w:p>
          <w:p>
            <w:pPr>
              <w:adjustRightInd w:val="0"/>
              <w:snapToGrid w:val="0"/>
              <w:spacing w:line="360" w:lineRule="auto"/>
              <w:ind w:firstLine="480" w:firstLineChars="200"/>
              <w:rPr>
                <w:rFonts w:ascii="Times New Roman" w:hAnsi="Times New Roman" w:eastAsia="宋体"/>
                <w:bCs/>
                <w:color w:val="auto"/>
                <w:kern w:val="21"/>
                <w:sz w:val="24"/>
              </w:rPr>
            </w:pPr>
            <w:r>
              <w:rPr>
                <w:rFonts w:ascii="Times New Roman" w:hAnsi="Times New Roman" w:eastAsia="宋体"/>
                <w:bCs/>
                <w:color w:val="auto"/>
                <w:kern w:val="21"/>
                <w:sz w:val="24"/>
              </w:rPr>
              <w:t>施工期废水主要包括施工人员生活污水。施工人员生活污水依托</w:t>
            </w:r>
            <w:r>
              <w:rPr>
                <w:rFonts w:hint="eastAsia"/>
                <w:bCs/>
                <w:color w:val="auto"/>
                <w:kern w:val="21"/>
                <w:sz w:val="24"/>
                <w:lang w:eastAsia="zh-CN"/>
              </w:rPr>
              <w:t>周边商户</w:t>
            </w:r>
            <w:r>
              <w:rPr>
                <w:rFonts w:ascii="Times New Roman" w:hAnsi="Times New Roman" w:eastAsia="宋体"/>
                <w:bCs/>
                <w:color w:val="auto"/>
                <w:kern w:val="21"/>
                <w:sz w:val="24"/>
              </w:rPr>
              <w:t>现有的生活污水处理设施进行处理</w:t>
            </w:r>
            <w:r>
              <w:rPr>
                <w:rFonts w:hint="eastAsia"/>
                <w:bCs/>
                <w:color w:val="auto"/>
                <w:kern w:val="21"/>
                <w:sz w:val="24"/>
                <w:lang w:eastAsia="zh-CN"/>
              </w:rPr>
              <w:t>，对环境的影响随着施工期的结束而结束</w:t>
            </w:r>
            <w:r>
              <w:rPr>
                <w:rFonts w:ascii="Times New Roman" w:hAnsi="Times New Roman" w:eastAsia="宋体"/>
                <w:bCs/>
                <w:color w:val="auto"/>
                <w:kern w:val="21"/>
                <w:sz w:val="24"/>
              </w:rPr>
              <w:t>。</w:t>
            </w:r>
          </w:p>
          <w:p>
            <w:pPr>
              <w:adjustRightInd w:val="0"/>
              <w:snapToGrid w:val="0"/>
              <w:spacing w:line="360" w:lineRule="auto"/>
              <w:rPr>
                <w:rFonts w:ascii="Times New Roman" w:hAnsi="Times New Roman" w:eastAsia="宋体"/>
                <w:b/>
                <w:color w:val="auto"/>
                <w:kern w:val="21"/>
                <w:sz w:val="24"/>
              </w:rPr>
            </w:pPr>
            <w:r>
              <w:rPr>
                <w:rFonts w:ascii="Times New Roman" w:hAnsi="Times New Roman" w:eastAsia="宋体"/>
                <w:b/>
                <w:color w:val="auto"/>
                <w:kern w:val="21"/>
                <w:sz w:val="24"/>
              </w:rPr>
              <w:t>3、噪声</w:t>
            </w:r>
          </w:p>
          <w:p>
            <w:pPr>
              <w:adjustRightInd w:val="0"/>
              <w:snapToGrid w:val="0"/>
              <w:spacing w:line="360" w:lineRule="auto"/>
              <w:ind w:firstLine="480" w:firstLineChars="200"/>
              <w:rPr>
                <w:rFonts w:ascii="Times New Roman" w:hAnsi="Times New Roman" w:eastAsia="宋体"/>
                <w:bCs/>
                <w:color w:val="auto"/>
                <w:kern w:val="21"/>
                <w:sz w:val="24"/>
              </w:rPr>
            </w:pPr>
            <w:r>
              <w:rPr>
                <w:rFonts w:ascii="Times New Roman" w:hAnsi="Times New Roman" w:eastAsia="宋体"/>
                <w:bCs/>
                <w:color w:val="auto"/>
                <w:kern w:val="21"/>
                <w:sz w:val="24"/>
              </w:rPr>
              <w:t>施工期间，车辆运输、设备安装会产生噪声。</w:t>
            </w:r>
            <w:r>
              <w:rPr>
                <w:rFonts w:ascii="Times New Roman" w:hAnsi="Times New Roman" w:eastAsia="宋体"/>
                <w:color w:val="auto"/>
                <w:sz w:val="24"/>
              </w:rPr>
              <w:t>环评要求施工阶段应以白天施工为主，避免午间</w:t>
            </w:r>
            <w:r>
              <w:rPr>
                <w:rFonts w:hint="eastAsia"/>
                <w:color w:val="auto"/>
                <w:sz w:val="24"/>
                <w:lang w:eastAsia="zh-CN"/>
              </w:rPr>
              <w:t>、夜间等休息时间</w:t>
            </w:r>
            <w:r>
              <w:rPr>
                <w:rFonts w:ascii="Times New Roman" w:hAnsi="Times New Roman" w:eastAsia="宋体"/>
                <w:color w:val="auto"/>
                <w:sz w:val="24"/>
              </w:rPr>
              <w:t>施工，施工过程中保持轻拿轻放，避免突发噪声。项目在采取以上措施后，施工噪声满足《建筑施工场界噪声排放标准》（GB12523-2011）标准限值（昼间：70dB(A)；夜间：55dB(A)），对周围环境影响较小。</w:t>
            </w:r>
          </w:p>
          <w:p>
            <w:pPr>
              <w:adjustRightInd w:val="0"/>
              <w:snapToGrid w:val="0"/>
              <w:spacing w:line="360" w:lineRule="auto"/>
              <w:rPr>
                <w:rFonts w:ascii="Times New Roman" w:hAnsi="Times New Roman" w:eastAsia="宋体"/>
                <w:b/>
                <w:color w:val="auto"/>
                <w:kern w:val="21"/>
                <w:sz w:val="24"/>
              </w:rPr>
            </w:pPr>
            <w:r>
              <w:rPr>
                <w:rFonts w:ascii="Times New Roman" w:hAnsi="Times New Roman" w:eastAsia="宋体"/>
                <w:b/>
                <w:color w:val="auto"/>
                <w:kern w:val="21"/>
                <w:sz w:val="24"/>
              </w:rPr>
              <w:t>4、固体废物</w:t>
            </w:r>
          </w:p>
          <w:p>
            <w:pPr>
              <w:pStyle w:val="66"/>
              <w:keepNext w:val="0"/>
              <w:keepLines w:val="0"/>
              <w:pageBreakBefore w:val="0"/>
              <w:widowControl/>
              <w:kinsoku/>
              <w:wordWrap/>
              <w:overflowPunct/>
              <w:topLinePunct w:val="0"/>
              <w:autoSpaceDE/>
              <w:autoSpaceDN/>
              <w:bidi w:val="0"/>
              <w:adjustRightInd/>
              <w:snapToGrid/>
              <w:spacing w:line="360" w:lineRule="auto"/>
              <w:ind w:firstLine="420"/>
              <w:textAlignment w:val="auto"/>
              <w:rPr>
                <w:rFonts w:ascii="Times New Roman" w:hAnsi="Times New Roman" w:eastAsia="宋体"/>
                <w:color w:val="auto"/>
                <w:sz w:val="24"/>
              </w:rPr>
            </w:pPr>
            <w:r>
              <w:rPr>
                <w:rFonts w:ascii="Times New Roman" w:hAnsi="Times New Roman" w:eastAsia="宋体"/>
                <w:color w:val="auto"/>
                <w:sz w:val="24"/>
              </w:rPr>
              <w:t>施工过程产生的废</w:t>
            </w:r>
            <w:r>
              <w:rPr>
                <w:rFonts w:hint="eastAsia"/>
                <w:color w:val="auto"/>
                <w:sz w:val="24"/>
                <w:lang w:eastAsia="zh-CN"/>
              </w:rPr>
              <w:t>包装</w:t>
            </w:r>
            <w:r>
              <w:rPr>
                <w:rFonts w:ascii="Times New Roman" w:hAnsi="Times New Roman" w:eastAsia="宋体"/>
                <w:color w:val="auto"/>
                <w:sz w:val="24"/>
              </w:rPr>
              <w:t>、废</w:t>
            </w:r>
            <w:r>
              <w:rPr>
                <w:rFonts w:hint="eastAsia"/>
                <w:color w:val="auto"/>
                <w:sz w:val="24"/>
                <w:lang w:eastAsia="zh-CN"/>
              </w:rPr>
              <w:t>建材</w:t>
            </w:r>
            <w:r>
              <w:rPr>
                <w:rFonts w:ascii="Times New Roman" w:hAnsi="Times New Roman" w:eastAsia="宋体"/>
                <w:color w:val="auto"/>
                <w:sz w:val="24"/>
              </w:rPr>
              <w:t>等</w:t>
            </w:r>
            <w:r>
              <w:rPr>
                <w:rFonts w:hint="eastAsia"/>
                <w:color w:val="auto"/>
                <w:sz w:val="24"/>
                <w:lang w:eastAsia="zh-CN"/>
              </w:rPr>
              <w:t>，</w:t>
            </w:r>
            <w:r>
              <w:rPr>
                <w:rFonts w:ascii="Times New Roman" w:hAnsi="Times New Roman" w:eastAsia="宋体"/>
                <w:color w:val="auto"/>
                <w:sz w:val="24"/>
              </w:rPr>
              <w:t>应分类收集，由环卫部门定期清运；施工人员产生的生活垃圾分类收集后由环卫部门定期清运。</w:t>
            </w:r>
          </w:p>
          <w:p>
            <w:pPr>
              <w:pStyle w:val="66"/>
              <w:keepNext w:val="0"/>
              <w:keepLines w:val="0"/>
              <w:pageBreakBefore w:val="0"/>
              <w:widowControl/>
              <w:kinsoku/>
              <w:wordWrap/>
              <w:overflowPunct/>
              <w:topLinePunct w:val="0"/>
              <w:autoSpaceDE/>
              <w:autoSpaceDN/>
              <w:bidi w:val="0"/>
              <w:adjustRightInd/>
              <w:snapToGrid/>
              <w:spacing w:line="360" w:lineRule="auto"/>
              <w:ind w:firstLine="420"/>
              <w:textAlignment w:val="auto"/>
              <w:rPr>
                <w:rFonts w:hint="eastAsia" w:ascii="Times New Roman" w:hAnsi="Times New Roman" w:eastAsia="宋体"/>
                <w:color w:val="auto"/>
                <w:sz w:val="24"/>
                <w:lang w:eastAsia="zh-CN"/>
              </w:rPr>
            </w:pPr>
            <w:r>
              <w:rPr>
                <w:rFonts w:hint="eastAsia"/>
                <w:color w:val="auto"/>
                <w:sz w:val="24"/>
                <w:lang w:eastAsia="zh-CN"/>
              </w:rPr>
              <w:t>施工时间较短，施工期产生的各种污染物通过以上处理方式均能得到有效处理，对环境的影响较小。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3" w:type="pct"/>
            <w:tcMar>
              <w:left w:w="28" w:type="dxa"/>
              <w:right w:w="28" w:type="dxa"/>
            </w:tcMar>
            <w:vAlign w:val="center"/>
          </w:tcPr>
          <w:p>
            <w:pPr>
              <w:adjustRightInd w:val="0"/>
              <w:snapToGrid w:val="0"/>
              <w:jc w:val="center"/>
              <w:rPr>
                <w:bCs/>
                <w:color w:val="auto"/>
                <w:kern w:val="21"/>
                <w:sz w:val="24"/>
                <w:szCs w:val="24"/>
              </w:rPr>
            </w:pPr>
            <w:r>
              <w:rPr>
                <w:bCs/>
                <w:color w:val="auto"/>
                <w:kern w:val="21"/>
                <w:sz w:val="24"/>
                <w:szCs w:val="24"/>
              </w:rPr>
              <w:t>运营</w:t>
            </w:r>
          </w:p>
          <w:p>
            <w:pPr>
              <w:adjustRightInd w:val="0"/>
              <w:snapToGrid w:val="0"/>
              <w:jc w:val="center"/>
              <w:rPr>
                <w:bCs/>
                <w:color w:val="auto"/>
                <w:kern w:val="21"/>
                <w:sz w:val="24"/>
                <w:szCs w:val="24"/>
              </w:rPr>
            </w:pPr>
            <w:r>
              <w:rPr>
                <w:bCs/>
                <w:color w:val="auto"/>
                <w:kern w:val="21"/>
                <w:sz w:val="24"/>
                <w:szCs w:val="24"/>
              </w:rPr>
              <w:t>期环</w:t>
            </w:r>
          </w:p>
          <w:p>
            <w:pPr>
              <w:adjustRightInd w:val="0"/>
              <w:snapToGrid w:val="0"/>
              <w:jc w:val="center"/>
              <w:rPr>
                <w:bCs/>
                <w:color w:val="auto"/>
                <w:kern w:val="21"/>
                <w:sz w:val="24"/>
                <w:szCs w:val="24"/>
              </w:rPr>
            </w:pPr>
            <w:r>
              <w:rPr>
                <w:bCs/>
                <w:color w:val="auto"/>
                <w:kern w:val="21"/>
                <w:sz w:val="24"/>
                <w:szCs w:val="24"/>
              </w:rPr>
              <w:t>境影</w:t>
            </w:r>
          </w:p>
          <w:p>
            <w:pPr>
              <w:adjustRightInd w:val="0"/>
              <w:snapToGrid w:val="0"/>
              <w:jc w:val="center"/>
              <w:rPr>
                <w:bCs/>
                <w:color w:val="auto"/>
                <w:kern w:val="21"/>
                <w:sz w:val="24"/>
                <w:szCs w:val="24"/>
              </w:rPr>
            </w:pPr>
            <w:r>
              <w:rPr>
                <w:bCs/>
                <w:color w:val="auto"/>
                <w:kern w:val="21"/>
                <w:sz w:val="24"/>
                <w:szCs w:val="24"/>
              </w:rPr>
              <w:t>响和</w:t>
            </w:r>
          </w:p>
          <w:p>
            <w:pPr>
              <w:adjustRightInd w:val="0"/>
              <w:snapToGrid w:val="0"/>
              <w:jc w:val="center"/>
              <w:rPr>
                <w:bCs/>
                <w:color w:val="auto"/>
                <w:kern w:val="21"/>
                <w:sz w:val="24"/>
                <w:szCs w:val="24"/>
              </w:rPr>
            </w:pPr>
            <w:r>
              <w:rPr>
                <w:bCs/>
                <w:color w:val="auto"/>
                <w:kern w:val="21"/>
                <w:sz w:val="24"/>
                <w:szCs w:val="24"/>
              </w:rPr>
              <w:t>保护</w:t>
            </w:r>
          </w:p>
          <w:p>
            <w:pPr>
              <w:pStyle w:val="23"/>
              <w:adjustRightInd w:val="0"/>
              <w:snapToGrid w:val="0"/>
              <w:spacing w:before="0" w:beforeAutospacing="0" w:after="0" w:afterAutospacing="0"/>
              <w:jc w:val="center"/>
              <w:rPr>
                <w:rFonts w:ascii="Times New Roman" w:hAnsi="Times New Roman"/>
                <w:color w:val="auto"/>
                <w:kern w:val="21"/>
                <w:sz w:val="24"/>
                <w:szCs w:val="24"/>
              </w:rPr>
            </w:pPr>
            <w:r>
              <w:rPr>
                <w:rFonts w:ascii="Times New Roman" w:hAnsi="Times New Roman"/>
                <w:bCs/>
                <w:color w:val="auto"/>
                <w:kern w:val="21"/>
                <w:sz w:val="24"/>
                <w:szCs w:val="24"/>
              </w:rPr>
              <w:t>措施</w:t>
            </w:r>
          </w:p>
        </w:tc>
        <w:tc>
          <w:tcPr>
            <w:tcW w:w="4626" w:type="pct"/>
            <w:vAlign w:val="center"/>
          </w:tcPr>
          <w:p>
            <w:pPr>
              <w:pStyle w:val="55"/>
              <w:numPr>
                <w:ilvl w:val="0"/>
                <w:numId w:val="10"/>
              </w:numPr>
              <w:adjustRightInd w:val="0"/>
              <w:snapToGrid w:val="0"/>
              <w:spacing w:line="360" w:lineRule="auto"/>
              <w:ind w:firstLineChars="0"/>
              <w:jc w:val="left"/>
              <w:rPr>
                <w:b/>
                <w:bCs/>
                <w:color w:val="auto"/>
                <w:kern w:val="0"/>
                <w:sz w:val="24"/>
                <w:szCs w:val="24"/>
              </w:rPr>
            </w:pPr>
            <w:r>
              <w:rPr>
                <w:b/>
                <w:bCs/>
                <w:color w:val="auto"/>
                <w:kern w:val="0"/>
                <w:sz w:val="24"/>
                <w:szCs w:val="24"/>
              </w:rPr>
              <w:t>废气</w:t>
            </w:r>
          </w:p>
          <w:p>
            <w:pPr>
              <w:snapToGrid w:val="0"/>
              <w:spacing w:line="360" w:lineRule="auto"/>
              <w:ind w:firstLine="480" w:firstLineChars="200"/>
              <w:jc w:val="left"/>
              <w:rPr>
                <w:color w:val="auto"/>
                <w:sz w:val="24"/>
                <w:szCs w:val="24"/>
              </w:rPr>
            </w:pPr>
            <w:r>
              <w:rPr>
                <w:color w:val="auto"/>
                <w:sz w:val="24"/>
                <w:szCs w:val="24"/>
              </w:rPr>
              <w:t>医院运营过程中产生的废气主要为污水处理站废气。</w:t>
            </w:r>
          </w:p>
          <w:p>
            <w:pPr>
              <w:adjustRightInd w:val="0"/>
              <w:snapToGrid w:val="0"/>
              <w:spacing w:line="360" w:lineRule="auto"/>
              <w:ind w:firstLine="480" w:firstLineChars="200"/>
              <w:jc w:val="left"/>
              <w:rPr>
                <w:rFonts w:hint="eastAsia" w:eastAsia="宋体"/>
                <w:b w:val="0"/>
                <w:bCs w:val="0"/>
                <w:color w:val="auto"/>
                <w:kern w:val="0"/>
                <w:sz w:val="24"/>
                <w:szCs w:val="24"/>
                <w:lang w:eastAsia="zh-CN"/>
              </w:rPr>
            </w:pPr>
            <w:r>
              <w:rPr>
                <w:b w:val="0"/>
                <w:bCs w:val="0"/>
                <w:color w:val="auto"/>
                <w:kern w:val="0"/>
                <w:sz w:val="24"/>
                <w:szCs w:val="24"/>
              </w:rPr>
              <w:t>（1）</w:t>
            </w:r>
            <w:r>
              <w:rPr>
                <w:rFonts w:hint="eastAsia"/>
                <w:b w:val="0"/>
                <w:bCs w:val="0"/>
                <w:color w:val="auto"/>
                <w:kern w:val="0"/>
                <w:sz w:val="24"/>
                <w:szCs w:val="24"/>
                <w:lang w:eastAsia="zh-CN"/>
              </w:rPr>
              <w:t>源强核算</w:t>
            </w:r>
          </w:p>
          <w:p>
            <w:pPr>
              <w:spacing w:line="360" w:lineRule="auto"/>
              <w:ind w:firstLine="480" w:firstLineChars="200"/>
              <w:jc w:val="left"/>
              <w:rPr>
                <w:bCs/>
                <w:snapToGrid w:val="0"/>
                <w:color w:val="auto"/>
                <w:kern w:val="0"/>
                <w:sz w:val="24"/>
                <w:szCs w:val="24"/>
              </w:rPr>
            </w:pPr>
            <w:r>
              <w:rPr>
                <w:bCs/>
                <w:snapToGrid w:val="0"/>
                <w:color w:val="auto"/>
                <w:kern w:val="0"/>
                <w:sz w:val="24"/>
                <w:szCs w:val="24"/>
              </w:rPr>
              <w:t>本项目运营期废气主要为污水处理一体化设施在废水处理过程中产生的少量恶臭气体，主要成分为NH</w:t>
            </w:r>
            <w:r>
              <w:rPr>
                <w:bCs/>
                <w:snapToGrid w:val="0"/>
                <w:color w:val="auto"/>
                <w:kern w:val="0"/>
                <w:sz w:val="24"/>
                <w:szCs w:val="24"/>
                <w:vertAlign w:val="subscript"/>
              </w:rPr>
              <w:t>3</w:t>
            </w:r>
            <w:r>
              <w:rPr>
                <w:bCs/>
                <w:snapToGrid w:val="0"/>
                <w:color w:val="auto"/>
                <w:kern w:val="0"/>
                <w:sz w:val="24"/>
                <w:szCs w:val="24"/>
              </w:rPr>
              <w:t>、H</w:t>
            </w:r>
            <w:r>
              <w:rPr>
                <w:bCs/>
                <w:snapToGrid w:val="0"/>
                <w:color w:val="auto"/>
                <w:kern w:val="0"/>
                <w:sz w:val="24"/>
                <w:szCs w:val="24"/>
                <w:vertAlign w:val="subscript"/>
              </w:rPr>
              <w:t>2</w:t>
            </w:r>
            <w:r>
              <w:rPr>
                <w:bCs/>
                <w:snapToGrid w:val="0"/>
                <w:color w:val="auto"/>
                <w:kern w:val="0"/>
                <w:sz w:val="24"/>
                <w:szCs w:val="24"/>
              </w:rPr>
              <w:t>S。本项目污水产生量为</w:t>
            </w:r>
            <w:r>
              <w:rPr>
                <w:rFonts w:hint="eastAsia"/>
                <w:bCs/>
                <w:snapToGrid w:val="0"/>
                <w:color w:val="auto"/>
                <w:kern w:val="0"/>
                <w:sz w:val="24"/>
                <w:szCs w:val="24"/>
                <w:lang w:eastAsia="zh-CN"/>
              </w:rPr>
              <w:t>11.35</w:t>
            </w:r>
            <w:r>
              <w:rPr>
                <w:bCs/>
                <w:snapToGrid w:val="0"/>
                <w:color w:val="auto"/>
                <w:kern w:val="0"/>
                <w:sz w:val="24"/>
                <w:szCs w:val="24"/>
              </w:rPr>
              <w:t>m</w:t>
            </w:r>
            <w:r>
              <w:rPr>
                <w:bCs/>
                <w:snapToGrid w:val="0"/>
                <w:color w:val="auto"/>
                <w:kern w:val="0"/>
                <w:sz w:val="24"/>
                <w:szCs w:val="24"/>
                <w:vertAlign w:val="superscript"/>
              </w:rPr>
              <w:t>3</w:t>
            </w:r>
            <w:r>
              <w:rPr>
                <w:bCs/>
                <w:snapToGrid w:val="0"/>
                <w:color w:val="auto"/>
                <w:kern w:val="0"/>
                <w:sz w:val="24"/>
                <w:szCs w:val="24"/>
              </w:rPr>
              <w:t>/d，</w:t>
            </w:r>
            <w:r>
              <w:rPr>
                <w:color w:val="auto"/>
                <w:sz w:val="24"/>
                <w:szCs w:val="24"/>
              </w:rPr>
              <w:t>根据美国EPA对城市污水处理厂恶臭污染物产生情况的研究，每处理1g的BOD</w:t>
            </w:r>
            <w:r>
              <w:rPr>
                <w:color w:val="auto"/>
                <w:sz w:val="24"/>
                <w:szCs w:val="24"/>
                <w:vertAlign w:val="subscript"/>
              </w:rPr>
              <w:t>5</w:t>
            </w:r>
            <w:r>
              <w:rPr>
                <w:color w:val="auto"/>
                <w:sz w:val="24"/>
                <w:szCs w:val="24"/>
              </w:rPr>
              <w:t>，可产生0.0031g的NH</w:t>
            </w:r>
            <w:r>
              <w:rPr>
                <w:color w:val="auto"/>
                <w:sz w:val="24"/>
                <w:szCs w:val="24"/>
                <w:vertAlign w:val="subscript"/>
              </w:rPr>
              <w:t>3</w:t>
            </w:r>
            <w:r>
              <w:rPr>
                <w:color w:val="auto"/>
                <w:sz w:val="24"/>
                <w:szCs w:val="24"/>
              </w:rPr>
              <w:t>和0.00012g的H</w:t>
            </w:r>
            <w:r>
              <w:rPr>
                <w:color w:val="auto"/>
                <w:sz w:val="24"/>
                <w:szCs w:val="24"/>
                <w:vertAlign w:val="subscript"/>
              </w:rPr>
              <w:t>2</w:t>
            </w:r>
            <w:r>
              <w:rPr>
                <w:color w:val="auto"/>
                <w:sz w:val="24"/>
                <w:szCs w:val="24"/>
              </w:rPr>
              <w:t>S。经预测，本项目BOD</w:t>
            </w:r>
            <w:r>
              <w:rPr>
                <w:color w:val="auto"/>
                <w:sz w:val="24"/>
                <w:szCs w:val="24"/>
                <w:vertAlign w:val="subscript"/>
              </w:rPr>
              <w:t>5</w:t>
            </w:r>
            <w:r>
              <w:rPr>
                <w:color w:val="auto"/>
                <w:sz w:val="24"/>
                <w:szCs w:val="24"/>
              </w:rPr>
              <w:t>去除量约为0.</w:t>
            </w:r>
            <w:r>
              <w:rPr>
                <w:rFonts w:hint="eastAsia"/>
                <w:color w:val="auto"/>
                <w:sz w:val="24"/>
                <w:szCs w:val="24"/>
                <w:lang w:val="en-US" w:eastAsia="zh-CN"/>
              </w:rPr>
              <w:t>358</w:t>
            </w:r>
            <w:r>
              <w:rPr>
                <w:color w:val="auto"/>
                <w:sz w:val="24"/>
                <w:szCs w:val="24"/>
              </w:rPr>
              <w:t>t/a，污水处理站恶臭气体中NH</w:t>
            </w:r>
            <w:r>
              <w:rPr>
                <w:color w:val="auto"/>
                <w:sz w:val="24"/>
                <w:szCs w:val="24"/>
                <w:vertAlign w:val="subscript"/>
              </w:rPr>
              <w:t>3</w:t>
            </w:r>
            <w:r>
              <w:rPr>
                <w:color w:val="auto"/>
                <w:sz w:val="24"/>
                <w:szCs w:val="24"/>
              </w:rPr>
              <w:t>产生量约为0.00</w:t>
            </w:r>
            <w:r>
              <w:rPr>
                <w:rFonts w:hint="eastAsia"/>
                <w:color w:val="auto"/>
                <w:sz w:val="24"/>
                <w:szCs w:val="24"/>
                <w:lang w:val="en-US" w:eastAsia="zh-CN"/>
              </w:rPr>
              <w:t>1</w:t>
            </w:r>
            <w:r>
              <w:rPr>
                <w:color w:val="auto"/>
                <w:sz w:val="24"/>
                <w:szCs w:val="24"/>
              </w:rPr>
              <w:t>t/a，H</w:t>
            </w:r>
            <w:r>
              <w:rPr>
                <w:color w:val="auto"/>
                <w:sz w:val="24"/>
                <w:szCs w:val="24"/>
                <w:vertAlign w:val="subscript"/>
              </w:rPr>
              <w:t>2</w:t>
            </w:r>
            <w:r>
              <w:rPr>
                <w:color w:val="auto"/>
                <w:sz w:val="24"/>
                <w:szCs w:val="24"/>
              </w:rPr>
              <w:t>S产生量约为0.0000</w:t>
            </w:r>
            <w:r>
              <w:rPr>
                <w:rFonts w:hint="eastAsia"/>
                <w:color w:val="auto"/>
                <w:sz w:val="24"/>
                <w:szCs w:val="24"/>
                <w:lang w:val="en-US" w:eastAsia="zh-CN"/>
              </w:rPr>
              <w:t>4</w:t>
            </w:r>
            <w:r>
              <w:rPr>
                <w:color w:val="auto"/>
                <w:sz w:val="24"/>
                <w:szCs w:val="24"/>
              </w:rPr>
              <w:t>t/a</w:t>
            </w:r>
            <w:r>
              <w:rPr>
                <w:bCs/>
                <w:snapToGrid w:val="0"/>
                <w:color w:val="auto"/>
                <w:kern w:val="0"/>
                <w:sz w:val="24"/>
                <w:szCs w:val="24"/>
              </w:rPr>
              <w:t>。</w:t>
            </w:r>
          </w:p>
          <w:p>
            <w:pPr>
              <w:spacing w:line="360" w:lineRule="auto"/>
              <w:ind w:firstLine="480" w:firstLineChars="200"/>
              <w:jc w:val="both"/>
              <w:rPr>
                <w:bCs/>
                <w:color w:val="auto"/>
                <w:sz w:val="24"/>
                <w:szCs w:val="24"/>
              </w:rPr>
            </w:pPr>
            <w:r>
              <w:rPr>
                <w:bCs/>
                <w:color w:val="auto"/>
                <w:sz w:val="24"/>
                <w:szCs w:val="24"/>
              </w:rPr>
              <w:t>本项目污水处理站</w:t>
            </w:r>
            <w:r>
              <w:rPr>
                <w:rFonts w:hint="eastAsia"/>
                <w:bCs/>
                <w:color w:val="auto"/>
                <w:sz w:val="24"/>
                <w:szCs w:val="24"/>
                <w:lang w:eastAsia="zh-CN"/>
              </w:rPr>
              <w:t>各水池均为</w:t>
            </w:r>
            <w:r>
              <w:rPr>
                <w:bCs/>
                <w:color w:val="auto"/>
                <w:sz w:val="24"/>
                <w:szCs w:val="24"/>
              </w:rPr>
              <w:t>为全封闭</w:t>
            </w:r>
            <w:r>
              <w:rPr>
                <w:rFonts w:hint="eastAsia"/>
                <w:bCs/>
                <w:color w:val="auto"/>
                <w:sz w:val="24"/>
                <w:szCs w:val="24"/>
                <w:lang w:eastAsia="zh-CN"/>
              </w:rPr>
              <w:t>地上水箱</w:t>
            </w:r>
            <w:r>
              <w:rPr>
                <w:bCs/>
                <w:color w:val="auto"/>
                <w:sz w:val="24"/>
                <w:szCs w:val="24"/>
              </w:rPr>
              <w:t>，</w:t>
            </w:r>
            <w:r>
              <w:rPr>
                <w:rFonts w:hint="eastAsia"/>
                <w:bCs/>
                <w:color w:val="auto"/>
                <w:sz w:val="24"/>
                <w:szCs w:val="24"/>
                <w:lang w:eastAsia="zh-CN"/>
              </w:rPr>
              <w:t>污水处理站全年运行，</w:t>
            </w:r>
            <w:r>
              <w:rPr>
                <w:color w:val="auto"/>
                <w:sz w:val="24"/>
                <w:szCs w:val="24"/>
              </w:rPr>
              <w:t>NH</w:t>
            </w:r>
            <w:r>
              <w:rPr>
                <w:color w:val="auto"/>
                <w:sz w:val="24"/>
                <w:szCs w:val="24"/>
                <w:vertAlign w:val="subscript"/>
              </w:rPr>
              <w:t>3</w:t>
            </w:r>
            <w:r>
              <w:rPr>
                <w:rFonts w:hint="eastAsia"/>
                <w:bCs/>
                <w:color w:val="auto"/>
                <w:sz w:val="24"/>
                <w:szCs w:val="24"/>
                <w:lang w:eastAsia="zh-CN"/>
              </w:rPr>
              <w:t>及</w:t>
            </w:r>
            <w:r>
              <w:rPr>
                <w:color w:val="auto"/>
                <w:sz w:val="24"/>
                <w:szCs w:val="24"/>
              </w:rPr>
              <w:t>H</w:t>
            </w:r>
            <w:r>
              <w:rPr>
                <w:color w:val="auto"/>
                <w:sz w:val="24"/>
                <w:szCs w:val="24"/>
                <w:vertAlign w:val="subscript"/>
              </w:rPr>
              <w:t>2</w:t>
            </w:r>
            <w:r>
              <w:rPr>
                <w:color w:val="auto"/>
                <w:sz w:val="24"/>
                <w:szCs w:val="24"/>
              </w:rPr>
              <w:t>S</w:t>
            </w:r>
            <w:r>
              <w:rPr>
                <w:rFonts w:hint="eastAsia"/>
                <w:color w:val="auto"/>
                <w:sz w:val="24"/>
                <w:szCs w:val="24"/>
                <w:lang w:eastAsia="zh-CN"/>
              </w:rPr>
              <w:t>的排放速率为</w:t>
            </w:r>
            <w:r>
              <w:rPr>
                <w:rFonts w:hint="eastAsia"/>
                <w:color w:val="auto"/>
                <w:sz w:val="24"/>
                <w:szCs w:val="24"/>
                <w:lang w:val="en-US" w:eastAsia="zh-CN"/>
              </w:rPr>
              <w:t>0.0001kg/h、0.000005kg/h</w:t>
            </w:r>
            <w:r>
              <w:rPr>
                <w:rFonts w:hint="eastAsia"/>
                <w:bCs/>
                <w:color w:val="auto"/>
                <w:sz w:val="24"/>
                <w:szCs w:val="24"/>
                <w:lang w:eastAsia="zh-CN"/>
              </w:rPr>
              <w:t>，排放量</w:t>
            </w:r>
            <w:r>
              <w:rPr>
                <w:bCs/>
                <w:color w:val="auto"/>
                <w:sz w:val="24"/>
                <w:szCs w:val="24"/>
              </w:rPr>
              <w:t>较小</w:t>
            </w:r>
            <w:r>
              <w:rPr>
                <w:rFonts w:hint="eastAsia"/>
                <w:bCs/>
                <w:color w:val="auto"/>
                <w:sz w:val="24"/>
                <w:szCs w:val="24"/>
                <w:lang w:eastAsia="zh-CN"/>
              </w:rPr>
              <w:t>，并定期投放除臭剂</w:t>
            </w:r>
            <w:r>
              <w:rPr>
                <w:bCs/>
                <w:color w:val="auto"/>
                <w:sz w:val="24"/>
                <w:szCs w:val="24"/>
              </w:rPr>
              <w:t>，</w:t>
            </w:r>
            <w:r>
              <w:rPr>
                <w:rFonts w:hint="eastAsia"/>
                <w:bCs/>
                <w:color w:val="auto"/>
                <w:sz w:val="24"/>
                <w:szCs w:val="24"/>
              </w:rPr>
              <w:t>对周围大气</w:t>
            </w:r>
            <w:r>
              <w:rPr>
                <w:bCs/>
                <w:color w:val="auto"/>
                <w:sz w:val="24"/>
                <w:szCs w:val="24"/>
              </w:rPr>
              <w:t>环境影响较小。</w:t>
            </w:r>
          </w:p>
          <w:p>
            <w:pPr>
              <w:pStyle w:val="71"/>
              <w:keepNext w:val="0"/>
              <w:keepLines w:val="0"/>
              <w:pageBreakBefore w:val="0"/>
              <w:widowControl w:val="0"/>
              <w:kinsoku/>
              <w:wordWrap/>
              <w:overflowPunct/>
              <w:topLinePunct w:val="0"/>
              <w:autoSpaceDE/>
              <w:autoSpaceDN/>
              <w:bidi w:val="0"/>
              <w:adjustRightInd w:val="0"/>
              <w:snapToGrid w:val="0"/>
              <w:spacing w:before="0" w:line="240" w:lineRule="auto"/>
              <w:textAlignment w:val="auto"/>
              <w:rPr>
                <w:rFonts w:hint="default" w:ascii="Times New Roman" w:hAnsi="Times New Roman" w:eastAsia="宋体" w:cs="Times New Roman"/>
                <w:b/>
                <w:bCs/>
                <w:color w:val="auto"/>
                <w:sz w:val="21"/>
              </w:rPr>
            </w:pPr>
            <w:r>
              <w:rPr>
                <w:rFonts w:hint="default" w:ascii="Times New Roman" w:hAnsi="Times New Roman" w:eastAsia="宋体" w:cs="Times New Roman"/>
                <w:b/>
                <w:bCs/>
                <w:color w:val="auto"/>
                <w:sz w:val="21"/>
              </w:rPr>
              <w:t>表</w:t>
            </w:r>
            <w:r>
              <w:rPr>
                <w:rFonts w:hint="default" w:ascii="Times New Roman" w:hAnsi="Times New Roman" w:eastAsia="宋体" w:cs="Times New Roman"/>
                <w:b/>
                <w:bCs/>
                <w:color w:val="auto"/>
                <w:sz w:val="21"/>
                <w:lang w:val="en-US" w:eastAsia="zh-CN"/>
              </w:rPr>
              <w:t>4-</w:t>
            </w:r>
            <w:r>
              <w:rPr>
                <w:rFonts w:hint="eastAsia" w:ascii="Times New Roman" w:cs="Times New Roman"/>
                <w:b/>
                <w:bCs/>
                <w:color w:val="auto"/>
                <w:sz w:val="21"/>
                <w:lang w:val="en-US" w:eastAsia="zh-CN"/>
              </w:rPr>
              <w:t>1</w:t>
            </w:r>
            <w:r>
              <w:rPr>
                <w:rFonts w:hint="default" w:ascii="Times New Roman" w:hAnsi="Times New Roman" w:eastAsia="宋体" w:cs="Times New Roman"/>
                <w:b/>
                <w:bCs/>
                <w:color w:val="auto"/>
                <w:sz w:val="21"/>
              </w:rPr>
              <w:t xml:space="preserve">  污水处理</w:t>
            </w:r>
            <w:r>
              <w:rPr>
                <w:rFonts w:hint="eastAsia" w:ascii="Times New Roman" w:cs="Times New Roman"/>
                <w:b/>
                <w:bCs/>
                <w:color w:val="auto"/>
                <w:sz w:val="21"/>
                <w:lang w:eastAsia="zh-CN"/>
              </w:rPr>
              <w:t>站</w:t>
            </w:r>
            <w:r>
              <w:rPr>
                <w:rFonts w:hint="default" w:ascii="Times New Roman" w:hAnsi="Times New Roman" w:eastAsia="宋体" w:cs="Times New Roman"/>
                <w:b/>
                <w:bCs/>
                <w:color w:val="auto"/>
                <w:sz w:val="21"/>
              </w:rPr>
              <w:t>废气无组织排放情况一览表</w:t>
            </w:r>
          </w:p>
          <w:tbl>
            <w:tblPr>
              <w:tblStyle w:val="25"/>
              <w:tblW w:w="493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1"/>
              <w:gridCol w:w="3253"/>
              <w:gridCol w:w="3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201" w:type="pct"/>
                  <w:tcBorders>
                    <w:tl2br w:val="nil"/>
                    <w:tr2bl w:val="nil"/>
                  </w:tcBorders>
                  <w:noWrap w:val="0"/>
                  <w:vAlign w:val="center"/>
                </w:tcPr>
                <w:p>
                  <w:pPr>
                    <w:pStyle w:val="37"/>
                    <w:snapToGri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w:t>
                  </w:r>
                </w:p>
              </w:tc>
              <w:tc>
                <w:tcPr>
                  <w:tcW w:w="1816" w:type="pct"/>
                  <w:tcBorders>
                    <w:tl2br w:val="nil"/>
                    <w:tr2bl w:val="nil"/>
                  </w:tcBorders>
                  <w:noWrap w:val="0"/>
                  <w:vAlign w:val="center"/>
                </w:tcPr>
                <w:p>
                  <w:pPr>
                    <w:pStyle w:val="37"/>
                    <w:snapToGri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排放速率（kg/h）</w:t>
                  </w:r>
                </w:p>
              </w:tc>
              <w:tc>
                <w:tcPr>
                  <w:tcW w:w="1982" w:type="pct"/>
                  <w:tcBorders>
                    <w:tl2br w:val="nil"/>
                    <w:tr2bl w:val="nil"/>
                  </w:tcBorders>
                  <w:noWrap w:val="0"/>
                  <w:vAlign w:val="center"/>
                </w:tcPr>
                <w:p>
                  <w:pPr>
                    <w:pStyle w:val="37"/>
                    <w:snapToGri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排放量（</w:t>
                  </w:r>
                  <w:r>
                    <w:rPr>
                      <w:rFonts w:hint="eastAsia" w:ascii="Times New Roman" w:cs="Times New Roman"/>
                      <w:b/>
                      <w:bCs/>
                      <w:color w:val="auto"/>
                      <w:sz w:val="21"/>
                      <w:szCs w:val="21"/>
                      <w:lang w:val="en-US" w:eastAsia="zh-CN"/>
                    </w:rPr>
                    <w:t>t</w:t>
                  </w:r>
                  <w:r>
                    <w:rPr>
                      <w:rFonts w:hint="default" w:ascii="Times New Roman" w:hAnsi="Times New Roman" w:cs="Times New Roman"/>
                      <w:b/>
                      <w:bCs/>
                      <w:color w:val="auto"/>
                      <w:sz w:val="21"/>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201" w:type="pct"/>
                  <w:tcBorders>
                    <w:tl2br w:val="nil"/>
                    <w:tr2bl w:val="nil"/>
                  </w:tcBorders>
                  <w:noWrap w:val="0"/>
                  <w:vAlign w:val="center"/>
                </w:tcPr>
                <w:p>
                  <w:pPr>
                    <w:pStyle w:val="37"/>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NH</w:t>
                  </w:r>
                  <w:r>
                    <w:rPr>
                      <w:rFonts w:hint="default" w:ascii="Times New Roman" w:hAnsi="Times New Roman" w:cs="Times New Roman"/>
                      <w:color w:val="auto"/>
                      <w:sz w:val="21"/>
                      <w:szCs w:val="21"/>
                      <w:vertAlign w:val="subscript"/>
                    </w:rPr>
                    <w:t>3</w:t>
                  </w:r>
                </w:p>
              </w:tc>
              <w:tc>
                <w:tcPr>
                  <w:tcW w:w="1816"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w:t>
                  </w:r>
                  <w:r>
                    <w:rPr>
                      <w:rFonts w:hint="eastAsia" w:cs="Times New Roman"/>
                      <w:i w:val="0"/>
                      <w:iCs w:val="0"/>
                      <w:color w:val="auto"/>
                      <w:kern w:val="0"/>
                      <w:sz w:val="21"/>
                      <w:szCs w:val="21"/>
                      <w:highlight w:val="none"/>
                      <w:u w:val="none"/>
                      <w:lang w:val="en-US" w:eastAsia="zh-CN" w:bidi="ar"/>
                    </w:rPr>
                    <w:t>01</w:t>
                  </w:r>
                </w:p>
              </w:tc>
              <w:tc>
                <w:tcPr>
                  <w:tcW w:w="3548"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red"/>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w:t>
                  </w:r>
                  <w:r>
                    <w:rPr>
                      <w:rFonts w:hint="eastAsia" w:cs="Times New Roman"/>
                      <w:i w:val="0"/>
                      <w:iCs w:val="0"/>
                      <w:color w:val="auto"/>
                      <w:kern w:val="0"/>
                      <w:sz w:val="21"/>
                      <w:szCs w:val="21"/>
                      <w:highlight w:val="none"/>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201" w:type="pct"/>
                  <w:tcBorders>
                    <w:tl2br w:val="nil"/>
                    <w:tr2bl w:val="nil"/>
                  </w:tcBorders>
                  <w:noWrap w:val="0"/>
                  <w:vAlign w:val="center"/>
                </w:tcPr>
                <w:p>
                  <w:pPr>
                    <w:pStyle w:val="37"/>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H</w:t>
                  </w:r>
                  <w:r>
                    <w:rPr>
                      <w:rFonts w:hint="default" w:ascii="Times New Roman" w:hAnsi="Times New Roman" w:cs="Times New Roman"/>
                      <w:color w:val="auto"/>
                      <w:sz w:val="21"/>
                      <w:szCs w:val="21"/>
                      <w:vertAlign w:val="subscript"/>
                    </w:rPr>
                    <w:t>2</w:t>
                  </w:r>
                  <w:r>
                    <w:rPr>
                      <w:rFonts w:hint="default" w:ascii="Times New Roman" w:hAnsi="Times New Roman" w:cs="Times New Roman"/>
                      <w:color w:val="auto"/>
                      <w:sz w:val="21"/>
                      <w:szCs w:val="21"/>
                    </w:rPr>
                    <w:t>S</w:t>
                  </w:r>
                </w:p>
              </w:tc>
              <w:tc>
                <w:tcPr>
                  <w:tcW w:w="1816"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olor w:val="auto"/>
                      <w:sz w:val="21"/>
                      <w:szCs w:val="21"/>
                      <w:lang w:val="en-US" w:eastAsia="zh-CN"/>
                    </w:rPr>
                    <w:t>0.000005</w:t>
                  </w:r>
                </w:p>
              </w:tc>
              <w:tc>
                <w:tcPr>
                  <w:tcW w:w="3548"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red"/>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0.000</w:t>
                  </w:r>
                  <w:r>
                    <w:rPr>
                      <w:rFonts w:hint="eastAsia" w:cs="Times New Roman"/>
                      <w:i w:val="0"/>
                      <w:iCs w:val="0"/>
                      <w:color w:val="auto"/>
                      <w:kern w:val="0"/>
                      <w:sz w:val="21"/>
                      <w:szCs w:val="21"/>
                      <w:highlight w:val="none"/>
                      <w:u w:val="none"/>
                      <w:lang w:val="en-US" w:eastAsia="zh-CN" w:bidi="ar"/>
                    </w:rPr>
                    <w:t>04</w:t>
                  </w: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line="360" w:lineRule="auto"/>
              <w:ind w:leftChars="200"/>
              <w:jc w:val="left"/>
              <w:textAlignment w:val="auto"/>
              <w:rPr>
                <w:rFonts w:hint="default" w:ascii="Times New Roman" w:hAnsi="Times New Roman" w:cs="Times New Roman"/>
                <w:b w:val="0"/>
                <w:bCs w:val="0"/>
                <w:color w:val="auto"/>
                <w:kern w:val="0"/>
                <w:sz w:val="24"/>
                <w:szCs w:val="24"/>
                <w:lang w:eastAsia="zh-CN"/>
              </w:rPr>
            </w:pPr>
            <w:r>
              <w:rPr>
                <w:rFonts w:hint="eastAsia" w:ascii="Times New Roman" w:hAnsi="Times New Roman" w:cs="Times New Roman"/>
                <w:b w:val="0"/>
                <w:bCs w:val="0"/>
                <w:color w:val="auto"/>
                <w:kern w:val="0"/>
                <w:sz w:val="24"/>
                <w:szCs w:val="24"/>
                <w:lang w:eastAsia="zh-CN"/>
              </w:rPr>
              <w:t>（</w:t>
            </w:r>
            <w:r>
              <w:rPr>
                <w:rFonts w:hint="eastAsia" w:ascii="Times New Roman" w:hAnsi="Times New Roman" w:cs="Times New Roman"/>
                <w:b w:val="0"/>
                <w:bCs w:val="0"/>
                <w:color w:val="auto"/>
                <w:kern w:val="0"/>
                <w:sz w:val="24"/>
                <w:szCs w:val="24"/>
                <w:lang w:val="en-US" w:eastAsia="zh-CN"/>
              </w:rPr>
              <w:t>2</w:t>
            </w:r>
            <w:r>
              <w:rPr>
                <w:rFonts w:hint="eastAsia" w:ascii="Times New Roman" w:hAnsi="Times New Roman" w:cs="Times New Roman"/>
                <w:b w:val="0"/>
                <w:bCs w:val="0"/>
                <w:color w:val="auto"/>
                <w:kern w:val="0"/>
                <w:sz w:val="24"/>
                <w:szCs w:val="24"/>
                <w:lang w:eastAsia="zh-CN"/>
              </w:rPr>
              <w:t>）</w:t>
            </w:r>
            <w:r>
              <w:rPr>
                <w:rFonts w:hint="default" w:ascii="Times New Roman" w:hAnsi="Times New Roman" w:cs="Times New Roman"/>
                <w:b w:val="0"/>
                <w:bCs w:val="0"/>
                <w:color w:val="auto"/>
                <w:kern w:val="0"/>
                <w:sz w:val="24"/>
                <w:szCs w:val="24"/>
                <w:lang w:eastAsia="zh-CN"/>
              </w:rPr>
              <w:t>达标性分析</w:t>
            </w:r>
          </w:p>
          <w:p>
            <w:pPr>
              <w:pStyle w:val="37"/>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cs="Times New Roman"/>
                <w:color w:val="auto"/>
                <w:highlight w:val="none"/>
              </w:rPr>
            </w:pPr>
            <w:r>
              <w:rPr>
                <w:rFonts w:hint="default" w:ascii="Times New Roman" w:hAnsi="Times New Roman" w:cs="Times New Roman"/>
                <w:color w:val="auto"/>
                <w:sz w:val="24"/>
                <w:szCs w:val="24"/>
                <w:highlight w:val="none"/>
                <w:lang w:val="en-US" w:eastAsia="zh-CN"/>
              </w:rPr>
              <w:t>无组织排放达标</w:t>
            </w:r>
            <w:r>
              <w:rPr>
                <w:rFonts w:hint="default" w:ascii="Times New Roman" w:hAnsi="Times New Roman" w:cs="Times New Roman"/>
                <w:color w:val="auto"/>
                <w:highlight w:val="none"/>
              </w:rPr>
              <w:t>评价采用AERSCREEN估算模式排放进行估算。污染物选取</w:t>
            </w:r>
            <w:r>
              <w:rPr>
                <w:rFonts w:hint="default" w:ascii="Times New Roman" w:hAnsi="Times New Roman" w:cs="Times New Roman"/>
                <w:color w:val="auto"/>
                <w:highlight w:val="none"/>
                <w:lang w:val="en-US" w:eastAsia="zh-CN"/>
              </w:rPr>
              <w:t>H</w:t>
            </w:r>
            <w:r>
              <w:rPr>
                <w:rFonts w:hint="default" w:ascii="Times New Roman" w:hAnsi="Times New Roman" w:cs="Times New Roman"/>
                <w:color w:val="auto"/>
                <w:highlight w:val="none"/>
                <w:vertAlign w:val="subscript"/>
                <w:lang w:val="en-US" w:eastAsia="zh-CN"/>
              </w:rPr>
              <w:t>2</w:t>
            </w:r>
            <w:r>
              <w:rPr>
                <w:rFonts w:hint="default" w:ascii="Times New Roman" w:hAnsi="Times New Roman" w:cs="Times New Roman"/>
                <w:color w:val="auto"/>
                <w:highlight w:val="none"/>
                <w:lang w:val="en-US" w:eastAsia="zh-CN"/>
              </w:rPr>
              <w:t>S、NH</w:t>
            </w:r>
            <w:r>
              <w:rPr>
                <w:rFonts w:hint="default" w:ascii="Times New Roman" w:hAnsi="Times New Roman" w:cs="Times New Roman"/>
                <w:color w:val="auto"/>
                <w:highlight w:val="none"/>
                <w:vertAlign w:val="subscript"/>
                <w:lang w:val="en-US" w:eastAsia="zh-CN"/>
              </w:rPr>
              <w:t>3</w:t>
            </w:r>
            <w:r>
              <w:rPr>
                <w:rFonts w:hint="default" w:ascii="Times New Roman" w:hAnsi="Times New Roman" w:cs="Times New Roman"/>
                <w:color w:val="auto"/>
                <w:highlight w:val="none"/>
              </w:rPr>
              <w:t>，预测参数如下表：</w:t>
            </w:r>
          </w:p>
          <w:p>
            <w:pPr>
              <w:widowControl/>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表</w:t>
            </w:r>
            <w:r>
              <w:rPr>
                <w:rFonts w:hint="default" w:ascii="Times New Roman" w:hAnsi="Times New Roman" w:cs="Times New Roman"/>
                <w:b/>
                <w:color w:val="auto"/>
                <w:sz w:val="21"/>
                <w:szCs w:val="21"/>
                <w:highlight w:val="none"/>
                <w:lang w:val="en-US" w:eastAsia="zh-CN"/>
              </w:rPr>
              <w:t>4-</w:t>
            </w:r>
            <w:r>
              <w:rPr>
                <w:rFonts w:hint="eastAsia" w:cs="Times New Roman"/>
                <w:b/>
                <w:color w:val="auto"/>
                <w:sz w:val="21"/>
                <w:szCs w:val="21"/>
                <w:highlight w:val="none"/>
                <w:lang w:val="en-US" w:eastAsia="zh-CN"/>
              </w:rPr>
              <w:t>2</w:t>
            </w:r>
            <w:r>
              <w:rPr>
                <w:rFonts w:hint="default" w:ascii="Times New Roman" w:hAnsi="Times New Roman" w:cs="Times New Roman"/>
                <w:b/>
                <w:color w:val="auto"/>
                <w:sz w:val="21"/>
                <w:szCs w:val="21"/>
                <w:highlight w:val="none"/>
              </w:rPr>
              <w:t xml:space="preserve">  估算模型参数表</w:t>
            </w:r>
          </w:p>
          <w:tbl>
            <w:tblPr>
              <w:tblStyle w:val="2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6"/>
              <w:gridCol w:w="4389"/>
              <w:gridCol w:w="24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3650" w:type="pct"/>
                  <w:gridSpan w:val="2"/>
                  <w:shd w:val="clear" w:color="auto" w:fill="FFFFFF"/>
                  <w:noWrap w:val="0"/>
                  <w:vAlign w:val="center"/>
                </w:tcPr>
                <w:p>
                  <w:pPr>
                    <w:pStyle w:val="72"/>
                    <w:snapToGrid w:val="0"/>
                    <w:spacing w:before="31" w:line="240" w:lineRule="auto"/>
                    <w:rPr>
                      <w:rFonts w:hint="default" w:ascii="Times New Roman" w:hAnsi="Times New Roman" w:cs="Times New Roman"/>
                      <w:b/>
                      <w:bCs/>
                      <w:color w:val="auto"/>
                      <w:sz w:val="21"/>
                      <w:highlight w:val="none"/>
                    </w:rPr>
                  </w:pPr>
                  <w:r>
                    <w:rPr>
                      <w:rFonts w:hint="default" w:ascii="Times New Roman" w:hAnsi="Times New Roman" w:cs="Times New Roman"/>
                      <w:b/>
                      <w:bCs/>
                      <w:color w:val="auto"/>
                      <w:sz w:val="21"/>
                      <w:highlight w:val="none"/>
                    </w:rPr>
                    <w:t>参数</w:t>
                  </w:r>
                </w:p>
              </w:tc>
              <w:tc>
                <w:tcPr>
                  <w:tcW w:w="1349" w:type="pct"/>
                  <w:shd w:val="clear" w:color="auto" w:fill="FFFFFF"/>
                  <w:noWrap/>
                  <w:vAlign w:val="center"/>
                </w:tcPr>
                <w:p>
                  <w:pPr>
                    <w:pStyle w:val="72"/>
                    <w:snapToGrid w:val="0"/>
                    <w:spacing w:before="31" w:line="240" w:lineRule="auto"/>
                    <w:rPr>
                      <w:rFonts w:hint="default" w:ascii="Times New Roman" w:hAnsi="Times New Roman" w:cs="Times New Roman"/>
                      <w:b/>
                      <w:bCs/>
                      <w:color w:val="auto"/>
                      <w:sz w:val="21"/>
                      <w:highlight w:val="none"/>
                    </w:rPr>
                  </w:pPr>
                  <w:r>
                    <w:rPr>
                      <w:rFonts w:hint="default" w:ascii="Times New Roman" w:hAnsi="Times New Roman" w:cs="Times New Roman"/>
                      <w:b/>
                      <w:bCs/>
                      <w:color w:val="auto"/>
                      <w:sz w:val="21"/>
                      <w:highlight w:val="none"/>
                    </w:rPr>
                    <w:t>取值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1232" w:type="pct"/>
                  <w:vMerge w:val="restart"/>
                  <w:shd w:val="clear" w:color="auto" w:fill="FFFFFF"/>
                  <w:noWrap w:val="0"/>
                  <w:vAlign w:val="center"/>
                </w:tcPr>
                <w:p>
                  <w:pPr>
                    <w:pStyle w:val="72"/>
                    <w:snapToGrid w:val="0"/>
                    <w:spacing w:before="31" w:line="240" w:lineRule="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城市/农村选项</w:t>
                  </w:r>
                </w:p>
              </w:tc>
              <w:tc>
                <w:tcPr>
                  <w:tcW w:w="2417" w:type="pct"/>
                  <w:shd w:val="clear" w:color="auto" w:fill="FFFFFF"/>
                  <w:noWrap/>
                  <w:vAlign w:val="center"/>
                </w:tcPr>
                <w:p>
                  <w:pPr>
                    <w:pStyle w:val="72"/>
                    <w:snapToGrid w:val="0"/>
                    <w:spacing w:before="31" w:line="240" w:lineRule="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城市/农村</w:t>
                  </w:r>
                </w:p>
              </w:tc>
              <w:tc>
                <w:tcPr>
                  <w:tcW w:w="1349" w:type="pct"/>
                  <w:shd w:val="clear" w:color="auto" w:fill="FFFFFF"/>
                  <w:noWrap/>
                  <w:vAlign w:val="center"/>
                </w:tcPr>
                <w:p>
                  <w:pPr>
                    <w:pStyle w:val="72"/>
                    <w:snapToGrid w:val="0"/>
                    <w:spacing w:before="31" w:line="240" w:lineRule="auto"/>
                    <w:rPr>
                      <w:rFonts w:hint="eastAsia" w:ascii="Times New Roman" w:hAnsi="Times New Roman" w:eastAsia="宋体" w:cs="Times New Roman"/>
                      <w:color w:val="auto"/>
                      <w:sz w:val="21"/>
                      <w:highlight w:val="none"/>
                      <w:lang w:eastAsia="zh-CN"/>
                    </w:rPr>
                  </w:pPr>
                  <w:r>
                    <w:rPr>
                      <w:rFonts w:hint="eastAsia" w:cs="Times New Roman"/>
                      <w:color w:val="auto"/>
                      <w:sz w:val="21"/>
                      <w:highlight w:val="none"/>
                      <w:lang w:eastAsia="zh-CN"/>
                    </w:rPr>
                    <w:t>城市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232" w:type="pct"/>
                  <w:vMerge w:val="continue"/>
                  <w:shd w:val="clear" w:color="auto" w:fill="auto"/>
                  <w:noWrap w:val="0"/>
                  <w:vAlign w:val="center"/>
                </w:tcPr>
                <w:p>
                  <w:pPr>
                    <w:widowControl/>
                    <w:spacing w:line="240" w:lineRule="auto"/>
                    <w:rPr>
                      <w:rFonts w:hint="default" w:ascii="Times New Roman" w:hAnsi="Times New Roman" w:cs="Times New Roman"/>
                      <w:color w:val="auto"/>
                      <w:sz w:val="21"/>
                      <w:szCs w:val="21"/>
                      <w:highlight w:val="none"/>
                    </w:rPr>
                  </w:pPr>
                </w:p>
              </w:tc>
              <w:tc>
                <w:tcPr>
                  <w:tcW w:w="2417" w:type="pct"/>
                  <w:shd w:val="clear" w:color="auto" w:fill="FFFFFF"/>
                  <w:noWrap/>
                  <w:vAlign w:val="center"/>
                </w:tcPr>
                <w:p>
                  <w:pPr>
                    <w:pStyle w:val="72"/>
                    <w:snapToGrid w:val="0"/>
                    <w:spacing w:before="31" w:line="240" w:lineRule="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人口数（城市选项时）</w:t>
                  </w:r>
                </w:p>
              </w:tc>
              <w:tc>
                <w:tcPr>
                  <w:tcW w:w="1349" w:type="pct"/>
                  <w:shd w:val="clear" w:color="auto" w:fill="FFFFFF"/>
                  <w:noWrap/>
                  <w:vAlign w:val="center"/>
                </w:tcPr>
                <w:p>
                  <w:pPr>
                    <w:pStyle w:val="72"/>
                    <w:snapToGrid w:val="0"/>
                    <w:spacing w:before="31" w:line="240" w:lineRule="auto"/>
                    <w:rPr>
                      <w:rFonts w:hint="default" w:ascii="Times New Roman" w:hAnsi="Times New Roman" w:eastAsia="宋体" w:cs="Times New Roman"/>
                      <w:color w:val="auto"/>
                      <w:sz w:val="21"/>
                      <w:highlight w:val="none"/>
                      <w:lang w:val="en-US" w:eastAsia="zh-CN"/>
                    </w:rPr>
                  </w:pPr>
                  <w:r>
                    <w:rPr>
                      <w:rFonts w:hint="eastAsia" w:cs="Times New Roman"/>
                      <w:color w:val="auto"/>
                      <w:sz w:val="21"/>
                      <w:highlight w:val="none"/>
                      <w:lang w:val="en-US" w:eastAsia="zh-CN"/>
                    </w:rPr>
                    <w:t>1307.82万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3650" w:type="pct"/>
                  <w:gridSpan w:val="2"/>
                  <w:shd w:val="clear" w:color="auto" w:fill="FFFFFF"/>
                  <w:noWrap w:val="0"/>
                  <w:vAlign w:val="center"/>
                </w:tcPr>
                <w:p>
                  <w:pPr>
                    <w:pStyle w:val="72"/>
                    <w:snapToGrid w:val="0"/>
                    <w:spacing w:before="31" w:line="240" w:lineRule="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最高环境温度/ ℃</w:t>
                  </w:r>
                </w:p>
              </w:tc>
              <w:tc>
                <w:tcPr>
                  <w:tcW w:w="1349" w:type="pct"/>
                  <w:shd w:val="clear" w:color="auto" w:fill="FFFFFF"/>
                  <w:noWrap/>
                  <w:vAlign w:val="center"/>
                </w:tcPr>
                <w:p>
                  <w:pPr>
                    <w:pStyle w:val="72"/>
                    <w:snapToGrid w:val="0"/>
                    <w:spacing w:before="31" w:line="240" w:lineRule="auto"/>
                    <w:rPr>
                      <w:rFonts w:hint="default" w:ascii="Times New Roman" w:hAnsi="Times New Roman" w:eastAsia="宋体" w:cs="Times New Roman"/>
                      <w:color w:val="auto"/>
                      <w:sz w:val="21"/>
                      <w:highlight w:val="none"/>
                      <w:lang w:val="en-US" w:eastAsia="zh-CN"/>
                    </w:rPr>
                  </w:pPr>
                  <w:r>
                    <w:rPr>
                      <w:rFonts w:hint="eastAsia" w:cs="Times New Roman"/>
                      <w:color w:val="auto"/>
                      <w:sz w:val="21"/>
                      <w:highlight w:val="none"/>
                      <w:lang w:val="en-US" w:eastAsia="zh-CN"/>
                    </w:rPr>
                    <w:t>43.4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3650" w:type="pct"/>
                  <w:gridSpan w:val="2"/>
                  <w:shd w:val="clear" w:color="auto" w:fill="FFFFFF"/>
                  <w:noWrap w:val="0"/>
                  <w:vAlign w:val="center"/>
                </w:tcPr>
                <w:p>
                  <w:pPr>
                    <w:pStyle w:val="72"/>
                    <w:snapToGrid w:val="0"/>
                    <w:spacing w:before="31" w:line="240" w:lineRule="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最低环境温度/ ℃</w:t>
                  </w:r>
                </w:p>
              </w:tc>
              <w:tc>
                <w:tcPr>
                  <w:tcW w:w="1349" w:type="pct"/>
                  <w:shd w:val="clear" w:color="auto" w:fill="FFFFFF"/>
                  <w:noWrap/>
                  <w:vAlign w:val="center"/>
                </w:tcPr>
                <w:p>
                  <w:pPr>
                    <w:pStyle w:val="72"/>
                    <w:snapToGrid w:val="0"/>
                    <w:spacing w:before="31" w:line="240" w:lineRule="auto"/>
                    <w:rPr>
                      <w:rFonts w:hint="default" w:ascii="Times New Roman" w:hAnsi="Times New Roman" w:eastAsia="宋体" w:cs="Times New Roman"/>
                      <w:color w:val="auto"/>
                      <w:sz w:val="21"/>
                      <w:highlight w:val="none"/>
                      <w:lang w:val="en-US" w:eastAsia="zh-CN"/>
                    </w:rPr>
                  </w:pPr>
                  <w:r>
                    <w:rPr>
                      <w:rFonts w:hint="default" w:ascii="Times New Roman" w:hAnsi="Times New Roman" w:cs="Times New Roman"/>
                      <w:color w:val="auto"/>
                      <w:sz w:val="21"/>
                      <w:highlight w:val="none"/>
                    </w:rPr>
                    <w:t>-</w:t>
                  </w:r>
                  <w:r>
                    <w:rPr>
                      <w:rFonts w:hint="eastAsia" w:cs="Times New Roman"/>
                      <w:color w:val="auto"/>
                      <w:sz w:val="21"/>
                      <w:highlight w:val="none"/>
                      <w:lang w:val="en-US" w:eastAsia="zh-CN"/>
                    </w:rPr>
                    <w:t>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3650" w:type="pct"/>
                  <w:gridSpan w:val="2"/>
                  <w:shd w:val="clear" w:color="auto" w:fill="FFFFFF"/>
                  <w:noWrap w:val="0"/>
                  <w:vAlign w:val="center"/>
                </w:tcPr>
                <w:p>
                  <w:pPr>
                    <w:pStyle w:val="72"/>
                    <w:snapToGrid w:val="0"/>
                    <w:spacing w:before="31" w:line="240" w:lineRule="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土地利用类型</w:t>
                  </w:r>
                </w:p>
              </w:tc>
              <w:tc>
                <w:tcPr>
                  <w:tcW w:w="1349" w:type="pct"/>
                  <w:shd w:val="clear" w:color="auto" w:fill="FFFFFF"/>
                  <w:noWrap/>
                  <w:vAlign w:val="center"/>
                </w:tcPr>
                <w:p>
                  <w:pPr>
                    <w:pStyle w:val="72"/>
                    <w:snapToGrid w:val="0"/>
                    <w:spacing w:before="31" w:line="240" w:lineRule="auto"/>
                    <w:rPr>
                      <w:rFonts w:hint="eastAsia" w:ascii="Times New Roman" w:hAnsi="Times New Roman" w:eastAsia="宋体" w:cs="Times New Roman"/>
                      <w:color w:val="auto"/>
                      <w:sz w:val="21"/>
                      <w:highlight w:val="none"/>
                      <w:lang w:eastAsia="zh-CN"/>
                    </w:rPr>
                  </w:pPr>
                  <w:r>
                    <w:rPr>
                      <w:rFonts w:hint="eastAsia" w:cs="Times New Roman"/>
                      <w:color w:val="auto"/>
                      <w:sz w:val="21"/>
                      <w:highlight w:val="none"/>
                      <w:lang w:eastAsia="zh-CN"/>
                    </w:rPr>
                    <w:t>城市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3650" w:type="pct"/>
                  <w:gridSpan w:val="2"/>
                  <w:shd w:val="clear" w:color="auto" w:fill="FFFFFF"/>
                  <w:noWrap w:val="0"/>
                  <w:vAlign w:val="center"/>
                </w:tcPr>
                <w:p>
                  <w:pPr>
                    <w:pStyle w:val="72"/>
                    <w:snapToGrid w:val="0"/>
                    <w:spacing w:before="31" w:line="240" w:lineRule="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区域湿度条件</w:t>
                  </w:r>
                </w:p>
              </w:tc>
              <w:tc>
                <w:tcPr>
                  <w:tcW w:w="1349" w:type="pct"/>
                  <w:shd w:val="clear" w:color="auto" w:fill="FFFFFF"/>
                  <w:noWrap/>
                  <w:vAlign w:val="center"/>
                </w:tcPr>
                <w:p>
                  <w:pPr>
                    <w:pStyle w:val="72"/>
                    <w:snapToGrid w:val="0"/>
                    <w:spacing w:before="31" w:line="240" w:lineRule="auto"/>
                    <w:rPr>
                      <w:rFonts w:hint="default" w:ascii="Times New Roman" w:hAnsi="Times New Roman" w:cs="Times New Roman"/>
                      <w:color w:val="auto"/>
                      <w:sz w:val="21"/>
                      <w:highlight w:val="none"/>
                    </w:rPr>
                  </w:pPr>
                  <w:r>
                    <w:rPr>
                      <w:rFonts w:hint="eastAsia" w:ascii="宋体" w:hAnsi="宋体" w:cs="宋体"/>
                      <w:color w:val="auto"/>
                      <w:kern w:val="0"/>
                      <w:sz w:val="21"/>
                      <w:szCs w:val="21"/>
                    </w:rPr>
                    <w:t>中等湿度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232" w:type="pct"/>
                  <w:vMerge w:val="restart"/>
                  <w:shd w:val="clear" w:color="auto" w:fill="FFFFFF"/>
                  <w:noWrap w:val="0"/>
                  <w:vAlign w:val="center"/>
                </w:tcPr>
                <w:p>
                  <w:pPr>
                    <w:pStyle w:val="72"/>
                    <w:snapToGrid w:val="0"/>
                    <w:spacing w:before="31" w:line="240" w:lineRule="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是否考虑地形</w:t>
                  </w:r>
                </w:p>
              </w:tc>
              <w:tc>
                <w:tcPr>
                  <w:tcW w:w="2417" w:type="pct"/>
                  <w:shd w:val="clear" w:color="auto" w:fill="FFFFFF"/>
                  <w:noWrap/>
                  <w:vAlign w:val="center"/>
                </w:tcPr>
                <w:p>
                  <w:pPr>
                    <w:pStyle w:val="72"/>
                    <w:snapToGrid w:val="0"/>
                    <w:spacing w:before="31" w:line="240" w:lineRule="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考虑地形</w:t>
                  </w:r>
                </w:p>
              </w:tc>
              <w:tc>
                <w:tcPr>
                  <w:tcW w:w="1349" w:type="pct"/>
                  <w:shd w:val="clear" w:color="auto" w:fill="FFFFFF"/>
                  <w:noWrap/>
                  <w:vAlign w:val="center"/>
                </w:tcPr>
                <w:p>
                  <w:pPr>
                    <w:pStyle w:val="72"/>
                    <w:snapToGrid w:val="0"/>
                    <w:spacing w:before="31" w:line="240" w:lineRule="auto"/>
                    <w:rPr>
                      <w:rFonts w:hint="default" w:ascii="Times New Roman" w:hAnsi="Times New Roman" w:cs="Times New Roman"/>
                      <w:color w:val="auto"/>
                      <w:sz w:val="21"/>
                      <w:highlight w:val="none"/>
                    </w:rPr>
                  </w:pPr>
                  <w:r>
                    <w:rPr>
                      <w:rFonts w:hint="default" w:ascii="Times New Roman" w:hAnsi="Times New Roman" w:eastAsia="仿宋" w:cs="Times New Roman"/>
                      <w:color w:val="auto"/>
                      <w:sz w:val="21"/>
                      <w:highlight w:val="none"/>
                    </w:rPr>
                    <w:t>□</w:t>
                  </w:r>
                  <w:r>
                    <w:rPr>
                      <w:rFonts w:hint="default" w:ascii="Times New Roman" w:hAnsi="Times New Roman" w:cs="Times New Roman"/>
                      <w:color w:val="auto"/>
                      <w:sz w:val="21"/>
                      <w:highlight w:val="none"/>
                    </w:rPr>
                    <w:t xml:space="preserve">是  </w:t>
                  </w:r>
                  <w:r>
                    <w:rPr>
                      <w:rFonts w:hint="default" w:ascii="Times New Roman" w:hAnsi="Times New Roman" w:eastAsia="仿宋" w:cs="Times New Roman"/>
                      <w:color w:val="auto"/>
                      <w:sz w:val="21"/>
                      <w:highlight w:val="none"/>
                    </w:rPr>
                    <w:sym w:font="Wingdings 2" w:char="0052"/>
                  </w:r>
                  <w:r>
                    <w:rPr>
                      <w:rFonts w:hint="default" w:ascii="Times New Roman" w:hAnsi="Times New Roman" w:cs="Times New Roman"/>
                      <w:color w:val="auto"/>
                      <w:sz w:val="21"/>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232" w:type="pct"/>
                  <w:vMerge w:val="continue"/>
                  <w:shd w:val="clear" w:color="auto" w:fill="auto"/>
                  <w:noWrap w:val="0"/>
                  <w:vAlign w:val="center"/>
                </w:tcPr>
                <w:p>
                  <w:pPr>
                    <w:widowControl/>
                    <w:spacing w:line="240" w:lineRule="auto"/>
                    <w:rPr>
                      <w:rFonts w:hint="default" w:ascii="Times New Roman" w:hAnsi="Times New Roman" w:cs="Times New Roman"/>
                      <w:color w:val="auto"/>
                      <w:sz w:val="21"/>
                      <w:szCs w:val="21"/>
                      <w:highlight w:val="none"/>
                    </w:rPr>
                  </w:pPr>
                </w:p>
              </w:tc>
              <w:tc>
                <w:tcPr>
                  <w:tcW w:w="2417" w:type="pct"/>
                  <w:shd w:val="clear" w:color="auto" w:fill="FFFFFF"/>
                  <w:noWrap/>
                  <w:vAlign w:val="center"/>
                </w:tcPr>
                <w:p>
                  <w:pPr>
                    <w:pStyle w:val="72"/>
                    <w:snapToGrid w:val="0"/>
                    <w:spacing w:before="31" w:line="240" w:lineRule="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地形数据分辨率 / m</w:t>
                  </w:r>
                </w:p>
              </w:tc>
              <w:tc>
                <w:tcPr>
                  <w:tcW w:w="1349" w:type="pct"/>
                  <w:shd w:val="clear" w:color="auto" w:fill="FFFFFF"/>
                  <w:noWrap/>
                  <w:vAlign w:val="center"/>
                </w:tcPr>
                <w:p>
                  <w:pPr>
                    <w:pStyle w:val="72"/>
                    <w:snapToGrid w:val="0"/>
                    <w:spacing w:before="31" w:line="240" w:lineRule="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232" w:type="pct"/>
                  <w:vMerge w:val="restart"/>
                  <w:shd w:val="clear" w:color="auto" w:fill="FFFFFF"/>
                  <w:noWrap w:val="0"/>
                  <w:vAlign w:val="center"/>
                </w:tcPr>
                <w:p>
                  <w:pPr>
                    <w:pStyle w:val="72"/>
                    <w:snapToGrid w:val="0"/>
                    <w:spacing w:before="31" w:line="240" w:lineRule="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是否考虑岸线熏烟</w:t>
                  </w:r>
                </w:p>
              </w:tc>
              <w:tc>
                <w:tcPr>
                  <w:tcW w:w="2417" w:type="pct"/>
                  <w:shd w:val="clear" w:color="auto" w:fill="FFFFFF"/>
                  <w:noWrap/>
                  <w:vAlign w:val="center"/>
                </w:tcPr>
                <w:p>
                  <w:pPr>
                    <w:pStyle w:val="72"/>
                    <w:snapToGrid w:val="0"/>
                    <w:spacing w:before="31" w:line="240" w:lineRule="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考虑岸线熏烟</w:t>
                  </w:r>
                </w:p>
              </w:tc>
              <w:tc>
                <w:tcPr>
                  <w:tcW w:w="1349" w:type="pct"/>
                  <w:shd w:val="clear" w:color="auto" w:fill="FFFFFF"/>
                  <w:noWrap/>
                  <w:vAlign w:val="center"/>
                </w:tcPr>
                <w:p>
                  <w:pPr>
                    <w:pStyle w:val="72"/>
                    <w:snapToGrid w:val="0"/>
                    <w:spacing w:before="31" w:line="240" w:lineRule="auto"/>
                    <w:rPr>
                      <w:rFonts w:hint="default" w:ascii="Times New Roman" w:hAnsi="Times New Roman" w:cs="Times New Roman"/>
                      <w:color w:val="auto"/>
                      <w:sz w:val="21"/>
                      <w:highlight w:val="none"/>
                    </w:rPr>
                  </w:pPr>
                  <w:r>
                    <w:rPr>
                      <w:rFonts w:hint="default" w:ascii="Times New Roman" w:hAnsi="Times New Roman" w:eastAsia="仿宋" w:cs="Times New Roman"/>
                      <w:color w:val="auto"/>
                      <w:sz w:val="21"/>
                      <w:highlight w:val="none"/>
                    </w:rPr>
                    <w:t>□</w:t>
                  </w:r>
                  <w:r>
                    <w:rPr>
                      <w:rFonts w:hint="default" w:ascii="Times New Roman" w:hAnsi="Times New Roman" w:cs="Times New Roman"/>
                      <w:color w:val="auto"/>
                      <w:sz w:val="21"/>
                      <w:highlight w:val="none"/>
                    </w:rPr>
                    <w:t xml:space="preserve">是  </w:t>
                  </w:r>
                  <w:r>
                    <w:rPr>
                      <w:rFonts w:hint="default" w:ascii="Times New Roman" w:hAnsi="Times New Roman" w:eastAsia="仿宋" w:cs="Times New Roman"/>
                      <w:color w:val="auto"/>
                      <w:sz w:val="21"/>
                      <w:highlight w:val="none"/>
                    </w:rPr>
                    <w:sym w:font="Wingdings 2" w:char="0052"/>
                  </w:r>
                  <w:r>
                    <w:rPr>
                      <w:rFonts w:hint="default" w:ascii="Times New Roman" w:hAnsi="Times New Roman" w:cs="Times New Roman"/>
                      <w:color w:val="auto"/>
                      <w:sz w:val="21"/>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232" w:type="pct"/>
                  <w:vMerge w:val="continue"/>
                  <w:shd w:val="clear" w:color="auto" w:fill="auto"/>
                  <w:noWrap w:val="0"/>
                  <w:vAlign w:val="center"/>
                </w:tcPr>
                <w:p>
                  <w:pPr>
                    <w:widowControl/>
                    <w:spacing w:line="240" w:lineRule="auto"/>
                    <w:rPr>
                      <w:rFonts w:hint="default" w:ascii="Times New Roman" w:hAnsi="Times New Roman" w:cs="Times New Roman"/>
                      <w:color w:val="auto"/>
                      <w:sz w:val="21"/>
                      <w:szCs w:val="21"/>
                      <w:highlight w:val="none"/>
                    </w:rPr>
                  </w:pPr>
                </w:p>
              </w:tc>
              <w:tc>
                <w:tcPr>
                  <w:tcW w:w="2417" w:type="pct"/>
                  <w:shd w:val="clear" w:color="auto" w:fill="FFFFFF"/>
                  <w:noWrap/>
                  <w:vAlign w:val="center"/>
                </w:tcPr>
                <w:p>
                  <w:pPr>
                    <w:pStyle w:val="72"/>
                    <w:snapToGrid w:val="0"/>
                    <w:spacing w:before="31" w:line="240" w:lineRule="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岸线距离/ km</w:t>
                  </w:r>
                </w:p>
              </w:tc>
              <w:tc>
                <w:tcPr>
                  <w:tcW w:w="1349" w:type="pct"/>
                  <w:shd w:val="clear" w:color="auto" w:fill="FFFFFF"/>
                  <w:noWrap/>
                  <w:vAlign w:val="center"/>
                </w:tcPr>
                <w:p>
                  <w:pPr>
                    <w:pStyle w:val="72"/>
                    <w:snapToGrid w:val="0"/>
                    <w:spacing w:before="31" w:line="240" w:lineRule="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1232" w:type="pct"/>
                  <w:vMerge w:val="continue"/>
                  <w:shd w:val="clear" w:color="auto" w:fill="auto"/>
                  <w:noWrap w:val="0"/>
                  <w:vAlign w:val="center"/>
                </w:tcPr>
                <w:p>
                  <w:pPr>
                    <w:widowControl/>
                    <w:spacing w:line="240" w:lineRule="auto"/>
                    <w:rPr>
                      <w:rFonts w:hint="default" w:ascii="Times New Roman" w:hAnsi="Times New Roman" w:cs="Times New Roman"/>
                      <w:color w:val="auto"/>
                      <w:sz w:val="21"/>
                      <w:szCs w:val="21"/>
                      <w:highlight w:val="none"/>
                    </w:rPr>
                  </w:pPr>
                </w:p>
              </w:tc>
              <w:tc>
                <w:tcPr>
                  <w:tcW w:w="2417" w:type="pct"/>
                  <w:shd w:val="clear" w:color="auto" w:fill="FFFFFF"/>
                  <w:noWrap/>
                  <w:vAlign w:val="center"/>
                </w:tcPr>
                <w:p>
                  <w:pPr>
                    <w:pStyle w:val="72"/>
                    <w:snapToGrid w:val="0"/>
                    <w:spacing w:before="31" w:line="240" w:lineRule="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岸线方向/ °</w:t>
                  </w:r>
                </w:p>
              </w:tc>
              <w:tc>
                <w:tcPr>
                  <w:tcW w:w="1349" w:type="pct"/>
                  <w:shd w:val="clear" w:color="auto" w:fill="FFFFFF"/>
                  <w:noWrap/>
                  <w:vAlign w:val="center"/>
                </w:tcPr>
                <w:p>
                  <w:pPr>
                    <w:pStyle w:val="72"/>
                    <w:snapToGrid w:val="0"/>
                    <w:spacing w:before="31" w:line="240" w:lineRule="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w:t>
                  </w:r>
                </w:p>
              </w:tc>
            </w:tr>
          </w:tbl>
          <w:p>
            <w:pPr>
              <w:keepNext w:val="0"/>
              <w:keepLines w:val="0"/>
              <w:pageBreakBefore w:val="0"/>
              <w:widowControl w:val="0"/>
              <w:tabs>
                <w:tab w:val="left" w:pos="1302"/>
              </w:tabs>
              <w:kinsoku/>
              <w:wordWrap/>
              <w:overflowPunct/>
              <w:topLinePunct w:val="0"/>
              <w:autoSpaceDE/>
              <w:autoSpaceDN/>
              <w:bidi w:val="0"/>
              <w:adjustRightInd/>
              <w:snapToGrid/>
              <w:spacing w:before="157" w:beforeLines="50" w:line="240" w:lineRule="auto"/>
              <w:jc w:val="center"/>
              <w:textAlignment w:val="auto"/>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表</w:t>
            </w:r>
            <w:r>
              <w:rPr>
                <w:rFonts w:hint="default" w:ascii="Times New Roman" w:hAnsi="Times New Roman" w:cs="Times New Roman"/>
                <w:b/>
                <w:color w:val="auto"/>
                <w:sz w:val="21"/>
                <w:szCs w:val="21"/>
                <w:highlight w:val="none"/>
                <w:lang w:val="en-US" w:eastAsia="zh-CN"/>
              </w:rPr>
              <w:t>4-</w:t>
            </w:r>
            <w:r>
              <w:rPr>
                <w:rFonts w:hint="eastAsia" w:cs="Times New Roman"/>
                <w:b/>
                <w:color w:val="auto"/>
                <w:sz w:val="21"/>
                <w:szCs w:val="21"/>
                <w:highlight w:val="none"/>
                <w:lang w:val="en-US" w:eastAsia="zh-CN"/>
              </w:rPr>
              <w:t>3</w:t>
            </w:r>
            <w:r>
              <w:rPr>
                <w:rFonts w:hint="default" w:ascii="Times New Roman" w:hAnsi="Times New Roman" w:cs="Times New Roman"/>
                <w:b/>
                <w:color w:val="auto"/>
                <w:sz w:val="21"/>
                <w:szCs w:val="21"/>
                <w:highlight w:val="none"/>
                <w:lang w:val="en-US" w:eastAsia="zh-CN"/>
              </w:rPr>
              <w:t xml:space="preserve"> </w:t>
            </w:r>
            <w:r>
              <w:rPr>
                <w:rFonts w:hint="default" w:ascii="Times New Roman" w:hAnsi="Times New Roman" w:cs="Times New Roman"/>
                <w:b/>
                <w:color w:val="auto"/>
                <w:sz w:val="21"/>
                <w:szCs w:val="21"/>
                <w:highlight w:val="none"/>
              </w:rPr>
              <w:t xml:space="preserve"> 项目运营期废气无组织面源参数表</w:t>
            </w:r>
          </w:p>
          <w:tbl>
            <w:tblPr>
              <w:tblStyle w:val="73"/>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790"/>
              <w:gridCol w:w="882"/>
              <w:gridCol w:w="829"/>
              <w:gridCol w:w="942"/>
              <w:gridCol w:w="621"/>
              <w:gridCol w:w="548"/>
              <w:gridCol w:w="604"/>
              <w:gridCol w:w="702"/>
              <w:gridCol w:w="485"/>
              <w:gridCol w:w="1035"/>
              <w:gridCol w:w="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blHeader/>
                <w:jc w:val="center"/>
              </w:trPr>
              <w:tc>
                <w:tcPr>
                  <w:tcW w:w="401" w:type="pct"/>
                  <w:vMerge w:val="restart"/>
                  <w:shd w:val="clear" w:color="auto" w:fill="FFFFFF"/>
                  <w:noWrap w:val="0"/>
                  <w:vAlign w:val="center"/>
                </w:tcPr>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firstLine="0" w:firstLineChars="0"/>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编号</w:t>
                  </w:r>
                </w:p>
              </w:tc>
              <w:tc>
                <w:tcPr>
                  <w:tcW w:w="921" w:type="pct"/>
                  <w:gridSpan w:val="2"/>
                  <w:vMerge w:val="restart"/>
                  <w:shd w:val="clear" w:color="auto" w:fill="FFFFFF"/>
                  <w:noWrap w:val="0"/>
                  <w:vAlign w:val="center"/>
                </w:tcPr>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firstLine="0" w:firstLineChars="0"/>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面源起点坐标/m</w:t>
                  </w:r>
                </w:p>
              </w:tc>
              <w:tc>
                <w:tcPr>
                  <w:tcW w:w="457" w:type="pct"/>
                  <w:vMerge w:val="restart"/>
                  <w:shd w:val="clear" w:color="auto" w:fill="FFFFFF"/>
                  <w:noWrap w:val="0"/>
                  <w:vAlign w:val="center"/>
                </w:tcPr>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firstLine="0" w:firstLineChars="0"/>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面源海拔高度/m</w:t>
                  </w:r>
                </w:p>
              </w:tc>
              <w:tc>
                <w:tcPr>
                  <w:tcW w:w="519" w:type="pct"/>
                  <w:vMerge w:val="restart"/>
                  <w:shd w:val="clear" w:color="auto" w:fill="FFFFFF"/>
                  <w:noWrap w:val="0"/>
                  <w:vAlign w:val="center"/>
                </w:tcPr>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firstLine="0" w:firstLineChars="0"/>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面源长度/m</w:t>
                  </w:r>
                </w:p>
              </w:tc>
              <w:tc>
                <w:tcPr>
                  <w:tcW w:w="342" w:type="pct"/>
                  <w:vMerge w:val="restart"/>
                  <w:shd w:val="clear" w:color="auto" w:fill="FFFFFF"/>
                  <w:noWrap w:val="0"/>
                  <w:vAlign w:val="center"/>
                </w:tcPr>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firstLine="0" w:firstLineChars="0"/>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面源宽度/m</w:t>
                  </w:r>
                </w:p>
              </w:tc>
              <w:tc>
                <w:tcPr>
                  <w:tcW w:w="302" w:type="pct"/>
                  <w:vMerge w:val="restart"/>
                  <w:shd w:val="clear" w:color="auto" w:fill="FFFFFF"/>
                  <w:noWrap w:val="0"/>
                  <w:vAlign w:val="center"/>
                </w:tcPr>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firstLine="0" w:firstLineChars="0"/>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与正北向夹角/ °</w:t>
                  </w:r>
                </w:p>
              </w:tc>
              <w:tc>
                <w:tcPr>
                  <w:tcW w:w="333" w:type="pct"/>
                  <w:vMerge w:val="restart"/>
                  <w:shd w:val="clear" w:color="auto" w:fill="FFFFFF"/>
                  <w:noWrap w:val="0"/>
                  <w:vAlign w:val="center"/>
                </w:tcPr>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firstLine="0" w:firstLineChars="0"/>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面源有效排放高度/m</w:t>
                  </w:r>
                </w:p>
              </w:tc>
              <w:tc>
                <w:tcPr>
                  <w:tcW w:w="387" w:type="pct"/>
                  <w:vMerge w:val="restart"/>
                  <w:shd w:val="clear" w:color="auto" w:fill="FFFFFF"/>
                  <w:noWrap w:val="0"/>
                  <w:vAlign w:val="center"/>
                </w:tcPr>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firstLine="0" w:firstLineChars="0"/>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年排放小时数/h</w:t>
                  </w:r>
                </w:p>
              </w:tc>
              <w:tc>
                <w:tcPr>
                  <w:tcW w:w="267" w:type="pct"/>
                  <w:vMerge w:val="restart"/>
                  <w:shd w:val="clear" w:color="auto" w:fill="FFFFFF"/>
                  <w:noWrap w:val="0"/>
                  <w:vAlign w:val="center"/>
                </w:tcPr>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firstLine="0" w:firstLineChars="0"/>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排放工况</w:t>
                  </w:r>
                </w:p>
              </w:tc>
              <w:tc>
                <w:tcPr>
                  <w:tcW w:w="1067" w:type="pct"/>
                  <w:gridSpan w:val="2"/>
                  <w:shd w:val="clear" w:color="auto" w:fill="FFFFFF"/>
                  <w:noWrap w:val="0"/>
                  <w:vAlign w:val="center"/>
                </w:tcPr>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firstLine="0" w:firstLineChars="0"/>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污染物</w:t>
                  </w:r>
                </w:p>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firstLine="0" w:firstLineChars="0"/>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排放速率/（g/s）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01" w:type="pct"/>
                  <w:vMerge w:val="continue"/>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before="74" w:line="240" w:lineRule="auto"/>
                    <w:ind w:left="-71" w:leftChars="-34" w:right="-71" w:rightChars="-34"/>
                    <w:jc w:val="center"/>
                    <w:textAlignment w:val="auto"/>
                    <w:rPr>
                      <w:rFonts w:hint="default" w:ascii="Times New Roman" w:hAnsi="Times New Roman" w:cs="Times New Roman"/>
                      <w:b/>
                      <w:bCs/>
                      <w:color w:val="auto"/>
                      <w:sz w:val="18"/>
                      <w:szCs w:val="21"/>
                      <w:highlight w:val="none"/>
                    </w:rPr>
                  </w:pPr>
                </w:p>
              </w:tc>
              <w:tc>
                <w:tcPr>
                  <w:tcW w:w="921" w:type="pct"/>
                  <w:gridSpan w:val="2"/>
                  <w:vMerge w:val="continue"/>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before="74" w:line="240" w:lineRule="auto"/>
                    <w:ind w:left="-71" w:leftChars="-34" w:right="-71" w:rightChars="-34"/>
                    <w:jc w:val="center"/>
                    <w:textAlignment w:val="auto"/>
                    <w:rPr>
                      <w:rFonts w:hint="default" w:ascii="Times New Roman" w:hAnsi="Times New Roman" w:cs="Times New Roman"/>
                      <w:b/>
                      <w:bCs/>
                      <w:color w:val="auto"/>
                      <w:sz w:val="18"/>
                      <w:szCs w:val="21"/>
                      <w:highlight w:val="none"/>
                    </w:rPr>
                  </w:pPr>
                </w:p>
              </w:tc>
              <w:tc>
                <w:tcPr>
                  <w:tcW w:w="457" w:type="pct"/>
                  <w:vMerge w:val="continue"/>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before="74" w:line="240" w:lineRule="auto"/>
                    <w:ind w:left="-71" w:leftChars="-34" w:right="-71" w:rightChars="-34"/>
                    <w:jc w:val="center"/>
                    <w:textAlignment w:val="auto"/>
                    <w:rPr>
                      <w:rFonts w:hint="default" w:ascii="Times New Roman" w:hAnsi="Times New Roman" w:cs="Times New Roman"/>
                      <w:b/>
                      <w:bCs/>
                      <w:color w:val="auto"/>
                      <w:sz w:val="18"/>
                      <w:szCs w:val="21"/>
                      <w:highlight w:val="none"/>
                    </w:rPr>
                  </w:pPr>
                </w:p>
              </w:tc>
              <w:tc>
                <w:tcPr>
                  <w:tcW w:w="519" w:type="pct"/>
                  <w:vMerge w:val="continue"/>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before="74" w:line="240" w:lineRule="auto"/>
                    <w:ind w:left="-71" w:leftChars="-34" w:right="-71" w:rightChars="-34"/>
                    <w:jc w:val="center"/>
                    <w:textAlignment w:val="auto"/>
                    <w:rPr>
                      <w:rFonts w:hint="default" w:ascii="Times New Roman" w:hAnsi="Times New Roman" w:cs="Times New Roman"/>
                      <w:b/>
                      <w:bCs/>
                      <w:color w:val="auto"/>
                      <w:sz w:val="18"/>
                      <w:szCs w:val="21"/>
                      <w:highlight w:val="none"/>
                    </w:rPr>
                  </w:pPr>
                </w:p>
              </w:tc>
              <w:tc>
                <w:tcPr>
                  <w:tcW w:w="342" w:type="pct"/>
                  <w:vMerge w:val="continue"/>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before="74" w:line="240" w:lineRule="auto"/>
                    <w:ind w:left="-71" w:leftChars="-34" w:right="-71" w:rightChars="-34"/>
                    <w:jc w:val="center"/>
                    <w:textAlignment w:val="auto"/>
                    <w:rPr>
                      <w:rFonts w:hint="default" w:ascii="Times New Roman" w:hAnsi="Times New Roman" w:cs="Times New Roman"/>
                      <w:b/>
                      <w:bCs/>
                      <w:color w:val="auto"/>
                      <w:sz w:val="18"/>
                      <w:szCs w:val="21"/>
                      <w:highlight w:val="none"/>
                    </w:rPr>
                  </w:pPr>
                </w:p>
              </w:tc>
              <w:tc>
                <w:tcPr>
                  <w:tcW w:w="302" w:type="pct"/>
                  <w:vMerge w:val="continue"/>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before="74" w:line="240" w:lineRule="auto"/>
                    <w:ind w:left="-71" w:leftChars="-34" w:right="-71" w:rightChars="-34"/>
                    <w:jc w:val="center"/>
                    <w:textAlignment w:val="auto"/>
                    <w:rPr>
                      <w:rFonts w:hint="default" w:ascii="Times New Roman" w:hAnsi="Times New Roman" w:cs="Times New Roman"/>
                      <w:b/>
                      <w:bCs/>
                      <w:color w:val="auto"/>
                      <w:sz w:val="18"/>
                      <w:szCs w:val="21"/>
                      <w:highlight w:val="none"/>
                    </w:rPr>
                  </w:pPr>
                </w:p>
              </w:tc>
              <w:tc>
                <w:tcPr>
                  <w:tcW w:w="333" w:type="pct"/>
                  <w:vMerge w:val="continue"/>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before="74" w:line="240" w:lineRule="auto"/>
                    <w:ind w:left="-71" w:leftChars="-34" w:right="-71" w:rightChars="-34"/>
                    <w:jc w:val="center"/>
                    <w:textAlignment w:val="auto"/>
                    <w:rPr>
                      <w:rFonts w:hint="default" w:ascii="Times New Roman" w:hAnsi="Times New Roman" w:cs="Times New Roman"/>
                      <w:b/>
                      <w:bCs/>
                      <w:color w:val="auto"/>
                      <w:sz w:val="18"/>
                      <w:szCs w:val="21"/>
                      <w:highlight w:val="none"/>
                    </w:rPr>
                  </w:pPr>
                </w:p>
              </w:tc>
              <w:tc>
                <w:tcPr>
                  <w:tcW w:w="387" w:type="pct"/>
                  <w:vMerge w:val="continue"/>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before="74" w:line="240" w:lineRule="auto"/>
                    <w:ind w:left="-71" w:leftChars="-34" w:right="-71" w:rightChars="-34"/>
                    <w:jc w:val="center"/>
                    <w:textAlignment w:val="auto"/>
                    <w:rPr>
                      <w:rFonts w:hint="default" w:ascii="Times New Roman" w:hAnsi="Times New Roman" w:cs="Times New Roman"/>
                      <w:b/>
                      <w:bCs/>
                      <w:color w:val="auto"/>
                      <w:sz w:val="18"/>
                      <w:szCs w:val="21"/>
                      <w:highlight w:val="none"/>
                    </w:rPr>
                  </w:pPr>
                </w:p>
              </w:tc>
              <w:tc>
                <w:tcPr>
                  <w:tcW w:w="267" w:type="pct"/>
                  <w:vMerge w:val="continue"/>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before="74" w:line="240" w:lineRule="auto"/>
                    <w:ind w:left="-71" w:leftChars="-34" w:right="-71" w:rightChars="-34"/>
                    <w:jc w:val="center"/>
                    <w:textAlignment w:val="auto"/>
                    <w:rPr>
                      <w:rFonts w:hint="default" w:ascii="Times New Roman" w:hAnsi="Times New Roman" w:cs="Times New Roman"/>
                      <w:b/>
                      <w:bCs/>
                      <w:color w:val="auto"/>
                      <w:sz w:val="18"/>
                      <w:szCs w:val="21"/>
                      <w:highlight w:val="none"/>
                    </w:rPr>
                  </w:pPr>
                </w:p>
              </w:tc>
              <w:tc>
                <w:tcPr>
                  <w:tcW w:w="570" w:type="pct"/>
                  <w:vMerge w:val="restart"/>
                  <w:shd w:val="clear" w:color="auto" w:fill="FFFFFF"/>
                  <w:noWrap w:val="0"/>
                  <w:vAlign w:val="center"/>
                </w:tcPr>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jc w:val="center"/>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szCs w:val="21"/>
                      <w:highlight w:val="none"/>
                    </w:rPr>
                    <w:t>H</w:t>
                  </w:r>
                  <w:r>
                    <w:rPr>
                      <w:rFonts w:hint="default" w:ascii="Times New Roman" w:hAnsi="Times New Roman" w:cs="Times New Roman"/>
                      <w:b/>
                      <w:bCs/>
                      <w:color w:val="auto"/>
                      <w:szCs w:val="21"/>
                      <w:highlight w:val="none"/>
                      <w:vertAlign w:val="subscript"/>
                    </w:rPr>
                    <w:t>2</w:t>
                  </w:r>
                  <w:r>
                    <w:rPr>
                      <w:rFonts w:hint="default" w:ascii="Times New Roman" w:hAnsi="Times New Roman" w:cs="Times New Roman"/>
                      <w:b/>
                      <w:bCs/>
                      <w:color w:val="auto"/>
                      <w:szCs w:val="21"/>
                      <w:highlight w:val="none"/>
                    </w:rPr>
                    <w:t>S</w:t>
                  </w:r>
                </w:p>
              </w:tc>
              <w:tc>
                <w:tcPr>
                  <w:tcW w:w="497" w:type="pct"/>
                  <w:vMerge w:val="restart"/>
                  <w:shd w:val="clear" w:color="auto" w:fill="FFFFFF"/>
                  <w:noWrap w:val="0"/>
                  <w:vAlign w:val="center"/>
                </w:tcPr>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jc w:val="center"/>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szCs w:val="21"/>
                      <w:highlight w:val="none"/>
                    </w:rPr>
                    <w:t>NH</w:t>
                  </w:r>
                  <w:r>
                    <w:rPr>
                      <w:rFonts w:hint="default" w:ascii="Times New Roman" w:hAnsi="Times New Roman" w:cs="Times New Roman"/>
                      <w:b/>
                      <w:bCs/>
                      <w:color w:val="auto"/>
                      <w:szCs w:val="21"/>
                      <w:highlight w:val="none"/>
                      <w:vertAlign w:val="sub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401" w:type="pct"/>
                  <w:vMerge w:val="continue"/>
                  <w:shd w:val="clear" w:color="auto" w:fill="FFFFFF"/>
                  <w:noWrap w:val="0"/>
                  <w:vAlign w:val="center"/>
                </w:tcPr>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textAlignment w:val="auto"/>
                    <w:rPr>
                      <w:rFonts w:hint="default" w:ascii="Times New Roman" w:hAnsi="Times New Roman" w:cs="Times New Roman"/>
                      <w:i/>
                      <w:color w:val="auto"/>
                      <w:highlight w:val="yellow"/>
                    </w:rPr>
                  </w:pPr>
                </w:p>
              </w:tc>
              <w:tc>
                <w:tcPr>
                  <w:tcW w:w="435" w:type="pct"/>
                  <w:shd w:val="clear" w:color="auto" w:fill="FFFFFF"/>
                  <w:noWrap w:val="0"/>
                  <w:vAlign w:val="center"/>
                </w:tcPr>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textAlignment w:val="auto"/>
                    <w:rPr>
                      <w:rFonts w:hint="default" w:ascii="Times New Roman" w:hAnsi="Times New Roman" w:cs="Times New Roman"/>
                      <w:b/>
                      <w:bCs/>
                      <w:i/>
                      <w:color w:val="auto"/>
                      <w:highlight w:val="none"/>
                    </w:rPr>
                  </w:pPr>
                  <w:r>
                    <w:rPr>
                      <w:rFonts w:hint="default" w:ascii="Times New Roman" w:hAnsi="Times New Roman" w:cs="Times New Roman"/>
                      <w:b/>
                      <w:bCs/>
                      <w:i/>
                      <w:color w:val="auto"/>
                      <w:highlight w:val="none"/>
                    </w:rPr>
                    <w:t>X</w:t>
                  </w:r>
                </w:p>
              </w:tc>
              <w:tc>
                <w:tcPr>
                  <w:tcW w:w="486" w:type="pct"/>
                  <w:shd w:val="clear" w:color="auto" w:fill="FFFFFF"/>
                  <w:noWrap w:val="0"/>
                  <w:vAlign w:val="center"/>
                </w:tcPr>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textAlignment w:val="auto"/>
                    <w:rPr>
                      <w:rFonts w:hint="default" w:ascii="Times New Roman" w:hAnsi="Times New Roman" w:cs="Times New Roman"/>
                      <w:b/>
                      <w:bCs/>
                      <w:i/>
                      <w:color w:val="auto"/>
                      <w:highlight w:val="none"/>
                    </w:rPr>
                  </w:pPr>
                  <w:r>
                    <w:rPr>
                      <w:rFonts w:hint="default" w:ascii="Times New Roman" w:hAnsi="Times New Roman" w:cs="Times New Roman"/>
                      <w:b/>
                      <w:bCs/>
                      <w:i/>
                      <w:color w:val="auto"/>
                      <w:highlight w:val="none"/>
                    </w:rPr>
                    <w:t>Y</w:t>
                  </w:r>
                </w:p>
              </w:tc>
              <w:tc>
                <w:tcPr>
                  <w:tcW w:w="457" w:type="pct"/>
                  <w:vMerge w:val="continue"/>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before="74" w:line="240" w:lineRule="auto"/>
                    <w:ind w:left="-71" w:leftChars="-34" w:right="-71" w:rightChars="-34"/>
                    <w:jc w:val="left"/>
                    <w:textAlignment w:val="auto"/>
                    <w:rPr>
                      <w:rFonts w:hint="default" w:ascii="Times New Roman" w:hAnsi="Times New Roman" w:cs="Times New Roman"/>
                      <w:b/>
                      <w:bCs/>
                      <w:color w:val="auto"/>
                      <w:sz w:val="18"/>
                      <w:szCs w:val="21"/>
                      <w:highlight w:val="yellow"/>
                    </w:rPr>
                  </w:pPr>
                </w:p>
              </w:tc>
              <w:tc>
                <w:tcPr>
                  <w:tcW w:w="519" w:type="pct"/>
                  <w:vMerge w:val="continue"/>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before="74" w:line="240" w:lineRule="auto"/>
                    <w:ind w:left="-71" w:leftChars="-34" w:right="-71" w:rightChars="-34"/>
                    <w:jc w:val="left"/>
                    <w:textAlignment w:val="auto"/>
                    <w:rPr>
                      <w:rFonts w:hint="default" w:ascii="Times New Roman" w:hAnsi="Times New Roman" w:cs="Times New Roman"/>
                      <w:color w:val="auto"/>
                      <w:sz w:val="18"/>
                      <w:szCs w:val="21"/>
                      <w:highlight w:val="yellow"/>
                    </w:rPr>
                  </w:pPr>
                </w:p>
              </w:tc>
              <w:tc>
                <w:tcPr>
                  <w:tcW w:w="342" w:type="pct"/>
                  <w:vMerge w:val="continue"/>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before="74" w:line="240" w:lineRule="auto"/>
                    <w:ind w:left="-71" w:leftChars="-34" w:right="-71" w:rightChars="-34"/>
                    <w:jc w:val="left"/>
                    <w:textAlignment w:val="auto"/>
                    <w:rPr>
                      <w:rFonts w:hint="default" w:ascii="Times New Roman" w:hAnsi="Times New Roman" w:cs="Times New Roman"/>
                      <w:color w:val="auto"/>
                      <w:sz w:val="18"/>
                      <w:szCs w:val="21"/>
                      <w:highlight w:val="yellow"/>
                    </w:rPr>
                  </w:pPr>
                </w:p>
              </w:tc>
              <w:tc>
                <w:tcPr>
                  <w:tcW w:w="302" w:type="pct"/>
                  <w:vMerge w:val="continue"/>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before="74" w:line="240" w:lineRule="auto"/>
                    <w:ind w:left="-71" w:leftChars="-34" w:right="-71" w:rightChars="-34"/>
                    <w:jc w:val="left"/>
                    <w:textAlignment w:val="auto"/>
                    <w:rPr>
                      <w:rFonts w:hint="default" w:ascii="Times New Roman" w:hAnsi="Times New Roman" w:cs="Times New Roman"/>
                      <w:color w:val="auto"/>
                      <w:sz w:val="18"/>
                      <w:szCs w:val="21"/>
                      <w:highlight w:val="yellow"/>
                    </w:rPr>
                  </w:pPr>
                </w:p>
              </w:tc>
              <w:tc>
                <w:tcPr>
                  <w:tcW w:w="333" w:type="pct"/>
                  <w:vMerge w:val="continue"/>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before="74" w:line="240" w:lineRule="auto"/>
                    <w:ind w:left="-71" w:leftChars="-34" w:right="-71" w:rightChars="-34"/>
                    <w:jc w:val="left"/>
                    <w:textAlignment w:val="auto"/>
                    <w:rPr>
                      <w:rFonts w:hint="default" w:ascii="Times New Roman" w:hAnsi="Times New Roman" w:cs="Times New Roman"/>
                      <w:color w:val="auto"/>
                      <w:sz w:val="18"/>
                      <w:szCs w:val="21"/>
                      <w:highlight w:val="yellow"/>
                    </w:rPr>
                  </w:pPr>
                </w:p>
              </w:tc>
              <w:tc>
                <w:tcPr>
                  <w:tcW w:w="387" w:type="pct"/>
                  <w:vMerge w:val="continue"/>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before="74" w:line="240" w:lineRule="auto"/>
                    <w:ind w:left="-71" w:leftChars="-34" w:right="-71" w:rightChars="-34"/>
                    <w:jc w:val="left"/>
                    <w:textAlignment w:val="auto"/>
                    <w:rPr>
                      <w:rFonts w:hint="default" w:ascii="Times New Roman" w:hAnsi="Times New Roman" w:cs="Times New Roman"/>
                      <w:color w:val="auto"/>
                      <w:sz w:val="18"/>
                      <w:szCs w:val="21"/>
                      <w:highlight w:val="yellow"/>
                    </w:rPr>
                  </w:pPr>
                </w:p>
              </w:tc>
              <w:tc>
                <w:tcPr>
                  <w:tcW w:w="267" w:type="pct"/>
                  <w:vMerge w:val="continue"/>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before="74" w:line="240" w:lineRule="auto"/>
                    <w:ind w:left="-71" w:leftChars="-34" w:right="-71" w:rightChars="-34"/>
                    <w:jc w:val="left"/>
                    <w:textAlignment w:val="auto"/>
                    <w:rPr>
                      <w:rFonts w:hint="default" w:ascii="Times New Roman" w:hAnsi="Times New Roman" w:cs="Times New Roman"/>
                      <w:color w:val="auto"/>
                      <w:sz w:val="18"/>
                      <w:szCs w:val="21"/>
                      <w:highlight w:val="yellow"/>
                    </w:rPr>
                  </w:pPr>
                </w:p>
              </w:tc>
              <w:tc>
                <w:tcPr>
                  <w:tcW w:w="570" w:type="pct"/>
                  <w:vMerge w:val="continue"/>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before="74" w:line="240" w:lineRule="auto"/>
                    <w:ind w:left="-71" w:leftChars="-34" w:right="-71" w:rightChars="-34"/>
                    <w:jc w:val="left"/>
                    <w:textAlignment w:val="auto"/>
                    <w:rPr>
                      <w:rFonts w:hint="default" w:ascii="Times New Roman" w:hAnsi="Times New Roman" w:cs="Times New Roman"/>
                      <w:color w:val="auto"/>
                      <w:sz w:val="18"/>
                      <w:szCs w:val="21"/>
                      <w:highlight w:val="yellow"/>
                    </w:rPr>
                  </w:pPr>
                </w:p>
              </w:tc>
              <w:tc>
                <w:tcPr>
                  <w:tcW w:w="497" w:type="pct"/>
                  <w:vMerge w:val="continue"/>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before="74" w:line="240" w:lineRule="auto"/>
                    <w:ind w:left="-71" w:leftChars="-34" w:right="-71" w:rightChars="-34"/>
                    <w:jc w:val="left"/>
                    <w:textAlignment w:val="auto"/>
                    <w:rPr>
                      <w:rFonts w:hint="default" w:ascii="Times New Roman" w:hAnsi="Times New Roman" w:cs="Times New Roman"/>
                      <w:color w:val="auto"/>
                      <w:sz w:val="18"/>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401" w:type="pct"/>
                  <w:shd w:val="clear" w:color="auto" w:fill="FFFFFF"/>
                  <w:noWrap w:val="0"/>
                  <w:vAlign w:val="center"/>
                </w:tcPr>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textAlignment w:val="auto"/>
                    <w:rPr>
                      <w:rFonts w:hint="default" w:ascii="Times New Roman" w:hAnsi="Times New Roman" w:cs="Times New Roman"/>
                      <w:color w:val="auto"/>
                      <w:highlight w:val="yellow"/>
                    </w:rPr>
                  </w:pPr>
                  <w:r>
                    <w:rPr>
                      <w:rFonts w:hint="default" w:ascii="Times New Roman" w:hAnsi="Times New Roman" w:cs="Times New Roman"/>
                      <w:color w:val="auto"/>
                      <w:highlight w:val="none"/>
                    </w:rPr>
                    <w:t>A1</w:t>
                  </w:r>
                </w:p>
              </w:tc>
              <w:tc>
                <w:tcPr>
                  <w:tcW w:w="435" w:type="pct"/>
                  <w:shd w:val="clear" w:color="auto" w:fill="FFFFFF"/>
                  <w:noWrap w:val="0"/>
                  <w:vAlign w:val="center"/>
                </w:tcPr>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textAlignment w:val="auto"/>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308371</w:t>
                  </w:r>
                </w:p>
              </w:tc>
              <w:tc>
                <w:tcPr>
                  <w:tcW w:w="486" w:type="pct"/>
                  <w:shd w:val="clear" w:color="auto" w:fill="FFFFFF"/>
                  <w:noWrap w:val="0"/>
                  <w:vAlign w:val="center"/>
                </w:tcPr>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textAlignment w:val="auto"/>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3794096</w:t>
                  </w:r>
                </w:p>
              </w:tc>
              <w:tc>
                <w:tcPr>
                  <w:tcW w:w="457" w:type="pct"/>
                  <w:shd w:val="clear" w:color="auto" w:fill="FFFFFF"/>
                  <w:noWrap w:val="0"/>
                  <w:vAlign w:val="center"/>
                </w:tcPr>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textAlignment w:val="auto"/>
                    <w:rPr>
                      <w:rFonts w:hint="default" w:ascii="Times New Roman" w:hAnsi="Times New Roman" w:eastAsia="宋体" w:cs="Times New Roman"/>
                      <w:color w:val="auto"/>
                      <w:highlight w:val="yellow"/>
                      <w:lang w:val="en-US" w:eastAsia="zh-CN"/>
                    </w:rPr>
                  </w:pPr>
                  <w:r>
                    <w:rPr>
                      <w:rFonts w:hint="eastAsia" w:cs="Times New Roman"/>
                      <w:color w:val="auto"/>
                      <w:highlight w:val="none"/>
                      <w:lang w:val="en-US" w:eastAsia="zh-CN"/>
                    </w:rPr>
                    <w:t>398</w:t>
                  </w:r>
                </w:p>
              </w:tc>
              <w:tc>
                <w:tcPr>
                  <w:tcW w:w="519" w:type="pct"/>
                  <w:shd w:val="clear" w:color="auto" w:fill="FFFFFF"/>
                  <w:noWrap w:val="0"/>
                  <w:vAlign w:val="center"/>
                </w:tcPr>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5.8</w:t>
                  </w:r>
                </w:p>
              </w:tc>
              <w:tc>
                <w:tcPr>
                  <w:tcW w:w="342" w:type="pct"/>
                  <w:shd w:val="clear" w:color="auto" w:fill="FFFFFF"/>
                  <w:noWrap w:val="0"/>
                  <w:vAlign w:val="center"/>
                </w:tcPr>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2.2</w:t>
                  </w:r>
                </w:p>
              </w:tc>
              <w:tc>
                <w:tcPr>
                  <w:tcW w:w="302" w:type="pct"/>
                  <w:shd w:val="clear" w:color="auto" w:fill="FFFFFF"/>
                  <w:noWrap w:val="0"/>
                  <w:vAlign w:val="center"/>
                </w:tcPr>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textAlignment w:val="auto"/>
                    <w:rPr>
                      <w:rFonts w:hint="default" w:ascii="Times New Roman" w:hAnsi="Times New Roman" w:eastAsia="宋体" w:cs="Times New Roman"/>
                      <w:color w:val="auto"/>
                      <w:highlight w:val="yellow"/>
                      <w:lang w:val="en-US" w:eastAsia="zh-CN"/>
                    </w:rPr>
                  </w:pPr>
                  <w:r>
                    <w:rPr>
                      <w:rFonts w:hint="eastAsia" w:cs="Times New Roman"/>
                      <w:color w:val="auto"/>
                      <w:highlight w:val="none"/>
                      <w:lang w:val="en-US" w:eastAsia="zh-CN"/>
                    </w:rPr>
                    <w:t>0</w:t>
                  </w:r>
                </w:p>
              </w:tc>
              <w:tc>
                <w:tcPr>
                  <w:tcW w:w="333" w:type="pct"/>
                  <w:shd w:val="clear" w:color="auto" w:fill="FFFFFF"/>
                  <w:noWrap w:val="0"/>
                  <w:vAlign w:val="center"/>
                </w:tcPr>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textAlignment w:val="auto"/>
                    <w:rPr>
                      <w:rFonts w:hint="default" w:ascii="Times New Roman" w:hAnsi="Times New Roman" w:cs="Times New Roman"/>
                      <w:color w:val="auto"/>
                      <w:highlight w:val="yellow"/>
                    </w:rPr>
                  </w:pPr>
                  <w:r>
                    <w:rPr>
                      <w:rFonts w:hint="default" w:ascii="Times New Roman" w:hAnsi="Times New Roman" w:cs="Times New Roman"/>
                      <w:color w:val="auto"/>
                      <w:highlight w:val="none"/>
                    </w:rPr>
                    <w:t>3</w:t>
                  </w:r>
                </w:p>
              </w:tc>
              <w:tc>
                <w:tcPr>
                  <w:tcW w:w="387" w:type="pct"/>
                  <w:shd w:val="clear" w:color="auto" w:fill="FFFFFF"/>
                  <w:noWrap w:val="0"/>
                  <w:vAlign w:val="center"/>
                </w:tcPr>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textAlignment w:val="auto"/>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8760</w:t>
                  </w:r>
                </w:p>
              </w:tc>
              <w:tc>
                <w:tcPr>
                  <w:tcW w:w="267" w:type="pct"/>
                  <w:shd w:val="clear" w:color="auto" w:fill="FFFFFF"/>
                  <w:noWrap w:val="0"/>
                  <w:vAlign w:val="center"/>
                </w:tcPr>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正常</w:t>
                  </w:r>
                </w:p>
              </w:tc>
              <w:tc>
                <w:tcPr>
                  <w:tcW w:w="570" w:type="pct"/>
                  <w:shd w:val="clear" w:color="auto" w:fill="FFFFFF"/>
                  <w:noWrap w:val="0"/>
                  <w:vAlign w:val="center"/>
                </w:tcPr>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textAlignment w:val="auto"/>
                    <w:rPr>
                      <w:rFonts w:hint="default" w:ascii="Times New Roman" w:hAnsi="Times New Roman" w:eastAsia="宋体" w:cs="Times New Roman"/>
                      <w:color w:val="auto"/>
                      <w:highlight w:val="yellow"/>
                      <w:lang w:val="en-US" w:eastAsia="zh-CN"/>
                    </w:rPr>
                  </w:pPr>
                  <w:r>
                    <w:rPr>
                      <w:rFonts w:hint="default" w:ascii="Times New Roman" w:hAnsi="Times New Roman" w:eastAsia="宋体" w:cs="Times New Roman"/>
                      <w:color w:val="auto"/>
                      <w:highlight w:val="none"/>
                      <w:lang w:val="en-US" w:eastAsia="zh-CN"/>
                    </w:rPr>
                    <w:t>0.</w:t>
                  </w:r>
                  <w:r>
                    <w:rPr>
                      <w:rFonts w:hint="eastAsia" w:cs="Times New Roman"/>
                      <w:color w:val="auto"/>
                      <w:highlight w:val="none"/>
                      <w:lang w:val="en-US" w:eastAsia="zh-CN"/>
                    </w:rPr>
                    <w:t>0000014</w:t>
                  </w:r>
                </w:p>
              </w:tc>
              <w:tc>
                <w:tcPr>
                  <w:tcW w:w="497" w:type="pct"/>
                  <w:shd w:val="clear" w:color="auto" w:fill="FFFFFF"/>
                  <w:noWrap w:val="0"/>
                  <w:vAlign w:val="center"/>
                </w:tcPr>
                <w:p>
                  <w:pPr>
                    <w:pStyle w:val="72"/>
                    <w:keepNext w:val="0"/>
                    <w:keepLines w:val="0"/>
                    <w:pageBreakBefore w:val="0"/>
                    <w:widowControl/>
                    <w:kinsoku/>
                    <w:wordWrap/>
                    <w:overflowPunct/>
                    <w:topLinePunct w:val="0"/>
                    <w:autoSpaceDE/>
                    <w:autoSpaceDN/>
                    <w:bidi w:val="0"/>
                    <w:adjustRightInd/>
                    <w:snapToGrid/>
                    <w:spacing w:before="74" w:beforeLines="0" w:line="240" w:lineRule="auto"/>
                    <w:ind w:left="-71" w:leftChars="-34" w:right="-71" w:rightChars="-34"/>
                    <w:textAlignment w:val="auto"/>
                    <w:rPr>
                      <w:rFonts w:hint="default" w:ascii="Times New Roman" w:hAnsi="Times New Roman" w:eastAsia="宋体" w:cs="Times New Roman"/>
                      <w:color w:val="auto"/>
                      <w:highlight w:val="yellow"/>
                      <w:lang w:val="en-US" w:eastAsia="zh-CN"/>
                    </w:rPr>
                  </w:pPr>
                  <w:r>
                    <w:rPr>
                      <w:rFonts w:hint="eastAsia" w:ascii="Times New Roman" w:hAnsi="Times New Roman" w:cs="Times New Roman"/>
                      <w:color w:val="auto"/>
                      <w:highlight w:val="none"/>
                      <w:lang w:val="en-US" w:eastAsia="zh-CN"/>
                    </w:rPr>
                    <w:t>0.000</w:t>
                  </w:r>
                  <w:r>
                    <w:rPr>
                      <w:rFonts w:hint="eastAsia" w:cs="Times New Roman"/>
                      <w:color w:val="auto"/>
                      <w:highlight w:val="none"/>
                      <w:lang w:val="en-US" w:eastAsia="zh-CN"/>
                    </w:rPr>
                    <w:t>03</w:t>
                  </w:r>
                </w:p>
              </w:tc>
            </w:tr>
          </w:tbl>
          <w:p>
            <w:pPr>
              <w:keepNext w:val="0"/>
              <w:keepLines w:val="0"/>
              <w:pageBreakBefore w:val="0"/>
              <w:widowControl/>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cs="Times New Roman"/>
                <w:color w:val="auto"/>
                <w:sz w:val="24"/>
                <w:szCs w:val="32"/>
                <w:highlight w:val="none"/>
              </w:rPr>
            </w:pPr>
            <w:r>
              <w:rPr>
                <w:rFonts w:hint="default" w:ascii="Times New Roman" w:hAnsi="Times New Roman" w:cs="Times New Roman"/>
                <w:color w:val="auto"/>
                <w:sz w:val="24"/>
                <w:szCs w:val="32"/>
                <w:highlight w:val="none"/>
              </w:rPr>
              <w:t>估算结果见下表：</w:t>
            </w:r>
          </w:p>
          <w:p>
            <w:pPr>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宋体"/>
                <w:b/>
                <w:color w:val="auto"/>
                <w:szCs w:val="21"/>
              </w:rPr>
            </w:pPr>
            <w:r>
              <w:rPr>
                <w:rFonts w:ascii="Times New Roman" w:hAnsi="Times New Roman" w:eastAsia="宋体"/>
                <w:b/>
                <w:color w:val="auto"/>
                <w:szCs w:val="21"/>
              </w:rPr>
              <w:t>表4-</w:t>
            </w:r>
            <w:r>
              <w:rPr>
                <w:rFonts w:hint="eastAsia" w:ascii="Times New Roman" w:hAnsi="Times New Roman" w:eastAsia="宋体"/>
                <w:b/>
                <w:color w:val="auto"/>
                <w:szCs w:val="21"/>
                <w:lang w:val="en-US" w:eastAsia="zh-CN"/>
              </w:rPr>
              <w:t>4</w:t>
            </w:r>
            <w:r>
              <w:rPr>
                <w:rFonts w:ascii="Times New Roman" w:hAnsi="Times New Roman" w:eastAsia="宋体"/>
                <w:b/>
                <w:color w:val="auto"/>
                <w:szCs w:val="21"/>
              </w:rPr>
              <w:t xml:space="preserve">  估算模式计算结果表</w:t>
            </w:r>
          </w:p>
          <w:tbl>
            <w:tblPr>
              <w:tblStyle w:val="25"/>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9"/>
              <w:gridCol w:w="1573"/>
              <w:gridCol w:w="1342"/>
              <w:gridCol w:w="1342"/>
              <w:gridCol w:w="1346"/>
              <w:gridCol w:w="15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046" w:type="pct"/>
                  <w:vAlign w:val="center"/>
                </w:tcPr>
                <w:p>
                  <w:pPr>
                    <w:adjustRightInd w:val="0"/>
                    <w:snapToGrid w:val="0"/>
                    <w:jc w:val="center"/>
                    <w:rPr>
                      <w:rFonts w:ascii="Times New Roman" w:hAnsi="Times New Roman" w:eastAsia="宋体"/>
                      <w:bCs/>
                      <w:color w:val="auto"/>
                      <w:szCs w:val="18"/>
                    </w:rPr>
                  </w:pPr>
                  <w:r>
                    <w:rPr>
                      <w:rFonts w:ascii="Times New Roman" w:hAnsi="Times New Roman" w:eastAsia="宋体"/>
                      <w:bCs/>
                      <w:color w:val="auto"/>
                      <w:szCs w:val="18"/>
                    </w:rPr>
                    <w:t>污染源名称</w:t>
                  </w:r>
                </w:p>
              </w:tc>
              <w:tc>
                <w:tcPr>
                  <w:tcW w:w="866" w:type="pct"/>
                  <w:vAlign w:val="center"/>
                </w:tcPr>
                <w:p>
                  <w:pPr>
                    <w:adjustRightInd w:val="0"/>
                    <w:snapToGrid w:val="0"/>
                    <w:jc w:val="center"/>
                    <w:rPr>
                      <w:rFonts w:ascii="Times New Roman" w:hAnsi="Times New Roman" w:eastAsia="宋体"/>
                      <w:bCs/>
                      <w:color w:val="auto"/>
                      <w:szCs w:val="18"/>
                    </w:rPr>
                  </w:pPr>
                  <w:r>
                    <w:rPr>
                      <w:rFonts w:ascii="Times New Roman" w:hAnsi="Times New Roman" w:eastAsia="宋体"/>
                      <w:bCs/>
                      <w:color w:val="auto"/>
                      <w:szCs w:val="18"/>
                    </w:rPr>
                    <w:t>评价因子</w:t>
                  </w:r>
                </w:p>
              </w:tc>
              <w:tc>
                <w:tcPr>
                  <w:tcW w:w="739" w:type="pct"/>
                  <w:vAlign w:val="center"/>
                </w:tcPr>
                <w:p>
                  <w:pPr>
                    <w:jc w:val="center"/>
                    <w:rPr>
                      <w:rFonts w:ascii="Times New Roman" w:hAnsi="Times New Roman" w:eastAsia="宋体"/>
                      <w:color w:val="auto"/>
                      <w:szCs w:val="21"/>
                    </w:rPr>
                  </w:pPr>
                  <w:r>
                    <w:rPr>
                      <w:rFonts w:ascii="Times New Roman" w:hAnsi="Times New Roman" w:eastAsia="宋体"/>
                      <w:color w:val="auto"/>
                      <w:szCs w:val="21"/>
                    </w:rPr>
                    <w:t>评价标准(μg/m</w:t>
                  </w:r>
                  <w:r>
                    <w:rPr>
                      <w:rFonts w:ascii="Times New Roman" w:hAnsi="Times New Roman" w:eastAsia="宋体"/>
                      <w:color w:val="auto"/>
                      <w:szCs w:val="21"/>
                      <w:vertAlign w:val="superscript"/>
                    </w:rPr>
                    <w:t>3</w:t>
                  </w:r>
                  <w:r>
                    <w:rPr>
                      <w:rFonts w:ascii="Times New Roman" w:hAnsi="Times New Roman" w:eastAsia="宋体"/>
                      <w:color w:val="auto"/>
                      <w:szCs w:val="21"/>
                    </w:rPr>
                    <w:t>)</w:t>
                  </w:r>
                </w:p>
              </w:tc>
              <w:tc>
                <w:tcPr>
                  <w:tcW w:w="739" w:type="pct"/>
                  <w:vAlign w:val="center"/>
                </w:tcPr>
                <w:p>
                  <w:pPr>
                    <w:adjustRightInd w:val="0"/>
                    <w:snapToGrid w:val="0"/>
                    <w:jc w:val="center"/>
                    <w:rPr>
                      <w:rFonts w:ascii="Times New Roman" w:hAnsi="Times New Roman" w:eastAsia="宋体"/>
                      <w:bCs/>
                      <w:color w:val="auto"/>
                      <w:szCs w:val="18"/>
                    </w:rPr>
                  </w:pPr>
                  <w:r>
                    <w:rPr>
                      <w:rFonts w:ascii="Times New Roman" w:hAnsi="Times New Roman" w:eastAsia="宋体"/>
                      <w:bCs/>
                      <w:color w:val="auto"/>
                      <w:szCs w:val="18"/>
                    </w:rPr>
                    <w:t>Cmax</w:t>
                  </w:r>
                </w:p>
                <w:p>
                  <w:pPr>
                    <w:adjustRightInd w:val="0"/>
                    <w:snapToGrid w:val="0"/>
                    <w:jc w:val="center"/>
                    <w:rPr>
                      <w:rFonts w:ascii="Times New Roman" w:hAnsi="Times New Roman" w:eastAsia="宋体"/>
                      <w:bCs/>
                      <w:color w:val="auto"/>
                      <w:szCs w:val="18"/>
                    </w:rPr>
                  </w:pPr>
                  <w:r>
                    <w:rPr>
                      <w:rFonts w:ascii="Times New Roman" w:hAnsi="Times New Roman" w:eastAsia="宋体"/>
                      <w:bCs/>
                      <w:color w:val="auto"/>
                      <w:szCs w:val="18"/>
                    </w:rPr>
                    <w:t>(μg/m</w:t>
                  </w:r>
                  <w:r>
                    <w:rPr>
                      <w:rFonts w:ascii="Times New Roman" w:hAnsi="Times New Roman" w:eastAsia="宋体"/>
                      <w:bCs/>
                      <w:color w:val="auto"/>
                      <w:szCs w:val="18"/>
                      <w:vertAlign w:val="superscript"/>
                    </w:rPr>
                    <w:t>3</w:t>
                  </w:r>
                  <w:r>
                    <w:rPr>
                      <w:rFonts w:ascii="Times New Roman" w:hAnsi="Times New Roman" w:eastAsia="宋体"/>
                      <w:bCs/>
                      <w:color w:val="auto"/>
                      <w:szCs w:val="18"/>
                    </w:rPr>
                    <w:t>)</w:t>
                  </w:r>
                </w:p>
              </w:tc>
              <w:tc>
                <w:tcPr>
                  <w:tcW w:w="741" w:type="pct"/>
                  <w:vAlign w:val="center"/>
                </w:tcPr>
                <w:p>
                  <w:pPr>
                    <w:adjustRightInd w:val="0"/>
                    <w:snapToGrid w:val="0"/>
                    <w:jc w:val="center"/>
                    <w:rPr>
                      <w:rFonts w:ascii="Times New Roman" w:hAnsi="Times New Roman" w:eastAsia="宋体"/>
                      <w:bCs/>
                      <w:color w:val="auto"/>
                      <w:szCs w:val="18"/>
                    </w:rPr>
                  </w:pPr>
                  <w:r>
                    <w:rPr>
                      <w:rFonts w:ascii="Times New Roman" w:hAnsi="Times New Roman" w:eastAsia="宋体"/>
                      <w:bCs/>
                      <w:color w:val="auto"/>
                      <w:szCs w:val="18"/>
                    </w:rPr>
                    <w:t>最大浓度落地点（m）</w:t>
                  </w:r>
                </w:p>
              </w:tc>
              <w:tc>
                <w:tcPr>
                  <w:tcW w:w="866" w:type="pct"/>
                  <w:vAlign w:val="center"/>
                </w:tcPr>
                <w:p>
                  <w:pPr>
                    <w:adjustRightInd w:val="0"/>
                    <w:snapToGrid w:val="0"/>
                    <w:jc w:val="center"/>
                    <w:rPr>
                      <w:rFonts w:ascii="Times New Roman" w:hAnsi="Times New Roman" w:eastAsia="宋体"/>
                      <w:bCs/>
                      <w:color w:val="auto"/>
                      <w:szCs w:val="18"/>
                    </w:rPr>
                  </w:pPr>
                  <w:r>
                    <w:rPr>
                      <w:rFonts w:ascii="Times New Roman" w:hAnsi="Times New Roman" w:eastAsia="宋体"/>
                      <w:bCs/>
                      <w:color w:val="auto"/>
                      <w:szCs w:val="18"/>
                    </w:rPr>
                    <w:t>Pmax(%)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046" w:type="pct"/>
                  <w:vMerge w:val="restart"/>
                  <w:vAlign w:val="center"/>
                </w:tcPr>
                <w:p>
                  <w:pPr>
                    <w:tabs>
                      <w:tab w:val="left" w:pos="2418"/>
                      <w:tab w:val="left" w:pos="4203"/>
                      <w:tab w:val="left" w:pos="5708"/>
                      <w:tab w:val="left" w:pos="7213"/>
                      <w:tab w:val="left" w:pos="8718"/>
                    </w:tabs>
                    <w:snapToGrid w:val="0"/>
                    <w:jc w:val="center"/>
                    <w:rPr>
                      <w:rFonts w:hint="eastAsia" w:ascii="Times New Roman" w:hAnsi="Times New Roman" w:eastAsia="宋体"/>
                      <w:bCs/>
                      <w:color w:val="auto"/>
                      <w:szCs w:val="18"/>
                      <w:lang w:eastAsia="zh-CN"/>
                    </w:rPr>
                  </w:pPr>
                  <w:r>
                    <w:rPr>
                      <w:rFonts w:hint="eastAsia" w:ascii="Times New Roman" w:hAnsi="Times New Roman" w:eastAsia="宋体"/>
                      <w:bCs/>
                      <w:color w:val="auto"/>
                      <w:szCs w:val="18"/>
                      <w:lang w:eastAsia="zh-CN"/>
                    </w:rPr>
                    <w:t>污水处理站</w:t>
                  </w:r>
                </w:p>
              </w:tc>
              <w:tc>
                <w:tcPr>
                  <w:tcW w:w="866" w:type="pct"/>
                  <w:vAlign w:val="center"/>
                </w:tcPr>
                <w:p>
                  <w:pPr>
                    <w:adjustRightInd w:val="0"/>
                    <w:snapToGrid w:val="0"/>
                    <w:jc w:val="center"/>
                    <w:rPr>
                      <w:rFonts w:hint="default" w:ascii="Times New Roman" w:hAnsi="Times New Roman" w:eastAsia="宋体"/>
                      <w:color w:val="auto"/>
                      <w:szCs w:val="18"/>
                      <w:lang w:val="en-US" w:eastAsia="zh-CN"/>
                    </w:rPr>
                  </w:pPr>
                  <w:r>
                    <w:rPr>
                      <w:rFonts w:hint="eastAsia" w:ascii="Times New Roman" w:hAnsi="Times New Roman" w:eastAsia="宋体"/>
                      <w:color w:val="auto"/>
                      <w:szCs w:val="18"/>
                      <w:lang w:val="en-US" w:eastAsia="zh-CN"/>
                    </w:rPr>
                    <w:t>NH</w:t>
                  </w:r>
                  <w:r>
                    <w:rPr>
                      <w:rFonts w:hint="eastAsia" w:ascii="Times New Roman" w:hAnsi="Times New Roman" w:eastAsia="宋体"/>
                      <w:color w:val="auto"/>
                      <w:szCs w:val="18"/>
                      <w:vertAlign w:val="subscript"/>
                      <w:lang w:val="en-US" w:eastAsia="zh-CN"/>
                    </w:rPr>
                    <w:t>3</w:t>
                  </w:r>
                </w:p>
              </w:tc>
              <w:tc>
                <w:tcPr>
                  <w:tcW w:w="739" w:type="pct"/>
                  <w:vAlign w:val="center"/>
                </w:tcPr>
                <w:p>
                  <w:pPr>
                    <w:jc w:val="center"/>
                    <w:rPr>
                      <w:rFonts w:ascii="Times New Roman" w:hAnsi="Times New Roman" w:eastAsia="宋体"/>
                      <w:color w:val="auto"/>
                      <w:szCs w:val="21"/>
                    </w:rPr>
                  </w:pPr>
                  <w:r>
                    <w:rPr>
                      <w:rFonts w:ascii="Times New Roman" w:hAnsi="Times New Roman" w:eastAsia="宋体"/>
                      <w:color w:val="auto"/>
                      <w:szCs w:val="21"/>
                    </w:rPr>
                    <w:t>200</w:t>
                  </w:r>
                </w:p>
              </w:tc>
              <w:tc>
                <w:tcPr>
                  <w:tcW w:w="739" w:type="pct"/>
                  <w:vAlign w:val="center"/>
                </w:tcPr>
                <w:p>
                  <w:pPr>
                    <w:adjustRightInd w:val="0"/>
                    <w:snapToGrid w:val="0"/>
                    <w:jc w:val="center"/>
                    <w:rPr>
                      <w:rFonts w:hint="default" w:ascii="Times New Roman" w:hAnsi="Times New Roman" w:eastAsia="宋体"/>
                      <w:color w:val="auto"/>
                      <w:szCs w:val="18"/>
                      <w:lang w:val="en-US" w:eastAsia="zh-CN"/>
                    </w:rPr>
                  </w:pPr>
                  <w:r>
                    <w:rPr>
                      <w:rFonts w:hint="eastAsia" w:ascii="Times New Roman" w:hAnsi="Times New Roman" w:eastAsia="宋体"/>
                      <w:color w:val="auto"/>
                      <w:szCs w:val="18"/>
                      <w:lang w:val="en-US" w:eastAsia="zh-CN"/>
                    </w:rPr>
                    <w:t>0.46752</w:t>
                  </w:r>
                </w:p>
              </w:tc>
              <w:tc>
                <w:tcPr>
                  <w:tcW w:w="741" w:type="pct"/>
                  <w:vAlign w:val="center"/>
                </w:tcPr>
                <w:p>
                  <w:pPr>
                    <w:adjustRightInd w:val="0"/>
                    <w:snapToGrid w:val="0"/>
                    <w:jc w:val="center"/>
                    <w:rPr>
                      <w:rFonts w:hint="default" w:ascii="Times New Roman" w:hAnsi="Times New Roman" w:eastAsia="宋体"/>
                      <w:color w:val="auto"/>
                      <w:szCs w:val="18"/>
                      <w:lang w:val="en-US" w:eastAsia="zh-CN"/>
                    </w:rPr>
                  </w:pPr>
                  <w:r>
                    <w:rPr>
                      <w:rFonts w:hint="eastAsia"/>
                      <w:color w:val="auto"/>
                      <w:szCs w:val="18"/>
                      <w:lang w:val="en-US" w:eastAsia="zh-CN"/>
                    </w:rPr>
                    <w:t>10</w:t>
                  </w:r>
                </w:p>
              </w:tc>
              <w:tc>
                <w:tcPr>
                  <w:tcW w:w="866" w:type="pct"/>
                  <w:vAlign w:val="center"/>
                </w:tcPr>
                <w:p>
                  <w:pPr>
                    <w:adjustRightInd w:val="0"/>
                    <w:snapToGrid w:val="0"/>
                    <w:jc w:val="center"/>
                    <w:rPr>
                      <w:rFonts w:hint="default" w:ascii="Times New Roman" w:hAnsi="Times New Roman" w:eastAsia="宋体"/>
                      <w:color w:val="auto"/>
                      <w:szCs w:val="18"/>
                      <w:lang w:val="en-US" w:eastAsia="zh-CN"/>
                    </w:rPr>
                  </w:pPr>
                  <w:r>
                    <w:rPr>
                      <w:rFonts w:hint="eastAsia" w:ascii="Times New Roman" w:hAnsi="Times New Roman" w:eastAsia="宋体"/>
                      <w:color w:val="auto"/>
                      <w:szCs w:val="18"/>
                      <w:lang w:val="en-US" w:eastAsia="zh-CN"/>
                    </w:rPr>
                    <w:t>0.</w:t>
                  </w:r>
                  <w:r>
                    <w:rPr>
                      <w:rFonts w:hint="eastAsia"/>
                      <w:color w:val="auto"/>
                      <w:szCs w:val="18"/>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046" w:type="pct"/>
                  <w:vMerge w:val="continue"/>
                  <w:vAlign w:val="center"/>
                </w:tcPr>
                <w:p>
                  <w:pPr>
                    <w:tabs>
                      <w:tab w:val="left" w:pos="2418"/>
                      <w:tab w:val="left" w:pos="4203"/>
                      <w:tab w:val="left" w:pos="5708"/>
                      <w:tab w:val="left" w:pos="7213"/>
                      <w:tab w:val="left" w:pos="8718"/>
                    </w:tabs>
                    <w:snapToGrid w:val="0"/>
                    <w:jc w:val="center"/>
                    <w:rPr>
                      <w:rFonts w:ascii="Times New Roman" w:hAnsi="Times New Roman" w:eastAsia="宋体"/>
                      <w:bCs/>
                      <w:color w:val="auto"/>
                      <w:szCs w:val="18"/>
                    </w:rPr>
                  </w:pPr>
                </w:p>
              </w:tc>
              <w:tc>
                <w:tcPr>
                  <w:tcW w:w="866" w:type="pct"/>
                  <w:vAlign w:val="center"/>
                </w:tcPr>
                <w:p>
                  <w:pPr>
                    <w:adjustRightInd w:val="0"/>
                    <w:snapToGrid w:val="0"/>
                    <w:jc w:val="center"/>
                    <w:rPr>
                      <w:rFonts w:hint="default" w:ascii="Times New Roman" w:hAnsi="Times New Roman" w:eastAsia="宋体"/>
                      <w:color w:val="auto"/>
                      <w:szCs w:val="18"/>
                      <w:lang w:val="en-US" w:eastAsia="zh-CN"/>
                    </w:rPr>
                  </w:pPr>
                  <w:r>
                    <w:rPr>
                      <w:rFonts w:hint="eastAsia" w:ascii="Times New Roman" w:hAnsi="Times New Roman" w:eastAsia="宋体"/>
                      <w:color w:val="auto"/>
                      <w:szCs w:val="18"/>
                      <w:lang w:val="en-US" w:eastAsia="zh-CN"/>
                    </w:rPr>
                    <w:t>H</w:t>
                  </w:r>
                  <w:r>
                    <w:rPr>
                      <w:rFonts w:hint="eastAsia" w:ascii="Times New Roman" w:hAnsi="Times New Roman" w:eastAsia="宋体"/>
                      <w:color w:val="auto"/>
                      <w:szCs w:val="18"/>
                      <w:vertAlign w:val="subscript"/>
                      <w:lang w:val="en-US" w:eastAsia="zh-CN"/>
                    </w:rPr>
                    <w:t>2</w:t>
                  </w:r>
                  <w:r>
                    <w:rPr>
                      <w:rFonts w:hint="eastAsia" w:ascii="Times New Roman" w:hAnsi="Times New Roman" w:eastAsia="宋体"/>
                      <w:color w:val="auto"/>
                      <w:szCs w:val="18"/>
                      <w:lang w:val="en-US" w:eastAsia="zh-CN"/>
                    </w:rPr>
                    <w:t>S</w:t>
                  </w:r>
                </w:p>
              </w:tc>
              <w:tc>
                <w:tcPr>
                  <w:tcW w:w="739" w:type="pct"/>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10</w:t>
                  </w:r>
                </w:p>
              </w:tc>
              <w:tc>
                <w:tcPr>
                  <w:tcW w:w="739" w:type="pct"/>
                  <w:vAlign w:val="center"/>
                </w:tcPr>
                <w:p>
                  <w:pPr>
                    <w:adjustRightInd w:val="0"/>
                    <w:snapToGrid w:val="0"/>
                    <w:jc w:val="center"/>
                    <w:rPr>
                      <w:rFonts w:hint="default" w:ascii="Times New Roman" w:hAnsi="Times New Roman" w:eastAsia="宋体"/>
                      <w:color w:val="auto"/>
                      <w:szCs w:val="18"/>
                      <w:lang w:val="en-US" w:eastAsia="zh-CN"/>
                    </w:rPr>
                  </w:pPr>
                  <w:r>
                    <w:rPr>
                      <w:rFonts w:hint="eastAsia" w:ascii="Times New Roman" w:hAnsi="Times New Roman" w:eastAsia="宋体"/>
                      <w:color w:val="auto"/>
                      <w:szCs w:val="18"/>
                      <w:lang w:val="en-US" w:eastAsia="zh-CN"/>
                    </w:rPr>
                    <w:t>0.0218176</w:t>
                  </w:r>
                </w:p>
              </w:tc>
              <w:tc>
                <w:tcPr>
                  <w:tcW w:w="741" w:type="pct"/>
                  <w:vAlign w:val="center"/>
                </w:tcPr>
                <w:p>
                  <w:pPr>
                    <w:adjustRightInd w:val="0"/>
                    <w:snapToGrid w:val="0"/>
                    <w:jc w:val="center"/>
                    <w:rPr>
                      <w:rFonts w:hint="default" w:ascii="Times New Roman" w:hAnsi="Times New Roman" w:eastAsia="宋体"/>
                      <w:color w:val="auto"/>
                      <w:szCs w:val="18"/>
                      <w:lang w:val="en-US" w:eastAsia="zh-CN"/>
                    </w:rPr>
                  </w:pPr>
                  <w:r>
                    <w:rPr>
                      <w:rFonts w:hint="eastAsia"/>
                      <w:color w:val="auto"/>
                      <w:szCs w:val="18"/>
                      <w:lang w:val="en-US" w:eastAsia="zh-CN"/>
                    </w:rPr>
                    <w:t>10</w:t>
                  </w:r>
                </w:p>
              </w:tc>
              <w:tc>
                <w:tcPr>
                  <w:tcW w:w="866" w:type="pct"/>
                  <w:vAlign w:val="center"/>
                </w:tcPr>
                <w:p>
                  <w:pPr>
                    <w:adjustRightInd w:val="0"/>
                    <w:snapToGrid w:val="0"/>
                    <w:jc w:val="center"/>
                    <w:rPr>
                      <w:rFonts w:hint="default" w:ascii="Times New Roman" w:hAnsi="Times New Roman" w:eastAsia="宋体"/>
                      <w:color w:val="auto"/>
                      <w:szCs w:val="18"/>
                      <w:lang w:val="en-US" w:eastAsia="zh-CN"/>
                    </w:rPr>
                  </w:pPr>
                  <w:r>
                    <w:rPr>
                      <w:rFonts w:ascii="Times New Roman" w:hAnsi="Times New Roman" w:eastAsia="宋体"/>
                      <w:color w:val="auto"/>
                      <w:szCs w:val="18"/>
                    </w:rPr>
                    <w:t>0.</w:t>
                  </w:r>
                  <w:r>
                    <w:rPr>
                      <w:rFonts w:hint="eastAsia"/>
                      <w:color w:val="auto"/>
                      <w:szCs w:val="18"/>
                      <w:lang w:val="en-US" w:eastAsia="zh-CN"/>
                    </w:rPr>
                    <w:t>70</w:t>
                  </w:r>
                </w:p>
              </w:tc>
            </w:tr>
          </w:tbl>
          <w:p>
            <w:pPr>
              <w:spacing w:before="120" w:beforeLines="50" w:line="360" w:lineRule="auto"/>
              <w:ind w:firstLine="480" w:firstLineChars="200"/>
              <w:rPr>
                <w:rFonts w:hint="default" w:ascii="Times New Roman" w:hAnsi="Times New Roman" w:cs="Times New Roman"/>
                <w:color w:val="auto"/>
                <w:sz w:val="24"/>
                <w:highlight w:val="none"/>
              </w:rPr>
            </w:pPr>
            <w:r>
              <w:rPr>
                <w:rFonts w:ascii="Times New Roman" w:hAnsi="Times New Roman" w:eastAsia="宋体"/>
                <w:color w:val="auto"/>
                <w:sz w:val="24"/>
                <w:szCs w:val="32"/>
              </w:rPr>
              <w:t>根据估算结果，</w:t>
            </w:r>
            <w:r>
              <w:rPr>
                <w:rFonts w:hint="eastAsia" w:ascii="Times New Roman" w:hAnsi="Times New Roman" w:eastAsia="宋体"/>
                <w:color w:val="auto"/>
                <w:sz w:val="24"/>
                <w:szCs w:val="32"/>
                <w:lang w:eastAsia="zh-CN"/>
              </w:rPr>
              <w:t>污水处理站</w:t>
            </w:r>
            <w:r>
              <w:rPr>
                <w:rFonts w:ascii="Times New Roman" w:hAnsi="Times New Roman" w:eastAsia="宋体"/>
                <w:color w:val="auto"/>
                <w:sz w:val="24"/>
              </w:rPr>
              <w:t>无组织</w:t>
            </w:r>
            <w:r>
              <w:rPr>
                <w:rFonts w:hint="eastAsia" w:ascii="Times New Roman" w:hAnsi="Times New Roman" w:eastAsia="宋体"/>
                <w:color w:val="auto"/>
                <w:sz w:val="24"/>
                <w:lang w:eastAsia="zh-CN"/>
              </w:rPr>
              <w:t>氨气</w:t>
            </w:r>
            <w:r>
              <w:rPr>
                <w:rFonts w:ascii="Times New Roman" w:hAnsi="Times New Roman" w:eastAsia="宋体"/>
                <w:color w:val="auto"/>
                <w:sz w:val="24"/>
              </w:rPr>
              <w:t>最</w:t>
            </w:r>
            <w:r>
              <w:rPr>
                <w:rFonts w:ascii="Times New Roman" w:hAnsi="Times New Roman" w:eastAsia="宋体"/>
                <w:color w:val="auto"/>
                <w:sz w:val="24"/>
                <w:szCs w:val="24"/>
              </w:rPr>
              <w:t>大落地浓度为</w:t>
            </w:r>
            <w:r>
              <w:rPr>
                <w:rFonts w:hint="eastAsia"/>
                <w:color w:val="auto"/>
                <w:sz w:val="24"/>
                <w:szCs w:val="24"/>
                <w:lang w:val="en-US" w:eastAsia="zh-CN"/>
              </w:rPr>
              <w:t>0.46752</w:t>
            </w:r>
            <w:r>
              <w:rPr>
                <w:rFonts w:ascii="Times New Roman" w:hAnsi="Times New Roman" w:eastAsia="宋体"/>
                <w:color w:val="auto"/>
                <w:sz w:val="24"/>
                <w:szCs w:val="24"/>
              </w:rPr>
              <w:t>μg/m</w:t>
            </w:r>
            <w:r>
              <w:rPr>
                <w:rFonts w:ascii="Times New Roman" w:hAnsi="Times New Roman" w:eastAsia="宋体"/>
                <w:color w:val="auto"/>
                <w:sz w:val="24"/>
                <w:szCs w:val="24"/>
                <w:vertAlign w:val="superscript"/>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eastAsia="zh-CN"/>
              </w:rPr>
              <w:t>硫化氢</w:t>
            </w:r>
            <w:r>
              <w:rPr>
                <w:rFonts w:ascii="Times New Roman" w:hAnsi="Times New Roman" w:eastAsia="宋体"/>
                <w:color w:val="auto"/>
                <w:sz w:val="24"/>
                <w:szCs w:val="24"/>
              </w:rPr>
              <w:t>最大落地浓度为</w:t>
            </w:r>
            <w:r>
              <w:rPr>
                <w:rFonts w:hint="eastAsia" w:ascii="Times New Roman" w:hAnsi="Times New Roman" w:eastAsia="宋体"/>
                <w:color w:val="auto"/>
                <w:sz w:val="24"/>
                <w:szCs w:val="24"/>
                <w:lang w:val="en-US" w:eastAsia="zh-CN"/>
              </w:rPr>
              <w:t>0.0218176</w:t>
            </w:r>
            <w:r>
              <w:rPr>
                <w:rFonts w:ascii="Times New Roman" w:hAnsi="Times New Roman" w:eastAsia="宋体"/>
                <w:color w:val="auto"/>
                <w:sz w:val="24"/>
                <w:szCs w:val="24"/>
              </w:rPr>
              <w:t>μg/m</w:t>
            </w:r>
            <w:r>
              <w:rPr>
                <w:rFonts w:ascii="Times New Roman" w:hAnsi="Times New Roman" w:eastAsia="宋体"/>
                <w:color w:val="auto"/>
                <w:sz w:val="24"/>
                <w:szCs w:val="24"/>
                <w:vertAlign w:val="superscript"/>
              </w:rPr>
              <w:t>3</w:t>
            </w:r>
            <w:r>
              <w:rPr>
                <w:rFonts w:ascii="Times New Roman" w:hAnsi="Times New Roman" w:eastAsia="宋体"/>
                <w:color w:val="auto"/>
                <w:sz w:val="24"/>
                <w:szCs w:val="24"/>
              </w:rPr>
              <w:t>，</w:t>
            </w:r>
            <w:r>
              <w:rPr>
                <w:rFonts w:ascii="Times New Roman" w:hAnsi="Times New Roman" w:eastAsia="宋体"/>
                <w:color w:val="auto"/>
                <w:sz w:val="24"/>
              </w:rPr>
              <w:t>能够</w:t>
            </w:r>
            <w:r>
              <w:rPr>
                <w:rFonts w:hint="default" w:ascii="Times New Roman" w:hAnsi="Times New Roman" w:cs="Times New Roman"/>
                <w:bCs/>
                <w:color w:val="auto"/>
                <w:sz w:val="24"/>
                <w:highlight w:val="none"/>
              </w:rPr>
              <w:t>满足</w:t>
            </w:r>
            <w:r>
              <w:rPr>
                <w:bCs/>
                <w:iCs/>
                <w:color w:val="auto"/>
                <w:sz w:val="24"/>
                <w:szCs w:val="24"/>
              </w:rPr>
              <w:t>《医疗机构水污染物排放标准》（GB18466-2005）中表3标准</w:t>
            </w:r>
            <w:r>
              <w:rPr>
                <w:rFonts w:hint="eastAsia"/>
                <w:bCs/>
                <w:iCs/>
                <w:color w:val="auto"/>
                <w:sz w:val="24"/>
                <w:szCs w:val="24"/>
                <w:lang w:eastAsia="zh-CN"/>
              </w:rPr>
              <w:t>（</w:t>
            </w:r>
            <w:r>
              <w:rPr>
                <w:rFonts w:hint="default" w:ascii="Times New Roman" w:hAnsi="Times New Roman" w:eastAsia="宋体" w:cs="Times New Roman"/>
                <w:b w:val="0"/>
                <w:bCs w:val="0"/>
                <w:color w:val="auto"/>
                <w:sz w:val="24"/>
                <w:szCs w:val="24"/>
                <w:highlight w:val="none"/>
                <w:lang w:val="en-US" w:eastAsia="zh-CN"/>
              </w:rPr>
              <w:t>H</w:t>
            </w:r>
            <w:r>
              <w:rPr>
                <w:rFonts w:hint="default" w:ascii="Times New Roman" w:hAnsi="Times New Roman" w:eastAsia="宋体" w:cs="Times New Roman"/>
                <w:b w:val="0"/>
                <w:bCs w:val="0"/>
                <w:color w:val="auto"/>
                <w:sz w:val="24"/>
                <w:szCs w:val="24"/>
                <w:highlight w:val="none"/>
                <w:vertAlign w:val="subscript"/>
                <w:lang w:val="en-US" w:eastAsia="zh-CN"/>
              </w:rPr>
              <w:t>2</w:t>
            </w:r>
            <w:r>
              <w:rPr>
                <w:rFonts w:hint="default" w:ascii="Times New Roman" w:hAnsi="Times New Roman" w:eastAsia="宋体" w:cs="Times New Roman"/>
                <w:b w:val="0"/>
                <w:bCs w:val="0"/>
                <w:color w:val="auto"/>
                <w:sz w:val="24"/>
                <w:szCs w:val="24"/>
                <w:highlight w:val="none"/>
                <w:lang w:val="en-US" w:eastAsia="zh-CN"/>
              </w:rPr>
              <w:t xml:space="preserve">S </w:t>
            </w:r>
            <w:r>
              <w:rPr>
                <w:rFonts w:hint="eastAsia" w:cs="Times New Roman"/>
                <w:i w:val="0"/>
                <w:iCs w:val="0"/>
                <w:color w:val="auto"/>
                <w:kern w:val="0"/>
                <w:sz w:val="24"/>
                <w:szCs w:val="24"/>
                <w:u w:val="none"/>
                <w:lang w:val="en-US" w:eastAsia="zh-CN" w:bidi="ar"/>
              </w:rPr>
              <w:t>0.03m</w:t>
            </w:r>
            <w:r>
              <w:rPr>
                <w:rFonts w:hint="default" w:ascii="Times New Roman" w:hAnsi="Times New Roman" w:cs="Times New Roman"/>
                <w:b w:val="0"/>
                <w:bCs w:val="0"/>
                <w:color w:val="auto"/>
                <w:sz w:val="24"/>
                <w:szCs w:val="24"/>
                <w:highlight w:val="none"/>
              </w:rPr>
              <w:t>g/m</w:t>
            </w:r>
            <w:r>
              <w:rPr>
                <w:rFonts w:hint="default" w:ascii="Times New Roman" w:hAnsi="Times New Roman" w:cs="Times New Roman"/>
                <w:b w:val="0"/>
                <w:bCs w:val="0"/>
                <w:color w:val="auto"/>
                <w:sz w:val="24"/>
                <w:szCs w:val="24"/>
                <w:highlight w:val="none"/>
                <w:vertAlign w:val="superscript"/>
              </w:rPr>
              <w:t>3</w:t>
            </w:r>
            <w:r>
              <w:rPr>
                <w:rFonts w:hint="default" w:ascii="Times New Roman" w:hAnsi="Times New Roman" w:cs="Times New Roman"/>
                <w:b w:val="0"/>
                <w:bCs w:val="0"/>
                <w:color w:val="auto"/>
                <w:sz w:val="24"/>
                <w:szCs w:val="24"/>
                <w:highlight w:val="none"/>
                <w:vertAlign w:val="baseline"/>
                <w:lang w:eastAsia="zh-CN"/>
              </w:rPr>
              <w:t>、</w:t>
            </w:r>
            <w:r>
              <w:rPr>
                <w:rFonts w:hint="default" w:ascii="Times New Roman" w:hAnsi="Times New Roman" w:cs="Times New Roman"/>
                <w:b w:val="0"/>
                <w:bCs w:val="0"/>
                <w:color w:val="auto"/>
                <w:sz w:val="24"/>
                <w:szCs w:val="24"/>
                <w:highlight w:val="none"/>
              </w:rPr>
              <w:t>NH</w:t>
            </w:r>
            <w:r>
              <w:rPr>
                <w:rFonts w:hint="default" w:ascii="Times New Roman" w:hAnsi="Times New Roman" w:cs="Times New Roman"/>
                <w:b w:val="0"/>
                <w:bCs w:val="0"/>
                <w:color w:val="auto"/>
                <w:sz w:val="24"/>
                <w:szCs w:val="24"/>
                <w:highlight w:val="none"/>
                <w:vertAlign w:val="subscript"/>
              </w:rPr>
              <w:t>3</w:t>
            </w:r>
            <w:r>
              <w:rPr>
                <w:rFonts w:hint="default" w:ascii="Times New Roman" w:hAnsi="Times New Roman" w:cs="Times New Roman"/>
                <w:b w:val="0"/>
                <w:bCs w:val="0"/>
                <w:color w:val="auto"/>
                <w:sz w:val="24"/>
                <w:szCs w:val="24"/>
                <w:highlight w:val="none"/>
                <w:vertAlign w:val="subscript"/>
                <w:lang w:val="en-US" w:eastAsia="zh-CN"/>
              </w:rPr>
              <w:t xml:space="preserve"> </w:t>
            </w:r>
            <w:r>
              <w:rPr>
                <w:rFonts w:hint="eastAsia" w:cs="Times New Roman"/>
                <w:i w:val="0"/>
                <w:iCs w:val="0"/>
                <w:color w:val="auto"/>
                <w:kern w:val="0"/>
                <w:sz w:val="24"/>
                <w:szCs w:val="24"/>
                <w:u w:val="none"/>
                <w:lang w:val="en-US" w:eastAsia="zh-CN" w:bidi="ar"/>
              </w:rPr>
              <w:t>1.0m</w:t>
            </w:r>
            <w:r>
              <w:rPr>
                <w:rFonts w:hint="default" w:ascii="Times New Roman" w:hAnsi="Times New Roman" w:cs="Times New Roman"/>
                <w:b w:val="0"/>
                <w:bCs w:val="0"/>
                <w:color w:val="auto"/>
                <w:sz w:val="24"/>
                <w:szCs w:val="24"/>
                <w:highlight w:val="none"/>
              </w:rPr>
              <w:t>g/m</w:t>
            </w:r>
            <w:r>
              <w:rPr>
                <w:rFonts w:hint="default" w:ascii="Times New Roman" w:hAnsi="Times New Roman" w:cs="Times New Roman"/>
                <w:b w:val="0"/>
                <w:bCs w:val="0"/>
                <w:color w:val="auto"/>
                <w:sz w:val="24"/>
                <w:szCs w:val="24"/>
                <w:highlight w:val="none"/>
                <w:vertAlign w:val="superscript"/>
              </w:rPr>
              <w:t>3</w:t>
            </w:r>
            <w:r>
              <w:rPr>
                <w:rFonts w:hint="eastAsia"/>
                <w:bCs/>
                <w:iCs/>
                <w:color w:val="auto"/>
                <w:sz w:val="24"/>
                <w:szCs w:val="24"/>
                <w:lang w:eastAsia="zh-CN"/>
              </w:rPr>
              <w:t>）要求</w:t>
            </w:r>
            <w:r>
              <w:rPr>
                <w:rFonts w:hint="default" w:ascii="Times New Roman" w:hAnsi="Times New Roman" w:cs="Times New Roman"/>
                <w:color w:val="auto"/>
                <w:sz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auto"/>
                <w:sz w:val="24"/>
                <w:szCs w:val="24"/>
                <w:highlight w:val="yellow"/>
                <w:vertAlign w:val="baseline"/>
                <w:lang w:val="en-US" w:eastAsia="zh-CN"/>
              </w:rPr>
            </w:pPr>
            <w:r>
              <w:rPr>
                <w:rFonts w:hint="default" w:ascii="Times New Roman" w:hAnsi="Times New Roman" w:cs="Times New Roman"/>
                <w:color w:val="auto"/>
                <w:sz w:val="24"/>
                <w:highlight w:val="none"/>
              </w:rPr>
              <w:t>因此，</w:t>
            </w:r>
            <w:r>
              <w:rPr>
                <w:rFonts w:hint="default" w:ascii="Times New Roman" w:hAnsi="Times New Roman" w:cs="Times New Roman"/>
                <w:color w:val="auto"/>
                <w:kern w:val="0"/>
                <w:sz w:val="24"/>
                <w:highlight w:val="none"/>
                <w:lang w:eastAsia="zh-CN"/>
              </w:rPr>
              <w:t>污水处理</w:t>
            </w:r>
            <w:r>
              <w:rPr>
                <w:rFonts w:hint="eastAsia" w:cs="Times New Roman"/>
                <w:color w:val="auto"/>
                <w:kern w:val="0"/>
                <w:sz w:val="24"/>
                <w:highlight w:val="none"/>
                <w:lang w:eastAsia="zh-CN"/>
              </w:rPr>
              <w:t>站</w:t>
            </w:r>
            <w:r>
              <w:rPr>
                <w:rFonts w:hint="default" w:ascii="Times New Roman" w:hAnsi="Times New Roman" w:cs="Times New Roman"/>
                <w:color w:val="auto"/>
                <w:kern w:val="0"/>
                <w:sz w:val="24"/>
                <w:highlight w:val="none"/>
                <w:lang w:eastAsia="zh-CN"/>
              </w:rPr>
              <w:t>运行时</w:t>
            </w:r>
            <w:r>
              <w:rPr>
                <w:rFonts w:hint="default" w:ascii="Times New Roman" w:hAnsi="Times New Roman" w:cs="Times New Roman"/>
                <w:color w:val="auto"/>
                <w:kern w:val="0"/>
                <w:sz w:val="24"/>
                <w:highlight w:val="none"/>
              </w:rPr>
              <w:t>产生的</w:t>
            </w:r>
            <w:r>
              <w:rPr>
                <w:rFonts w:hint="default" w:ascii="Times New Roman" w:hAnsi="Times New Roman" w:cs="Times New Roman"/>
                <w:color w:val="auto"/>
                <w:kern w:val="0"/>
                <w:sz w:val="24"/>
                <w:highlight w:val="none"/>
                <w:lang w:eastAsia="zh-CN"/>
              </w:rPr>
              <w:t>无组织恶臭气体</w:t>
            </w:r>
            <w:r>
              <w:rPr>
                <w:rFonts w:hint="default" w:ascii="Times New Roman" w:hAnsi="Times New Roman" w:cs="Times New Roman"/>
                <w:color w:val="auto"/>
                <w:kern w:val="0"/>
                <w:sz w:val="24"/>
                <w:highlight w:val="none"/>
              </w:rPr>
              <w:t>可达标排放。</w:t>
            </w:r>
          </w:p>
          <w:p>
            <w:pPr>
              <w:pStyle w:val="10"/>
              <w:numPr>
                <w:ilvl w:val="0"/>
                <w:numId w:val="5"/>
              </w:numPr>
              <w:ind w:left="0" w:leftChars="0" w:firstLine="480" w:firstLineChars="200"/>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lang w:eastAsia="zh-CN"/>
              </w:rPr>
              <w:t>措施可行性分析</w:t>
            </w:r>
          </w:p>
          <w:p>
            <w:pPr>
              <w:pStyle w:val="1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lang w:val="en-US" w:eastAsia="zh-CN"/>
              </w:rPr>
              <w:t>本项目对预处理单元及生化处理单元均采用加盖</w:t>
            </w:r>
            <w:r>
              <w:rPr>
                <w:rFonts w:hint="eastAsia" w:ascii="Times New Roman" w:cs="Times New Roman"/>
                <w:b w:val="0"/>
                <w:bCs w:val="0"/>
                <w:color w:val="auto"/>
                <w:sz w:val="24"/>
                <w:lang w:val="en-US" w:eastAsia="zh-CN"/>
              </w:rPr>
              <w:t>并投加除臭剂</w:t>
            </w:r>
            <w:r>
              <w:rPr>
                <w:rFonts w:hint="default" w:ascii="Times New Roman" w:hAnsi="Times New Roman" w:cs="Times New Roman"/>
                <w:b w:val="0"/>
                <w:bCs w:val="0"/>
                <w:color w:val="auto"/>
                <w:sz w:val="24"/>
                <w:lang w:val="en-US" w:eastAsia="zh-CN"/>
              </w:rPr>
              <w:t>阻隔恶臭，</w:t>
            </w:r>
            <w:r>
              <w:rPr>
                <w:rFonts w:hint="eastAsia" w:ascii="Times New Roman" w:cs="Times New Roman"/>
                <w:b w:val="0"/>
                <w:bCs w:val="0"/>
                <w:color w:val="auto"/>
                <w:sz w:val="24"/>
                <w:lang w:val="en-US" w:eastAsia="zh-CN"/>
              </w:rPr>
              <w:t>符合《排污许可证申请与核发技术规范  医疗机构》（HJ1105-2020）中可行技术要求；</w:t>
            </w:r>
            <w:r>
              <w:rPr>
                <w:rFonts w:hint="default" w:ascii="Times New Roman" w:hAnsi="Times New Roman" w:cs="Times New Roman"/>
                <w:b w:val="0"/>
                <w:bCs w:val="0"/>
                <w:color w:val="auto"/>
                <w:sz w:val="24"/>
                <w:lang w:val="en-US" w:eastAsia="zh-CN"/>
              </w:rPr>
              <w:t>根据估算结果，无组织排放厂界外</w:t>
            </w:r>
            <w:r>
              <w:rPr>
                <w:rFonts w:hint="default" w:ascii="Times New Roman" w:hAnsi="Times New Roman" w:eastAsia="宋体" w:cs="Times New Roman"/>
                <w:b w:val="0"/>
                <w:bCs w:val="0"/>
                <w:color w:val="auto"/>
                <w:sz w:val="24"/>
                <w:highlight w:val="none"/>
                <w:lang w:val="en-US" w:eastAsia="zh-CN"/>
              </w:rPr>
              <w:t>最大落地浓度</w:t>
            </w:r>
            <w:r>
              <w:rPr>
                <w:rFonts w:hint="default" w:ascii="Times New Roman" w:hAnsi="Times New Roman" w:cs="Times New Roman"/>
                <w:b w:val="0"/>
                <w:bCs w:val="0"/>
                <w:color w:val="auto"/>
                <w:sz w:val="24"/>
                <w:lang w:val="en-US" w:eastAsia="zh-CN"/>
              </w:rPr>
              <w:t>可满足</w:t>
            </w:r>
            <w:r>
              <w:rPr>
                <w:rFonts w:hint="default" w:ascii="Times New Roman" w:hAnsi="Times New Roman" w:cs="Times New Roman"/>
                <w:b w:val="0"/>
                <w:bCs w:val="0"/>
                <w:iCs/>
                <w:color w:val="auto"/>
                <w:sz w:val="24"/>
                <w:szCs w:val="24"/>
              </w:rPr>
              <w:t>《医疗机构水污染物排放标准》（GB18466-2005）中表3标准</w:t>
            </w:r>
            <w:r>
              <w:rPr>
                <w:rFonts w:hint="default" w:ascii="Times New Roman" w:hAnsi="Times New Roman" w:cs="Times New Roman"/>
                <w:b w:val="0"/>
                <w:bCs w:val="0"/>
                <w:iCs/>
                <w:color w:val="auto"/>
                <w:sz w:val="24"/>
                <w:szCs w:val="24"/>
                <w:lang w:eastAsia="zh-CN"/>
              </w:rPr>
              <w:t>（</w:t>
            </w:r>
            <w:r>
              <w:rPr>
                <w:rFonts w:hint="default" w:ascii="Times New Roman" w:hAnsi="Times New Roman" w:eastAsia="宋体" w:cs="Times New Roman"/>
                <w:b w:val="0"/>
                <w:bCs w:val="0"/>
                <w:color w:val="auto"/>
                <w:sz w:val="24"/>
                <w:szCs w:val="24"/>
                <w:highlight w:val="none"/>
                <w:lang w:val="en-US" w:eastAsia="zh-CN"/>
              </w:rPr>
              <w:t>H</w:t>
            </w:r>
            <w:r>
              <w:rPr>
                <w:rFonts w:hint="default" w:ascii="Times New Roman" w:hAnsi="Times New Roman" w:eastAsia="宋体" w:cs="Times New Roman"/>
                <w:b w:val="0"/>
                <w:bCs w:val="0"/>
                <w:color w:val="auto"/>
                <w:sz w:val="24"/>
                <w:szCs w:val="24"/>
                <w:highlight w:val="none"/>
                <w:vertAlign w:val="subscript"/>
                <w:lang w:val="en-US" w:eastAsia="zh-CN"/>
              </w:rPr>
              <w:t>2</w:t>
            </w:r>
            <w:r>
              <w:rPr>
                <w:rFonts w:hint="default" w:ascii="Times New Roman" w:hAnsi="Times New Roman" w:eastAsia="宋体" w:cs="Times New Roman"/>
                <w:b w:val="0"/>
                <w:bCs w:val="0"/>
                <w:color w:val="auto"/>
                <w:sz w:val="24"/>
                <w:szCs w:val="24"/>
                <w:highlight w:val="none"/>
                <w:lang w:val="en-US" w:eastAsia="zh-CN"/>
              </w:rPr>
              <w:t xml:space="preserve">S </w:t>
            </w:r>
            <w:r>
              <w:rPr>
                <w:rFonts w:hint="default" w:ascii="Times New Roman" w:hAnsi="Times New Roman" w:cs="Times New Roman"/>
                <w:b w:val="0"/>
                <w:bCs w:val="0"/>
                <w:i w:val="0"/>
                <w:iCs w:val="0"/>
                <w:color w:val="auto"/>
                <w:kern w:val="0"/>
                <w:sz w:val="24"/>
                <w:szCs w:val="24"/>
                <w:u w:val="none"/>
                <w:lang w:val="en-US" w:eastAsia="zh-CN" w:bidi="ar"/>
              </w:rPr>
              <w:t>0.03m</w:t>
            </w:r>
            <w:r>
              <w:rPr>
                <w:rFonts w:hint="default" w:ascii="Times New Roman" w:hAnsi="Times New Roman" w:cs="Times New Roman"/>
                <w:b w:val="0"/>
                <w:bCs w:val="0"/>
                <w:color w:val="auto"/>
                <w:sz w:val="24"/>
                <w:szCs w:val="24"/>
                <w:highlight w:val="none"/>
              </w:rPr>
              <w:t>g/m</w:t>
            </w:r>
            <w:r>
              <w:rPr>
                <w:rFonts w:hint="default" w:ascii="Times New Roman" w:hAnsi="Times New Roman" w:cs="Times New Roman"/>
                <w:b w:val="0"/>
                <w:bCs w:val="0"/>
                <w:color w:val="auto"/>
                <w:sz w:val="24"/>
                <w:szCs w:val="24"/>
                <w:highlight w:val="none"/>
                <w:vertAlign w:val="superscript"/>
              </w:rPr>
              <w:t>3</w:t>
            </w:r>
            <w:r>
              <w:rPr>
                <w:rFonts w:hint="default" w:ascii="Times New Roman" w:hAnsi="Times New Roman" w:cs="Times New Roman"/>
                <w:b w:val="0"/>
                <w:bCs w:val="0"/>
                <w:color w:val="auto"/>
                <w:sz w:val="24"/>
                <w:szCs w:val="24"/>
                <w:highlight w:val="none"/>
                <w:vertAlign w:val="baseline"/>
                <w:lang w:eastAsia="zh-CN"/>
              </w:rPr>
              <w:t>、</w:t>
            </w:r>
            <w:r>
              <w:rPr>
                <w:rFonts w:hint="default" w:ascii="Times New Roman" w:hAnsi="Times New Roman" w:cs="Times New Roman"/>
                <w:b w:val="0"/>
                <w:bCs w:val="0"/>
                <w:color w:val="auto"/>
                <w:sz w:val="24"/>
                <w:szCs w:val="24"/>
                <w:highlight w:val="none"/>
              </w:rPr>
              <w:t>NH</w:t>
            </w:r>
            <w:r>
              <w:rPr>
                <w:rFonts w:hint="default" w:ascii="Times New Roman" w:hAnsi="Times New Roman" w:cs="Times New Roman"/>
                <w:b w:val="0"/>
                <w:bCs w:val="0"/>
                <w:color w:val="auto"/>
                <w:sz w:val="24"/>
                <w:szCs w:val="24"/>
                <w:highlight w:val="none"/>
                <w:vertAlign w:val="subscript"/>
              </w:rPr>
              <w:t>3</w:t>
            </w:r>
            <w:r>
              <w:rPr>
                <w:rFonts w:hint="default" w:ascii="Times New Roman" w:hAnsi="Times New Roman" w:cs="Times New Roman"/>
                <w:b w:val="0"/>
                <w:bCs w:val="0"/>
                <w:color w:val="auto"/>
                <w:sz w:val="24"/>
                <w:szCs w:val="24"/>
                <w:highlight w:val="none"/>
                <w:vertAlign w:val="subscript"/>
                <w:lang w:val="en-US" w:eastAsia="zh-CN"/>
              </w:rPr>
              <w:t xml:space="preserve"> </w:t>
            </w:r>
            <w:r>
              <w:rPr>
                <w:rFonts w:hint="default" w:ascii="Times New Roman" w:hAnsi="Times New Roman" w:cs="Times New Roman"/>
                <w:b w:val="0"/>
                <w:bCs w:val="0"/>
                <w:i w:val="0"/>
                <w:iCs w:val="0"/>
                <w:color w:val="auto"/>
                <w:kern w:val="0"/>
                <w:sz w:val="24"/>
                <w:szCs w:val="24"/>
                <w:u w:val="none"/>
                <w:lang w:val="en-US" w:eastAsia="zh-CN" w:bidi="ar"/>
              </w:rPr>
              <w:t>1.0m</w:t>
            </w:r>
            <w:r>
              <w:rPr>
                <w:rFonts w:hint="default" w:ascii="Times New Roman" w:hAnsi="Times New Roman" w:cs="Times New Roman"/>
                <w:b w:val="0"/>
                <w:bCs w:val="0"/>
                <w:color w:val="auto"/>
                <w:sz w:val="24"/>
                <w:szCs w:val="24"/>
                <w:highlight w:val="none"/>
              </w:rPr>
              <w:t>g/m</w:t>
            </w:r>
            <w:r>
              <w:rPr>
                <w:rFonts w:hint="default" w:ascii="Times New Roman" w:hAnsi="Times New Roman" w:cs="Times New Roman"/>
                <w:b w:val="0"/>
                <w:bCs w:val="0"/>
                <w:color w:val="auto"/>
                <w:sz w:val="24"/>
                <w:szCs w:val="24"/>
                <w:highlight w:val="none"/>
                <w:vertAlign w:val="superscript"/>
              </w:rPr>
              <w:t>3</w:t>
            </w:r>
            <w:r>
              <w:rPr>
                <w:rFonts w:hint="default" w:ascii="Times New Roman" w:hAnsi="Times New Roman" w:cs="Times New Roman"/>
                <w:b w:val="0"/>
                <w:bCs w:val="0"/>
                <w:iCs/>
                <w:color w:val="auto"/>
                <w:sz w:val="24"/>
                <w:szCs w:val="24"/>
                <w:lang w:eastAsia="zh-CN"/>
              </w:rPr>
              <w:t>）要求</w:t>
            </w:r>
            <w:r>
              <w:rPr>
                <w:rFonts w:hint="default" w:ascii="Times New Roman" w:hAnsi="Times New Roman" w:cs="Times New Roman"/>
                <w:b w:val="0"/>
                <w:bCs w:val="0"/>
                <w:color w:val="auto"/>
                <w:sz w:val="24"/>
                <w:lang w:val="en-US" w:eastAsia="zh-CN"/>
              </w:rPr>
              <w:t>，因</w:t>
            </w:r>
            <w:r>
              <w:rPr>
                <w:rFonts w:hint="eastAsia" w:ascii="Times New Roman" w:hAnsi="Times New Roman" w:cs="Times New Roman"/>
                <w:b w:val="0"/>
                <w:bCs w:val="0"/>
                <w:color w:val="auto"/>
                <w:sz w:val="24"/>
                <w:lang w:val="en-US" w:eastAsia="zh-CN"/>
              </w:rPr>
              <w:t>此，加盖</w:t>
            </w:r>
            <w:r>
              <w:rPr>
                <w:rFonts w:hint="eastAsia" w:ascii="Times New Roman" w:cs="Times New Roman"/>
                <w:b w:val="0"/>
                <w:bCs w:val="0"/>
                <w:color w:val="auto"/>
                <w:sz w:val="24"/>
                <w:lang w:val="en-US" w:eastAsia="zh-CN"/>
              </w:rPr>
              <w:t>投加除臭剂</w:t>
            </w:r>
            <w:r>
              <w:rPr>
                <w:rFonts w:hint="eastAsia" w:ascii="Times New Roman" w:hAnsi="Times New Roman" w:cs="Times New Roman"/>
                <w:b w:val="0"/>
                <w:bCs w:val="0"/>
                <w:color w:val="auto"/>
                <w:sz w:val="24"/>
                <w:lang w:val="en-US" w:eastAsia="zh-CN"/>
              </w:rPr>
              <w:t>阻隔</w:t>
            </w:r>
            <w:r>
              <w:rPr>
                <w:rFonts w:hint="eastAsia" w:ascii="Times New Roman" w:cs="Times New Roman"/>
                <w:b w:val="0"/>
                <w:bCs w:val="0"/>
                <w:color w:val="auto"/>
                <w:sz w:val="24"/>
                <w:lang w:val="en-US" w:eastAsia="zh-CN"/>
              </w:rPr>
              <w:t>恶臭的</w:t>
            </w:r>
            <w:r>
              <w:rPr>
                <w:rFonts w:hint="eastAsia" w:ascii="Times New Roman" w:hAnsi="Times New Roman" w:cs="Times New Roman"/>
                <w:b w:val="0"/>
                <w:bCs w:val="0"/>
                <w:color w:val="auto"/>
                <w:sz w:val="24"/>
                <w:lang w:val="en-US" w:eastAsia="zh-CN"/>
              </w:rPr>
              <w:t>处理措施可行。</w:t>
            </w:r>
          </w:p>
          <w:p>
            <w:pPr>
              <w:adjustRightInd w:val="0"/>
              <w:snapToGrid w:val="0"/>
              <w:spacing w:line="360" w:lineRule="auto"/>
              <w:ind w:firstLine="480" w:firstLineChars="200"/>
              <w:jc w:val="left"/>
              <w:rPr>
                <w:rFonts w:hint="default" w:ascii="Times New Roman" w:hAnsi="Times New Roman" w:cs="Times New Roman"/>
                <w:b w:val="0"/>
                <w:bCs w:val="0"/>
                <w:snapToGrid w:val="0"/>
                <w:color w:val="auto"/>
                <w:kern w:val="0"/>
                <w:sz w:val="24"/>
                <w:szCs w:val="24"/>
                <w:lang w:eastAsia="zh-CN"/>
              </w:rPr>
            </w:pPr>
            <w:r>
              <w:rPr>
                <w:rFonts w:hint="default" w:ascii="Times New Roman" w:hAnsi="Times New Roman" w:cs="Times New Roman"/>
                <w:b w:val="0"/>
                <w:bCs w:val="0"/>
                <w:snapToGrid w:val="0"/>
                <w:color w:val="auto"/>
                <w:kern w:val="0"/>
                <w:sz w:val="24"/>
                <w:szCs w:val="24"/>
                <w:lang w:eastAsia="zh-CN"/>
              </w:rPr>
              <w:t>（</w:t>
            </w:r>
            <w:r>
              <w:rPr>
                <w:rFonts w:hint="eastAsia" w:ascii="Times New Roman" w:hAnsi="Times New Roman" w:cs="Times New Roman"/>
                <w:b w:val="0"/>
                <w:bCs w:val="0"/>
                <w:snapToGrid w:val="0"/>
                <w:color w:val="auto"/>
                <w:kern w:val="0"/>
                <w:sz w:val="24"/>
                <w:szCs w:val="24"/>
                <w:lang w:val="en-US" w:eastAsia="zh-CN"/>
              </w:rPr>
              <w:t>4</w:t>
            </w:r>
            <w:r>
              <w:rPr>
                <w:rFonts w:hint="default" w:ascii="Times New Roman" w:hAnsi="Times New Roman" w:cs="Times New Roman"/>
                <w:b w:val="0"/>
                <w:bCs w:val="0"/>
                <w:snapToGrid w:val="0"/>
                <w:color w:val="auto"/>
                <w:kern w:val="0"/>
                <w:sz w:val="24"/>
                <w:szCs w:val="24"/>
                <w:lang w:eastAsia="zh-CN"/>
              </w:rPr>
              <w:t>）</w:t>
            </w:r>
            <w:r>
              <w:rPr>
                <w:rFonts w:hint="default" w:ascii="Times New Roman" w:hAnsi="Times New Roman" w:cs="Times New Roman"/>
                <w:b w:val="0"/>
                <w:bCs w:val="0"/>
                <w:color w:val="auto"/>
                <w:kern w:val="0"/>
                <w:sz w:val="24"/>
                <w:szCs w:val="24"/>
              </w:rPr>
              <w:t>大气污染源监测计划</w:t>
            </w:r>
          </w:p>
          <w:p>
            <w:pPr>
              <w:adjustRightInd w:val="0"/>
              <w:snapToGrid w:val="0"/>
              <w:spacing w:line="360" w:lineRule="auto"/>
              <w:ind w:firstLine="480" w:firstLineChars="200"/>
              <w:jc w:val="left"/>
              <w:rPr>
                <w:b/>
                <w:bCs/>
                <w:color w:val="auto"/>
                <w:kern w:val="0"/>
                <w:sz w:val="24"/>
                <w:szCs w:val="24"/>
              </w:rPr>
            </w:pPr>
            <w:r>
              <w:rPr>
                <w:snapToGrid w:val="0"/>
                <w:color w:val="auto"/>
                <w:kern w:val="0"/>
                <w:sz w:val="24"/>
                <w:szCs w:val="24"/>
              </w:rPr>
              <w:t>企业应按照《排污许可证申请与核发技术规范</w:t>
            </w:r>
            <w:r>
              <w:rPr>
                <w:rFonts w:hint="eastAsia"/>
                <w:snapToGrid w:val="0"/>
                <w:color w:val="auto"/>
                <w:kern w:val="0"/>
                <w:sz w:val="24"/>
                <w:szCs w:val="24"/>
                <w:lang w:val="en-US" w:eastAsia="zh-CN"/>
              </w:rPr>
              <w:t xml:space="preserve">  </w:t>
            </w:r>
            <w:r>
              <w:rPr>
                <w:snapToGrid w:val="0"/>
                <w:color w:val="auto"/>
                <w:kern w:val="0"/>
                <w:sz w:val="24"/>
                <w:szCs w:val="24"/>
              </w:rPr>
              <w:t>医疗机构》（HJ1105—2020）相关要求，开展大气污染源监测，大气污染源监测计划见表4-</w:t>
            </w:r>
            <w:r>
              <w:rPr>
                <w:rFonts w:hint="eastAsia"/>
                <w:snapToGrid w:val="0"/>
                <w:color w:val="auto"/>
                <w:kern w:val="0"/>
                <w:sz w:val="24"/>
                <w:szCs w:val="24"/>
                <w:lang w:val="en-US" w:eastAsia="zh-CN"/>
              </w:rPr>
              <w:t>5</w:t>
            </w:r>
            <w:r>
              <w:rPr>
                <w:snapToGrid w:val="0"/>
                <w:color w:val="auto"/>
                <w:kern w:val="0"/>
                <w:sz w:val="24"/>
                <w:szCs w:val="24"/>
              </w:rPr>
              <w:t>。</w:t>
            </w:r>
          </w:p>
          <w:p>
            <w:pPr>
              <w:adjustRightInd w:val="0"/>
              <w:snapToGrid w:val="0"/>
              <w:jc w:val="center"/>
              <w:rPr>
                <w:b/>
                <w:bCs/>
                <w:snapToGrid w:val="0"/>
                <w:color w:val="auto"/>
                <w:kern w:val="0"/>
                <w:sz w:val="21"/>
                <w:szCs w:val="21"/>
              </w:rPr>
            </w:pPr>
            <w:r>
              <w:rPr>
                <w:b/>
                <w:bCs/>
                <w:snapToGrid w:val="0"/>
                <w:color w:val="auto"/>
                <w:kern w:val="0"/>
                <w:sz w:val="21"/>
                <w:szCs w:val="21"/>
              </w:rPr>
              <w:t>表4-</w:t>
            </w:r>
            <w:r>
              <w:rPr>
                <w:rFonts w:hint="eastAsia"/>
                <w:b/>
                <w:bCs/>
                <w:snapToGrid w:val="0"/>
                <w:color w:val="auto"/>
                <w:kern w:val="0"/>
                <w:sz w:val="21"/>
                <w:szCs w:val="21"/>
                <w:lang w:val="en-US" w:eastAsia="zh-CN"/>
              </w:rPr>
              <w:t>5</w:t>
            </w:r>
            <w:r>
              <w:rPr>
                <w:b/>
                <w:bCs/>
                <w:snapToGrid w:val="0"/>
                <w:color w:val="auto"/>
                <w:kern w:val="0"/>
                <w:sz w:val="21"/>
                <w:szCs w:val="21"/>
              </w:rPr>
              <w:t xml:space="preserve"> 大气污染源监测计划</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3"/>
              <w:gridCol w:w="797"/>
              <w:gridCol w:w="1198"/>
              <w:gridCol w:w="1525"/>
              <w:gridCol w:w="1443"/>
              <w:gridCol w:w="3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6" w:type="pct"/>
                  <w:vAlign w:val="center"/>
                </w:tcPr>
                <w:p>
                  <w:pPr>
                    <w:pStyle w:val="67"/>
                    <w:adjustRightInd w:val="0"/>
                    <w:snapToGrid w:val="0"/>
                    <w:ind w:firstLine="0" w:firstLineChars="0"/>
                    <w:jc w:val="center"/>
                    <w:rPr>
                      <w:rFonts w:eastAsia="宋体" w:cs="Times New Roman"/>
                      <w:b/>
                      <w:bCs/>
                      <w:color w:val="auto"/>
                      <w:sz w:val="21"/>
                      <w:szCs w:val="21"/>
                    </w:rPr>
                  </w:pPr>
                  <w:r>
                    <w:rPr>
                      <w:rFonts w:eastAsia="宋体" w:cs="Times New Roman"/>
                      <w:b/>
                      <w:bCs/>
                      <w:color w:val="auto"/>
                      <w:sz w:val="21"/>
                      <w:szCs w:val="21"/>
                    </w:rPr>
                    <w:t>类别</w:t>
                  </w:r>
                </w:p>
              </w:tc>
              <w:tc>
                <w:tcPr>
                  <w:tcW w:w="1099" w:type="pct"/>
                  <w:gridSpan w:val="2"/>
                  <w:vAlign w:val="center"/>
                </w:tcPr>
                <w:p>
                  <w:pPr>
                    <w:pStyle w:val="67"/>
                    <w:adjustRightInd w:val="0"/>
                    <w:snapToGrid w:val="0"/>
                    <w:ind w:firstLine="0" w:firstLineChars="0"/>
                    <w:jc w:val="center"/>
                    <w:rPr>
                      <w:rFonts w:eastAsia="宋体" w:cs="Times New Roman"/>
                      <w:b/>
                      <w:bCs/>
                      <w:color w:val="auto"/>
                      <w:sz w:val="21"/>
                      <w:szCs w:val="21"/>
                    </w:rPr>
                  </w:pPr>
                  <w:r>
                    <w:rPr>
                      <w:rFonts w:eastAsia="宋体" w:cs="Times New Roman"/>
                      <w:b/>
                      <w:bCs/>
                      <w:color w:val="auto"/>
                      <w:sz w:val="21"/>
                      <w:szCs w:val="21"/>
                    </w:rPr>
                    <w:t>监测位置</w:t>
                  </w:r>
                </w:p>
              </w:tc>
              <w:tc>
                <w:tcPr>
                  <w:tcW w:w="840" w:type="pct"/>
                  <w:vAlign w:val="center"/>
                </w:tcPr>
                <w:p>
                  <w:pPr>
                    <w:pStyle w:val="67"/>
                    <w:adjustRightInd w:val="0"/>
                    <w:snapToGrid w:val="0"/>
                    <w:ind w:firstLine="0" w:firstLineChars="0"/>
                    <w:jc w:val="center"/>
                    <w:rPr>
                      <w:rFonts w:eastAsia="宋体" w:cs="Times New Roman"/>
                      <w:b/>
                      <w:bCs/>
                      <w:color w:val="auto"/>
                      <w:sz w:val="21"/>
                      <w:szCs w:val="21"/>
                    </w:rPr>
                  </w:pPr>
                  <w:r>
                    <w:rPr>
                      <w:rFonts w:eastAsia="宋体" w:cs="Times New Roman"/>
                      <w:b/>
                      <w:bCs/>
                      <w:color w:val="auto"/>
                      <w:sz w:val="21"/>
                      <w:szCs w:val="21"/>
                    </w:rPr>
                    <w:t>监测项目</w:t>
                  </w:r>
                </w:p>
              </w:tc>
              <w:tc>
                <w:tcPr>
                  <w:tcW w:w="795" w:type="pct"/>
                  <w:vAlign w:val="center"/>
                </w:tcPr>
                <w:p>
                  <w:pPr>
                    <w:pStyle w:val="67"/>
                    <w:adjustRightInd w:val="0"/>
                    <w:snapToGrid w:val="0"/>
                    <w:ind w:firstLine="0" w:firstLineChars="0"/>
                    <w:jc w:val="center"/>
                    <w:rPr>
                      <w:rFonts w:eastAsia="宋体" w:cs="Times New Roman"/>
                      <w:b/>
                      <w:bCs/>
                      <w:color w:val="auto"/>
                      <w:sz w:val="21"/>
                      <w:szCs w:val="21"/>
                    </w:rPr>
                  </w:pPr>
                  <w:r>
                    <w:rPr>
                      <w:rFonts w:eastAsia="宋体" w:cs="Times New Roman"/>
                      <w:b/>
                      <w:bCs/>
                      <w:color w:val="auto"/>
                      <w:sz w:val="21"/>
                      <w:szCs w:val="21"/>
                    </w:rPr>
                    <w:t>监测频次</w:t>
                  </w:r>
                </w:p>
              </w:tc>
              <w:tc>
                <w:tcPr>
                  <w:tcW w:w="1889" w:type="pct"/>
                  <w:vAlign w:val="center"/>
                </w:tcPr>
                <w:p>
                  <w:pPr>
                    <w:pStyle w:val="67"/>
                    <w:adjustRightInd w:val="0"/>
                    <w:snapToGrid w:val="0"/>
                    <w:ind w:firstLine="0" w:firstLineChars="0"/>
                    <w:jc w:val="center"/>
                    <w:rPr>
                      <w:rFonts w:eastAsia="宋体" w:cs="Times New Roman"/>
                      <w:b/>
                      <w:bCs/>
                      <w:color w:val="auto"/>
                      <w:sz w:val="21"/>
                      <w:szCs w:val="21"/>
                    </w:rPr>
                  </w:pPr>
                  <w:r>
                    <w:rPr>
                      <w:rFonts w:eastAsia="宋体" w:cs="Times New Roman"/>
                      <w:b/>
                      <w:bCs/>
                      <w:color w:val="auto"/>
                      <w:sz w:val="21"/>
                      <w:szCs w:val="21"/>
                    </w:rPr>
                    <w:t>执行排放标准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6" w:type="pct"/>
                  <w:vMerge w:val="restar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废气</w:t>
                  </w:r>
                </w:p>
              </w:tc>
              <w:tc>
                <w:tcPr>
                  <w:tcW w:w="439" w:type="pct"/>
                  <w:vMerge w:val="restar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无组织</w:t>
                  </w:r>
                </w:p>
              </w:tc>
              <w:tc>
                <w:tcPr>
                  <w:tcW w:w="660" w:type="pct"/>
                  <w:vMerge w:val="restar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污水站周界</w:t>
                  </w:r>
                </w:p>
              </w:tc>
              <w:tc>
                <w:tcPr>
                  <w:tcW w:w="840" w:type="pct"/>
                  <w:vAlign w:val="center"/>
                </w:tcPr>
                <w:p>
                  <w:pPr>
                    <w:pStyle w:val="67"/>
                    <w:adjustRightInd w:val="0"/>
                    <w:snapToGrid w:val="0"/>
                    <w:ind w:firstLine="0" w:firstLineChars="0"/>
                    <w:jc w:val="center"/>
                    <w:rPr>
                      <w:rFonts w:eastAsia="宋体" w:cs="Times New Roman"/>
                      <w:color w:val="auto"/>
                      <w:sz w:val="21"/>
                      <w:szCs w:val="21"/>
                    </w:rPr>
                  </w:pPr>
                  <w:r>
                    <w:rPr>
                      <w:rFonts w:eastAsia="宋体" w:cs="Times New Roman"/>
                      <w:color w:val="auto"/>
                      <w:sz w:val="21"/>
                      <w:szCs w:val="21"/>
                    </w:rPr>
                    <w:t>氨</w:t>
                  </w:r>
                </w:p>
              </w:tc>
              <w:tc>
                <w:tcPr>
                  <w:tcW w:w="795" w:type="pct"/>
                  <w:vMerge w:val="restart"/>
                  <w:vAlign w:val="center"/>
                </w:tcPr>
                <w:p>
                  <w:pPr>
                    <w:pStyle w:val="67"/>
                    <w:adjustRightInd w:val="0"/>
                    <w:snapToGrid w:val="0"/>
                    <w:ind w:firstLine="0" w:firstLineChars="0"/>
                    <w:jc w:val="center"/>
                    <w:rPr>
                      <w:rFonts w:eastAsia="宋体" w:cs="Times New Roman"/>
                      <w:color w:val="auto"/>
                      <w:sz w:val="21"/>
                      <w:szCs w:val="21"/>
                    </w:rPr>
                  </w:pPr>
                  <w:r>
                    <w:rPr>
                      <w:rFonts w:eastAsia="宋体" w:cs="Times New Roman"/>
                      <w:color w:val="auto"/>
                      <w:sz w:val="21"/>
                      <w:szCs w:val="21"/>
                    </w:rPr>
                    <w:t>一季度一次</w:t>
                  </w:r>
                </w:p>
              </w:tc>
              <w:tc>
                <w:tcPr>
                  <w:tcW w:w="1889" w:type="pct"/>
                  <w:vMerge w:val="restart"/>
                  <w:vAlign w:val="center"/>
                </w:tcPr>
                <w:p>
                  <w:pPr>
                    <w:pStyle w:val="67"/>
                    <w:adjustRightInd w:val="0"/>
                    <w:snapToGrid w:val="0"/>
                    <w:ind w:firstLine="0" w:firstLineChars="0"/>
                    <w:jc w:val="center"/>
                    <w:rPr>
                      <w:rFonts w:eastAsia="宋体" w:cs="Times New Roman"/>
                      <w:color w:val="auto"/>
                      <w:sz w:val="21"/>
                      <w:szCs w:val="21"/>
                    </w:rPr>
                  </w:pPr>
                  <w:r>
                    <w:rPr>
                      <w:rFonts w:hint="eastAsia" w:eastAsia="宋体" w:cs="Times New Roman"/>
                      <w:color w:val="auto"/>
                      <w:sz w:val="21"/>
                      <w:szCs w:val="21"/>
                    </w:rPr>
                    <w:t>《医疗机构水污染物排放标准》（GB18466-2005）中表3标准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6" w:type="pct"/>
                  <w:vMerge w:val="continue"/>
                  <w:vAlign w:val="center"/>
                </w:tcPr>
                <w:p>
                  <w:pPr>
                    <w:pStyle w:val="68"/>
                    <w:spacing w:line="240" w:lineRule="auto"/>
                    <w:rPr>
                      <w:rFonts w:ascii="Times New Roman" w:hAnsi="Times New Roman" w:eastAsia="宋体" w:cs="Times New Roman"/>
                      <w:color w:val="auto"/>
                      <w:sz w:val="21"/>
                      <w:szCs w:val="21"/>
                    </w:rPr>
                  </w:pPr>
                </w:p>
              </w:tc>
              <w:tc>
                <w:tcPr>
                  <w:tcW w:w="439" w:type="pct"/>
                  <w:vMerge w:val="continue"/>
                  <w:vAlign w:val="center"/>
                </w:tcPr>
                <w:p>
                  <w:pPr>
                    <w:pStyle w:val="68"/>
                    <w:spacing w:line="240" w:lineRule="auto"/>
                    <w:rPr>
                      <w:rFonts w:ascii="Times New Roman" w:hAnsi="Times New Roman" w:eastAsia="宋体" w:cs="Times New Roman"/>
                      <w:color w:val="auto"/>
                      <w:sz w:val="21"/>
                      <w:szCs w:val="21"/>
                    </w:rPr>
                  </w:pPr>
                </w:p>
              </w:tc>
              <w:tc>
                <w:tcPr>
                  <w:tcW w:w="660" w:type="pct"/>
                  <w:vMerge w:val="continue"/>
                  <w:vAlign w:val="center"/>
                </w:tcPr>
                <w:p>
                  <w:pPr>
                    <w:pStyle w:val="68"/>
                    <w:spacing w:line="240" w:lineRule="auto"/>
                    <w:rPr>
                      <w:rFonts w:ascii="Times New Roman" w:hAnsi="Times New Roman" w:eastAsia="宋体" w:cs="Times New Roman"/>
                      <w:color w:val="auto"/>
                      <w:sz w:val="21"/>
                      <w:szCs w:val="21"/>
                    </w:rPr>
                  </w:pPr>
                </w:p>
              </w:tc>
              <w:tc>
                <w:tcPr>
                  <w:tcW w:w="840" w:type="pct"/>
                  <w:vAlign w:val="center"/>
                </w:tcPr>
                <w:p>
                  <w:pPr>
                    <w:pStyle w:val="67"/>
                    <w:adjustRightInd w:val="0"/>
                    <w:snapToGrid w:val="0"/>
                    <w:ind w:firstLine="0" w:firstLineChars="0"/>
                    <w:jc w:val="center"/>
                    <w:rPr>
                      <w:rFonts w:eastAsia="宋体" w:cs="Times New Roman"/>
                      <w:color w:val="auto"/>
                      <w:sz w:val="21"/>
                      <w:szCs w:val="21"/>
                    </w:rPr>
                  </w:pPr>
                  <w:r>
                    <w:rPr>
                      <w:rFonts w:eastAsia="宋体" w:cs="Times New Roman"/>
                      <w:color w:val="auto"/>
                      <w:sz w:val="21"/>
                      <w:szCs w:val="21"/>
                    </w:rPr>
                    <w:t>硫化氢</w:t>
                  </w:r>
                </w:p>
              </w:tc>
              <w:tc>
                <w:tcPr>
                  <w:tcW w:w="795" w:type="pct"/>
                  <w:vMerge w:val="continue"/>
                  <w:vAlign w:val="center"/>
                </w:tcPr>
                <w:p>
                  <w:pPr>
                    <w:pStyle w:val="67"/>
                    <w:adjustRightInd w:val="0"/>
                    <w:snapToGrid w:val="0"/>
                    <w:ind w:firstLine="0" w:firstLineChars="0"/>
                    <w:jc w:val="center"/>
                    <w:rPr>
                      <w:rFonts w:eastAsia="宋体" w:cs="Times New Roman"/>
                      <w:color w:val="auto"/>
                      <w:sz w:val="21"/>
                      <w:szCs w:val="21"/>
                    </w:rPr>
                  </w:pPr>
                </w:p>
              </w:tc>
              <w:tc>
                <w:tcPr>
                  <w:tcW w:w="1889" w:type="pct"/>
                  <w:vMerge w:val="continue"/>
                  <w:vAlign w:val="center"/>
                </w:tcPr>
                <w:p>
                  <w:pPr>
                    <w:pStyle w:val="67"/>
                    <w:adjustRightInd w:val="0"/>
                    <w:snapToGrid w:val="0"/>
                    <w:ind w:firstLine="0" w:firstLineChars="0"/>
                    <w:jc w:val="center"/>
                    <w:rPr>
                      <w:rFonts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6" w:type="pct"/>
                  <w:vMerge w:val="continue"/>
                  <w:vAlign w:val="center"/>
                </w:tcPr>
                <w:p>
                  <w:pPr>
                    <w:pStyle w:val="68"/>
                    <w:spacing w:line="240" w:lineRule="auto"/>
                    <w:rPr>
                      <w:rFonts w:ascii="Times New Roman" w:hAnsi="Times New Roman" w:eastAsia="宋体" w:cs="Times New Roman"/>
                      <w:color w:val="auto"/>
                      <w:sz w:val="21"/>
                      <w:szCs w:val="21"/>
                    </w:rPr>
                  </w:pPr>
                </w:p>
              </w:tc>
              <w:tc>
                <w:tcPr>
                  <w:tcW w:w="439" w:type="pct"/>
                  <w:vMerge w:val="continue"/>
                  <w:vAlign w:val="center"/>
                </w:tcPr>
                <w:p>
                  <w:pPr>
                    <w:pStyle w:val="68"/>
                    <w:spacing w:line="240" w:lineRule="auto"/>
                    <w:rPr>
                      <w:rFonts w:ascii="Times New Roman" w:hAnsi="Times New Roman" w:eastAsia="宋体" w:cs="Times New Roman"/>
                      <w:color w:val="auto"/>
                      <w:sz w:val="21"/>
                      <w:szCs w:val="21"/>
                    </w:rPr>
                  </w:pPr>
                </w:p>
              </w:tc>
              <w:tc>
                <w:tcPr>
                  <w:tcW w:w="660" w:type="pct"/>
                  <w:vMerge w:val="continue"/>
                  <w:vAlign w:val="center"/>
                </w:tcPr>
                <w:p>
                  <w:pPr>
                    <w:pStyle w:val="68"/>
                    <w:spacing w:line="240" w:lineRule="auto"/>
                    <w:rPr>
                      <w:rFonts w:ascii="Times New Roman" w:hAnsi="Times New Roman" w:eastAsia="宋体" w:cs="Times New Roman"/>
                      <w:color w:val="auto"/>
                      <w:sz w:val="21"/>
                      <w:szCs w:val="21"/>
                    </w:rPr>
                  </w:pPr>
                </w:p>
              </w:tc>
              <w:tc>
                <w:tcPr>
                  <w:tcW w:w="840" w:type="pct"/>
                  <w:vAlign w:val="center"/>
                </w:tcPr>
                <w:p>
                  <w:pPr>
                    <w:pStyle w:val="67"/>
                    <w:adjustRightInd w:val="0"/>
                    <w:snapToGrid w:val="0"/>
                    <w:ind w:firstLine="0" w:firstLineChars="0"/>
                    <w:jc w:val="center"/>
                    <w:rPr>
                      <w:rFonts w:eastAsia="宋体" w:cs="Times New Roman"/>
                      <w:color w:val="auto"/>
                      <w:sz w:val="21"/>
                      <w:szCs w:val="21"/>
                    </w:rPr>
                  </w:pPr>
                  <w:r>
                    <w:rPr>
                      <w:rFonts w:eastAsia="宋体" w:cs="Times New Roman"/>
                      <w:color w:val="auto"/>
                      <w:sz w:val="21"/>
                      <w:szCs w:val="21"/>
                    </w:rPr>
                    <w:t>臭气浓度</w:t>
                  </w:r>
                </w:p>
              </w:tc>
              <w:tc>
                <w:tcPr>
                  <w:tcW w:w="795" w:type="pct"/>
                  <w:vMerge w:val="continue"/>
                  <w:vAlign w:val="center"/>
                </w:tcPr>
                <w:p>
                  <w:pPr>
                    <w:pStyle w:val="67"/>
                    <w:adjustRightInd w:val="0"/>
                    <w:snapToGrid w:val="0"/>
                    <w:ind w:firstLine="0" w:firstLineChars="0"/>
                    <w:jc w:val="center"/>
                    <w:rPr>
                      <w:rFonts w:eastAsia="宋体" w:cs="Times New Roman"/>
                      <w:color w:val="auto"/>
                      <w:sz w:val="21"/>
                      <w:szCs w:val="21"/>
                    </w:rPr>
                  </w:pPr>
                </w:p>
              </w:tc>
              <w:tc>
                <w:tcPr>
                  <w:tcW w:w="1889" w:type="pct"/>
                  <w:vMerge w:val="continue"/>
                  <w:vAlign w:val="center"/>
                </w:tcPr>
                <w:p>
                  <w:pPr>
                    <w:pStyle w:val="67"/>
                    <w:adjustRightInd w:val="0"/>
                    <w:snapToGrid w:val="0"/>
                    <w:ind w:firstLine="0" w:firstLineChars="0"/>
                    <w:jc w:val="center"/>
                    <w:rPr>
                      <w:rFonts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6" w:type="pct"/>
                  <w:vMerge w:val="continue"/>
                  <w:vAlign w:val="center"/>
                </w:tcPr>
                <w:p>
                  <w:pPr>
                    <w:pStyle w:val="68"/>
                    <w:spacing w:line="240" w:lineRule="auto"/>
                    <w:rPr>
                      <w:rFonts w:ascii="Times New Roman" w:hAnsi="Times New Roman" w:eastAsia="宋体" w:cs="Times New Roman"/>
                      <w:color w:val="auto"/>
                      <w:sz w:val="21"/>
                      <w:szCs w:val="21"/>
                    </w:rPr>
                  </w:pPr>
                </w:p>
              </w:tc>
              <w:tc>
                <w:tcPr>
                  <w:tcW w:w="439" w:type="pct"/>
                  <w:vMerge w:val="continue"/>
                  <w:vAlign w:val="center"/>
                </w:tcPr>
                <w:p>
                  <w:pPr>
                    <w:pStyle w:val="68"/>
                    <w:spacing w:line="240" w:lineRule="auto"/>
                    <w:rPr>
                      <w:rFonts w:ascii="Times New Roman" w:hAnsi="Times New Roman" w:eastAsia="宋体" w:cs="Times New Roman"/>
                      <w:color w:val="auto"/>
                      <w:sz w:val="21"/>
                      <w:szCs w:val="21"/>
                    </w:rPr>
                  </w:pPr>
                </w:p>
              </w:tc>
              <w:tc>
                <w:tcPr>
                  <w:tcW w:w="660" w:type="pct"/>
                  <w:vMerge w:val="continue"/>
                  <w:vAlign w:val="center"/>
                </w:tcPr>
                <w:p>
                  <w:pPr>
                    <w:pStyle w:val="68"/>
                    <w:spacing w:line="240" w:lineRule="auto"/>
                    <w:rPr>
                      <w:rFonts w:ascii="Times New Roman" w:hAnsi="Times New Roman" w:eastAsia="宋体" w:cs="Times New Roman"/>
                      <w:color w:val="auto"/>
                      <w:sz w:val="21"/>
                      <w:szCs w:val="21"/>
                    </w:rPr>
                  </w:pPr>
                </w:p>
              </w:tc>
              <w:tc>
                <w:tcPr>
                  <w:tcW w:w="840" w:type="pct"/>
                  <w:vAlign w:val="center"/>
                </w:tcPr>
                <w:p>
                  <w:pPr>
                    <w:pStyle w:val="67"/>
                    <w:adjustRightInd w:val="0"/>
                    <w:snapToGrid w:val="0"/>
                    <w:ind w:firstLine="0" w:firstLineChars="0"/>
                    <w:jc w:val="center"/>
                    <w:rPr>
                      <w:rFonts w:hint="eastAsia" w:eastAsia="宋体" w:cs="Times New Roman"/>
                      <w:color w:val="auto"/>
                      <w:sz w:val="21"/>
                      <w:szCs w:val="21"/>
                      <w:lang w:eastAsia="zh-CN"/>
                    </w:rPr>
                  </w:pPr>
                  <w:r>
                    <w:rPr>
                      <w:rFonts w:hint="eastAsia" w:eastAsia="宋体" w:cs="Times New Roman"/>
                      <w:color w:val="auto"/>
                      <w:sz w:val="21"/>
                      <w:szCs w:val="21"/>
                      <w:lang w:eastAsia="zh-CN"/>
                    </w:rPr>
                    <w:t>甲烷</w:t>
                  </w:r>
                </w:p>
              </w:tc>
              <w:tc>
                <w:tcPr>
                  <w:tcW w:w="795" w:type="pct"/>
                  <w:vMerge w:val="continue"/>
                  <w:vAlign w:val="center"/>
                </w:tcPr>
                <w:p>
                  <w:pPr>
                    <w:pStyle w:val="67"/>
                    <w:adjustRightInd w:val="0"/>
                    <w:snapToGrid w:val="0"/>
                    <w:ind w:firstLine="0" w:firstLineChars="0"/>
                    <w:jc w:val="center"/>
                    <w:rPr>
                      <w:rFonts w:eastAsia="宋体" w:cs="Times New Roman"/>
                      <w:color w:val="auto"/>
                      <w:sz w:val="21"/>
                      <w:szCs w:val="21"/>
                    </w:rPr>
                  </w:pPr>
                </w:p>
              </w:tc>
              <w:tc>
                <w:tcPr>
                  <w:tcW w:w="1889" w:type="pct"/>
                  <w:vMerge w:val="continue"/>
                  <w:vAlign w:val="center"/>
                </w:tcPr>
                <w:p>
                  <w:pPr>
                    <w:pStyle w:val="67"/>
                    <w:adjustRightInd w:val="0"/>
                    <w:snapToGrid w:val="0"/>
                    <w:ind w:firstLine="0" w:firstLineChars="0"/>
                    <w:jc w:val="center"/>
                    <w:rPr>
                      <w:rFonts w:eastAsia="宋体" w:cs="Times New Roman"/>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0" w:firstLineChars="200"/>
              <w:jc w:val="left"/>
              <w:textAlignment w:val="auto"/>
              <w:rPr>
                <w:rFonts w:hint="eastAsia" w:eastAsia="宋体"/>
                <w:b w:val="0"/>
                <w:bCs/>
                <w:color w:val="auto"/>
                <w:kern w:val="0"/>
                <w:sz w:val="24"/>
                <w:szCs w:val="24"/>
                <w:lang w:eastAsia="zh-CN"/>
              </w:rPr>
            </w:pPr>
            <w:r>
              <w:rPr>
                <w:b w:val="0"/>
                <w:bCs/>
                <w:color w:val="auto"/>
                <w:kern w:val="0"/>
                <w:sz w:val="24"/>
                <w:szCs w:val="24"/>
              </w:rPr>
              <w:t>（</w:t>
            </w:r>
            <w:r>
              <w:rPr>
                <w:rFonts w:hint="eastAsia"/>
                <w:b w:val="0"/>
                <w:bCs/>
                <w:color w:val="auto"/>
                <w:kern w:val="0"/>
                <w:sz w:val="24"/>
                <w:szCs w:val="24"/>
                <w:lang w:val="en-US" w:eastAsia="zh-CN"/>
              </w:rPr>
              <w:t>5</w:t>
            </w:r>
            <w:r>
              <w:rPr>
                <w:b w:val="0"/>
                <w:bCs/>
                <w:color w:val="auto"/>
                <w:kern w:val="0"/>
                <w:sz w:val="24"/>
                <w:szCs w:val="24"/>
              </w:rPr>
              <w:t>）</w:t>
            </w:r>
            <w:r>
              <w:rPr>
                <w:rFonts w:hint="eastAsia"/>
                <w:b w:val="0"/>
                <w:bCs/>
                <w:color w:val="auto"/>
                <w:kern w:val="0"/>
                <w:sz w:val="24"/>
                <w:szCs w:val="24"/>
                <w:lang w:eastAsia="zh-CN"/>
              </w:rPr>
              <w:t>环境影响分析</w:t>
            </w:r>
          </w:p>
          <w:p>
            <w:pPr>
              <w:pStyle w:val="7"/>
              <w:adjustRightInd w:val="0"/>
              <w:snapToGrid w:val="0"/>
              <w:spacing w:line="360" w:lineRule="auto"/>
              <w:ind w:firstLine="420"/>
              <w:jc w:val="left"/>
              <w:rPr>
                <w:color w:val="auto"/>
              </w:rPr>
            </w:pPr>
            <w:r>
              <w:rPr>
                <w:rFonts w:ascii="Times New Roman" w:hAnsi="Times New Roman" w:eastAsia="宋体" w:cs="Times New Roman"/>
                <w:snapToGrid w:val="0"/>
                <w:color w:val="auto"/>
                <w:kern w:val="0"/>
                <w:sz w:val="24"/>
                <w:szCs w:val="24"/>
              </w:rPr>
              <w:t>建设项目位于</w:t>
            </w:r>
            <w:r>
              <w:rPr>
                <w:rFonts w:hint="eastAsia"/>
                <w:color w:val="auto"/>
                <w:sz w:val="24"/>
                <w:szCs w:val="24"/>
                <w:lang w:eastAsia="zh-CN"/>
              </w:rPr>
              <w:t>西安市莲湖区环城西路玉祥门盘道东南角</w:t>
            </w:r>
            <w:r>
              <w:rPr>
                <w:rFonts w:ascii="Times New Roman" w:hAnsi="Times New Roman" w:eastAsia="宋体" w:cs="Times New Roman"/>
                <w:snapToGrid w:val="0"/>
                <w:color w:val="auto"/>
                <w:kern w:val="0"/>
                <w:sz w:val="24"/>
                <w:szCs w:val="24"/>
              </w:rPr>
              <w:t>，</w:t>
            </w:r>
            <w:r>
              <w:rPr>
                <w:rFonts w:ascii="Times New Roman" w:hAnsi="Times New Roman" w:eastAsia="宋体" w:cs="Times New Roman"/>
                <w:color w:val="auto"/>
                <w:sz w:val="24"/>
                <w:szCs w:val="24"/>
              </w:rPr>
              <w:t>根据</w:t>
            </w:r>
            <w:r>
              <w:rPr>
                <w:rFonts w:hint="eastAsia" w:ascii="Times New Roman" w:hAnsi="Times New Roman" w:eastAsia="宋体" w:cs="Times New Roman"/>
                <w:color w:val="auto"/>
                <w:sz w:val="24"/>
                <w:szCs w:val="24"/>
                <w:highlight w:val="none"/>
                <w:lang w:val="en-US" w:eastAsia="zh-CN"/>
              </w:rPr>
              <w:t>陕西省生态环境厅办公室202</w:t>
            </w:r>
            <w:r>
              <w:rPr>
                <w:rFonts w:hint="eastAsia"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年1月</w:t>
            </w:r>
            <w:r>
              <w:rPr>
                <w:rFonts w:hint="eastAsia" w:cs="Times New Roman"/>
                <w:color w:val="auto"/>
                <w:sz w:val="24"/>
                <w:szCs w:val="24"/>
                <w:highlight w:val="none"/>
                <w:lang w:val="en-US" w:eastAsia="zh-CN"/>
              </w:rPr>
              <w:t>19</w:t>
            </w:r>
            <w:r>
              <w:rPr>
                <w:rFonts w:hint="default" w:ascii="Times New Roman" w:hAnsi="Times New Roman" w:eastAsia="宋体" w:cs="Times New Roman"/>
                <w:color w:val="auto"/>
                <w:sz w:val="24"/>
                <w:szCs w:val="24"/>
                <w:highlight w:val="none"/>
                <w:lang w:val="en-US" w:eastAsia="zh-CN"/>
              </w:rPr>
              <w:t>日发布的</w:t>
            </w:r>
            <w:r>
              <w:rPr>
                <w:rFonts w:hint="eastAsia"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环保快报202</w:t>
            </w:r>
            <w:r>
              <w:rPr>
                <w:rFonts w:hint="eastAsia"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年12月及1</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12月</w:t>
            </w:r>
            <w:r>
              <w:rPr>
                <w:rFonts w:hint="eastAsia" w:ascii="Times New Roman" w:hAnsi="Times New Roman" w:eastAsia="宋体" w:cs="Times New Roman"/>
                <w:color w:val="auto"/>
                <w:sz w:val="24"/>
                <w:szCs w:val="24"/>
                <w:highlight w:val="none"/>
                <w:lang w:val="en-US" w:eastAsia="zh-CN"/>
              </w:rPr>
              <w:t>全省</w:t>
            </w:r>
            <w:r>
              <w:rPr>
                <w:rFonts w:hint="default" w:ascii="Times New Roman" w:hAnsi="Times New Roman" w:eastAsia="宋体" w:cs="Times New Roman"/>
                <w:color w:val="auto"/>
                <w:sz w:val="24"/>
                <w:szCs w:val="24"/>
                <w:highlight w:val="none"/>
                <w:lang w:val="en-US" w:eastAsia="zh-CN"/>
              </w:rPr>
              <w:t>环境空气质量状况</w:t>
            </w:r>
            <w:r>
              <w:rPr>
                <w:rFonts w:hint="eastAsia"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中</w:t>
            </w:r>
            <w:r>
              <w:rPr>
                <w:rFonts w:hint="eastAsia" w:cs="Times New Roman"/>
                <w:color w:val="auto"/>
                <w:sz w:val="24"/>
                <w:szCs w:val="24"/>
                <w:highlight w:val="none"/>
                <w:lang w:val="en-US" w:eastAsia="zh-CN"/>
              </w:rPr>
              <w:t>莲湖区</w:t>
            </w:r>
            <w:r>
              <w:rPr>
                <w:rFonts w:hint="default" w:ascii="Times New Roman" w:hAnsi="Times New Roman" w:eastAsia="宋体" w:cs="Times New Roman"/>
                <w:color w:val="auto"/>
                <w:sz w:val="24"/>
                <w:szCs w:val="24"/>
                <w:highlight w:val="none"/>
                <w:lang w:val="en-US" w:eastAsia="zh-CN"/>
              </w:rPr>
              <w:t>环境空气常规六项污染物监测结果</w:t>
            </w:r>
            <w:r>
              <w:rPr>
                <w:rFonts w:ascii="Times New Roman" w:hAnsi="Times New Roman" w:eastAsia="宋体" w:cs="Times New Roman"/>
                <w:snapToGrid w:val="0"/>
                <w:color w:val="auto"/>
                <w:kern w:val="0"/>
                <w:sz w:val="24"/>
                <w:szCs w:val="24"/>
              </w:rPr>
              <w:t>。</w:t>
            </w:r>
            <w:r>
              <w:rPr>
                <w:rFonts w:hint="eastAsia" w:cs="Times New Roman"/>
                <w:snapToGrid w:val="0"/>
                <w:color w:val="auto"/>
                <w:kern w:val="0"/>
                <w:sz w:val="24"/>
                <w:szCs w:val="24"/>
                <w:lang w:eastAsia="zh-CN"/>
              </w:rPr>
              <w:t>本项目大气污染物为污水处理站产生的氨气及硫化氢，加盖密闭并投加除臭剂</w:t>
            </w:r>
            <w:r>
              <w:rPr>
                <w:rFonts w:ascii="Times New Roman" w:hAnsi="Times New Roman" w:eastAsia="宋体" w:cs="Times New Roman"/>
                <w:snapToGrid w:val="0"/>
                <w:color w:val="auto"/>
                <w:kern w:val="0"/>
                <w:sz w:val="24"/>
                <w:szCs w:val="24"/>
              </w:rPr>
              <w:t>处理后，</w:t>
            </w:r>
            <w:r>
              <w:rPr>
                <w:rFonts w:hint="eastAsia" w:cs="Times New Roman"/>
                <w:snapToGrid w:val="0"/>
                <w:color w:val="auto"/>
                <w:kern w:val="0"/>
                <w:sz w:val="24"/>
                <w:szCs w:val="24"/>
                <w:lang w:eastAsia="zh-CN"/>
              </w:rPr>
              <w:t>无组织废气最大落地浓度</w:t>
            </w:r>
            <w:r>
              <w:rPr>
                <w:rFonts w:ascii="Times New Roman" w:hAnsi="Times New Roman" w:eastAsia="宋体" w:cs="Times New Roman"/>
                <w:snapToGrid w:val="0"/>
                <w:color w:val="auto"/>
                <w:kern w:val="0"/>
                <w:sz w:val="24"/>
                <w:szCs w:val="24"/>
              </w:rPr>
              <w:t>废气满足《医疗机构水污染物排放标准》（GB18466-2005）表3标准。本项目各废气污染物达标排放，对周围大气环境影响较小。</w:t>
            </w:r>
            <w:r>
              <w:rPr>
                <w:rFonts w:hint="eastAsia" w:ascii="Times New Roman" w:hAnsi="Times New Roman" w:eastAsia="宋体" w:cs="Times New Roman"/>
                <w:snapToGrid w:val="0"/>
                <w:color w:val="auto"/>
                <w:kern w:val="0"/>
                <w:sz w:val="24"/>
                <w:szCs w:val="24"/>
                <w:lang w:val="en-US" w:eastAsia="zh-CN" w:bidi="ar-SA"/>
              </w:rPr>
              <w:t>本项目东侧180m</w:t>
            </w:r>
            <w:r>
              <w:rPr>
                <w:rFonts w:hint="eastAsia" w:cs="Times New Roman"/>
                <w:snapToGrid w:val="0"/>
                <w:color w:val="auto"/>
                <w:kern w:val="0"/>
                <w:sz w:val="24"/>
                <w:szCs w:val="24"/>
                <w:lang w:val="en-US" w:eastAsia="zh-CN" w:bidi="ar-SA"/>
              </w:rPr>
              <w:t>处有</w:t>
            </w:r>
            <w:r>
              <w:rPr>
                <w:rFonts w:hint="eastAsia" w:ascii="Times New Roman" w:hAnsi="Times New Roman" w:eastAsia="宋体" w:cs="Times New Roman"/>
                <w:snapToGrid w:val="0"/>
                <w:color w:val="auto"/>
                <w:kern w:val="0"/>
                <w:sz w:val="24"/>
                <w:szCs w:val="24"/>
                <w:lang w:val="en-US" w:eastAsia="zh-CN" w:bidi="ar-SA"/>
              </w:rPr>
              <w:t>国家级文物保护单位：西安明城墙，本项目为眼科医院项目，</w:t>
            </w:r>
            <w:r>
              <w:rPr>
                <w:rFonts w:hint="eastAsia" w:cs="Times New Roman"/>
                <w:snapToGrid w:val="0"/>
                <w:color w:val="auto"/>
                <w:kern w:val="0"/>
                <w:sz w:val="24"/>
                <w:szCs w:val="24"/>
                <w:lang w:val="en-US" w:eastAsia="zh-CN" w:bidi="ar-SA"/>
              </w:rPr>
              <w:t>大气</w:t>
            </w:r>
            <w:r>
              <w:rPr>
                <w:rFonts w:hint="eastAsia" w:ascii="Times New Roman" w:hAnsi="Times New Roman" w:eastAsia="宋体" w:cs="Times New Roman"/>
                <w:snapToGrid w:val="0"/>
                <w:color w:val="auto"/>
                <w:kern w:val="0"/>
                <w:sz w:val="24"/>
                <w:szCs w:val="24"/>
                <w:lang w:val="en-US" w:eastAsia="zh-CN" w:bidi="ar-SA"/>
              </w:rPr>
              <w:t>污染物经过处理后均能达标排放，不会对城墙产生影响。</w:t>
            </w:r>
          </w:p>
          <w:p>
            <w:pPr>
              <w:spacing w:line="360" w:lineRule="auto"/>
              <w:jc w:val="left"/>
              <w:rPr>
                <w:b/>
                <w:bCs/>
                <w:color w:val="auto"/>
                <w:kern w:val="0"/>
                <w:sz w:val="24"/>
                <w:szCs w:val="24"/>
              </w:rPr>
            </w:pPr>
            <w:r>
              <w:rPr>
                <w:b/>
                <w:bCs/>
                <w:color w:val="auto"/>
                <w:kern w:val="0"/>
                <w:sz w:val="24"/>
                <w:szCs w:val="24"/>
              </w:rPr>
              <w:t>2、废水</w:t>
            </w:r>
          </w:p>
          <w:p>
            <w:pPr>
              <w:adjustRightInd w:val="0"/>
              <w:snapToGrid w:val="0"/>
              <w:spacing w:line="360" w:lineRule="auto"/>
              <w:ind w:firstLine="480" w:firstLineChars="200"/>
              <w:rPr>
                <w:rFonts w:hint="eastAsia" w:cs="Times New Roman"/>
                <w:color w:val="auto"/>
                <w:sz w:val="24"/>
                <w:szCs w:val="24"/>
                <w:lang w:eastAsia="zh-CN"/>
              </w:rPr>
            </w:pPr>
            <w:r>
              <w:rPr>
                <w:rFonts w:hint="eastAsia" w:cs="Times New Roman"/>
                <w:color w:val="auto"/>
                <w:sz w:val="24"/>
                <w:szCs w:val="24"/>
                <w:lang w:eastAsia="zh-CN"/>
              </w:rPr>
              <w:t>（</w:t>
            </w:r>
            <w:r>
              <w:rPr>
                <w:rFonts w:hint="eastAsia" w:cs="Times New Roman"/>
                <w:color w:val="auto"/>
                <w:sz w:val="24"/>
                <w:szCs w:val="24"/>
                <w:lang w:val="en-US" w:eastAsia="zh-CN"/>
              </w:rPr>
              <w:t>1</w:t>
            </w:r>
            <w:r>
              <w:rPr>
                <w:rFonts w:hint="eastAsia" w:cs="Times New Roman"/>
                <w:color w:val="auto"/>
                <w:sz w:val="24"/>
                <w:szCs w:val="24"/>
                <w:lang w:eastAsia="zh-CN"/>
              </w:rPr>
              <w:t>）废水污染源强</w:t>
            </w:r>
          </w:p>
          <w:p>
            <w:pPr>
              <w:adjustRightInd w:val="0"/>
              <w:snapToGrid w:val="0"/>
              <w:spacing w:line="360" w:lineRule="auto"/>
              <w:ind w:firstLine="480" w:firstLineChars="200"/>
              <w:rPr>
                <w:rFonts w:hint="eastAsia" w:cs="Times New Roman"/>
                <w:color w:val="auto"/>
                <w:sz w:val="24"/>
                <w:szCs w:val="24"/>
                <w:lang w:eastAsia="zh-CN"/>
              </w:rPr>
            </w:pPr>
            <w:r>
              <w:rPr>
                <w:rFonts w:hint="eastAsia" w:cs="Times New Roman"/>
                <w:color w:val="auto"/>
                <w:sz w:val="24"/>
                <w:szCs w:val="24"/>
                <w:lang w:eastAsia="zh-CN"/>
              </w:rPr>
              <w:t>本项目废水主要包含行政办公人员生活污水、门诊废水、医护人员生活污水、病房废水、检验废水等，总废水量为</w:t>
            </w:r>
            <w:r>
              <w:rPr>
                <w:rFonts w:hint="eastAsia" w:cs="Times New Roman"/>
                <w:color w:val="auto"/>
                <w:sz w:val="24"/>
                <w:szCs w:val="24"/>
                <w:lang w:val="en-US" w:eastAsia="zh-CN"/>
              </w:rPr>
              <w:t>4142.6t/a</w:t>
            </w:r>
            <w:r>
              <w:rPr>
                <w:rFonts w:hint="eastAsia" w:cs="Times New Roman"/>
                <w:color w:val="auto"/>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Times New Roman"/>
                <w:color w:val="auto"/>
                <w:sz w:val="24"/>
                <w:szCs w:val="24"/>
                <w:lang w:eastAsia="zh-CN"/>
              </w:rPr>
            </w:pPr>
            <w:r>
              <w:rPr>
                <w:rFonts w:hint="eastAsia" w:cs="Times New Roman"/>
                <w:color w:val="auto"/>
                <w:sz w:val="24"/>
                <w:szCs w:val="24"/>
                <w:lang w:eastAsia="zh-CN"/>
              </w:rPr>
              <w:t>①行政办公人员生活污水</w:t>
            </w:r>
          </w:p>
          <w:p>
            <w:pPr>
              <w:pStyle w:val="10"/>
              <w:keepNext w:val="0"/>
              <w:keepLines w:val="0"/>
              <w:pageBreakBefore w:val="0"/>
              <w:widowControl w:val="0"/>
              <w:kinsoku/>
              <w:wordWrap/>
              <w:overflowPunct/>
              <w:topLinePunct w:val="0"/>
              <w:autoSpaceDE/>
              <w:autoSpaceDN/>
              <w:bidi w:val="0"/>
              <w:spacing w:after="0" w:line="360" w:lineRule="auto"/>
              <w:ind w:firstLine="480" w:firstLineChars="200"/>
              <w:textAlignment w:val="auto"/>
              <w:rPr>
                <w:rFonts w:hint="default"/>
                <w:color w:val="auto"/>
                <w:sz w:val="24"/>
                <w:szCs w:val="24"/>
                <w:lang w:val="en-US" w:eastAsia="zh-CN"/>
              </w:rPr>
            </w:pPr>
            <w:r>
              <w:rPr>
                <w:rFonts w:hint="eastAsia" w:cs="Times New Roman"/>
                <w:color w:val="auto"/>
                <w:sz w:val="24"/>
                <w:szCs w:val="24"/>
                <w:lang w:eastAsia="zh-CN"/>
              </w:rPr>
              <w:t>根据水平衡，行政人员生活污水量为</w:t>
            </w:r>
            <w:r>
              <w:rPr>
                <w:rFonts w:hint="eastAsia" w:cs="Times New Roman"/>
                <w:color w:val="auto"/>
                <w:sz w:val="24"/>
                <w:szCs w:val="24"/>
                <w:lang w:val="en-US" w:eastAsia="zh-CN"/>
              </w:rPr>
              <w:t>420t/a，主要污染物包括：</w:t>
            </w:r>
            <w:r>
              <w:rPr>
                <w:rFonts w:hint="default" w:ascii="Times New Roman" w:hAnsi="Times New Roman" w:cs="Times New Roman"/>
                <w:color w:val="auto"/>
                <w:sz w:val="24"/>
                <w:szCs w:val="24"/>
                <w:vertAlign w:val="baseline"/>
                <w:lang w:val="en-US" w:eastAsia="zh-CN"/>
              </w:rPr>
              <w:t>COD</w:t>
            </w:r>
            <w:r>
              <w:rPr>
                <w:rFonts w:hint="eastAsia" w:cs="Times New Roman"/>
                <w:color w:val="auto"/>
                <w:sz w:val="24"/>
                <w:szCs w:val="24"/>
                <w:lang w:val="en-US" w:eastAsia="zh-CN"/>
              </w:rPr>
              <w:t>、</w:t>
            </w:r>
            <w:r>
              <w:rPr>
                <w:rFonts w:hint="default" w:ascii="Times New Roman" w:hAnsi="Times New Roman" w:cs="Times New Roman"/>
                <w:color w:val="auto"/>
                <w:sz w:val="24"/>
                <w:szCs w:val="24"/>
                <w:vertAlign w:val="baseline"/>
                <w:lang w:val="en-US" w:eastAsia="zh-CN"/>
              </w:rPr>
              <w:t>BOD</w:t>
            </w:r>
            <w:r>
              <w:rPr>
                <w:rFonts w:hint="eastAsia" w:ascii="Times New Roman" w:hAnsi="Times New Roman" w:cs="Times New Roman"/>
                <w:color w:val="auto"/>
                <w:sz w:val="24"/>
                <w:szCs w:val="24"/>
                <w:vertAlign w:val="subscript"/>
                <w:lang w:val="en-US" w:eastAsia="zh-CN"/>
              </w:rPr>
              <w:t>5</w:t>
            </w:r>
            <w:r>
              <w:rPr>
                <w:rFonts w:hint="eastAsia" w:cs="Times New Roman"/>
                <w:color w:val="auto"/>
                <w:sz w:val="24"/>
                <w:szCs w:val="24"/>
                <w:lang w:val="en-US" w:eastAsia="zh-CN"/>
              </w:rPr>
              <w:t>、</w:t>
            </w:r>
            <w:r>
              <w:rPr>
                <w:rFonts w:hint="default" w:ascii="Times New Roman" w:hAnsi="Times New Roman" w:cs="Times New Roman"/>
                <w:color w:val="auto"/>
                <w:sz w:val="24"/>
                <w:szCs w:val="24"/>
                <w:vertAlign w:val="baseline"/>
                <w:lang w:val="en-US" w:eastAsia="zh-CN"/>
              </w:rPr>
              <w:t>SS</w:t>
            </w:r>
            <w:r>
              <w:rPr>
                <w:rFonts w:hint="eastAsia" w:cs="Times New Roman"/>
                <w:color w:val="auto"/>
                <w:sz w:val="24"/>
                <w:szCs w:val="24"/>
                <w:lang w:val="en-US" w:eastAsia="zh-CN"/>
              </w:rPr>
              <w:t>、</w:t>
            </w:r>
            <w:r>
              <w:rPr>
                <w:rFonts w:hint="default" w:ascii="Times New Roman" w:hAnsi="Times New Roman" w:cs="Times New Roman"/>
                <w:color w:val="auto"/>
                <w:sz w:val="24"/>
                <w:szCs w:val="24"/>
                <w:vertAlign w:val="baseline"/>
                <w:lang w:val="en-US" w:eastAsia="zh-CN"/>
              </w:rPr>
              <w:t>NH</w:t>
            </w:r>
            <w:r>
              <w:rPr>
                <w:rFonts w:hint="default" w:ascii="Times New Roman" w:hAnsi="Times New Roman" w:cs="Times New Roman"/>
                <w:color w:val="auto"/>
                <w:sz w:val="24"/>
                <w:szCs w:val="24"/>
                <w:vertAlign w:val="subscript"/>
                <w:lang w:val="en-US" w:eastAsia="zh-CN"/>
              </w:rPr>
              <w:t>3</w:t>
            </w:r>
            <w:r>
              <w:rPr>
                <w:rFonts w:hint="default" w:ascii="Times New Roman" w:hAnsi="Times New Roman" w:cs="Times New Roman"/>
                <w:color w:val="auto"/>
                <w:sz w:val="24"/>
                <w:szCs w:val="24"/>
                <w:vertAlign w:val="baseline"/>
                <w:lang w:val="en-US" w:eastAsia="zh-CN"/>
              </w:rPr>
              <w:t>-N</w:t>
            </w:r>
            <w:r>
              <w:rPr>
                <w:rFonts w:hint="eastAsia" w:cs="Times New Roman"/>
                <w:color w:val="auto"/>
                <w:sz w:val="24"/>
                <w:szCs w:val="24"/>
                <w:vertAlign w:val="baseline"/>
                <w:lang w:val="en-US" w:eastAsia="zh-CN"/>
              </w:rPr>
              <w:t>，污水经过化粪池处理后进入污水处理站，处理达标后经过市政管网排入西安市第一污水处理厂一期。</w:t>
            </w:r>
          </w:p>
          <w:p>
            <w:pPr>
              <w:adjustRightInd w:val="0"/>
              <w:snapToGrid w:val="0"/>
              <w:spacing w:line="360" w:lineRule="auto"/>
              <w:ind w:firstLine="480" w:firstLineChars="200"/>
              <w:rPr>
                <w:rFonts w:hint="eastAsia" w:cs="Times New Roman"/>
                <w:color w:val="auto"/>
                <w:sz w:val="24"/>
                <w:szCs w:val="24"/>
                <w:lang w:eastAsia="zh-CN"/>
              </w:rPr>
            </w:pPr>
            <w:r>
              <w:rPr>
                <w:rFonts w:hint="eastAsia" w:cs="Times New Roman"/>
                <w:color w:val="auto"/>
                <w:sz w:val="24"/>
                <w:szCs w:val="24"/>
                <w:lang w:eastAsia="zh-CN"/>
              </w:rPr>
              <w:t>②门诊废水</w:t>
            </w:r>
          </w:p>
          <w:p>
            <w:pPr>
              <w:pStyle w:val="10"/>
              <w:keepNext w:val="0"/>
              <w:keepLines w:val="0"/>
              <w:pageBreakBefore w:val="0"/>
              <w:widowControl w:val="0"/>
              <w:kinsoku/>
              <w:wordWrap/>
              <w:overflowPunct/>
              <w:topLinePunct w:val="0"/>
              <w:autoSpaceDE/>
              <w:autoSpaceDN/>
              <w:bidi w:val="0"/>
              <w:spacing w:after="0" w:line="360" w:lineRule="auto"/>
              <w:ind w:firstLine="480" w:firstLineChars="200"/>
              <w:textAlignment w:val="auto"/>
              <w:rPr>
                <w:rFonts w:hint="eastAsia"/>
                <w:color w:val="auto"/>
                <w:lang w:eastAsia="zh-CN"/>
              </w:rPr>
            </w:pPr>
            <w:r>
              <w:rPr>
                <w:rFonts w:hint="eastAsia" w:cs="Times New Roman"/>
                <w:color w:val="auto"/>
                <w:sz w:val="24"/>
                <w:szCs w:val="24"/>
                <w:lang w:eastAsia="zh-CN"/>
              </w:rPr>
              <w:t>根据水平衡，门诊废水量为</w:t>
            </w:r>
            <w:r>
              <w:rPr>
                <w:rFonts w:hint="eastAsia" w:cs="Times New Roman"/>
                <w:color w:val="auto"/>
                <w:sz w:val="24"/>
                <w:szCs w:val="24"/>
                <w:lang w:val="en-US" w:eastAsia="zh-CN"/>
              </w:rPr>
              <w:t>560t/a，主要污染物包括：</w:t>
            </w:r>
            <w:r>
              <w:rPr>
                <w:rFonts w:hint="default" w:ascii="Times New Roman" w:hAnsi="Times New Roman" w:cs="Times New Roman"/>
                <w:color w:val="auto"/>
                <w:sz w:val="24"/>
                <w:szCs w:val="24"/>
                <w:vertAlign w:val="baseline"/>
                <w:lang w:val="en-US" w:eastAsia="zh-CN"/>
              </w:rPr>
              <w:t>COD</w:t>
            </w:r>
            <w:r>
              <w:rPr>
                <w:rFonts w:hint="eastAsia" w:cs="Times New Roman"/>
                <w:color w:val="auto"/>
                <w:sz w:val="24"/>
                <w:szCs w:val="24"/>
                <w:lang w:val="en-US" w:eastAsia="zh-CN"/>
              </w:rPr>
              <w:t>、</w:t>
            </w:r>
            <w:r>
              <w:rPr>
                <w:rFonts w:hint="default" w:ascii="Times New Roman" w:hAnsi="Times New Roman" w:cs="Times New Roman"/>
                <w:color w:val="auto"/>
                <w:sz w:val="24"/>
                <w:szCs w:val="24"/>
                <w:vertAlign w:val="baseline"/>
                <w:lang w:val="en-US" w:eastAsia="zh-CN"/>
              </w:rPr>
              <w:t>BOD</w:t>
            </w:r>
            <w:r>
              <w:rPr>
                <w:rFonts w:hint="eastAsia" w:ascii="Times New Roman" w:hAnsi="Times New Roman" w:cs="Times New Roman"/>
                <w:color w:val="auto"/>
                <w:sz w:val="24"/>
                <w:szCs w:val="24"/>
                <w:vertAlign w:val="subscript"/>
                <w:lang w:val="en-US" w:eastAsia="zh-CN"/>
              </w:rPr>
              <w:t>5</w:t>
            </w:r>
            <w:r>
              <w:rPr>
                <w:rFonts w:hint="eastAsia" w:cs="Times New Roman"/>
                <w:color w:val="auto"/>
                <w:sz w:val="24"/>
                <w:szCs w:val="24"/>
                <w:lang w:val="en-US" w:eastAsia="zh-CN"/>
              </w:rPr>
              <w:t>、</w:t>
            </w:r>
            <w:r>
              <w:rPr>
                <w:rFonts w:hint="default" w:ascii="Times New Roman" w:hAnsi="Times New Roman" w:cs="Times New Roman"/>
                <w:color w:val="auto"/>
                <w:sz w:val="24"/>
                <w:szCs w:val="24"/>
                <w:vertAlign w:val="baseline"/>
                <w:lang w:val="en-US" w:eastAsia="zh-CN"/>
              </w:rPr>
              <w:t>SS</w:t>
            </w:r>
            <w:r>
              <w:rPr>
                <w:rFonts w:hint="eastAsia" w:cs="Times New Roman"/>
                <w:color w:val="auto"/>
                <w:sz w:val="24"/>
                <w:szCs w:val="24"/>
                <w:lang w:val="en-US" w:eastAsia="zh-CN"/>
              </w:rPr>
              <w:t>、</w:t>
            </w:r>
            <w:r>
              <w:rPr>
                <w:rFonts w:hint="default" w:ascii="Times New Roman" w:hAnsi="Times New Roman" w:cs="Times New Roman"/>
                <w:color w:val="auto"/>
                <w:sz w:val="24"/>
                <w:szCs w:val="24"/>
                <w:vertAlign w:val="baseline"/>
                <w:lang w:val="en-US" w:eastAsia="zh-CN"/>
              </w:rPr>
              <w:t>NH</w:t>
            </w:r>
            <w:r>
              <w:rPr>
                <w:rFonts w:hint="default" w:ascii="Times New Roman" w:hAnsi="Times New Roman" w:cs="Times New Roman"/>
                <w:color w:val="auto"/>
                <w:sz w:val="24"/>
                <w:szCs w:val="24"/>
                <w:vertAlign w:val="subscript"/>
                <w:lang w:val="en-US" w:eastAsia="zh-CN"/>
              </w:rPr>
              <w:t>3</w:t>
            </w:r>
            <w:r>
              <w:rPr>
                <w:rFonts w:hint="default" w:ascii="Times New Roman" w:hAnsi="Times New Roman" w:cs="Times New Roman"/>
                <w:color w:val="auto"/>
                <w:sz w:val="24"/>
                <w:szCs w:val="24"/>
                <w:vertAlign w:val="baseline"/>
                <w:lang w:val="en-US" w:eastAsia="zh-CN"/>
              </w:rPr>
              <w:t>-N</w:t>
            </w:r>
            <w:r>
              <w:rPr>
                <w:rFonts w:hint="eastAsia" w:cs="Times New Roman"/>
                <w:color w:val="auto"/>
                <w:sz w:val="24"/>
                <w:szCs w:val="24"/>
                <w:vertAlign w:val="baseline"/>
                <w:lang w:val="en-US" w:eastAsia="zh-CN"/>
              </w:rPr>
              <w:t>、粪大肠杆菌，废水进入污水处理站处理，处理达标后经过市政管网排入西安市第一污水处理厂一期。</w:t>
            </w:r>
          </w:p>
          <w:p>
            <w:pPr>
              <w:adjustRightInd w:val="0"/>
              <w:snapToGrid w:val="0"/>
              <w:spacing w:line="360" w:lineRule="auto"/>
              <w:ind w:firstLine="480" w:firstLineChars="200"/>
              <w:rPr>
                <w:rFonts w:hint="eastAsia" w:cs="Times New Roman"/>
                <w:color w:val="auto"/>
                <w:sz w:val="24"/>
                <w:szCs w:val="24"/>
                <w:lang w:eastAsia="zh-CN"/>
              </w:rPr>
            </w:pPr>
            <w:r>
              <w:rPr>
                <w:rFonts w:hint="eastAsia" w:cs="Times New Roman"/>
                <w:color w:val="auto"/>
                <w:sz w:val="24"/>
                <w:szCs w:val="24"/>
                <w:lang w:eastAsia="zh-CN"/>
              </w:rPr>
              <w:t>③医护人员生活污水</w:t>
            </w:r>
          </w:p>
          <w:p>
            <w:pPr>
              <w:pStyle w:val="10"/>
              <w:keepNext w:val="0"/>
              <w:keepLines w:val="0"/>
              <w:pageBreakBefore w:val="0"/>
              <w:widowControl w:val="0"/>
              <w:kinsoku/>
              <w:wordWrap/>
              <w:overflowPunct/>
              <w:topLinePunct w:val="0"/>
              <w:autoSpaceDE/>
              <w:autoSpaceDN/>
              <w:bidi w:val="0"/>
              <w:spacing w:after="0" w:line="360" w:lineRule="auto"/>
              <w:ind w:firstLine="480" w:firstLineChars="200"/>
              <w:textAlignment w:val="auto"/>
              <w:rPr>
                <w:rFonts w:hint="eastAsia"/>
                <w:color w:val="auto"/>
                <w:lang w:eastAsia="zh-CN"/>
              </w:rPr>
            </w:pPr>
            <w:r>
              <w:rPr>
                <w:rFonts w:hint="eastAsia" w:cs="Times New Roman"/>
                <w:color w:val="auto"/>
                <w:sz w:val="24"/>
                <w:szCs w:val="24"/>
                <w:lang w:eastAsia="zh-CN"/>
              </w:rPr>
              <w:t>根据水平衡，医护人员生活污水量为</w:t>
            </w:r>
            <w:r>
              <w:rPr>
                <w:rFonts w:hint="eastAsia" w:cs="Times New Roman"/>
                <w:color w:val="auto"/>
                <w:sz w:val="24"/>
                <w:szCs w:val="24"/>
                <w:lang w:val="en-US" w:eastAsia="zh-CN"/>
              </w:rPr>
              <w:t>700.8t/a，主要污染物包括：</w:t>
            </w:r>
            <w:r>
              <w:rPr>
                <w:rFonts w:hint="default" w:ascii="Times New Roman" w:hAnsi="Times New Roman" w:cs="Times New Roman"/>
                <w:color w:val="auto"/>
                <w:sz w:val="24"/>
                <w:szCs w:val="24"/>
                <w:vertAlign w:val="baseline"/>
                <w:lang w:val="en-US" w:eastAsia="zh-CN"/>
              </w:rPr>
              <w:t>COD</w:t>
            </w:r>
            <w:r>
              <w:rPr>
                <w:rFonts w:hint="eastAsia" w:cs="Times New Roman"/>
                <w:color w:val="auto"/>
                <w:sz w:val="24"/>
                <w:szCs w:val="24"/>
                <w:lang w:val="en-US" w:eastAsia="zh-CN"/>
              </w:rPr>
              <w:t>、</w:t>
            </w:r>
            <w:r>
              <w:rPr>
                <w:rFonts w:hint="default" w:ascii="Times New Roman" w:hAnsi="Times New Roman" w:cs="Times New Roman"/>
                <w:color w:val="auto"/>
                <w:sz w:val="24"/>
                <w:szCs w:val="24"/>
                <w:vertAlign w:val="baseline"/>
                <w:lang w:val="en-US" w:eastAsia="zh-CN"/>
              </w:rPr>
              <w:t>BOD</w:t>
            </w:r>
            <w:r>
              <w:rPr>
                <w:rFonts w:hint="eastAsia" w:ascii="Times New Roman" w:hAnsi="Times New Roman" w:cs="Times New Roman"/>
                <w:color w:val="auto"/>
                <w:sz w:val="24"/>
                <w:szCs w:val="24"/>
                <w:vertAlign w:val="subscript"/>
                <w:lang w:val="en-US" w:eastAsia="zh-CN"/>
              </w:rPr>
              <w:t>5</w:t>
            </w:r>
            <w:r>
              <w:rPr>
                <w:rFonts w:hint="eastAsia" w:cs="Times New Roman"/>
                <w:color w:val="auto"/>
                <w:sz w:val="24"/>
                <w:szCs w:val="24"/>
                <w:lang w:val="en-US" w:eastAsia="zh-CN"/>
              </w:rPr>
              <w:t>、</w:t>
            </w:r>
            <w:r>
              <w:rPr>
                <w:rFonts w:hint="default" w:ascii="Times New Roman" w:hAnsi="Times New Roman" w:cs="Times New Roman"/>
                <w:color w:val="auto"/>
                <w:sz w:val="24"/>
                <w:szCs w:val="24"/>
                <w:vertAlign w:val="baseline"/>
                <w:lang w:val="en-US" w:eastAsia="zh-CN"/>
              </w:rPr>
              <w:t>SS</w:t>
            </w:r>
            <w:r>
              <w:rPr>
                <w:rFonts w:hint="eastAsia" w:cs="Times New Roman"/>
                <w:color w:val="auto"/>
                <w:sz w:val="24"/>
                <w:szCs w:val="24"/>
                <w:lang w:val="en-US" w:eastAsia="zh-CN"/>
              </w:rPr>
              <w:t>、</w:t>
            </w:r>
            <w:r>
              <w:rPr>
                <w:rFonts w:hint="default" w:ascii="Times New Roman" w:hAnsi="Times New Roman" w:cs="Times New Roman"/>
                <w:color w:val="auto"/>
                <w:sz w:val="24"/>
                <w:szCs w:val="24"/>
                <w:vertAlign w:val="baseline"/>
                <w:lang w:val="en-US" w:eastAsia="zh-CN"/>
              </w:rPr>
              <w:t>NH</w:t>
            </w:r>
            <w:r>
              <w:rPr>
                <w:rFonts w:hint="default" w:ascii="Times New Roman" w:hAnsi="Times New Roman" w:cs="Times New Roman"/>
                <w:color w:val="auto"/>
                <w:sz w:val="24"/>
                <w:szCs w:val="24"/>
                <w:vertAlign w:val="subscript"/>
                <w:lang w:val="en-US" w:eastAsia="zh-CN"/>
              </w:rPr>
              <w:t>3</w:t>
            </w:r>
            <w:r>
              <w:rPr>
                <w:rFonts w:hint="default" w:ascii="Times New Roman" w:hAnsi="Times New Roman" w:cs="Times New Roman"/>
                <w:color w:val="auto"/>
                <w:sz w:val="24"/>
                <w:szCs w:val="24"/>
                <w:vertAlign w:val="baseline"/>
                <w:lang w:val="en-US" w:eastAsia="zh-CN"/>
              </w:rPr>
              <w:t>-N</w:t>
            </w:r>
            <w:r>
              <w:rPr>
                <w:rFonts w:hint="eastAsia" w:cs="Times New Roman"/>
                <w:color w:val="auto"/>
                <w:sz w:val="24"/>
                <w:szCs w:val="24"/>
                <w:vertAlign w:val="baseline"/>
                <w:lang w:val="en-US" w:eastAsia="zh-CN"/>
              </w:rPr>
              <w:t>，污水经过化粪池处理后进入污水处理站，处理达标后经过市政管网排入西安市第一污水处理厂一期。</w:t>
            </w:r>
          </w:p>
          <w:p>
            <w:pPr>
              <w:adjustRightInd w:val="0"/>
              <w:snapToGrid w:val="0"/>
              <w:spacing w:line="360" w:lineRule="auto"/>
              <w:ind w:firstLine="480" w:firstLineChars="200"/>
              <w:rPr>
                <w:rFonts w:hint="eastAsia" w:cs="Times New Roman"/>
                <w:color w:val="auto"/>
                <w:sz w:val="24"/>
                <w:szCs w:val="24"/>
                <w:lang w:eastAsia="zh-CN"/>
              </w:rPr>
            </w:pPr>
            <w:r>
              <w:rPr>
                <w:rFonts w:hint="eastAsia" w:cs="Times New Roman"/>
                <w:color w:val="auto"/>
                <w:sz w:val="24"/>
                <w:szCs w:val="24"/>
                <w:lang w:eastAsia="zh-CN"/>
              </w:rPr>
              <w:t>④病房废水</w:t>
            </w:r>
          </w:p>
          <w:p>
            <w:pPr>
              <w:adjustRightInd w:val="0"/>
              <w:snapToGrid w:val="0"/>
              <w:spacing w:line="360" w:lineRule="auto"/>
              <w:ind w:firstLine="480" w:firstLineChars="200"/>
              <w:rPr>
                <w:rFonts w:hint="default" w:cs="Times New Roman"/>
                <w:color w:val="auto"/>
                <w:sz w:val="24"/>
                <w:szCs w:val="24"/>
                <w:vertAlign w:val="baseline"/>
                <w:lang w:val="en-US" w:eastAsia="zh-CN"/>
              </w:rPr>
            </w:pPr>
            <w:r>
              <w:rPr>
                <w:rFonts w:hint="eastAsia" w:cs="Times New Roman"/>
                <w:color w:val="auto"/>
                <w:sz w:val="24"/>
                <w:szCs w:val="24"/>
                <w:lang w:eastAsia="zh-CN"/>
              </w:rPr>
              <w:t>根据水平衡，病房废水量为</w:t>
            </w:r>
            <w:r>
              <w:rPr>
                <w:rFonts w:hint="eastAsia" w:cs="Times New Roman"/>
                <w:color w:val="auto"/>
                <w:sz w:val="24"/>
                <w:szCs w:val="24"/>
                <w:lang w:val="en-US" w:eastAsia="zh-CN"/>
              </w:rPr>
              <w:t>2452.8t/a，主要污染物包括：</w:t>
            </w:r>
            <w:r>
              <w:rPr>
                <w:rFonts w:hint="default" w:ascii="Times New Roman" w:hAnsi="Times New Roman" w:cs="Times New Roman"/>
                <w:color w:val="auto"/>
                <w:sz w:val="24"/>
                <w:szCs w:val="24"/>
                <w:vertAlign w:val="baseline"/>
                <w:lang w:val="en-US" w:eastAsia="zh-CN"/>
              </w:rPr>
              <w:t>COD</w:t>
            </w:r>
            <w:r>
              <w:rPr>
                <w:rFonts w:hint="eastAsia" w:cs="Times New Roman"/>
                <w:color w:val="auto"/>
                <w:sz w:val="24"/>
                <w:szCs w:val="24"/>
                <w:lang w:val="en-US" w:eastAsia="zh-CN"/>
              </w:rPr>
              <w:t>、</w:t>
            </w:r>
            <w:r>
              <w:rPr>
                <w:rFonts w:hint="default" w:ascii="Times New Roman" w:hAnsi="Times New Roman" w:cs="Times New Roman"/>
                <w:color w:val="auto"/>
                <w:sz w:val="24"/>
                <w:szCs w:val="24"/>
                <w:vertAlign w:val="baseline"/>
                <w:lang w:val="en-US" w:eastAsia="zh-CN"/>
              </w:rPr>
              <w:t>BOD</w:t>
            </w:r>
            <w:r>
              <w:rPr>
                <w:rFonts w:hint="eastAsia" w:ascii="Times New Roman" w:hAnsi="Times New Roman" w:cs="Times New Roman"/>
                <w:color w:val="auto"/>
                <w:sz w:val="24"/>
                <w:szCs w:val="24"/>
                <w:vertAlign w:val="subscript"/>
                <w:lang w:val="en-US" w:eastAsia="zh-CN"/>
              </w:rPr>
              <w:t>5</w:t>
            </w:r>
            <w:r>
              <w:rPr>
                <w:rFonts w:hint="eastAsia" w:cs="Times New Roman"/>
                <w:color w:val="auto"/>
                <w:sz w:val="24"/>
                <w:szCs w:val="24"/>
                <w:lang w:val="en-US" w:eastAsia="zh-CN"/>
              </w:rPr>
              <w:t>、</w:t>
            </w:r>
            <w:r>
              <w:rPr>
                <w:rFonts w:hint="default" w:ascii="Times New Roman" w:hAnsi="Times New Roman" w:cs="Times New Roman"/>
                <w:color w:val="auto"/>
                <w:sz w:val="24"/>
                <w:szCs w:val="24"/>
                <w:vertAlign w:val="baseline"/>
                <w:lang w:val="en-US" w:eastAsia="zh-CN"/>
              </w:rPr>
              <w:t>SS</w:t>
            </w:r>
            <w:r>
              <w:rPr>
                <w:rFonts w:hint="eastAsia" w:cs="Times New Roman"/>
                <w:color w:val="auto"/>
                <w:sz w:val="24"/>
                <w:szCs w:val="24"/>
                <w:lang w:val="en-US" w:eastAsia="zh-CN"/>
              </w:rPr>
              <w:t>、</w:t>
            </w:r>
            <w:r>
              <w:rPr>
                <w:rFonts w:hint="default" w:ascii="Times New Roman" w:hAnsi="Times New Roman" w:cs="Times New Roman"/>
                <w:color w:val="auto"/>
                <w:sz w:val="24"/>
                <w:szCs w:val="24"/>
                <w:vertAlign w:val="baseline"/>
                <w:lang w:val="en-US" w:eastAsia="zh-CN"/>
              </w:rPr>
              <w:t>NH</w:t>
            </w:r>
            <w:r>
              <w:rPr>
                <w:rFonts w:hint="default" w:ascii="Times New Roman" w:hAnsi="Times New Roman" w:cs="Times New Roman"/>
                <w:color w:val="auto"/>
                <w:sz w:val="24"/>
                <w:szCs w:val="24"/>
                <w:vertAlign w:val="subscript"/>
                <w:lang w:val="en-US" w:eastAsia="zh-CN"/>
              </w:rPr>
              <w:t>3</w:t>
            </w:r>
            <w:r>
              <w:rPr>
                <w:rFonts w:hint="default" w:ascii="Times New Roman" w:hAnsi="Times New Roman" w:cs="Times New Roman"/>
                <w:color w:val="auto"/>
                <w:sz w:val="24"/>
                <w:szCs w:val="24"/>
                <w:vertAlign w:val="baseline"/>
                <w:lang w:val="en-US" w:eastAsia="zh-CN"/>
              </w:rPr>
              <w:t>-N</w:t>
            </w:r>
            <w:r>
              <w:rPr>
                <w:rFonts w:hint="eastAsia" w:cs="Times New Roman"/>
                <w:color w:val="auto"/>
                <w:sz w:val="24"/>
                <w:szCs w:val="24"/>
                <w:vertAlign w:val="baseline"/>
                <w:lang w:val="en-US" w:eastAsia="zh-CN"/>
              </w:rPr>
              <w:t>，污水经过化粪池处理后进入污水处理站，处理达标后经过市政管网排入西安市第一污水处理厂一期。</w:t>
            </w:r>
          </w:p>
          <w:p>
            <w:pPr>
              <w:adjustRightInd w:val="0"/>
              <w:snapToGrid w:val="0"/>
              <w:spacing w:line="360" w:lineRule="auto"/>
              <w:ind w:firstLine="480" w:firstLineChars="200"/>
              <w:rPr>
                <w:rFonts w:hint="eastAsia" w:cs="Times New Roman"/>
                <w:color w:val="auto"/>
                <w:sz w:val="24"/>
                <w:szCs w:val="24"/>
                <w:lang w:eastAsia="zh-CN"/>
              </w:rPr>
            </w:pPr>
            <w:r>
              <w:rPr>
                <w:rFonts w:hint="eastAsia" w:cs="Times New Roman"/>
                <w:color w:val="auto"/>
                <w:sz w:val="24"/>
                <w:szCs w:val="24"/>
                <w:lang w:eastAsia="zh-CN"/>
              </w:rPr>
              <w:t>⑤检验废水</w:t>
            </w:r>
          </w:p>
          <w:p>
            <w:pPr>
              <w:pStyle w:val="10"/>
              <w:keepNext w:val="0"/>
              <w:keepLines w:val="0"/>
              <w:pageBreakBefore w:val="0"/>
              <w:widowControl w:val="0"/>
              <w:kinsoku/>
              <w:wordWrap/>
              <w:overflowPunct/>
              <w:topLinePunct w:val="0"/>
              <w:autoSpaceDE/>
              <w:autoSpaceDN/>
              <w:bidi w:val="0"/>
              <w:spacing w:after="0" w:line="360" w:lineRule="auto"/>
              <w:ind w:firstLine="480" w:firstLineChars="200"/>
              <w:textAlignment w:val="auto"/>
              <w:rPr>
                <w:rFonts w:hint="eastAsia"/>
                <w:color w:val="auto"/>
                <w:lang w:eastAsia="zh-CN"/>
              </w:rPr>
            </w:pPr>
            <w:r>
              <w:rPr>
                <w:rFonts w:hint="eastAsia" w:cs="Times New Roman"/>
                <w:color w:val="auto"/>
                <w:sz w:val="24"/>
                <w:szCs w:val="24"/>
                <w:lang w:eastAsia="zh-CN"/>
              </w:rPr>
              <w:t>根据水平衡，检验废水量为</w:t>
            </w:r>
            <w:r>
              <w:rPr>
                <w:rFonts w:hint="eastAsia" w:cs="Times New Roman"/>
                <w:color w:val="auto"/>
                <w:sz w:val="24"/>
                <w:szCs w:val="24"/>
                <w:lang w:val="en-US" w:eastAsia="zh-CN"/>
              </w:rPr>
              <w:t>9t/a，主要污染物包括：</w:t>
            </w:r>
            <w:r>
              <w:rPr>
                <w:rFonts w:hint="default" w:ascii="Times New Roman" w:hAnsi="Times New Roman" w:cs="Times New Roman"/>
                <w:color w:val="auto"/>
                <w:sz w:val="24"/>
                <w:szCs w:val="24"/>
                <w:vertAlign w:val="baseline"/>
                <w:lang w:val="en-US" w:eastAsia="zh-CN"/>
              </w:rPr>
              <w:t>COD</w:t>
            </w:r>
            <w:r>
              <w:rPr>
                <w:rFonts w:hint="eastAsia" w:cs="Times New Roman"/>
                <w:color w:val="auto"/>
                <w:sz w:val="24"/>
                <w:szCs w:val="24"/>
                <w:lang w:val="en-US" w:eastAsia="zh-CN"/>
              </w:rPr>
              <w:t>、</w:t>
            </w:r>
            <w:r>
              <w:rPr>
                <w:rFonts w:hint="default" w:ascii="Times New Roman" w:hAnsi="Times New Roman" w:cs="Times New Roman"/>
                <w:color w:val="auto"/>
                <w:sz w:val="24"/>
                <w:szCs w:val="24"/>
                <w:vertAlign w:val="baseline"/>
                <w:lang w:val="en-US" w:eastAsia="zh-CN"/>
              </w:rPr>
              <w:t>BOD</w:t>
            </w:r>
            <w:r>
              <w:rPr>
                <w:rFonts w:hint="eastAsia" w:ascii="Times New Roman" w:hAnsi="Times New Roman" w:cs="Times New Roman"/>
                <w:color w:val="auto"/>
                <w:sz w:val="24"/>
                <w:szCs w:val="24"/>
                <w:vertAlign w:val="subscript"/>
                <w:lang w:val="en-US" w:eastAsia="zh-CN"/>
              </w:rPr>
              <w:t>5</w:t>
            </w:r>
            <w:r>
              <w:rPr>
                <w:rFonts w:hint="eastAsia" w:cs="Times New Roman"/>
                <w:color w:val="auto"/>
                <w:sz w:val="24"/>
                <w:szCs w:val="24"/>
                <w:lang w:val="en-US" w:eastAsia="zh-CN"/>
              </w:rPr>
              <w:t>、</w:t>
            </w:r>
            <w:r>
              <w:rPr>
                <w:rFonts w:hint="default" w:ascii="Times New Roman" w:hAnsi="Times New Roman" w:cs="Times New Roman"/>
                <w:color w:val="auto"/>
                <w:sz w:val="24"/>
                <w:szCs w:val="24"/>
                <w:vertAlign w:val="baseline"/>
                <w:lang w:val="en-US" w:eastAsia="zh-CN"/>
              </w:rPr>
              <w:t>SS</w:t>
            </w:r>
            <w:r>
              <w:rPr>
                <w:rFonts w:hint="eastAsia" w:cs="Times New Roman"/>
                <w:color w:val="auto"/>
                <w:sz w:val="24"/>
                <w:szCs w:val="24"/>
                <w:lang w:val="en-US" w:eastAsia="zh-CN"/>
              </w:rPr>
              <w:t>、</w:t>
            </w:r>
            <w:r>
              <w:rPr>
                <w:rFonts w:hint="default" w:ascii="Times New Roman" w:hAnsi="Times New Roman" w:cs="Times New Roman"/>
                <w:color w:val="auto"/>
                <w:sz w:val="24"/>
                <w:szCs w:val="24"/>
                <w:vertAlign w:val="baseline"/>
                <w:lang w:val="en-US" w:eastAsia="zh-CN"/>
              </w:rPr>
              <w:t>NH</w:t>
            </w:r>
            <w:r>
              <w:rPr>
                <w:rFonts w:hint="default" w:ascii="Times New Roman" w:hAnsi="Times New Roman" w:cs="Times New Roman"/>
                <w:color w:val="auto"/>
                <w:sz w:val="24"/>
                <w:szCs w:val="24"/>
                <w:vertAlign w:val="subscript"/>
                <w:lang w:val="en-US" w:eastAsia="zh-CN"/>
              </w:rPr>
              <w:t>3</w:t>
            </w:r>
            <w:r>
              <w:rPr>
                <w:rFonts w:hint="default" w:ascii="Times New Roman" w:hAnsi="Times New Roman" w:cs="Times New Roman"/>
                <w:color w:val="auto"/>
                <w:sz w:val="24"/>
                <w:szCs w:val="24"/>
                <w:vertAlign w:val="baseline"/>
                <w:lang w:val="en-US" w:eastAsia="zh-CN"/>
              </w:rPr>
              <w:t>-N</w:t>
            </w:r>
            <w:r>
              <w:rPr>
                <w:rFonts w:hint="eastAsia" w:cs="Times New Roman"/>
                <w:color w:val="auto"/>
                <w:sz w:val="24"/>
                <w:szCs w:val="24"/>
                <w:vertAlign w:val="baseline"/>
                <w:lang w:val="en-US" w:eastAsia="zh-CN"/>
              </w:rPr>
              <w:t>、粪大肠杆菌，废水进入污水处理站处理，处理达标后经过市政管网排入西安市第一污水处理厂一期。</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Times New Roman"/>
                <w:color w:val="auto"/>
                <w:sz w:val="24"/>
                <w:szCs w:val="24"/>
                <w:lang w:val="en-US" w:eastAsia="zh-CN"/>
              </w:rPr>
            </w:pPr>
            <w:r>
              <w:rPr>
                <w:rFonts w:hint="eastAsia"/>
                <w:bCs/>
                <w:color w:val="auto"/>
                <w:sz w:val="24"/>
                <w:szCs w:val="24"/>
                <w:lang w:eastAsia="zh-CN"/>
              </w:rPr>
              <w:t>根据《排污许可证申请与核发技术规范</w:t>
            </w:r>
            <w:r>
              <w:rPr>
                <w:rFonts w:hint="eastAsia"/>
                <w:bCs/>
                <w:color w:val="auto"/>
                <w:sz w:val="24"/>
                <w:szCs w:val="24"/>
                <w:lang w:val="en-US" w:eastAsia="zh-CN"/>
              </w:rPr>
              <w:t xml:space="preserve"> 医疗机构</w:t>
            </w:r>
            <w:r>
              <w:rPr>
                <w:rFonts w:hint="eastAsia"/>
                <w:bCs/>
                <w:color w:val="auto"/>
                <w:sz w:val="24"/>
                <w:szCs w:val="24"/>
                <w:lang w:eastAsia="zh-CN"/>
              </w:rPr>
              <w:t>》</w:t>
            </w:r>
            <w:r>
              <w:rPr>
                <w:rFonts w:hint="eastAsia"/>
                <w:bCs/>
                <w:color w:val="auto"/>
                <w:sz w:val="24"/>
                <w:szCs w:val="24"/>
                <w:lang w:val="en-US" w:eastAsia="zh-CN"/>
              </w:rPr>
              <w:t>（HJ1105-2020），医疗污水指医疗机构门诊、病房、手术室、检验室、病理解剖室、放射室等从事诊疗活动的各科室，以及洗衣房、太平间、消毒供应中心、医疗废物暂存间等处排出的诊疗、生活及粪便污水。当医疗机构其他污水与上述污水混合排出时一律视为医疗污水。本项目生活办公与诊疗活动无法分开，因此产生的所有废水均为医疗废水，其中</w:t>
            </w:r>
            <w:r>
              <w:rPr>
                <w:rFonts w:hint="eastAsia" w:cs="Times New Roman"/>
                <w:color w:val="auto"/>
                <w:sz w:val="24"/>
                <w:szCs w:val="24"/>
                <w:lang w:eastAsia="zh-CN"/>
              </w:rPr>
              <w:t>行政办公人员生活污水、医护人员生活污水、病房废水主要的成分为医护人员或者住院患者的办公、生活产生的废水，水质情况见表</w:t>
            </w:r>
            <w:r>
              <w:rPr>
                <w:rFonts w:hint="eastAsia" w:cs="Times New Roman"/>
                <w:color w:val="auto"/>
                <w:sz w:val="24"/>
                <w:szCs w:val="24"/>
                <w:lang w:val="en-US" w:eastAsia="zh-CN"/>
              </w:rPr>
              <w:t>4-6</w:t>
            </w:r>
            <w:r>
              <w:rPr>
                <w:rFonts w:hint="eastAsia"/>
                <w:bCs/>
                <w:color w:val="auto"/>
                <w:sz w:val="24"/>
                <w:szCs w:val="24"/>
                <w:lang w:val="en-US" w:eastAsia="zh-CN"/>
              </w:rPr>
              <w:t>。</w:t>
            </w:r>
            <w:r>
              <w:rPr>
                <w:rFonts w:hint="eastAsia" w:cs="Times New Roman"/>
                <w:color w:val="auto"/>
                <w:sz w:val="24"/>
                <w:szCs w:val="24"/>
                <w:lang w:val="en-US" w:eastAsia="zh-CN"/>
              </w:rPr>
              <w:t>根据《医院污水处理工程技术规范》（HJ20209-2013），医院污水水质见表4-7：</w:t>
            </w:r>
          </w:p>
          <w:p>
            <w:pPr>
              <w:pStyle w:val="10"/>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cs="Times New Roman"/>
                <w:b/>
                <w:bCs/>
                <w:color w:val="auto"/>
                <w:sz w:val="21"/>
                <w:szCs w:val="21"/>
                <w:lang w:val="en-US" w:eastAsia="zh-CN"/>
              </w:rPr>
            </w:pPr>
            <w:r>
              <w:rPr>
                <w:rFonts w:hint="eastAsia" w:cs="Times New Roman"/>
                <w:b/>
                <w:bCs/>
                <w:color w:val="auto"/>
                <w:sz w:val="21"/>
                <w:szCs w:val="21"/>
                <w:lang w:val="en-US" w:eastAsia="zh-CN"/>
              </w:rPr>
              <w:t>表4-6  行政、医护、病房废水水质  单位：mg/L</w:t>
            </w:r>
          </w:p>
          <w:tbl>
            <w:tblPr>
              <w:tblStyle w:val="26"/>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9"/>
              <w:gridCol w:w="1161"/>
              <w:gridCol w:w="1350"/>
              <w:gridCol w:w="916"/>
              <w:gridCol w:w="1250"/>
              <w:gridCol w:w="2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9"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指标</w:t>
                  </w:r>
                </w:p>
              </w:tc>
              <w:tc>
                <w:tcPr>
                  <w:tcW w:w="1161"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COD</w:t>
                  </w:r>
                </w:p>
              </w:tc>
              <w:tc>
                <w:tcPr>
                  <w:tcW w:w="1350"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BOD</w:t>
                  </w:r>
                  <w:r>
                    <w:rPr>
                      <w:rFonts w:hint="eastAsia" w:ascii="Times New Roman" w:hAnsi="Times New Roman" w:cs="Times New Roman"/>
                      <w:color w:val="auto"/>
                      <w:sz w:val="21"/>
                      <w:szCs w:val="21"/>
                      <w:vertAlign w:val="subscript"/>
                      <w:lang w:val="en-US" w:eastAsia="zh-CN"/>
                    </w:rPr>
                    <w:t>5</w:t>
                  </w:r>
                </w:p>
              </w:tc>
              <w:tc>
                <w:tcPr>
                  <w:tcW w:w="916"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SS</w:t>
                  </w:r>
                </w:p>
              </w:tc>
              <w:tc>
                <w:tcPr>
                  <w:tcW w:w="1250"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NH</w:t>
                  </w:r>
                  <w:r>
                    <w:rPr>
                      <w:rFonts w:hint="default" w:ascii="Times New Roman" w:hAnsi="Times New Roman" w:cs="Times New Roman"/>
                      <w:color w:val="auto"/>
                      <w:sz w:val="21"/>
                      <w:szCs w:val="21"/>
                      <w:vertAlign w:val="subscript"/>
                      <w:lang w:val="en-US" w:eastAsia="zh-CN"/>
                    </w:rPr>
                    <w:t>3</w:t>
                  </w:r>
                  <w:r>
                    <w:rPr>
                      <w:rFonts w:hint="default" w:ascii="Times New Roman" w:hAnsi="Times New Roman" w:cs="Times New Roman"/>
                      <w:color w:val="auto"/>
                      <w:sz w:val="21"/>
                      <w:szCs w:val="21"/>
                      <w:vertAlign w:val="baseline"/>
                      <w:lang w:val="en-US" w:eastAsia="zh-CN"/>
                    </w:rPr>
                    <w:t>-N</w:t>
                  </w:r>
                </w:p>
              </w:tc>
              <w:tc>
                <w:tcPr>
                  <w:tcW w:w="2575"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粪大肠杆菌（个/L）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9"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污染物浓度</w:t>
                  </w:r>
                </w:p>
              </w:tc>
              <w:tc>
                <w:tcPr>
                  <w:tcW w:w="1161"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cs="Times New Roman"/>
                      <w:color w:val="auto"/>
                      <w:sz w:val="21"/>
                      <w:szCs w:val="21"/>
                      <w:vertAlign w:val="baseline"/>
                      <w:lang w:val="en-US" w:eastAsia="zh-CN"/>
                    </w:rPr>
                    <w:t>350</w:t>
                  </w:r>
                </w:p>
              </w:tc>
              <w:tc>
                <w:tcPr>
                  <w:tcW w:w="1350"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cs="Times New Roman"/>
                      <w:color w:val="auto"/>
                      <w:sz w:val="21"/>
                      <w:szCs w:val="21"/>
                      <w:vertAlign w:val="baseline"/>
                      <w:lang w:val="en-US" w:eastAsia="zh-CN"/>
                    </w:rPr>
                    <w:t>200</w:t>
                  </w:r>
                </w:p>
              </w:tc>
              <w:tc>
                <w:tcPr>
                  <w:tcW w:w="916"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cs="Times New Roman"/>
                      <w:color w:val="auto"/>
                      <w:sz w:val="21"/>
                      <w:szCs w:val="21"/>
                      <w:vertAlign w:val="baseline"/>
                      <w:lang w:val="en-US" w:eastAsia="zh-CN"/>
                    </w:rPr>
                    <w:t>200</w:t>
                  </w:r>
                </w:p>
              </w:tc>
              <w:tc>
                <w:tcPr>
                  <w:tcW w:w="1250"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cs="Times New Roman"/>
                      <w:color w:val="auto"/>
                      <w:sz w:val="21"/>
                      <w:szCs w:val="21"/>
                      <w:vertAlign w:val="baseline"/>
                      <w:lang w:val="en-US" w:eastAsia="zh-CN"/>
                    </w:rPr>
                    <w:t>45</w:t>
                  </w:r>
                </w:p>
              </w:tc>
              <w:tc>
                <w:tcPr>
                  <w:tcW w:w="2575"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cs="Times New Roman"/>
                      <w:color w:val="auto"/>
                      <w:sz w:val="21"/>
                      <w:szCs w:val="21"/>
                      <w:vertAlign w:val="baseline"/>
                      <w:lang w:val="en-US" w:eastAsia="zh-CN"/>
                    </w:rPr>
                  </w:pPr>
                  <w:r>
                    <w:rPr>
                      <w:rFonts w:hint="eastAsia" w:ascii="Times New Roman" w:cs="Times New Roman"/>
                      <w:color w:val="auto"/>
                      <w:sz w:val="21"/>
                      <w:szCs w:val="21"/>
                      <w:vertAlign w:val="baseline"/>
                      <w:lang w:val="en-US" w:eastAsia="zh-CN"/>
                    </w:rPr>
                    <w:t>1.6</w:t>
                  </w:r>
                  <w:r>
                    <w:rPr>
                      <w:rFonts w:hint="default" w:ascii="Arial" w:hAnsi="Arial" w:cs="Arial"/>
                      <w:color w:val="auto"/>
                      <w:sz w:val="21"/>
                      <w:szCs w:val="21"/>
                      <w:vertAlign w:val="baseline"/>
                      <w:lang w:val="en-US" w:eastAsia="zh-CN"/>
                    </w:rPr>
                    <w:t>×</w:t>
                  </w:r>
                  <w:r>
                    <w:rPr>
                      <w:rFonts w:hint="eastAsia" w:ascii="Times New Roman" w:hAnsi="Times New Roman" w:cs="Times New Roman"/>
                      <w:color w:val="auto"/>
                      <w:sz w:val="21"/>
                      <w:szCs w:val="21"/>
                      <w:vertAlign w:val="baseline"/>
                      <w:lang w:val="en-US" w:eastAsia="zh-CN"/>
                    </w:rPr>
                    <w:t>10</w:t>
                  </w:r>
                  <w:r>
                    <w:rPr>
                      <w:rFonts w:hint="eastAsia" w:ascii="Times New Roman" w:hAnsi="Times New Roman" w:cs="Times New Roman"/>
                      <w:color w:val="auto"/>
                      <w:sz w:val="21"/>
                      <w:szCs w:val="21"/>
                      <w:vertAlign w:val="superscript"/>
                      <w:lang w:val="en-US" w:eastAsia="zh-CN"/>
                    </w:rPr>
                    <w:t>8</w:t>
                  </w:r>
                </w:p>
              </w:tc>
            </w:tr>
          </w:tbl>
          <w:p>
            <w:pPr>
              <w:pStyle w:val="10"/>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cs="Times New Roman"/>
                <w:b/>
                <w:bCs/>
                <w:color w:val="auto"/>
                <w:sz w:val="21"/>
                <w:szCs w:val="21"/>
                <w:lang w:val="en-US" w:eastAsia="zh-CN"/>
              </w:rPr>
            </w:pPr>
            <w:r>
              <w:rPr>
                <w:rFonts w:hint="eastAsia" w:cs="Times New Roman"/>
                <w:b/>
                <w:bCs/>
                <w:color w:val="auto"/>
                <w:sz w:val="21"/>
                <w:szCs w:val="21"/>
                <w:lang w:val="en-US" w:eastAsia="zh-CN"/>
              </w:rPr>
              <w:t>表4-7  医院污水水质  单位：mg/L</w:t>
            </w:r>
          </w:p>
          <w:tbl>
            <w:tblPr>
              <w:tblStyle w:val="26"/>
              <w:tblW w:w="9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2"/>
              <w:gridCol w:w="1332"/>
              <w:gridCol w:w="1512"/>
              <w:gridCol w:w="1223"/>
              <w:gridCol w:w="1183"/>
              <w:gridCol w:w="2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2"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指标</w:t>
                  </w:r>
                </w:p>
              </w:tc>
              <w:tc>
                <w:tcPr>
                  <w:tcW w:w="1332"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COD</w:t>
                  </w:r>
                </w:p>
              </w:tc>
              <w:tc>
                <w:tcPr>
                  <w:tcW w:w="1512"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BOD</w:t>
                  </w:r>
                  <w:r>
                    <w:rPr>
                      <w:rFonts w:hint="eastAsia" w:ascii="Times New Roman" w:hAnsi="Times New Roman" w:cs="Times New Roman"/>
                      <w:color w:val="auto"/>
                      <w:sz w:val="21"/>
                      <w:szCs w:val="21"/>
                      <w:vertAlign w:val="subscript"/>
                      <w:lang w:val="en-US" w:eastAsia="zh-CN"/>
                    </w:rPr>
                    <w:t>5</w:t>
                  </w:r>
                </w:p>
              </w:tc>
              <w:tc>
                <w:tcPr>
                  <w:tcW w:w="1223"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SS</w:t>
                  </w:r>
                </w:p>
              </w:tc>
              <w:tc>
                <w:tcPr>
                  <w:tcW w:w="1183"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NH</w:t>
                  </w:r>
                  <w:r>
                    <w:rPr>
                      <w:rFonts w:hint="default" w:ascii="Times New Roman" w:hAnsi="Times New Roman" w:cs="Times New Roman"/>
                      <w:color w:val="auto"/>
                      <w:sz w:val="21"/>
                      <w:szCs w:val="21"/>
                      <w:vertAlign w:val="subscript"/>
                      <w:lang w:val="en-US" w:eastAsia="zh-CN"/>
                    </w:rPr>
                    <w:t>3</w:t>
                  </w:r>
                  <w:r>
                    <w:rPr>
                      <w:rFonts w:hint="default" w:ascii="Times New Roman" w:hAnsi="Times New Roman" w:cs="Times New Roman"/>
                      <w:color w:val="auto"/>
                      <w:sz w:val="21"/>
                      <w:szCs w:val="21"/>
                      <w:vertAlign w:val="baseline"/>
                      <w:lang w:val="en-US" w:eastAsia="zh-CN"/>
                    </w:rPr>
                    <w:t>-N</w:t>
                  </w:r>
                </w:p>
              </w:tc>
              <w:tc>
                <w:tcPr>
                  <w:tcW w:w="2133"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粪大肠杆菌（个/L）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2"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污染物浓度范围</w:t>
                  </w:r>
                </w:p>
              </w:tc>
              <w:tc>
                <w:tcPr>
                  <w:tcW w:w="1332"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150~300</w:t>
                  </w:r>
                </w:p>
              </w:tc>
              <w:tc>
                <w:tcPr>
                  <w:tcW w:w="1512"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80~150</w:t>
                  </w:r>
                </w:p>
              </w:tc>
              <w:tc>
                <w:tcPr>
                  <w:tcW w:w="1223"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40~120</w:t>
                  </w:r>
                </w:p>
              </w:tc>
              <w:tc>
                <w:tcPr>
                  <w:tcW w:w="1183"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10~50</w:t>
                  </w:r>
                </w:p>
              </w:tc>
              <w:tc>
                <w:tcPr>
                  <w:tcW w:w="2133"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10</w:t>
                  </w:r>
                  <w:r>
                    <w:rPr>
                      <w:rFonts w:hint="eastAsia" w:ascii="Times New Roman" w:hAnsi="Times New Roman" w:cs="Times New Roman"/>
                      <w:color w:val="auto"/>
                      <w:sz w:val="21"/>
                      <w:szCs w:val="21"/>
                      <w:vertAlign w:val="superscript"/>
                      <w:lang w:val="en-US" w:eastAsia="zh-CN"/>
                    </w:rPr>
                    <w:t>6</w:t>
                  </w:r>
                  <w:r>
                    <w:rPr>
                      <w:rFonts w:hint="eastAsia" w:ascii="Times New Roman" w:hAnsi="Times New Roman" w:cs="Times New Roman"/>
                      <w:color w:val="auto"/>
                      <w:sz w:val="21"/>
                      <w:szCs w:val="21"/>
                      <w:vertAlign w:val="baseline"/>
                      <w:lang w:val="en-US" w:eastAsia="zh-CN"/>
                    </w:rPr>
                    <w:t>~3.0</w:t>
                  </w:r>
                  <w:r>
                    <w:rPr>
                      <w:rFonts w:hint="default" w:ascii="Arial" w:hAnsi="Arial" w:cs="Arial"/>
                      <w:color w:val="auto"/>
                      <w:sz w:val="21"/>
                      <w:szCs w:val="21"/>
                      <w:vertAlign w:val="baseline"/>
                      <w:lang w:val="en-US" w:eastAsia="zh-CN"/>
                    </w:rPr>
                    <w:t>×</w:t>
                  </w:r>
                  <w:r>
                    <w:rPr>
                      <w:rFonts w:hint="eastAsia" w:ascii="Times New Roman" w:hAnsi="Times New Roman" w:cs="Times New Roman"/>
                      <w:color w:val="auto"/>
                      <w:sz w:val="21"/>
                      <w:szCs w:val="21"/>
                      <w:vertAlign w:val="baseline"/>
                      <w:lang w:val="en-US" w:eastAsia="zh-CN"/>
                    </w:rPr>
                    <w:t>10</w:t>
                  </w:r>
                  <w:r>
                    <w:rPr>
                      <w:rFonts w:hint="eastAsia" w:ascii="Times New Roman" w:hAnsi="Times New Roman" w:cs="Times New Roman"/>
                      <w:color w:val="auto"/>
                      <w:sz w:val="21"/>
                      <w:szCs w:val="21"/>
                      <w:vertAlign w:val="superscript"/>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92"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本项目取值</w:t>
                  </w:r>
                </w:p>
              </w:tc>
              <w:tc>
                <w:tcPr>
                  <w:tcW w:w="1332"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250</w:t>
                  </w:r>
                </w:p>
              </w:tc>
              <w:tc>
                <w:tcPr>
                  <w:tcW w:w="1512"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100</w:t>
                  </w:r>
                </w:p>
              </w:tc>
              <w:tc>
                <w:tcPr>
                  <w:tcW w:w="1223"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80</w:t>
                  </w:r>
                </w:p>
              </w:tc>
              <w:tc>
                <w:tcPr>
                  <w:tcW w:w="1183"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cs="Times New Roman"/>
                      <w:color w:val="auto"/>
                      <w:sz w:val="21"/>
                      <w:szCs w:val="21"/>
                      <w:vertAlign w:val="baseline"/>
                      <w:lang w:val="en-US" w:eastAsia="zh-CN"/>
                    </w:rPr>
                    <w:t>50</w:t>
                  </w:r>
                </w:p>
              </w:tc>
              <w:tc>
                <w:tcPr>
                  <w:tcW w:w="2133" w:type="dxa"/>
                  <w:vAlign w:val="center"/>
                </w:tcPr>
                <w:p>
                  <w:pPr>
                    <w:pStyle w:val="11"/>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cs="Times New Roman"/>
                      <w:color w:val="auto"/>
                      <w:sz w:val="21"/>
                      <w:szCs w:val="21"/>
                      <w:vertAlign w:val="baseline"/>
                      <w:lang w:val="en-US" w:eastAsia="zh-CN"/>
                    </w:rPr>
                    <w:t>1.6</w:t>
                  </w:r>
                  <w:r>
                    <w:rPr>
                      <w:rFonts w:hint="default" w:ascii="Arial" w:hAnsi="Arial" w:cs="Arial"/>
                      <w:color w:val="auto"/>
                      <w:sz w:val="21"/>
                      <w:szCs w:val="21"/>
                      <w:vertAlign w:val="baseline"/>
                      <w:lang w:val="en-US" w:eastAsia="zh-CN"/>
                    </w:rPr>
                    <w:t>×</w:t>
                  </w:r>
                  <w:r>
                    <w:rPr>
                      <w:rFonts w:hint="eastAsia" w:ascii="Times New Roman" w:hAnsi="Times New Roman" w:cs="Times New Roman"/>
                      <w:color w:val="auto"/>
                      <w:sz w:val="21"/>
                      <w:szCs w:val="21"/>
                      <w:vertAlign w:val="baseline"/>
                      <w:lang w:val="en-US" w:eastAsia="zh-CN"/>
                    </w:rPr>
                    <w:t>10</w:t>
                  </w:r>
                  <w:r>
                    <w:rPr>
                      <w:rFonts w:hint="eastAsia" w:ascii="Times New Roman" w:hAnsi="Times New Roman" w:cs="Times New Roman"/>
                      <w:color w:val="auto"/>
                      <w:sz w:val="21"/>
                      <w:szCs w:val="21"/>
                      <w:vertAlign w:val="superscript"/>
                      <w:lang w:val="en-US" w:eastAsia="zh-CN"/>
                    </w:rPr>
                    <w:t>8</w:t>
                  </w:r>
                </w:p>
              </w:tc>
            </w:tr>
          </w:tbl>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jc w:val="left"/>
              <w:textAlignment w:val="auto"/>
              <w:rPr>
                <w:bCs/>
                <w:color w:val="auto"/>
                <w:kern w:val="0"/>
                <w:sz w:val="24"/>
                <w:szCs w:val="24"/>
              </w:rPr>
            </w:pPr>
            <w:r>
              <w:rPr>
                <w:bCs/>
                <w:color w:val="auto"/>
                <w:kern w:val="0"/>
                <w:sz w:val="24"/>
                <w:szCs w:val="24"/>
              </w:rPr>
              <w:t>（2）废水污染源强核算结果及相关参数一览</w:t>
            </w:r>
          </w:p>
          <w:p>
            <w:pPr>
              <w:spacing w:line="360" w:lineRule="auto"/>
              <w:ind w:firstLine="480" w:firstLineChars="200"/>
              <w:jc w:val="left"/>
              <w:rPr>
                <w:snapToGrid w:val="0"/>
                <w:color w:val="auto"/>
                <w:kern w:val="0"/>
                <w:sz w:val="24"/>
                <w:szCs w:val="24"/>
              </w:rPr>
            </w:pPr>
            <w:r>
              <w:rPr>
                <w:color w:val="auto"/>
                <w:kern w:val="0"/>
                <w:sz w:val="24"/>
                <w:szCs w:val="24"/>
              </w:rPr>
              <w:t>废水污染源强核算结果及相关参数一览见表4-</w:t>
            </w:r>
            <w:r>
              <w:rPr>
                <w:rFonts w:hint="eastAsia"/>
                <w:color w:val="auto"/>
                <w:kern w:val="0"/>
                <w:sz w:val="24"/>
                <w:szCs w:val="24"/>
                <w:lang w:val="en-US" w:eastAsia="zh-CN"/>
              </w:rPr>
              <w:t>8</w:t>
            </w:r>
            <w:r>
              <w:rPr>
                <w:snapToGrid w:val="0"/>
                <w:color w:val="auto"/>
                <w:kern w:val="0"/>
                <w:sz w:val="24"/>
                <w:szCs w:val="24"/>
              </w:rPr>
              <w:t>。</w:t>
            </w:r>
          </w:p>
          <w:p>
            <w:pPr>
              <w:ind w:firstLine="4" w:firstLineChars="2"/>
              <w:jc w:val="center"/>
              <w:rPr>
                <w:b/>
                <w:color w:val="auto"/>
                <w:kern w:val="0"/>
                <w:sz w:val="21"/>
                <w:szCs w:val="21"/>
              </w:rPr>
            </w:pPr>
            <w:r>
              <w:rPr>
                <w:b/>
                <w:color w:val="auto"/>
                <w:kern w:val="0"/>
                <w:sz w:val="21"/>
                <w:szCs w:val="21"/>
              </w:rPr>
              <w:t>表4-</w:t>
            </w:r>
            <w:r>
              <w:rPr>
                <w:rFonts w:hint="eastAsia"/>
                <w:b/>
                <w:color w:val="auto"/>
                <w:kern w:val="0"/>
                <w:sz w:val="21"/>
                <w:szCs w:val="21"/>
                <w:lang w:val="en-US" w:eastAsia="zh-CN"/>
              </w:rPr>
              <w:t>8</w:t>
            </w:r>
            <w:r>
              <w:rPr>
                <w:b/>
                <w:color w:val="auto"/>
                <w:kern w:val="0"/>
                <w:sz w:val="21"/>
                <w:szCs w:val="21"/>
              </w:rPr>
              <w:t xml:space="preserve">  废水污染源源强核算结果及相关参数一览表</w:t>
            </w:r>
          </w:p>
          <w:tbl>
            <w:tblPr>
              <w:tblStyle w:val="25"/>
              <w:tblW w:w="90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24"/>
              <w:gridCol w:w="686"/>
              <w:gridCol w:w="667"/>
              <w:gridCol w:w="913"/>
              <w:gridCol w:w="1071"/>
              <w:gridCol w:w="706"/>
              <w:gridCol w:w="652"/>
              <w:gridCol w:w="719"/>
              <w:gridCol w:w="572"/>
              <w:gridCol w:w="1267"/>
              <w:gridCol w:w="557"/>
              <w:gridCol w:w="3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污染源</w:t>
                  </w:r>
                </w:p>
              </w:tc>
              <w:tc>
                <w:tcPr>
                  <w:tcW w:w="3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废水量</w:t>
                  </w:r>
                </w:p>
              </w:tc>
              <w:tc>
                <w:tcPr>
                  <w:tcW w:w="36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污染物</w:t>
                  </w:r>
                </w:p>
              </w:tc>
              <w:tc>
                <w:tcPr>
                  <w:tcW w:w="109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产生情况</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治理措施</w:t>
                  </w:r>
                </w:p>
              </w:tc>
              <w:tc>
                <w:tcPr>
                  <w:tcW w:w="1768"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top"/>
                    <w:rPr>
                      <w:rFonts w:hint="default" w:ascii="Times New Roman" w:hAnsi="Times New Roman" w:eastAsia="宋体" w:cs="Times New Roman"/>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排放情况</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标准浓度限值</w:t>
                  </w:r>
                </w:p>
              </w:tc>
              <w:tc>
                <w:tcPr>
                  <w:tcW w:w="1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排放方式及去向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b/>
                      <w:bCs/>
                      <w:i w:val="0"/>
                      <w:iCs w:val="0"/>
                      <w:color w:val="auto"/>
                      <w:sz w:val="21"/>
                      <w:szCs w:val="21"/>
                      <w:u w:val="none"/>
                    </w:rPr>
                  </w:pPr>
                </w:p>
              </w:tc>
              <w:tc>
                <w:tcPr>
                  <w:tcW w:w="378" w:type="pct"/>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t/a</w:t>
                  </w:r>
                </w:p>
              </w:tc>
              <w:tc>
                <w:tcPr>
                  <w:tcW w:w="36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b/>
                      <w:bCs/>
                      <w:i w:val="0"/>
                      <w:iCs w:val="0"/>
                      <w:color w:val="auto"/>
                      <w:sz w:val="21"/>
                      <w:szCs w:val="21"/>
                      <w:u w:val="none"/>
                    </w:rPr>
                  </w:pP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浓度</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产生量</w:t>
                  </w:r>
                </w:p>
              </w:tc>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工艺</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废水量</w:t>
                  </w:r>
                </w:p>
              </w:tc>
              <w:tc>
                <w:tcPr>
                  <w:tcW w:w="39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top"/>
                    <w:rPr>
                      <w:rFonts w:hint="default" w:ascii="Times New Roman" w:hAnsi="Times New Roman" w:eastAsia="宋体" w:cs="Times New Roman"/>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污染物</w:t>
                  </w:r>
                </w:p>
              </w:tc>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浓度</w:t>
                  </w: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排放量</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mg/L</w:t>
                  </w: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b/>
                      <w:bCs/>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b/>
                      <w:bCs/>
                      <w:i w:val="0"/>
                      <w:iCs w:val="0"/>
                      <w:color w:val="auto"/>
                      <w:sz w:val="21"/>
                      <w:szCs w:val="21"/>
                      <w:u w:val="none"/>
                    </w:rPr>
                  </w:pPr>
                </w:p>
              </w:tc>
              <w:tc>
                <w:tcPr>
                  <w:tcW w:w="378" w:type="pct"/>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ind w:left="-71" w:leftChars="-34" w:right="-71" w:rightChars="-34"/>
                    <w:rPr>
                      <w:rFonts w:hint="default" w:ascii="Times New Roman" w:hAnsi="Times New Roman" w:eastAsia="宋体" w:cs="Times New Roman"/>
                      <w:i w:val="0"/>
                      <w:iCs w:val="0"/>
                      <w:color w:val="auto"/>
                      <w:sz w:val="21"/>
                      <w:szCs w:val="21"/>
                      <w:u w:val="none"/>
                    </w:rPr>
                  </w:pPr>
                </w:p>
              </w:tc>
              <w:tc>
                <w:tcPr>
                  <w:tcW w:w="36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b/>
                      <w:bCs/>
                      <w:i w:val="0"/>
                      <w:iCs w:val="0"/>
                      <w:color w:val="auto"/>
                      <w:sz w:val="21"/>
                      <w:szCs w:val="21"/>
                      <w:u w:val="none"/>
                    </w:rPr>
                  </w:pP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mg/L</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t/a</w:t>
                  </w:r>
                </w:p>
              </w:tc>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b/>
                      <w:bCs/>
                      <w:i w:val="0"/>
                      <w:iCs w:val="0"/>
                      <w:color w:val="auto"/>
                      <w:sz w:val="21"/>
                      <w:szCs w:val="21"/>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t/a</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b/>
                      <w:bCs/>
                      <w:i w:val="0"/>
                      <w:iCs w:val="0"/>
                      <w:color w:val="auto"/>
                      <w:sz w:val="21"/>
                      <w:szCs w:val="21"/>
                      <w:u w:val="none"/>
                    </w:rPr>
                  </w:pPr>
                </w:p>
              </w:tc>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mg/L</w:t>
                  </w: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b/>
                      <w:bCs/>
                      <w:i w:val="0"/>
                      <w:iCs w:val="0"/>
                      <w:color w:val="auto"/>
                      <w:sz w:val="21"/>
                      <w:szCs w:val="21"/>
                      <w:u w:val="none"/>
                      <w:lang w:val="en-US"/>
                    </w:rPr>
                  </w:pPr>
                  <w:r>
                    <w:rPr>
                      <w:rFonts w:hint="default" w:ascii="Times New Roman" w:hAnsi="Times New Roman" w:eastAsia="宋体" w:cs="Times New Roman"/>
                      <w:b/>
                      <w:bCs/>
                      <w:i w:val="0"/>
                      <w:iCs w:val="0"/>
                      <w:color w:val="auto"/>
                      <w:kern w:val="0"/>
                      <w:sz w:val="21"/>
                      <w:szCs w:val="21"/>
                      <w:u w:val="none"/>
                      <w:lang w:val="en-US" w:eastAsia="zh-CN" w:bidi="ar"/>
                    </w:rPr>
                    <w:t>t/a</w:t>
                  </w:r>
                  <w:r>
                    <w:rPr>
                      <w:rFonts w:hint="eastAsia" w:cs="Times New Roman"/>
                      <w:b/>
                      <w:bCs/>
                      <w:i w:val="0"/>
                      <w:iCs w:val="0"/>
                      <w:color w:val="auto"/>
                      <w:kern w:val="0"/>
                      <w:sz w:val="21"/>
                      <w:szCs w:val="21"/>
                      <w:u w:val="none"/>
                      <w:lang w:val="en-US" w:eastAsia="zh-CN" w:bidi="ar"/>
                    </w:rPr>
                    <w:t>/个</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ind w:left="-71" w:leftChars="-34" w:right="-71" w:rightChars="-34"/>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b/>
                      <w:bCs/>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9" w:type="pct"/>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行政办公人员生活用水</w:t>
                  </w:r>
                </w:p>
              </w:tc>
              <w:tc>
                <w:tcPr>
                  <w:tcW w:w="378" w:type="pct"/>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eastAsia" w:cs="Times New Roman"/>
                      <w:i w:val="0"/>
                      <w:iCs w:val="0"/>
                      <w:color w:val="auto"/>
                      <w:kern w:val="0"/>
                      <w:sz w:val="21"/>
                      <w:szCs w:val="21"/>
                      <w:u w:val="none"/>
                      <w:lang w:val="en-US" w:eastAsia="zh-CN" w:bidi="ar"/>
                    </w:rPr>
                    <w:t>420</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pH</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r>
                    <w:rPr>
                      <w:rFonts w:hint="eastAsia" w:cs="Times New Roman"/>
                      <w:i w:val="0"/>
                      <w:iCs w:val="0"/>
                      <w:color w:val="auto"/>
                      <w:kern w:val="0"/>
                      <w:sz w:val="21"/>
                      <w:szCs w:val="21"/>
                      <w:u w:val="none"/>
                      <w:lang w:val="en-US" w:eastAsia="zh-CN" w:bidi="ar"/>
                    </w:rPr>
                    <w:t>6-9</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389" w:type="pct"/>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化粪池</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污水处理站</w:t>
                  </w:r>
                </w:p>
              </w:tc>
              <w:tc>
                <w:tcPr>
                  <w:tcW w:w="359" w:type="pct"/>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eastAsia" w:cs="Times New Roman"/>
                      <w:i w:val="0"/>
                      <w:iCs w:val="0"/>
                      <w:color w:val="auto"/>
                      <w:kern w:val="0"/>
                      <w:sz w:val="21"/>
                      <w:szCs w:val="21"/>
                      <w:u w:val="none"/>
                      <w:lang w:val="en-US" w:eastAsia="zh-CN" w:bidi="ar"/>
                    </w:rPr>
                    <w:t>4142.6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pH</w:t>
                  </w:r>
                </w:p>
              </w:tc>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西安市第一污水处理厂一期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COD</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350</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0.147 </w:t>
                  </w:r>
                </w:p>
              </w:tc>
              <w:tc>
                <w:tcPr>
                  <w:tcW w:w="38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5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COD</w:t>
                  </w:r>
                </w:p>
              </w:tc>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250</w:t>
                  </w:r>
                </w:p>
              </w:tc>
              <w:tc>
                <w:tcPr>
                  <w:tcW w:w="1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1.036 </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250</w:t>
                  </w: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0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BOD</w:t>
                  </w:r>
                  <w:r>
                    <w:rPr>
                      <w:rFonts w:hint="default" w:ascii="Times New Roman" w:hAnsi="Times New Roman" w:eastAsia="宋体" w:cs="Times New Roman"/>
                      <w:i w:val="0"/>
                      <w:iCs w:val="0"/>
                      <w:color w:val="auto"/>
                      <w:kern w:val="0"/>
                      <w:sz w:val="21"/>
                      <w:szCs w:val="21"/>
                      <w:u w:val="none"/>
                      <w:vertAlign w:val="subscript"/>
                      <w:lang w:val="en-US" w:eastAsia="zh-CN" w:bidi="ar"/>
                    </w:rPr>
                    <w:t>5</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200</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0.084 </w:t>
                  </w:r>
                </w:p>
              </w:tc>
              <w:tc>
                <w:tcPr>
                  <w:tcW w:w="38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5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BOD</w:t>
                  </w:r>
                  <w:r>
                    <w:rPr>
                      <w:rFonts w:hint="default" w:ascii="Times New Roman" w:hAnsi="Times New Roman" w:eastAsia="宋体" w:cs="Times New Roman"/>
                      <w:i w:val="0"/>
                      <w:iCs w:val="0"/>
                      <w:color w:val="auto"/>
                      <w:kern w:val="0"/>
                      <w:sz w:val="21"/>
                      <w:szCs w:val="21"/>
                      <w:u w:val="none"/>
                      <w:vertAlign w:val="subscript"/>
                      <w:lang w:val="en-US" w:eastAsia="zh-CN" w:bidi="ar"/>
                    </w:rPr>
                    <w:t>5</w:t>
                  </w:r>
                </w:p>
              </w:tc>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100</w:t>
                  </w:r>
                </w:p>
              </w:tc>
              <w:tc>
                <w:tcPr>
                  <w:tcW w:w="1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0.414 </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100</w:t>
                  </w: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SS</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200</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0.084 </w:t>
                  </w:r>
                </w:p>
              </w:tc>
              <w:tc>
                <w:tcPr>
                  <w:tcW w:w="38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5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SS</w:t>
                  </w:r>
                </w:p>
              </w:tc>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lang w:val="en-US"/>
                    </w:rPr>
                  </w:pPr>
                  <w:r>
                    <w:rPr>
                      <w:rFonts w:hint="eastAsia" w:cs="Times New Roman"/>
                      <w:i w:val="0"/>
                      <w:iCs w:val="0"/>
                      <w:color w:val="auto"/>
                      <w:kern w:val="0"/>
                      <w:sz w:val="21"/>
                      <w:szCs w:val="21"/>
                      <w:u w:val="none"/>
                      <w:lang w:val="en-US" w:eastAsia="zh-CN" w:bidi="ar"/>
                    </w:rPr>
                    <w:t>20</w:t>
                  </w:r>
                </w:p>
              </w:tc>
              <w:tc>
                <w:tcPr>
                  <w:tcW w:w="1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0.083 </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60</w:t>
                  </w: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0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NH</w:t>
                  </w:r>
                  <w:r>
                    <w:rPr>
                      <w:rFonts w:hint="default" w:ascii="Times New Roman" w:hAnsi="Times New Roman" w:eastAsia="宋体" w:cs="Times New Roman"/>
                      <w:i w:val="0"/>
                      <w:iCs w:val="0"/>
                      <w:color w:val="auto"/>
                      <w:kern w:val="0"/>
                      <w:sz w:val="21"/>
                      <w:szCs w:val="21"/>
                      <w:u w:val="none"/>
                      <w:vertAlign w:val="sub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-N</w:t>
                  </w:r>
                </w:p>
              </w:tc>
              <w:tc>
                <w:tcPr>
                  <w:tcW w:w="503" w:type="pct"/>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45</w:t>
                  </w:r>
                </w:p>
              </w:tc>
              <w:tc>
                <w:tcPr>
                  <w:tcW w:w="1071"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0.01</w:t>
                  </w:r>
                  <w:r>
                    <w:rPr>
                      <w:rFonts w:hint="eastAsia" w:cs="Times New Roman"/>
                      <w:i w:val="0"/>
                      <w:iCs w:val="0"/>
                      <w:color w:val="auto"/>
                      <w:kern w:val="0"/>
                      <w:sz w:val="21"/>
                      <w:szCs w:val="21"/>
                      <w:u w:val="none"/>
                      <w:lang w:val="en-US" w:eastAsia="zh-CN" w:bidi="ar"/>
                    </w:rPr>
                    <w:t>9</w:t>
                  </w:r>
                  <w:r>
                    <w:rPr>
                      <w:rFonts w:hint="default" w:ascii="Times New Roman" w:hAnsi="Times New Roman" w:eastAsia="宋体" w:cs="Times New Roman"/>
                      <w:i w:val="0"/>
                      <w:iCs w:val="0"/>
                      <w:color w:val="auto"/>
                      <w:kern w:val="0"/>
                      <w:sz w:val="21"/>
                      <w:szCs w:val="21"/>
                      <w:u w:val="none"/>
                      <w:lang w:val="en-US" w:eastAsia="zh-CN" w:bidi="ar"/>
                    </w:rPr>
                    <w:t xml:space="preserve"> </w:t>
                  </w:r>
                </w:p>
              </w:tc>
              <w:tc>
                <w:tcPr>
                  <w:tcW w:w="38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5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NH</w:t>
                  </w:r>
                  <w:r>
                    <w:rPr>
                      <w:rFonts w:hint="default" w:ascii="Times New Roman" w:hAnsi="Times New Roman" w:eastAsia="宋体" w:cs="Times New Roman"/>
                      <w:i w:val="0"/>
                      <w:iCs w:val="0"/>
                      <w:color w:val="auto"/>
                      <w:kern w:val="0"/>
                      <w:sz w:val="21"/>
                      <w:szCs w:val="21"/>
                      <w:u w:val="none"/>
                      <w:vertAlign w:val="sub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-N</w:t>
                  </w:r>
                </w:p>
              </w:tc>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45</w:t>
                  </w:r>
                </w:p>
              </w:tc>
              <w:tc>
                <w:tcPr>
                  <w:tcW w:w="12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0.186 </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45</w:t>
                  </w: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0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503" w:type="pct"/>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590" w:type="pct"/>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8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5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96" w:type="pct"/>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粪大肠杆菌</w:t>
                  </w:r>
                </w:p>
              </w:tc>
              <w:tc>
                <w:tcPr>
                  <w:tcW w:w="315" w:type="pct"/>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5000</w:t>
                  </w:r>
                </w:p>
              </w:tc>
              <w:tc>
                <w:tcPr>
                  <w:tcW w:w="698" w:type="pct"/>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lang w:val="en-US"/>
                    </w:rPr>
                  </w:pPr>
                  <w:r>
                    <w:rPr>
                      <w:rFonts w:hint="eastAsia" w:cs="Times New Roman"/>
                      <w:i w:val="0"/>
                      <w:iCs w:val="0"/>
                      <w:color w:val="auto"/>
                      <w:kern w:val="0"/>
                      <w:sz w:val="21"/>
                      <w:szCs w:val="21"/>
                      <w:u w:val="none"/>
                      <w:lang w:val="en-US" w:eastAsia="zh-CN" w:bidi="ar"/>
                    </w:rPr>
                    <w:t>2.07</w:t>
                  </w:r>
                  <w:r>
                    <w:rPr>
                      <w:rFonts w:hint="default" w:ascii="Arial" w:hAnsi="Arial" w:cs="Arial"/>
                      <w:color w:val="auto"/>
                      <w:sz w:val="21"/>
                      <w:szCs w:val="21"/>
                      <w:vertAlign w:val="baseline"/>
                      <w:lang w:val="en-US" w:eastAsia="zh-CN"/>
                    </w:rPr>
                    <w:t>×</w:t>
                  </w:r>
                  <w:r>
                    <w:rPr>
                      <w:rFonts w:hint="eastAsia" w:ascii="Times New Roman" w:hAnsi="Times New Roman" w:cs="Times New Roman"/>
                      <w:color w:val="auto"/>
                      <w:sz w:val="21"/>
                      <w:szCs w:val="21"/>
                      <w:vertAlign w:val="baseline"/>
                      <w:lang w:val="en-US" w:eastAsia="zh-CN"/>
                    </w:rPr>
                    <w:t>10</w:t>
                  </w:r>
                  <w:r>
                    <w:rPr>
                      <w:rFonts w:hint="eastAsia" w:cs="Times New Roman"/>
                      <w:color w:val="auto"/>
                      <w:sz w:val="21"/>
                      <w:szCs w:val="21"/>
                      <w:vertAlign w:val="superscript"/>
                      <w:lang w:val="en-US" w:eastAsia="zh-CN"/>
                    </w:rPr>
                    <w:t>10</w:t>
                  </w:r>
                </w:p>
              </w:tc>
              <w:tc>
                <w:tcPr>
                  <w:tcW w:w="306" w:type="pct"/>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5000</w:t>
                  </w: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9" w:type="pct"/>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粪大肠杆菌</w:t>
                  </w:r>
                </w:p>
              </w:tc>
              <w:tc>
                <w:tcPr>
                  <w:tcW w:w="503" w:type="pct"/>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cs="Times New Roman"/>
                      <w:color w:val="auto"/>
                      <w:sz w:val="21"/>
                      <w:szCs w:val="21"/>
                      <w:vertAlign w:val="baseline"/>
                      <w:lang w:val="en-US" w:eastAsia="zh-CN"/>
                    </w:rPr>
                    <w:t>1.6×10</w:t>
                  </w:r>
                  <w:r>
                    <w:rPr>
                      <w:rFonts w:hint="default" w:ascii="Times New Roman" w:hAnsi="Times New Roman" w:cs="Times New Roman"/>
                      <w:color w:val="auto"/>
                      <w:sz w:val="21"/>
                      <w:szCs w:val="21"/>
                      <w:vertAlign w:val="superscript"/>
                      <w:lang w:val="en-US" w:eastAsia="zh-CN"/>
                    </w:rPr>
                    <w:t>8</w:t>
                  </w:r>
                </w:p>
              </w:tc>
              <w:tc>
                <w:tcPr>
                  <w:tcW w:w="590" w:type="pct"/>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6.72</w:t>
                  </w:r>
                  <w:r>
                    <w:rPr>
                      <w:rFonts w:hint="default" w:ascii="Times New Roman" w:hAnsi="Times New Roman" w:cs="Times New Roman"/>
                      <w:color w:val="auto"/>
                      <w:sz w:val="21"/>
                      <w:szCs w:val="21"/>
                      <w:vertAlign w:val="baseline"/>
                      <w:lang w:val="en-US" w:eastAsia="zh-CN"/>
                    </w:rPr>
                    <w:t>×</w:t>
                  </w:r>
                  <w:r>
                    <w:rPr>
                      <w:rFonts w:hint="eastAsia" w:cs="Times New Roman"/>
                      <w:color w:val="auto"/>
                      <w:sz w:val="21"/>
                      <w:szCs w:val="21"/>
                      <w:vertAlign w:val="baseline"/>
                      <w:lang w:val="en-US" w:eastAsia="zh-CN"/>
                    </w:rPr>
                    <w:t>10</w:t>
                  </w:r>
                  <w:r>
                    <w:rPr>
                      <w:rFonts w:hint="default" w:ascii="Times New Roman" w:hAnsi="Times New Roman" w:eastAsia="宋体" w:cs="Times New Roman"/>
                      <w:i w:val="0"/>
                      <w:iCs w:val="0"/>
                      <w:color w:val="auto"/>
                      <w:kern w:val="0"/>
                      <w:sz w:val="21"/>
                      <w:szCs w:val="21"/>
                      <w:u w:val="none"/>
                      <w:vertAlign w:val="superscript"/>
                      <w:lang w:val="en-US" w:eastAsia="zh-CN" w:bidi="ar"/>
                    </w:rPr>
                    <w:t>13</w:t>
                  </w:r>
                </w:p>
              </w:tc>
              <w:tc>
                <w:tcPr>
                  <w:tcW w:w="38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59" w:type="pct"/>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96" w:type="pct"/>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eastAsia" w:ascii="宋体" w:hAnsi="宋体" w:eastAsia="宋体" w:cs="宋体"/>
                      <w:i w:val="0"/>
                      <w:iCs w:val="0"/>
                      <w:color w:val="auto"/>
                      <w:kern w:val="0"/>
                      <w:sz w:val="21"/>
                      <w:szCs w:val="21"/>
                      <w:u w:val="none"/>
                      <w:lang w:val="en-US" w:eastAsia="zh-CN" w:bidi="ar"/>
                    </w:rPr>
                  </w:pPr>
                </w:p>
              </w:tc>
              <w:tc>
                <w:tcPr>
                  <w:tcW w:w="315" w:type="pct"/>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698" w:type="pct"/>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306" w:type="pct"/>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9" w:type="pct"/>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医护人员生活废水</w:t>
                  </w:r>
                </w:p>
              </w:tc>
              <w:tc>
                <w:tcPr>
                  <w:tcW w:w="378" w:type="pct"/>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700.8</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pH</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r>
                    <w:rPr>
                      <w:rFonts w:hint="eastAsia" w:cs="Times New Roman"/>
                      <w:i w:val="0"/>
                      <w:iCs w:val="0"/>
                      <w:color w:val="auto"/>
                      <w:kern w:val="0"/>
                      <w:sz w:val="21"/>
                      <w:szCs w:val="21"/>
                      <w:u w:val="none"/>
                      <w:lang w:val="en-US" w:eastAsia="zh-CN" w:bidi="ar"/>
                    </w:rPr>
                    <w:t>6-9</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38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COD</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eastAsia" w:cs="Times New Roman"/>
                      <w:i w:val="0"/>
                      <w:iCs w:val="0"/>
                      <w:color w:val="auto"/>
                      <w:sz w:val="21"/>
                      <w:szCs w:val="21"/>
                      <w:u w:val="none"/>
                      <w:lang w:val="en-US" w:eastAsia="zh-CN"/>
                    </w:rPr>
                    <w:t>350</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0.245 </w:t>
                  </w:r>
                </w:p>
              </w:tc>
              <w:tc>
                <w:tcPr>
                  <w:tcW w:w="38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0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BOD</w:t>
                  </w:r>
                  <w:r>
                    <w:rPr>
                      <w:rFonts w:hint="default" w:ascii="Times New Roman" w:hAnsi="Times New Roman" w:eastAsia="宋体" w:cs="Times New Roman"/>
                      <w:i w:val="0"/>
                      <w:iCs w:val="0"/>
                      <w:color w:val="auto"/>
                      <w:kern w:val="0"/>
                      <w:sz w:val="21"/>
                      <w:szCs w:val="21"/>
                      <w:u w:val="none"/>
                      <w:vertAlign w:val="subscript"/>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eastAsia" w:cs="Times New Roman"/>
                      <w:i w:val="0"/>
                      <w:iCs w:val="0"/>
                      <w:color w:val="auto"/>
                      <w:sz w:val="21"/>
                      <w:szCs w:val="21"/>
                      <w:u w:val="none"/>
                      <w:lang w:val="en-US" w:eastAsia="zh-CN"/>
                    </w:rPr>
                    <w:t>200</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0.140 </w:t>
                  </w:r>
                </w:p>
              </w:tc>
              <w:tc>
                <w:tcPr>
                  <w:tcW w:w="38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SS</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eastAsia" w:cs="Times New Roman"/>
                      <w:i w:val="0"/>
                      <w:iCs w:val="0"/>
                      <w:color w:val="auto"/>
                      <w:sz w:val="21"/>
                      <w:szCs w:val="21"/>
                      <w:u w:val="none"/>
                      <w:lang w:val="en-US" w:eastAsia="zh-CN"/>
                    </w:rPr>
                    <w:t>200</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0.140 </w:t>
                  </w:r>
                </w:p>
              </w:tc>
              <w:tc>
                <w:tcPr>
                  <w:tcW w:w="38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0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NH</w:t>
                  </w:r>
                  <w:r>
                    <w:rPr>
                      <w:rFonts w:hint="default" w:ascii="Times New Roman" w:hAnsi="Times New Roman" w:eastAsia="宋体" w:cs="Times New Roman"/>
                      <w:i w:val="0"/>
                      <w:iCs w:val="0"/>
                      <w:color w:val="auto"/>
                      <w:kern w:val="0"/>
                      <w:sz w:val="21"/>
                      <w:szCs w:val="21"/>
                      <w:u w:val="none"/>
                      <w:vertAlign w:val="sub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-N</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lang w:val="en-US"/>
                    </w:rPr>
                  </w:pPr>
                  <w:r>
                    <w:rPr>
                      <w:rFonts w:hint="eastAsia" w:cs="Times New Roman"/>
                      <w:i w:val="0"/>
                      <w:iCs w:val="0"/>
                      <w:color w:val="auto"/>
                      <w:sz w:val="21"/>
                      <w:szCs w:val="21"/>
                      <w:u w:val="none"/>
                      <w:lang w:val="en-US" w:eastAsia="zh-CN"/>
                    </w:rPr>
                    <w:t>45</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lang w:val="en-US"/>
                    </w:rPr>
                  </w:pPr>
                  <w:r>
                    <w:rPr>
                      <w:rFonts w:hint="default" w:ascii="Times New Roman" w:hAnsi="Times New Roman" w:eastAsia="宋体" w:cs="Times New Roman"/>
                      <w:i w:val="0"/>
                      <w:iCs w:val="0"/>
                      <w:color w:val="auto"/>
                      <w:kern w:val="0"/>
                      <w:sz w:val="21"/>
                      <w:szCs w:val="21"/>
                      <w:u w:val="none"/>
                      <w:lang w:val="en-US" w:eastAsia="zh-CN" w:bidi="ar"/>
                    </w:rPr>
                    <w:t>0.0</w:t>
                  </w:r>
                  <w:r>
                    <w:rPr>
                      <w:rFonts w:hint="eastAsia" w:cs="Times New Roman"/>
                      <w:i w:val="0"/>
                      <w:iCs w:val="0"/>
                      <w:color w:val="auto"/>
                      <w:kern w:val="0"/>
                      <w:sz w:val="21"/>
                      <w:szCs w:val="21"/>
                      <w:u w:val="none"/>
                      <w:lang w:val="en-US" w:eastAsia="zh-CN" w:bidi="ar"/>
                    </w:rPr>
                    <w:t>32</w:t>
                  </w:r>
                </w:p>
              </w:tc>
              <w:tc>
                <w:tcPr>
                  <w:tcW w:w="38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09" w:type="pct"/>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粪大肠杆菌</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eastAsia" w:cs="Times New Roman"/>
                      <w:i w:val="0"/>
                      <w:iCs w:val="0"/>
                      <w:color w:val="auto"/>
                      <w:kern w:val="0"/>
                      <w:sz w:val="21"/>
                      <w:szCs w:val="21"/>
                      <w:u w:val="none"/>
                      <w:lang w:val="en-US" w:eastAsia="zh-CN" w:bidi="ar"/>
                    </w:rPr>
                  </w:pPr>
                  <w:r>
                    <w:rPr>
                      <w:rFonts w:hint="default" w:ascii="Times New Roman" w:hAnsi="Times New Roman" w:cs="Times New Roman"/>
                      <w:color w:val="auto"/>
                      <w:sz w:val="21"/>
                      <w:szCs w:val="21"/>
                      <w:vertAlign w:val="baseline"/>
                      <w:lang w:val="en-US" w:eastAsia="zh-CN"/>
                    </w:rPr>
                    <w:t>1.6×10</w:t>
                  </w:r>
                  <w:r>
                    <w:rPr>
                      <w:rFonts w:hint="default" w:ascii="Times New Roman" w:hAnsi="Times New Roman" w:cs="Times New Roman"/>
                      <w:color w:val="auto"/>
                      <w:sz w:val="21"/>
                      <w:szCs w:val="21"/>
                      <w:vertAlign w:val="superscript"/>
                      <w:lang w:val="en-US" w:eastAsia="zh-CN"/>
                    </w:rPr>
                    <w:t>8</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1.12</w:t>
                  </w:r>
                  <w:r>
                    <w:rPr>
                      <w:rFonts w:hint="default" w:ascii="Times New Roman" w:hAnsi="Times New Roman" w:cs="Times New Roman"/>
                      <w:color w:val="auto"/>
                      <w:sz w:val="21"/>
                      <w:szCs w:val="21"/>
                      <w:vertAlign w:val="baseline"/>
                      <w:lang w:val="en-US" w:eastAsia="zh-CN"/>
                    </w:rPr>
                    <w:t>×</w:t>
                  </w:r>
                  <w:r>
                    <w:rPr>
                      <w:rFonts w:hint="eastAsia" w:cs="Times New Roman"/>
                      <w:color w:val="auto"/>
                      <w:sz w:val="21"/>
                      <w:szCs w:val="21"/>
                      <w:vertAlign w:val="baseline"/>
                      <w:lang w:val="en-US" w:eastAsia="zh-CN"/>
                    </w:rPr>
                    <w:t>10</w:t>
                  </w:r>
                  <w:r>
                    <w:rPr>
                      <w:rFonts w:hint="default" w:ascii="Times New Roman" w:hAnsi="Times New Roman" w:eastAsia="宋体" w:cs="Times New Roman"/>
                      <w:i w:val="0"/>
                      <w:iCs w:val="0"/>
                      <w:color w:val="auto"/>
                      <w:kern w:val="0"/>
                      <w:sz w:val="21"/>
                      <w:szCs w:val="21"/>
                      <w:u w:val="none"/>
                      <w:vertAlign w:val="superscript"/>
                      <w:lang w:val="en-US" w:eastAsia="zh-CN" w:bidi="ar"/>
                    </w:rPr>
                    <w:t>1</w:t>
                  </w:r>
                  <w:r>
                    <w:rPr>
                      <w:rFonts w:hint="eastAsia" w:cs="Times New Roman"/>
                      <w:i w:val="0"/>
                      <w:iCs w:val="0"/>
                      <w:color w:val="auto"/>
                      <w:kern w:val="0"/>
                      <w:sz w:val="21"/>
                      <w:szCs w:val="21"/>
                      <w:u w:val="none"/>
                      <w:vertAlign w:val="superscript"/>
                      <w:lang w:val="en-US" w:eastAsia="zh-CN" w:bidi="ar"/>
                    </w:rPr>
                    <w:t>4</w:t>
                  </w:r>
                </w:p>
              </w:tc>
              <w:tc>
                <w:tcPr>
                  <w:tcW w:w="38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9" w:type="pct"/>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病房废水</w:t>
                  </w:r>
                </w:p>
              </w:tc>
              <w:tc>
                <w:tcPr>
                  <w:tcW w:w="378" w:type="pct"/>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2452.8</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pH</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38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COD</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eastAsia" w:cs="Times New Roman"/>
                      <w:i w:val="0"/>
                      <w:iCs w:val="0"/>
                      <w:color w:val="auto"/>
                      <w:sz w:val="21"/>
                      <w:szCs w:val="21"/>
                      <w:u w:val="none"/>
                      <w:lang w:val="en-US" w:eastAsia="zh-CN"/>
                    </w:rPr>
                    <w:t>350</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0.858 </w:t>
                  </w:r>
                </w:p>
              </w:tc>
              <w:tc>
                <w:tcPr>
                  <w:tcW w:w="38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0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BOD</w:t>
                  </w:r>
                  <w:r>
                    <w:rPr>
                      <w:rFonts w:hint="default" w:ascii="Times New Roman" w:hAnsi="Times New Roman" w:eastAsia="宋体" w:cs="Times New Roman"/>
                      <w:i w:val="0"/>
                      <w:iCs w:val="0"/>
                      <w:color w:val="auto"/>
                      <w:kern w:val="0"/>
                      <w:sz w:val="21"/>
                      <w:szCs w:val="21"/>
                      <w:u w:val="none"/>
                      <w:vertAlign w:val="subscript"/>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eastAsia" w:cs="Times New Roman"/>
                      <w:i w:val="0"/>
                      <w:iCs w:val="0"/>
                      <w:color w:val="auto"/>
                      <w:sz w:val="21"/>
                      <w:szCs w:val="21"/>
                      <w:u w:val="none"/>
                      <w:lang w:val="en-US" w:eastAsia="zh-CN"/>
                    </w:rPr>
                    <w:t>200</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0.491 </w:t>
                  </w:r>
                </w:p>
              </w:tc>
              <w:tc>
                <w:tcPr>
                  <w:tcW w:w="38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SS</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eastAsia" w:cs="Times New Roman"/>
                      <w:i w:val="0"/>
                      <w:iCs w:val="0"/>
                      <w:color w:val="auto"/>
                      <w:sz w:val="21"/>
                      <w:szCs w:val="21"/>
                      <w:u w:val="none"/>
                      <w:lang w:val="en-US" w:eastAsia="zh-CN"/>
                    </w:rPr>
                    <w:t>200</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0.491 </w:t>
                  </w:r>
                </w:p>
              </w:tc>
              <w:tc>
                <w:tcPr>
                  <w:tcW w:w="38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0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NH</w:t>
                  </w:r>
                  <w:r>
                    <w:rPr>
                      <w:rFonts w:hint="default" w:ascii="Times New Roman" w:hAnsi="Times New Roman" w:eastAsia="宋体" w:cs="Times New Roman"/>
                      <w:i w:val="0"/>
                      <w:iCs w:val="0"/>
                      <w:color w:val="auto"/>
                      <w:kern w:val="0"/>
                      <w:sz w:val="21"/>
                      <w:szCs w:val="21"/>
                      <w:u w:val="none"/>
                      <w:vertAlign w:val="sub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-N</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lang w:val="en-US"/>
                    </w:rPr>
                  </w:pPr>
                  <w:r>
                    <w:rPr>
                      <w:rFonts w:hint="eastAsia" w:cs="Times New Roman"/>
                      <w:i w:val="0"/>
                      <w:iCs w:val="0"/>
                      <w:color w:val="auto"/>
                      <w:sz w:val="21"/>
                      <w:szCs w:val="21"/>
                      <w:u w:val="none"/>
                      <w:lang w:val="en-US" w:eastAsia="zh-CN"/>
                    </w:rPr>
                    <w:t>45</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lang w:val="en-US"/>
                    </w:rPr>
                  </w:pPr>
                  <w:r>
                    <w:rPr>
                      <w:rFonts w:hint="default" w:ascii="Times New Roman" w:hAnsi="Times New Roman" w:eastAsia="宋体" w:cs="Times New Roman"/>
                      <w:i w:val="0"/>
                      <w:iCs w:val="0"/>
                      <w:color w:val="auto"/>
                      <w:kern w:val="0"/>
                      <w:sz w:val="21"/>
                      <w:szCs w:val="21"/>
                      <w:u w:val="none"/>
                      <w:lang w:val="en-US" w:eastAsia="zh-CN" w:bidi="ar"/>
                    </w:rPr>
                    <w:t>0.</w:t>
                  </w:r>
                  <w:r>
                    <w:rPr>
                      <w:rFonts w:hint="eastAsia" w:cs="Times New Roman"/>
                      <w:i w:val="0"/>
                      <w:iCs w:val="0"/>
                      <w:color w:val="auto"/>
                      <w:kern w:val="0"/>
                      <w:sz w:val="21"/>
                      <w:szCs w:val="21"/>
                      <w:u w:val="none"/>
                      <w:lang w:val="en-US" w:eastAsia="zh-CN" w:bidi="ar"/>
                    </w:rPr>
                    <w:t>110</w:t>
                  </w:r>
                </w:p>
              </w:tc>
              <w:tc>
                <w:tcPr>
                  <w:tcW w:w="389" w:type="pct"/>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09" w:type="pct"/>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粪大肠杆菌</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eastAsia" w:cs="Times New Roman"/>
                      <w:i w:val="0"/>
                      <w:iCs w:val="0"/>
                      <w:color w:val="auto"/>
                      <w:kern w:val="0"/>
                      <w:sz w:val="21"/>
                      <w:szCs w:val="21"/>
                      <w:u w:val="none"/>
                      <w:lang w:val="en-US" w:eastAsia="zh-CN" w:bidi="ar"/>
                    </w:rPr>
                  </w:pPr>
                  <w:r>
                    <w:rPr>
                      <w:rFonts w:hint="default" w:ascii="Times New Roman" w:hAnsi="Times New Roman" w:cs="Times New Roman"/>
                      <w:color w:val="auto"/>
                      <w:sz w:val="21"/>
                      <w:szCs w:val="21"/>
                      <w:vertAlign w:val="baseline"/>
                      <w:lang w:val="en-US" w:eastAsia="zh-CN"/>
                    </w:rPr>
                    <w:t>1.6×10</w:t>
                  </w:r>
                  <w:r>
                    <w:rPr>
                      <w:rFonts w:hint="default" w:ascii="Times New Roman" w:hAnsi="Times New Roman" w:cs="Times New Roman"/>
                      <w:color w:val="auto"/>
                      <w:sz w:val="21"/>
                      <w:szCs w:val="21"/>
                      <w:vertAlign w:val="superscript"/>
                      <w:lang w:val="en-US" w:eastAsia="zh-CN"/>
                    </w:rPr>
                    <w:t>8</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3.92</w:t>
                  </w:r>
                  <w:r>
                    <w:rPr>
                      <w:rFonts w:hint="default" w:ascii="Times New Roman" w:hAnsi="Times New Roman" w:cs="Times New Roman"/>
                      <w:color w:val="auto"/>
                      <w:sz w:val="21"/>
                      <w:szCs w:val="21"/>
                      <w:vertAlign w:val="baseline"/>
                      <w:lang w:val="en-US" w:eastAsia="zh-CN"/>
                    </w:rPr>
                    <w:t>×</w:t>
                  </w:r>
                  <w:r>
                    <w:rPr>
                      <w:rFonts w:hint="eastAsia" w:cs="Times New Roman"/>
                      <w:color w:val="auto"/>
                      <w:sz w:val="21"/>
                      <w:szCs w:val="21"/>
                      <w:vertAlign w:val="baseline"/>
                      <w:lang w:val="en-US" w:eastAsia="zh-CN"/>
                    </w:rPr>
                    <w:t>10</w:t>
                  </w:r>
                  <w:r>
                    <w:rPr>
                      <w:rFonts w:hint="default" w:ascii="Times New Roman" w:hAnsi="Times New Roman" w:eastAsia="宋体" w:cs="Times New Roman"/>
                      <w:i w:val="0"/>
                      <w:iCs w:val="0"/>
                      <w:color w:val="auto"/>
                      <w:kern w:val="0"/>
                      <w:sz w:val="21"/>
                      <w:szCs w:val="21"/>
                      <w:u w:val="none"/>
                      <w:vertAlign w:val="superscript"/>
                      <w:lang w:val="en-US" w:eastAsia="zh-CN" w:bidi="ar"/>
                    </w:rPr>
                    <w:t>1</w:t>
                  </w:r>
                  <w:r>
                    <w:rPr>
                      <w:rFonts w:hint="eastAsia" w:cs="Times New Roman"/>
                      <w:i w:val="0"/>
                      <w:iCs w:val="0"/>
                      <w:color w:val="auto"/>
                      <w:kern w:val="0"/>
                      <w:sz w:val="21"/>
                      <w:szCs w:val="21"/>
                      <w:u w:val="none"/>
                      <w:vertAlign w:val="superscript"/>
                      <w:lang w:val="en-US" w:eastAsia="zh-CN" w:bidi="ar"/>
                    </w:rPr>
                    <w:t>4</w:t>
                  </w:r>
                </w:p>
              </w:tc>
              <w:tc>
                <w:tcPr>
                  <w:tcW w:w="389" w:type="pct"/>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门诊废水</w:t>
                  </w:r>
                </w:p>
              </w:tc>
              <w:tc>
                <w:tcPr>
                  <w:tcW w:w="37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560</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pH</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r>
                    <w:rPr>
                      <w:rFonts w:hint="eastAsia" w:cs="Times New Roman"/>
                      <w:i w:val="0"/>
                      <w:iCs w:val="0"/>
                      <w:color w:val="auto"/>
                      <w:kern w:val="0"/>
                      <w:sz w:val="21"/>
                      <w:szCs w:val="21"/>
                      <w:u w:val="none"/>
                      <w:lang w:val="en-US" w:eastAsia="zh-CN" w:bidi="ar"/>
                    </w:rPr>
                    <w:t>6-9</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污水处理站</w:t>
                  </w: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COD</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250</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0.140 </w:t>
                  </w:r>
                </w:p>
              </w:tc>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BOD</w:t>
                  </w:r>
                  <w:r>
                    <w:rPr>
                      <w:rFonts w:hint="default" w:ascii="Times New Roman" w:hAnsi="Times New Roman" w:eastAsia="宋体" w:cs="Times New Roman"/>
                      <w:i w:val="0"/>
                      <w:iCs w:val="0"/>
                      <w:color w:val="auto"/>
                      <w:kern w:val="0"/>
                      <w:sz w:val="21"/>
                      <w:szCs w:val="21"/>
                      <w:u w:val="none"/>
                      <w:vertAlign w:val="subscript"/>
                      <w:lang w:val="en-US" w:eastAsia="zh-CN" w:bidi="ar"/>
                    </w:rPr>
                    <w:t>5</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100</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0.056 </w:t>
                  </w:r>
                </w:p>
              </w:tc>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SS</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80</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0.045 </w:t>
                  </w:r>
                </w:p>
              </w:tc>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NH</w:t>
                  </w:r>
                  <w:r>
                    <w:rPr>
                      <w:rFonts w:hint="default" w:ascii="Times New Roman" w:hAnsi="Times New Roman" w:eastAsia="宋体" w:cs="Times New Roman"/>
                      <w:i w:val="0"/>
                      <w:iCs w:val="0"/>
                      <w:color w:val="auto"/>
                      <w:kern w:val="0"/>
                      <w:sz w:val="21"/>
                      <w:szCs w:val="21"/>
                      <w:u w:val="none"/>
                      <w:vertAlign w:val="sub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-N</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lang w:val="en-US"/>
                    </w:rPr>
                  </w:pPr>
                  <w:r>
                    <w:rPr>
                      <w:rFonts w:hint="eastAsia" w:cs="Times New Roman"/>
                      <w:i w:val="0"/>
                      <w:iCs w:val="0"/>
                      <w:color w:val="auto"/>
                      <w:kern w:val="0"/>
                      <w:sz w:val="21"/>
                      <w:szCs w:val="21"/>
                      <w:u w:val="none"/>
                      <w:lang w:val="en-US" w:eastAsia="zh-CN" w:bidi="ar"/>
                    </w:rPr>
                    <w:t>50</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w:t>
                  </w:r>
                  <w:r>
                    <w:rPr>
                      <w:rFonts w:hint="eastAsia" w:cs="Times New Roman"/>
                      <w:i w:val="0"/>
                      <w:iCs w:val="0"/>
                      <w:color w:val="auto"/>
                      <w:kern w:val="0"/>
                      <w:sz w:val="21"/>
                      <w:szCs w:val="21"/>
                      <w:u w:val="none"/>
                      <w:lang w:val="en-US" w:eastAsia="zh-CN" w:bidi="ar"/>
                    </w:rPr>
                    <w:t>28</w:t>
                  </w:r>
                  <w:r>
                    <w:rPr>
                      <w:rFonts w:hint="default" w:ascii="Times New Roman" w:hAnsi="Times New Roman" w:eastAsia="宋体" w:cs="Times New Roman"/>
                      <w:i w:val="0"/>
                      <w:iCs w:val="0"/>
                      <w:color w:val="auto"/>
                      <w:kern w:val="0"/>
                      <w:sz w:val="21"/>
                      <w:szCs w:val="21"/>
                      <w:u w:val="none"/>
                      <w:lang w:val="en-US" w:eastAsia="zh-CN" w:bidi="ar"/>
                    </w:rPr>
                    <w:t xml:space="preserve"> </w:t>
                  </w:r>
                </w:p>
              </w:tc>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粪大肠杆菌</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cs="Times New Roman"/>
                      <w:color w:val="auto"/>
                      <w:sz w:val="21"/>
                      <w:szCs w:val="21"/>
                      <w:vertAlign w:val="baseline"/>
                      <w:lang w:val="en-US" w:eastAsia="zh-CN"/>
                    </w:rPr>
                    <w:t>1.6×10</w:t>
                  </w:r>
                  <w:r>
                    <w:rPr>
                      <w:rFonts w:hint="default" w:ascii="Times New Roman" w:hAnsi="Times New Roman" w:cs="Times New Roman"/>
                      <w:color w:val="auto"/>
                      <w:sz w:val="21"/>
                      <w:szCs w:val="21"/>
                      <w:vertAlign w:val="superscript"/>
                      <w:lang w:val="en-US" w:eastAsia="zh-CN"/>
                    </w:rPr>
                    <w:t>8</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lang w:val="en-US"/>
                    </w:rPr>
                  </w:pPr>
                  <w:r>
                    <w:rPr>
                      <w:rFonts w:hint="default" w:ascii="Times New Roman" w:hAnsi="Times New Roman" w:eastAsia="宋体" w:cs="Times New Roman"/>
                      <w:i w:val="0"/>
                      <w:iCs w:val="0"/>
                      <w:color w:val="auto"/>
                      <w:kern w:val="0"/>
                      <w:sz w:val="21"/>
                      <w:szCs w:val="21"/>
                      <w:u w:val="none"/>
                      <w:lang w:val="en-US" w:eastAsia="zh-CN" w:bidi="ar"/>
                    </w:rPr>
                    <w:t>8.96</w:t>
                  </w:r>
                  <w:r>
                    <w:rPr>
                      <w:rFonts w:hint="default" w:ascii="Times New Roman" w:hAnsi="Times New Roman" w:cs="Times New Roman"/>
                      <w:color w:val="auto"/>
                      <w:sz w:val="21"/>
                      <w:szCs w:val="21"/>
                      <w:vertAlign w:val="baseline"/>
                      <w:lang w:val="en-US" w:eastAsia="zh-CN"/>
                    </w:rPr>
                    <w:t>×</w:t>
                  </w:r>
                  <w:r>
                    <w:rPr>
                      <w:rFonts w:hint="eastAsia" w:cs="Times New Roman"/>
                      <w:color w:val="auto"/>
                      <w:sz w:val="21"/>
                      <w:szCs w:val="21"/>
                      <w:vertAlign w:val="baseline"/>
                      <w:lang w:val="en-US" w:eastAsia="zh-CN"/>
                    </w:rPr>
                    <w:t>10</w:t>
                  </w:r>
                  <w:r>
                    <w:rPr>
                      <w:rFonts w:hint="default" w:ascii="Times New Roman" w:hAnsi="Times New Roman" w:eastAsia="宋体" w:cs="Times New Roman"/>
                      <w:i w:val="0"/>
                      <w:iCs w:val="0"/>
                      <w:color w:val="auto"/>
                      <w:kern w:val="0"/>
                      <w:sz w:val="21"/>
                      <w:szCs w:val="21"/>
                      <w:u w:val="none"/>
                      <w:vertAlign w:val="superscript"/>
                      <w:lang w:val="en-US" w:eastAsia="zh-CN" w:bidi="ar"/>
                    </w:rPr>
                    <w:t>1</w:t>
                  </w:r>
                  <w:r>
                    <w:rPr>
                      <w:rFonts w:hint="eastAsia" w:cs="Times New Roman"/>
                      <w:i w:val="0"/>
                      <w:iCs w:val="0"/>
                      <w:color w:val="auto"/>
                      <w:kern w:val="0"/>
                      <w:sz w:val="21"/>
                      <w:szCs w:val="21"/>
                      <w:u w:val="none"/>
                      <w:vertAlign w:val="superscript"/>
                      <w:lang w:val="en-US" w:eastAsia="zh-CN" w:bidi="ar"/>
                    </w:rPr>
                    <w:t>3</w:t>
                  </w:r>
                </w:p>
              </w:tc>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检验废水</w:t>
                  </w:r>
                </w:p>
              </w:tc>
              <w:tc>
                <w:tcPr>
                  <w:tcW w:w="37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9</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pH</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r>
                    <w:rPr>
                      <w:rFonts w:hint="eastAsia" w:cs="Times New Roman"/>
                      <w:i w:val="0"/>
                      <w:iCs w:val="0"/>
                      <w:color w:val="auto"/>
                      <w:kern w:val="0"/>
                      <w:sz w:val="21"/>
                      <w:szCs w:val="21"/>
                      <w:u w:val="none"/>
                      <w:lang w:val="en-US" w:eastAsia="zh-CN" w:bidi="ar"/>
                    </w:rPr>
                    <w:t>6-9</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COD</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250</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0.0023 </w:t>
                  </w:r>
                </w:p>
              </w:tc>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BOD</w:t>
                  </w:r>
                  <w:r>
                    <w:rPr>
                      <w:rFonts w:hint="default" w:ascii="Times New Roman" w:hAnsi="Times New Roman" w:eastAsia="宋体" w:cs="Times New Roman"/>
                      <w:i w:val="0"/>
                      <w:iCs w:val="0"/>
                      <w:color w:val="auto"/>
                      <w:kern w:val="0"/>
                      <w:sz w:val="21"/>
                      <w:szCs w:val="21"/>
                      <w:u w:val="none"/>
                      <w:vertAlign w:val="subscript"/>
                      <w:lang w:val="en-US" w:eastAsia="zh-CN" w:bidi="ar"/>
                    </w:rPr>
                    <w:t>5</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100</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0.0009 </w:t>
                  </w:r>
                </w:p>
              </w:tc>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SS</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80</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0.0007 </w:t>
                  </w:r>
                </w:p>
              </w:tc>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NH</w:t>
                  </w:r>
                  <w:r>
                    <w:rPr>
                      <w:rFonts w:hint="default" w:ascii="Times New Roman" w:hAnsi="Times New Roman" w:eastAsia="宋体" w:cs="Times New Roman"/>
                      <w:i w:val="0"/>
                      <w:iCs w:val="0"/>
                      <w:color w:val="auto"/>
                      <w:kern w:val="0"/>
                      <w:sz w:val="21"/>
                      <w:szCs w:val="21"/>
                      <w:u w:val="none"/>
                      <w:vertAlign w:val="sub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-N</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50</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0.000</w:t>
                  </w:r>
                  <w:r>
                    <w:rPr>
                      <w:rFonts w:hint="eastAsia" w:cs="Times New Roman"/>
                      <w:i w:val="0"/>
                      <w:iCs w:val="0"/>
                      <w:color w:val="auto"/>
                      <w:kern w:val="0"/>
                      <w:sz w:val="21"/>
                      <w:szCs w:val="21"/>
                      <w:u w:val="none"/>
                      <w:lang w:val="en-US" w:eastAsia="zh-CN" w:bidi="ar"/>
                    </w:rPr>
                    <w:t>5</w:t>
                  </w:r>
                </w:p>
              </w:tc>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粪大肠杆菌</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cs="Times New Roman"/>
                      <w:color w:val="auto"/>
                      <w:sz w:val="21"/>
                      <w:szCs w:val="21"/>
                      <w:vertAlign w:val="baseline"/>
                      <w:lang w:val="en-US" w:eastAsia="zh-CN"/>
                    </w:rPr>
                    <w:t>1.6×10</w:t>
                  </w:r>
                  <w:r>
                    <w:rPr>
                      <w:rFonts w:hint="default" w:ascii="Times New Roman" w:hAnsi="Times New Roman" w:cs="Times New Roman"/>
                      <w:color w:val="auto"/>
                      <w:sz w:val="21"/>
                      <w:szCs w:val="21"/>
                      <w:vertAlign w:val="superscript"/>
                      <w:lang w:val="en-US" w:eastAsia="zh-CN"/>
                    </w:rPr>
                    <w:t>8</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1.44</w:t>
                  </w:r>
                  <w:r>
                    <w:rPr>
                      <w:rFonts w:hint="default" w:ascii="Times New Roman" w:hAnsi="Times New Roman" w:cs="Times New Roman"/>
                      <w:color w:val="auto"/>
                      <w:sz w:val="21"/>
                      <w:szCs w:val="21"/>
                      <w:vertAlign w:val="baseline"/>
                      <w:lang w:val="en-US" w:eastAsia="zh-CN"/>
                    </w:rPr>
                    <w:t>×</w:t>
                  </w:r>
                  <w:r>
                    <w:rPr>
                      <w:rFonts w:hint="eastAsia" w:cs="Times New Roman"/>
                      <w:color w:val="auto"/>
                      <w:sz w:val="21"/>
                      <w:szCs w:val="21"/>
                      <w:vertAlign w:val="baseline"/>
                      <w:lang w:val="en-US" w:eastAsia="zh-CN"/>
                    </w:rPr>
                    <w:t>10</w:t>
                  </w:r>
                  <w:r>
                    <w:rPr>
                      <w:rFonts w:hint="default" w:ascii="Times New Roman" w:hAnsi="Times New Roman" w:eastAsia="宋体" w:cs="Times New Roman"/>
                      <w:i w:val="0"/>
                      <w:iCs w:val="0"/>
                      <w:color w:val="auto"/>
                      <w:kern w:val="0"/>
                      <w:sz w:val="21"/>
                      <w:szCs w:val="21"/>
                      <w:u w:val="none"/>
                      <w:vertAlign w:val="superscript"/>
                      <w:lang w:val="en-US" w:eastAsia="zh-CN" w:bidi="ar"/>
                    </w:rPr>
                    <w:t>1</w:t>
                  </w:r>
                  <w:r>
                    <w:rPr>
                      <w:rFonts w:hint="eastAsia" w:cs="Times New Roman"/>
                      <w:i w:val="0"/>
                      <w:iCs w:val="0"/>
                      <w:color w:val="auto"/>
                      <w:kern w:val="0"/>
                      <w:sz w:val="21"/>
                      <w:szCs w:val="21"/>
                      <w:u w:val="none"/>
                      <w:vertAlign w:val="superscript"/>
                      <w:lang w:val="en-US" w:eastAsia="zh-CN" w:bidi="ar"/>
                    </w:rPr>
                    <w:t>2</w:t>
                  </w:r>
                </w:p>
              </w:tc>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50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废水总量</w:t>
                  </w:r>
                </w:p>
              </w:tc>
              <w:tc>
                <w:tcPr>
                  <w:tcW w:w="3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eastAsia" w:cs="Times New Roman"/>
                      <w:i w:val="0"/>
                      <w:iCs w:val="0"/>
                      <w:color w:val="auto"/>
                      <w:kern w:val="0"/>
                      <w:sz w:val="21"/>
                      <w:szCs w:val="21"/>
                      <w:u w:val="none"/>
                      <w:lang w:val="en-US" w:eastAsia="zh-CN" w:bidi="ar"/>
                    </w:rPr>
                    <w:t>4142.6</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pH</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lang w:val="en-US"/>
                    </w:rPr>
                  </w:pPr>
                  <w:r>
                    <w:rPr>
                      <w:rFonts w:hint="default" w:ascii="Times New Roman" w:hAnsi="Times New Roman" w:cs="Times New Roman"/>
                      <w:i w:val="0"/>
                      <w:iCs w:val="0"/>
                      <w:color w:val="auto"/>
                      <w:kern w:val="0"/>
                      <w:sz w:val="21"/>
                      <w:szCs w:val="21"/>
                      <w:u w:val="none"/>
                      <w:lang w:val="en-US" w:eastAsia="zh-CN" w:bidi="ar"/>
                    </w:rPr>
                    <w:t>6-9</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COD</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1.393 </w:t>
                  </w:r>
                </w:p>
              </w:tc>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BOD</w:t>
                  </w:r>
                  <w:r>
                    <w:rPr>
                      <w:rFonts w:hint="default" w:ascii="Times New Roman" w:hAnsi="Times New Roman" w:eastAsia="宋体" w:cs="Times New Roman"/>
                      <w:i w:val="0"/>
                      <w:iCs w:val="0"/>
                      <w:color w:val="auto"/>
                      <w:kern w:val="0"/>
                      <w:sz w:val="21"/>
                      <w:szCs w:val="21"/>
                      <w:u w:val="none"/>
                      <w:vertAlign w:val="subscript"/>
                      <w:lang w:val="en-US" w:eastAsia="zh-CN" w:bidi="ar"/>
                    </w:rPr>
                    <w:t>5</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0.772 </w:t>
                  </w:r>
                </w:p>
              </w:tc>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SS</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0.760 </w:t>
                  </w:r>
                </w:p>
              </w:tc>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NH</w:t>
                  </w:r>
                  <w:r>
                    <w:rPr>
                      <w:rFonts w:hint="default" w:ascii="Times New Roman" w:hAnsi="Times New Roman" w:eastAsia="宋体" w:cs="Times New Roman"/>
                      <w:i w:val="0"/>
                      <w:iCs w:val="0"/>
                      <w:color w:val="auto"/>
                      <w:kern w:val="0"/>
                      <w:sz w:val="21"/>
                      <w:szCs w:val="21"/>
                      <w:u w:val="none"/>
                      <w:vertAlign w:val="sub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-N</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lang w:val="en-US"/>
                    </w:rPr>
                  </w:pPr>
                  <w:r>
                    <w:rPr>
                      <w:rFonts w:hint="default" w:ascii="Times New Roman" w:hAnsi="Times New Roman" w:eastAsia="宋体" w:cs="Times New Roman"/>
                      <w:i w:val="0"/>
                      <w:iCs w:val="0"/>
                      <w:color w:val="auto"/>
                      <w:kern w:val="0"/>
                      <w:sz w:val="21"/>
                      <w:szCs w:val="21"/>
                      <w:u w:val="none"/>
                      <w:lang w:val="en-US" w:eastAsia="zh-CN" w:bidi="ar"/>
                    </w:rPr>
                    <w:t>0.</w:t>
                  </w:r>
                  <w:r>
                    <w:rPr>
                      <w:rFonts w:hint="eastAsia" w:cs="Times New Roman"/>
                      <w:i w:val="0"/>
                      <w:iCs w:val="0"/>
                      <w:color w:val="auto"/>
                      <w:kern w:val="0"/>
                      <w:sz w:val="21"/>
                      <w:szCs w:val="21"/>
                      <w:u w:val="none"/>
                      <w:lang w:val="en-US" w:eastAsia="zh-CN" w:bidi="ar"/>
                    </w:rPr>
                    <w:t>189</w:t>
                  </w:r>
                </w:p>
              </w:tc>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粪大肠杆菌</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ind w:left="-71" w:leftChars="-34" w:right="-71" w:rightChars="-34"/>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6.62</w:t>
                  </w:r>
                  <w:r>
                    <w:rPr>
                      <w:rFonts w:hint="default" w:ascii="Times New Roman" w:hAnsi="Times New Roman" w:cs="Times New Roman"/>
                      <w:color w:val="auto"/>
                      <w:sz w:val="21"/>
                      <w:szCs w:val="21"/>
                      <w:vertAlign w:val="baseline"/>
                      <w:lang w:val="en-US" w:eastAsia="zh-CN"/>
                    </w:rPr>
                    <w:t>×</w:t>
                  </w:r>
                  <w:r>
                    <w:rPr>
                      <w:rFonts w:hint="eastAsia" w:cs="Times New Roman"/>
                      <w:color w:val="auto"/>
                      <w:sz w:val="21"/>
                      <w:szCs w:val="21"/>
                      <w:vertAlign w:val="baseline"/>
                      <w:lang w:val="en-US" w:eastAsia="zh-CN"/>
                    </w:rPr>
                    <w:t>10</w:t>
                  </w:r>
                  <w:r>
                    <w:rPr>
                      <w:rFonts w:hint="default" w:ascii="Times New Roman" w:hAnsi="Times New Roman" w:eastAsia="宋体" w:cs="Times New Roman"/>
                      <w:i w:val="0"/>
                      <w:iCs w:val="0"/>
                      <w:color w:val="auto"/>
                      <w:kern w:val="0"/>
                      <w:sz w:val="21"/>
                      <w:szCs w:val="21"/>
                      <w:u w:val="none"/>
                      <w:vertAlign w:val="superscript"/>
                      <w:lang w:val="en-US" w:eastAsia="zh-CN" w:bidi="ar"/>
                    </w:rPr>
                    <w:t>1</w:t>
                  </w:r>
                  <w:r>
                    <w:rPr>
                      <w:rFonts w:hint="eastAsia" w:cs="Times New Roman"/>
                      <w:i w:val="0"/>
                      <w:iCs w:val="0"/>
                      <w:color w:val="auto"/>
                      <w:kern w:val="0"/>
                      <w:sz w:val="21"/>
                      <w:szCs w:val="21"/>
                      <w:u w:val="none"/>
                      <w:vertAlign w:val="superscript"/>
                      <w:lang w:val="en-US" w:eastAsia="zh-CN" w:bidi="ar"/>
                    </w:rPr>
                    <w:t>4</w:t>
                  </w:r>
                </w:p>
              </w:tc>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2075"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default" w:ascii="Times New Roman" w:hAnsi="Times New Roman" w:eastAsia="宋体" w:cs="Times New Roman"/>
                      <w:i w:val="0"/>
                      <w:iCs w:val="0"/>
                      <w:color w:val="auto"/>
                      <w:sz w:val="21"/>
                      <w:szCs w:val="21"/>
                      <w:u w:val="none"/>
                    </w:rPr>
                  </w:pPr>
                </w:p>
              </w:tc>
              <w:tc>
                <w:tcPr>
                  <w:tcW w:w="1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ind w:left="-71" w:leftChars="-34" w:right="-71" w:rightChars="-34"/>
                    <w:jc w:val="center"/>
                    <w:rPr>
                      <w:rFonts w:hint="eastAsia" w:ascii="宋体" w:hAnsi="宋体" w:eastAsia="宋体" w:cs="宋体"/>
                      <w:i w:val="0"/>
                      <w:iCs w:val="0"/>
                      <w:color w:val="auto"/>
                      <w:sz w:val="21"/>
                      <w:szCs w:val="21"/>
                      <w:u w:val="none"/>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0" w:firstLineChars="200"/>
              <w:jc w:val="left"/>
              <w:textAlignment w:val="auto"/>
              <w:rPr>
                <w:color w:val="auto"/>
                <w:kern w:val="0"/>
                <w:sz w:val="24"/>
                <w:szCs w:val="24"/>
              </w:rPr>
            </w:pPr>
            <w:r>
              <w:rPr>
                <w:color w:val="auto"/>
                <w:kern w:val="0"/>
                <w:sz w:val="24"/>
                <w:szCs w:val="24"/>
              </w:rPr>
              <w:t>（3）废水类别、污染物及污染治理设施信息</w:t>
            </w:r>
          </w:p>
          <w:p>
            <w:pPr>
              <w:spacing w:line="360" w:lineRule="auto"/>
              <w:ind w:firstLine="480" w:firstLineChars="200"/>
              <w:jc w:val="left"/>
              <w:rPr>
                <w:snapToGrid w:val="0"/>
                <w:color w:val="auto"/>
                <w:kern w:val="0"/>
                <w:sz w:val="24"/>
                <w:szCs w:val="24"/>
              </w:rPr>
            </w:pPr>
            <w:r>
              <w:rPr>
                <w:color w:val="auto"/>
                <w:kern w:val="0"/>
                <w:sz w:val="24"/>
                <w:szCs w:val="24"/>
              </w:rPr>
              <w:t>废水类别、污染物及污染治理设施信息表见表4-</w:t>
            </w:r>
            <w:r>
              <w:rPr>
                <w:rFonts w:hint="eastAsia"/>
                <w:color w:val="auto"/>
                <w:kern w:val="0"/>
                <w:sz w:val="24"/>
                <w:szCs w:val="24"/>
                <w:lang w:val="en-US" w:eastAsia="zh-CN"/>
              </w:rPr>
              <w:t>9</w:t>
            </w:r>
            <w:r>
              <w:rPr>
                <w:snapToGrid w:val="0"/>
                <w:color w:val="auto"/>
                <w:kern w:val="0"/>
                <w:sz w:val="24"/>
                <w:szCs w:val="24"/>
              </w:rPr>
              <w:t>。</w:t>
            </w:r>
          </w:p>
          <w:p>
            <w:pPr>
              <w:adjustRightInd w:val="0"/>
              <w:snapToGrid w:val="0"/>
              <w:jc w:val="center"/>
              <w:rPr>
                <w:b/>
                <w:bCs/>
                <w:color w:val="auto"/>
                <w:kern w:val="0"/>
                <w:sz w:val="21"/>
                <w:szCs w:val="21"/>
              </w:rPr>
            </w:pPr>
            <w:r>
              <w:rPr>
                <w:b/>
                <w:bCs/>
                <w:color w:val="auto"/>
                <w:kern w:val="0"/>
                <w:sz w:val="21"/>
                <w:szCs w:val="21"/>
              </w:rPr>
              <w:t>表4-</w:t>
            </w:r>
            <w:r>
              <w:rPr>
                <w:rFonts w:hint="eastAsia"/>
                <w:b/>
                <w:bCs/>
                <w:color w:val="auto"/>
                <w:kern w:val="0"/>
                <w:sz w:val="21"/>
                <w:szCs w:val="21"/>
                <w:lang w:val="en-US" w:eastAsia="zh-CN"/>
              </w:rPr>
              <w:t>9</w:t>
            </w:r>
            <w:r>
              <w:rPr>
                <w:b/>
                <w:bCs/>
                <w:color w:val="auto"/>
                <w:kern w:val="0"/>
                <w:sz w:val="21"/>
                <w:szCs w:val="21"/>
              </w:rPr>
              <w:t xml:space="preserve">  废水类别、污染物及污染治理设施信息表</w:t>
            </w:r>
          </w:p>
          <w:tbl>
            <w:tblPr>
              <w:tblStyle w:val="25"/>
              <w:tblW w:w="89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7"/>
              <w:gridCol w:w="780"/>
              <w:gridCol w:w="1022"/>
              <w:gridCol w:w="667"/>
              <w:gridCol w:w="1037"/>
              <w:gridCol w:w="1348"/>
              <w:gridCol w:w="644"/>
              <w:gridCol w:w="597"/>
              <w:gridCol w:w="752"/>
              <w:gridCol w:w="874"/>
              <w:gridCol w:w="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57"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b/>
                      <w:color w:val="auto"/>
                      <w:sz w:val="21"/>
                      <w:szCs w:val="21"/>
                    </w:rPr>
                  </w:pPr>
                  <w:r>
                    <w:rPr>
                      <w:b/>
                      <w:color w:val="auto"/>
                      <w:sz w:val="21"/>
                      <w:szCs w:val="21"/>
                    </w:rPr>
                    <w:t>序号</w:t>
                  </w:r>
                </w:p>
              </w:tc>
              <w:tc>
                <w:tcPr>
                  <w:tcW w:w="471"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b/>
                      <w:color w:val="auto"/>
                      <w:sz w:val="21"/>
                      <w:szCs w:val="21"/>
                    </w:rPr>
                  </w:pPr>
                  <w:r>
                    <w:rPr>
                      <w:b/>
                      <w:color w:val="auto"/>
                      <w:sz w:val="21"/>
                      <w:szCs w:val="21"/>
                    </w:rPr>
                    <w:t>废水类别</w:t>
                  </w:r>
                </w:p>
              </w:tc>
              <w:tc>
                <w:tcPr>
                  <w:tcW w:w="606"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b/>
                      <w:color w:val="auto"/>
                      <w:sz w:val="21"/>
                      <w:szCs w:val="21"/>
                    </w:rPr>
                  </w:pPr>
                  <w:r>
                    <w:rPr>
                      <w:b/>
                      <w:color w:val="auto"/>
                      <w:sz w:val="21"/>
                      <w:szCs w:val="21"/>
                    </w:rPr>
                    <w:t>污染物种类</w:t>
                  </w:r>
                </w:p>
              </w:tc>
              <w:tc>
                <w:tcPr>
                  <w:tcW w:w="408"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b/>
                      <w:color w:val="auto"/>
                      <w:sz w:val="21"/>
                      <w:szCs w:val="21"/>
                    </w:rPr>
                  </w:pPr>
                  <w:r>
                    <w:rPr>
                      <w:b/>
                      <w:color w:val="auto"/>
                      <w:sz w:val="21"/>
                      <w:szCs w:val="21"/>
                    </w:rPr>
                    <w:t>排放</w:t>
                  </w:r>
                </w:p>
                <w:p>
                  <w:pPr>
                    <w:keepNext w:val="0"/>
                    <w:keepLines w:val="0"/>
                    <w:pageBreakBefore w:val="0"/>
                    <w:kinsoku/>
                    <w:wordWrap/>
                    <w:overflowPunct/>
                    <w:topLinePunct w:val="0"/>
                    <w:autoSpaceDE/>
                    <w:autoSpaceDN/>
                    <w:bidi w:val="0"/>
                    <w:adjustRightInd w:val="0"/>
                    <w:snapToGrid w:val="0"/>
                    <w:ind w:left="-71" w:leftChars="-34" w:right="-71" w:rightChars="-34"/>
                    <w:jc w:val="center"/>
                    <w:rPr>
                      <w:b/>
                      <w:color w:val="auto"/>
                      <w:sz w:val="21"/>
                      <w:szCs w:val="21"/>
                    </w:rPr>
                  </w:pPr>
                  <w:r>
                    <w:rPr>
                      <w:b/>
                      <w:color w:val="auto"/>
                      <w:sz w:val="21"/>
                      <w:szCs w:val="21"/>
                    </w:rPr>
                    <w:t>去向</w:t>
                  </w:r>
                </w:p>
              </w:tc>
              <w:tc>
                <w:tcPr>
                  <w:tcW w:w="614"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b/>
                      <w:color w:val="auto"/>
                      <w:sz w:val="21"/>
                      <w:szCs w:val="21"/>
                    </w:rPr>
                  </w:pPr>
                  <w:r>
                    <w:rPr>
                      <w:b/>
                      <w:color w:val="auto"/>
                      <w:sz w:val="21"/>
                      <w:szCs w:val="21"/>
                    </w:rPr>
                    <w:t>排放规律</w:t>
                  </w:r>
                </w:p>
              </w:tc>
              <w:tc>
                <w:tcPr>
                  <w:tcW w:w="1160" w:type="pct"/>
                  <w:gridSpan w:val="3"/>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b/>
                      <w:color w:val="auto"/>
                      <w:sz w:val="21"/>
                      <w:szCs w:val="21"/>
                    </w:rPr>
                  </w:pPr>
                  <w:r>
                    <w:rPr>
                      <w:b/>
                      <w:color w:val="auto"/>
                      <w:sz w:val="21"/>
                      <w:szCs w:val="21"/>
                    </w:rPr>
                    <w:t>污染治理设施</w:t>
                  </w:r>
                </w:p>
              </w:tc>
              <w:tc>
                <w:tcPr>
                  <w:tcW w:w="455"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b/>
                      <w:color w:val="auto"/>
                      <w:sz w:val="21"/>
                      <w:szCs w:val="21"/>
                    </w:rPr>
                  </w:pPr>
                  <w:r>
                    <w:rPr>
                      <w:b/>
                      <w:color w:val="auto"/>
                      <w:sz w:val="21"/>
                      <w:szCs w:val="21"/>
                    </w:rPr>
                    <w:t>排放口编号</w:t>
                  </w:r>
                </w:p>
              </w:tc>
              <w:tc>
                <w:tcPr>
                  <w:tcW w:w="523"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b/>
                      <w:color w:val="auto"/>
                      <w:sz w:val="21"/>
                      <w:szCs w:val="21"/>
                    </w:rPr>
                  </w:pPr>
                  <w:r>
                    <w:rPr>
                      <w:b/>
                      <w:color w:val="auto"/>
                      <w:sz w:val="21"/>
                      <w:szCs w:val="21"/>
                    </w:rPr>
                    <w:t>排放口设置是否符合要求</w:t>
                  </w:r>
                </w:p>
              </w:tc>
              <w:tc>
                <w:tcPr>
                  <w:tcW w:w="502"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b/>
                      <w:color w:val="auto"/>
                      <w:sz w:val="21"/>
                      <w:szCs w:val="21"/>
                    </w:rPr>
                  </w:pPr>
                  <w:r>
                    <w:rPr>
                      <w:b/>
                      <w:color w:val="auto"/>
                      <w:sz w:val="21"/>
                      <w:szCs w:val="21"/>
                    </w:rPr>
                    <w:t>排放口类型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57"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b/>
                      <w:color w:val="auto"/>
                      <w:sz w:val="21"/>
                      <w:szCs w:val="21"/>
                    </w:rPr>
                  </w:pPr>
                </w:p>
              </w:tc>
              <w:tc>
                <w:tcPr>
                  <w:tcW w:w="471"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b/>
                      <w:color w:val="auto"/>
                      <w:sz w:val="21"/>
                      <w:szCs w:val="21"/>
                    </w:rPr>
                  </w:pPr>
                </w:p>
              </w:tc>
              <w:tc>
                <w:tcPr>
                  <w:tcW w:w="606"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b/>
                      <w:color w:val="auto"/>
                      <w:sz w:val="21"/>
                      <w:szCs w:val="21"/>
                    </w:rPr>
                  </w:pPr>
                </w:p>
              </w:tc>
              <w:tc>
                <w:tcPr>
                  <w:tcW w:w="408"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b/>
                      <w:color w:val="auto"/>
                      <w:sz w:val="21"/>
                      <w:szCs w:val="21"/>
                    </w:rPr>
                  </w:pPr>
                </w:p>
              </w:tc>
              <w:tc>
                <w:tcPr>
                  <w:tcW w:w="614"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b/>
                      <w:color w:val="auto"/>
                      <w:sz w:val="21"/>
                      <w:szCs w:val="21"/>
                    </w:rPr>
                  </w:pPr>
                </w:p>
              </w:tc>
              <w:tc>
                <w:tcPr>
                  <w:tcW w:w="396" w:type="pc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b/>
                      <w:color w:val="auto"/>
                      <w:sz w:val="21"/>
                      <w:szCs w:val="21"/>
                    </w:rPr>
                  </w:pPr>
                  <w:r>
                    <w:rPr>
                      <w:b/>
                      <w:color w:val="auto"/>
                      <w:sz w:val="21"/>
                      <w:szCs w:val="21"/>
                    </w:rPr>
                    <w:t>污染治理设施编号</w:t>
                  </w:r>
                </w:p>
              </w:tc>
              <w:tc>
                <w:tcPr>
                  <w:tcW w:w="395" w:type="pc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b/>
                      <w:color w:val="auto"/>
                      <w:sz w:val="21"/>
                      <w:szCs w:val="21"/>
                    </w:rPr>
                  </w:pPr>
                  <w:r>
                    <w:rPr>
                      <w:b/>
                      <w:color w:val="auto"/>
                      <w:sz w:val="21"/>
                      <w:szCs w:val="21"/>
                    </w:rPr>
                    <w:t>污染治理设施名称</w:t>
                  </w:r>
                </w:p>
              </w:tc>
              <w:tc>
                <w:tcPr>
                  <w:tcW w:w="368" w:type="pc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b/>
                      <w:color w:val="auto"/>
                      <w:sz w:val="21"/>
                      <w:szCs w:val="21"/>
                    </w:rPr>
                  </w:pPr>
                  <w:r>
                    <w:rPr>
                      <w:b/>
                      <w:color w:val="auto"/>
                      <w:sz w:val="21"/>
                      <w:szCs w:val="21"/>
                    </w:rPr>
                    <w:t>污染治理设施工艺</w:t>
                  </w:r>
                </w:p>
              </w:tc>
              <w:tc>
                <w:tcPr>
                  <w:tcW w:w="455"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b/>
                      <w:color w:val="auto"/>
                      <w:sz w:val="21"/>
                      <w:szCs w:val="21"/>
                    </w:rPr>
                  </w:pPr>
                </w:p>
              </w:tc>
              <w:tc>
                <w:tcPr>
                  <w:tcW w:w="523"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b/>
                      <w:color w:val="auto"/>
                      <w:sz w:val="21"/>
                      <w:szCs w:val="21"/>
                    </w:rPr>
                  </w:pPr>
                </w:p>
              </w:tc>
              <w:tc>
                <w:tcPr>
                  <w:tcW w:w="502"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57" w:type="pct"/>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rPr>
                  </w:pPr>
                  <w:r>
                    <w:rPr>
                      <w:color w:val="auto"/>
                      <w:sz w:val="21"/>
                      <w:szCs w:val="21"/>
                    </w:rPr>
                    <w:t>1</w:t>
                  </w:r>
                </w:p>
              </w:tc>
              <w:tc>
                <w:tcPr>
                  <w:tcW w:w="471" w:type="pc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r>
                    <w:rPr>
                      <w:bCs/>
                      <w:color w:val="auto"/>
                      <w:sz w:val="21"/>
                      <w:szCs w:val="21"/>
                    </w:rPr>
                    <w:t>行政办公人员生活废水</w:t>
                  </w:r>
                </w:p>
              </w:tc>
              <w:tc>
                <w:tcPr>
                  <w:tcW w:w="606" w:type="pc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textAlignment w:val="baseline"/>
                    <w:rPr>
                      <w:color w:val="auto"/>
                      <w:kern w:val="0"/>
                      <w:sz w:val="21"/>
                      <w:szCs w:val="21"/>
                    </w:rPr>
                  </w:pPr>
                  <w:r>
                    <w:rPr>
                      <w:color w:val="auto"/>
                      <w:kern w:val="0"/>
                      <w:sz w:val="21"/>
                      <w:szCs w:val="21"/>
                    </w:rPr>
                    <w:t>COD</w:t>
                  </w:r>
                </w:p>
                <w:p>
                  <w:pPr>
                    <w:keepNext w:val="0"/>
                    <w:keepLines w:val="0"/>
                    <w:pageBreakBefore w:val="0"/>
                    <w:kinsoku/>
                    <w:wordWrap/>
                    <w:overflowPunct/>
                    <w:topLinePunct w:val="0"/>
                    <w:autoSpaceDE/>
                    <w:autoSpaceDN/>
                    <w:bidi w:val="0"/>
                    <w:adjustRightInd w:val="0"/>
                    <w:snapToGrid w:val="0"/>
                    <w:ind w:left="-71" w:leftChars="-34" w:right="-71" w:rightChars="-34"/>
                    <w:jc w:val="center"/>
                    <w:textAlignment w:val="baseline"/>
                    <w:rPr>
                      <w:color w:val="auto"/>
                      <w:kern w:val="0"/>
                      <w:sz w:val="21"/>
                      <w:szCs w:val="21"/>
                    </w:rPr>
                  </w:pPr>
                  <w:r>
                    <w:rPr>
                      <w:color w:val="auto"/>
                      <w:kern w:val="0"/>
                      <w:sz w:val="21"/>
                      <w:szCs w:val="21"/>
                    </w:rPr>
                    <w:t>SS</w:t>
                  </w:r>
                </w:p>
                <w:p>
                  <w:pPr>
                    <w:keepNext w:val="0"/>
                    <w:keepLines w:val="0"/>
                    <w:pageBreakBefore w:val="0"/>
                    <w:kinsoku/>
                    <w:wordWrap/>
                    <w:overflowPunct/>
                    <w:topLinePunct w:val="0"/>
                    <w:autoSpaceDE/>
                    <w:autoSpaceDN/>
                    <w:bidi w:val="0"/>
                    <w:adjustRightInd w:val="0"/>
                    <w:snapToGrid w:val="0"/>
                    <w:ind w:left="-71" w:leftChars="-34" w:right="-71" w:rightChars="-34"/>
                    <w:jc w:val="center"/>
                    <w:textAlignment w:val="baseline"/>
                    <w:rPr>
                      <w:color w:val="auto"/>
                      <w:kern w:val="0"/>
                      <w:sz w:val="21"/>
                      <w:szCs w:val="21"/>
                    </w:rPr>
                  </w:pPr>
                  <w:r>
                    <w:rPr>
                      <w:color w:val="auto"/>
                      <w:kern w:val="0"/>
                      <w:sz w:val="21"/>
                      <w:szCs w:val="21"/>
                    </w:rPr>
                    <w:t>氨氮</w:t>
                  </w:r>
                </w:p>
                <w:p>
                  <w:pPr>
                    <w:keepNext w:val="0"/>
                    <w:keepLines w:val="0"/>
                    <w:pageBreakBefore w:val="0"/>
                    <w:widowControl/>
                    <w:kinsoku/>
                    <w:wordWrap/>
                    <w:overflowPunct/>
                    <w:topLinePunct w:val="0"/>
                    <w:autoSpaceDE/>
                    <w:autoSpaceDN/>
                    <w:bidi w:val="0"/>
                    <w:ind w:left="-71" w:leftChars="-34" w:right="-71" w:rightChars="-34"/>
                    <w:jc w:val="center"/>
                    <w:rPr>
                      <w:color w:val="auto"/>
                      <w:kern w:val="0"/>
                      <w:sz w:val="21"/>
                      <w:szCs w:val="21"/>
                      <w:vertAlign w:val="subscript"/>
                    </w:rPr>
                  </w:pPr>
                  <w:r>
                    <w:rPr>
                      <w:color w:val="auto"/>
                      <w:kern w:val="0"/>
                      <w:sz w:val="21"/>
                      <w:szCs w:val="21"/>
                    </w:rPr>
                    <w:t>BOD</w:t>
                  </w:r>
                  <w:r>
                    <w:rPr>
                      <w:color w:val="auto"/>
                      <w:kern w:val="0"/>
                      <w:sz w:val="21"/>
                      <w:szCs w:val="21"/>
                      <w:vertAlign w:val="subscript"/>
                    </w:rPr>
                    <w:t>5</w:t>
                  </w:r>
                </w:p>
                <w:p>
                  <w:pPr>
                    <w:keepNext w:val="0"/>
                    <w:keepLines w:val="0"/>
                    <w:pageBreakBefore w:val="0"/>
                    <w:widowControl/>
                    <w:kinsoku/>
                    <w:wordWrap/>
                    <w:overflowPunct/>
                    <w:topLinePunct w:val="0"/>
                    <w:autoSpaceDE/>
                    <w:autoSpaceDN/>
                    <w:bidi w:val="0"/>
                    <w:ind w:left="-71" w:leftChars="-34" w:right="-71" w:rightChars="-34"/>
                    <w:jc w:val="center"/>
                    <w:rPr>
                      <w:color w:val="auto"/>
                      <w:kern w:val="0"/>
                      <w:sz w:val="21"/>
                      <w:szCs w:val="21"/>
                    </w:rPr>
                  </w:pPr>
                  <w:r>
                    <w:rPr>
                      <w:color w:val="auto"/>
                      <w:kern w:val="0"/>
                      <w:sz w:val="21"/>
                      <w:szCs w:val="21"/>
                    </w:rPr>
                    <w:t>粪大肠菌群数</w:t>
                  </w:r>
                </w:p>
              </w:tc>
              <w:tc>
                <w:tcPr>
                  <w:tcW w:w="408"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rFonts w:hint="eastAsia" w:eastAsia="宋体"/>
                      <w:color w:val="auto"/>
                      <w:sz w:val="21"/>
                      <w:szCs w:val="21"/>
                      <w:lang w:eastAsia="zh-CN"/>
                    </w:rPr>
                  </w:pPr>
                  <w:r>
                    <w:rPr>
                      <w:rFonts w:hint="eastAsia"/>
                      <w:color w:val="auto"/>
                      <w:sz w:val="21"/>
                      <w:szCs w:val="21"/>
                      <w:lang w:eastAsia="zh-CN"/>
                    </w:rPr>
                    <w:t>西安市第一污水处理厂一期</w:t>
                  </w:r>
                </w:p>
              </w:tc>
              <w:tc>
                <w:tcPr>
                  <w:tcW w:w="614"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r>
                    <w:rPr>
                      <w:snapToGrid w:val="0"/>
                      <w:color w:val="auto"/>
                      <w:kern w:val="0"/>
                      <w:sz w:val="21"/>
                      <w:szCs w:val="21"/>
                    </w:rPr>
                    <w:t>间断排放，排放期间流量不稳定</w:t>
                  </w:r>
                </w:p>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p>
              </w:tc>
              <w:tc>
                <w:tcPr>
                  <w:tcW w:w="396"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rFonts w:hint="eastAsia" w:eastAsia="宋体"/>
                      <w:color w:val="auto"/>
                      <w:sz w:val="21"/>
                      <w:szCs w:val="21"/>
                      <w:lang w:val="en-US" w:eastAsia="zh-CN"/>
                    </w:rPr>
                  </w:pPr>
                  <w:r>
                    <w:rPr>
                      <w:color w:val="auto"/>
                      <w:sz w:val="21"/>
                      <w:szCs w:val="21"/>
                    </w:rPr>
                    <w:t>TW001</w:t>
                  </w:r>
                  <w:r>
                    <w:rPr>
                      <w:rFonts w:hint="eastAsia"/>
                      <w:color w:val="auto"/>
                      <w:sz w:val="21"/>
                      <w:szCs w:val="21"/>
                      <w:lang w:val="en-US" w:eastAsia="zh-CN"/>
                    </w:rPr>
                    <w:t>+</w:t>
                  </w:r>
                  <w:r>
                    <w:rPr>
                      <w:color w:val="auto"/>
                      <w:sz w:val="21"/>
                      <w:szCs w:val="21"/>
                    </w:rPr>
                    <w:t>W002</w:t>
                  </w:r>
                </w:p>
              </w:tc>
              <w:tc>
                <w:tcPr>
                  <w:tcW w:w="395"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rFonts w:hint="eastAsia" w:eastAsia="宋体"/>
                      <w:color w:val="auto"/>
                      <w:sz w:val="21"/>
                      <w:szCs w:val="21"/>
                      <w:lang w:val="en-US" w:eastAsia="zh-CN"/>
                    </w:rPr>
                  </w:pPr>
                  <w:r>
                    <w:rPr>
                      <w:color w:val="auto"/>
                      <w:sz w:val="21"/>
                      <w:szCs w:val="21"/>
                    </w:rPr>
                    <w:t>化粪池</w:t>
                  </w:r>
                  <w:r>
                    <w:rPr>
                      <w:rFonts w:hint="eastAsia"/>
                      <w:color w:val="auto"/>
                      <w:sz w:val="21"/>
                      <w:szCs w:val="21"/>
                      <w:lang w:val="en-US" w:eastAsia="zh-CN"/>
                    </w:rPr>
                    <w:t>+</w:t>
                  </w:r>
                  <w:r>
                    <w:rPr>
                      <w:color w:val="auto"/>
                      <w:sz w:val="21"/>
                      <w:szCs w:val="21"/>
                    </w:rPr>
                    <w:t>污水处理站</w:t>
                  </w:r>
                </w:p>
              </w:tc>
              <w:tc>
                <w:tcPr>
                  <w:tcW w:w="368"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r>
                    <w:rPr>
                      <w:color w:val="auto"/>
                      <w:sz w:val="21"/>
                      <w:szCs w:val="21"/>
                    </w:rPr>
                    <w:t>缺氧+好氧+沉降+消毒</w:t>
                  </w:r>
                </w:p>
              </w:tc>
              <w:tc>
                <w:tcPr>
                  <w:tcW w:w="455"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r>
                    <w:rPr>
                      <w:snapToGrid w:val="0"/>
                      <w:color w:val="auto"/>
                      <w:kern w:val="0"/>
                      <w:sz w:val="21"/>
                      <w:szCs w:val="21"/>
                    </w:rPr>
                    <w:t>DW001</w:t>
                  </w:r>
                </w:p>
              </w:tc>
              <w:tc>
                <w:tcPr>
                  <w:tcW w:w="523"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snapToGrid w:val="0"/>
                      <w:color w:val="auto"/>
                      <w:kern w:val="0"/>
                      <w:sz w:val="21"/>
                      <w:szCs w:val="21"/>
                    </w:rPr>
                  </w:pPr>
                  <w:r>
                    <w:rPr>
                      <w:snapToGrid w:val="0"/>
                      <w:color w:val="auto"/>
                      <w:kern w:val="0"/>
                      <w:sz w:val="21"/>
                      <w:szCs w:val="21"/>
                    </w:rPr>
                    <w:t>√是</w:t>
                  </w:r>
                </w:p>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r>
                    <w:rPr>
                      <w:snapToGrid w:val="0"/>
                      <w:color w:val="auto"/>
                      <w:kern w:val="0"/>
                      <w:sz w:val="21"/>
                      <w:szCs w:val="21"/>
                    </w:rPr>
                    <w:t>□否</w:t>
                  </w:r>
                </w:p>
              </w:tc>
              <w:tc>
                <w:tcPr>
                  <w:tcW w:w="502"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snapToGrid w:val="0"/>
                      <w:color w:val="auto"/>
                      <w:kern w:val="0"/>
                      <w:sz w:val="21"/>
                      <w:szCs w:val="21"/>
                    </w:rPr>
                  </w:pPr>
                  <w:r>
                    <w:rPr>
                      <w:snapToGrid w:val="0"/>
                      <w:color w:val="auto"/>
                      <w:kern w:val="0"/>
                      <w:sz w:val="21"/>
                      <w:szCs w:val="21"/>
                    </w:rPr>
                    <w:t>√企业总排</w:t>
                  </w:r>
                </w:p>
                <w:p>
                  <w:pPr>
                    <w:keepNext w:val="0"/>
                    <w:keepLines w:val="0"/>
                    <w:pageBreakBefore w:val="0"/>
                    <w:kinsoku/>
                    <w:wordWrap/>
                    <w:overflowPunct/>
                    <w:topLinePunct w:val="0"/>
                    <w:autoSpaceDE/>
                    <w:autoSpaceDN/>
                    <w:bidi w:val="0"/>
                    <w:adjustRightInd w:val="0"/>
                    <w:snapToGrid w:val="0"/>
                    <w:ind w:left="-71" w:leftChars="-34" w:right="-71" w:rightChars="-34"/>
                    <w:jc w:val="center"/>
                    <w:rPr>
                      <w:snapToGrid w:val="0"/>
                      <w:color w:val="auto"/>
                      <w:kern w:val="0"/>
                      <w:sz w:val="21"/>
                      <w:szCs w:val="21"/>
                    </w:rPr>
                  </w:pPr>
                  <w:r>
                    <w:rPr>
                      <w:snapToGrid w:val="0"/>
                      <w:color w:val="auto"/>
                      <w:kern w:val="0"/>
                      <w:sz w:val="21"/>
                      <w:szCs w:val="21"/>
                    </w:rPr>
                    <w:t>□雨水排放</w:t>
                  </w:r>
                </w:p>
                <w:p>
                  <w:pPr>
                    <w:keepNext w:val="0"/>
                    <w:keepLines w:val="0"/>
                    <w:pageBreakBefore w:val="0"/>
                    <w:kinsoku/>
                    <w:wordWrap/>
                    <w:overflowPunct/>
                    <w:topLinePunct w:val="0"/>
                    <w:autoSpaceDE/>
                    <w:autoSpaceDN/>
                    <w:bidi w:val="0"/>
                    <w:adjustRightInd w:val="0"/>
                    <w:snapToGrid w:val="0"/>
                    <w:ind w:left="-71" w:leftChars="-34" w:right="-71" w:rightChars="-34"/>
                    <w:jc w:val="center"/>
                    <w:rPr>
                      <w:snapToGrid w:val="0"/>
                      <w:color w:val="auto"/>
                      <w:kern w:val="0"/>
                      <w:sz w:val="21"/>
                      <w:szCs w:val="21"/>
                    </w:rPr>
                  </w:pPr>
                  <w:r>
                    <w:rPr>
                      <w:snapToGrid w:val="0"/>
                      <w:color w:val="auto"/>
                      <w:kern w:val="0"/>
                      <w:sz w:val="21"/>
                      <w:szCs w:val="21"/>
                    </w:rPr>
                    <w:t>□清净下水排放</w:t>
                  </w:r>
                </w:p>
                <w:p>
                  <w:pPr>
                    <w:keepNext w:val="0"/>
                    <w:keepLines w:val="0"/>
                    <w:pageBreakBefore w:val="0"/>
                    <w:kinsoku/>
                    <w:wordWrap/>
                    <w:overflowPunct/>
                    <w:topLinePunct w:val="0"/>
                    <w:autoSpaceDE/>
                    <w:autoSpaceDN/>
                    <w:bidi w:val="0"/>
                    <w:adjustRightInd w:val="0"/>
                    <w:snapToGrid w:val="0"/>
                    <w:ind w:left="-71" w:leftChars="-34" w:right="-71" w:rightChars="-34"/>
                    <w:jc w:val="center"/>
                    <w:rPr>
                      <w:snapToGrid w:val="0"/>
                      <w:color w:val="auto"/>
                      <w:kern w:val="0"/>
                      <w:sz w:val="21"/>
                      <w:szCs w:val="21"/>
                    </w:rPr>
                  </w:pPr>
                  <w:r>
                    <w:rPr>
                      <w:snapToGrid w:val="0"/>
                      <w:color w:val="auto"/>
                      <w:kern w:val="0"/>
                      <w:sz w:val="21"/>
                      <w:szCs w:val="21"/>
                    </w:rPr>
                    <w:t>□温排水排放</w:t>
                  </w:r>
                </w:p>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r>
                    <w:rPr>
                      <w:snapToGrid w:val="0"/>
                      <w:color w:val="auto"/>
                      <w:kern w:val="0"/>
                      <w:sz w:val="21"/>
                      <w:szCs w:val="21"/>
                    </w:rPr>
                    <w:t>□车间或车间处理设施排放口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57" w:type="pct"/>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rPr>
                  </w:pPr>
                  <w:r>
                    <w:rPr>
                      <w:color w:val="auto"/>
                      <w:sz w:val="21"/>
                      <w:szCs w:val="21"/>
                    </w:rPr>
                    <w:t>2</w:t>
                  </w:r>
                </w:p>
              </w:tc>
              <w:tc>
                <w:tcPr>
                  <w:tcW w:w="471" w:type="pc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r>
                    <w:rPr>
                      <w:snapToGrid w:val="0"/>
                      <w:color w:val="auto"/>
                      <w:kern w:val="0"/>
                      <w:sz w:val="21"/>
                      <w:szCs w:val="21"/>
                    </w:rPr>
                    <w:t>病房废水</w:t>
                  </w:r>
                </w:p>
              </w:tc>
              <w:tc>
                <w:tcPr>
                  <w:tcW w:w="606" w:type="pct"/>
                  <w:vAlign w:val="center"/>
                </w:tcPr>
                <w:p>
                  <w:pPr>
                    <w:keepNext w:val="0"/>
                    <w:keepLines w:val="0"/>
                    <w:pageBreakBefore w:val="0"/>
                    <w:widowControl w:val="0"/>
                    <w:kinsoku/>
                    <w:wordWrap/>
                    <w:overflowPunct/>
                    <w:topLinePunct w:val="0"/>
                    <w:autoSpaceDE/>
                    <w:autoSpaceDN/>
                    <w:bidi w:val="0"/>
                    <w:adjustRightInd w:val="0"/>
                    <w:snapToGrid w:val="0"/>
                    <w:ind w:left="-71" w:leftChars="-34" w:right="-71" w:rightChars="-34"/>
                    <w:jc w:val="center"/>
                    <w:textAlignment w:val="baseline"/>
                    <w:rPr>
                      <w:color w:val="auto"/>
                      <w:kern w:val="0"/>
                      <w:sz w:val="21"/>
                      <w:szCs w:val="21"/>
                    </w:rPr>
                  </w:pPr>
                  <w:r>
                    <w:rPr>
                      <w:color w:val="auto"/>
                      <w:kern w:val="0"/>
                      <w:sz w:val="21"/>
                      <w:szCs w:val="21"/>
                    </w:rPr>
                    <w:t>COD</w:t>
                  </w:r>
                </w:p>
                <w:p>
                  <w:pPr>
                    <w:keepNext w:val="0"/>
                    <w:keepLines w:val="0"/>
                    <w:pageBreakBefore w:val="0"/>
                    <w:widowControl w:val="0"/>
                    <w:kinsoku/>
                    <w:wordWrap/>
                    <w:overflowPunct/>
                    <w:topLinePunct w:val="0"/>
                    <w:autoSpaceDE/>
                    <w:autoSpaceDN/>
                    <w:bidi w:val="0"/>
                    <w:adjustRightInd w:val="0"/>
                    <w:snapToGrid w:val="0"/>
                    <w:ind w:left="-71" w:leftChars="-34" w:right="-71" w:rightChars="-34"/>
                    <w:jc w:val="center"/>
                    <w:textAlignment w:val="baseline"/>
                    <w:rPr>
                      <w:color w:val="auto"/>
                      <w:kern w:val="0"/>
                      <w:sz w:val="21"/>
                      <w:szCs w:val="21"/>
                    </w:rPr>
                  </w:pPr>
                  <w:r>
                    <w:rPr>
                      <w:color w:val="auto"/>
                      <w:kern w:val="0"/>
                      <w:sz w:val="21"/>
                      <w:szCs w:val="21"/>
                    </w:rPr>
                    <w:t>SS</w:t>
                  </w:r>
                </w:p>
                <w:p>
                  <w:pPr>
                    <w:keepNext w:val="0"/>
                    <w:keepLines w:val="0"/>
                    <w:pageBreakBefore w:val="0"/>
                    <w:widowControl w:val="0"/>
                    <w:kinsoku/>
                    <w:wordWrap/>
                    <w:overflowPunct/>
                    <w:topLinePunct w:val="0"/>
                    <w:autoSpaceDE/>
                    <w:autoSpaceDN/>
                    <w:bidi w:val="0"/>
                    <w:adjustRightInd w:val="0"/>
                    <w:snapToGrid w:val="0"/>
                    <w:ind w:left="-71" w:leftChars="-34" w:right="-71" w:rightChars="-34"/>
                    <w:jc w:val="center"/>
                    <w:textAlignment w:val="baseline"/>
                    <w:rPr>
                      <w:color w:val="auto"/>
                      <w:kern w:val="0"/>
                      <w:sz w:val="21"/>
                      <w:szCs w:val="21"/>
                    </w:rPr>
                  </w:pPr>
                  <w:r>
                    <w:rPr>
                      <w:color w:val="auto"/>
                      <w:kern w:val="0"/>
                      <w:sz w:val="21"/>
                      <w:szCs w:val="21"/>
                    </w:rPr>
                    <w:t>氨氮</w:t>
                  </w:r>
                </w:p>
                <w:p>
                  <w:pPr>
                    <w:keepNext w:val="0"/>
                    <w:keepLines w:val="0"/>
                    <w:pageBreakBefore w:val="0"/>
                    <w:widowControl w:val="0"/>
                    <w:kinsoku/>
                    <w:wordWrap/>
                    <w:overflowPunct/>
                    <w:topLinePunct w:val="0"/>
                    <w:autoSpaceDE/>
                    <w:autoSpaceDN/>
                    <w:bidi w:val="0"/>
                    <w:adjustRightInd w:val="0"/>
                    <w:snapToGrid w:val="0"/>
                    <w:ind w:left="-71" w:leftChars="-34" w:right="-71" w:rightChars="-34"/>
                    <w:jc w:val="center"/>
                    <w:textAlignment w:val="baseline"/>
                    <w:rPr>
                      <w:color w:val="auto"/>
                      <w:kern w:val="0"/>
                      <w:sz w:val="21"/>
                      <w:szCs w:val="21"/>
                      <w:vertAlign w:val="subscript"/>
                    </w:rPr>
                  </w:pPr>
                  <w:r>
                    <w:rPr>
                      <w:color w:val="auto"/>
                      <w:kern w:val="0"/>
                      <w:sz w:val="21"/>
                      <w:szCs w:val="21"/>
                    </w:rPr>
                    <w:t>BOD</w:t>
                  </w:r>
                  <w:r>
                    <w:rPr>
                      <w:color w:val="auto"/>
                      <w:kern w:val="0"/>
                      <w:sz w:val="21"/>
                      <w:szCs w:val="21"/>
                      <w:vertAlign w:val="subscript"/>
                    </w:rPr>
                    <w:t>5</w:t>
                  </w:r>
                </w:p>
                <w:p>
                  <w:pPr>
                    <w:keepNext w:val="0"/>
                    <w:keepLines w:val="0"/>
                    <w:pageBreakBefore w:val="0"/>
                    <w:widowControl w:val="0"/>
                    <w:kinsoku/>
                    <w:wordWrap/>
                    <w:overflowPunct/>
                    <w:topLinePunct w:val="0"/>
                    <w:autoSpaceDE/>
                    <w:autoSpaceDN/>
                    <w:bidi w:val="0"/>
                    <w:adjustRightInd w:val="0"/>
                    <w:snapToGrid w:val="0"/>
                    <w:ind w:left="-71" w:leftChars="-34" w:right="-71" w:rightChars="-34"/>
                    <w:jc w:val="center"/>
                    <w:textAlignment w:val="baseline"/>
                    <w:rPr>
                      <w:color w:val="auto"/>
                      <w:kern w:val="0"/>
                      <w:sz w:val="21"/>
                      <w:szCs w:val="21"/>
                    </w:rPr>
                  </w:pPr>
                  <w:r>
                    <w:rPr>
                      <w:color w:val="auto"/>
                      <w:kern w:val="0"/>
                      <w:sz w:val="21"/>
                      <w:szCs w:val="21"/>
                    </w:rPr>
                    <w:t>粪大肠菌群数</w:t>
                  </w:r>
                </w:p>
              </w:tc>
              <w:tc>
                <w:tcPr>
                  <w:tcW w:w="408"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p>
              </w:tc>
              <w:tc>
                <w:tcPr>
                  <w:tcW w:w="614"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snapToGrid w:val="0"/>
                      <w:color w:val="auto"/>
                      <w:kern w:val="0"/>
                      <w:sz w:val="21"/>
                      <w:szCs w:val="21"/>
                    </w:rPr>
                  </w:pPr>
                </w:p>
              </w:tc>
              <w:tc>
                <w:tcPr>
                  <w:tcW w:w="396"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p>
              </w:tc>
              <w:tc>
                <w:tcPr>
                  <w:tcW w:w="395"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p>
              </w:tc>
              <w:tc>
                <w:tcPr>
                  <w:tcW w:w="368"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p>
              </w:tc>
              <w:tc>
                <w:tcPr>
                  <w:tcW w:w="455"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snapToGrid w:val="0"/>
                      <w:color w:val="auto"/>
                      <w:kern w:val="0"/>
                      <w:sz w:val="21"/>
                      <w:szCs w:val="21"/>
                    </w:rPr>
                  </w:pPr>
                </w:p>
              </w:tc>
              <w:tc>
                <w:tcPr>
                  <w:tcW w:w="523"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snapToGrid w:val="0"/>
                      <w:color w:val="auto"/>
                      <w:kern w:val="0"/>
                      <w:sz w:val="21"/>
                      <w:szCs w:val="21"/>
                    </w:rPr>
                  </w:pPr>
                </w:p>
              </w:tc>
              <w:tc>
                <w:tcPr>
                  <w:tcW w:w="502"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snapToGrid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57" w:type="pc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r>
                    <w:rPr>
                      <w:color w:val="auto"/>
                      <w:sz w:val="21"/>
                      <w:szCs w:val="21"/>
                    </w:rPr>
                    <w:t>3</w:t>
                  </w:r>
                </w:p>
              </w:tc>
              <w:tc>
                <w:tcPr>
                  <w:tcW w:w="471" w:type="pc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snapToGrid w:val="0"/>
                      <w:color w:val="auto"/>
                      <w:kern w:val="0"/>
                      <w:sz w:val="21"/>
                      <w:szCs w:val="21"/>
                    </w:rPr>
                  </w:pPr>
                  <w:r>
                    <w:rPr>
                      <w:snapToGrid w:val="0"/>
                      <w:color w:val="auto"/>
                      <w:kern w:val="0"/>
                      <w:sz w:val="21"/>
                      <w:szCs w:val="21"/>
                    </w:rPr>
                    <w:t>医护人员生活</w:t>
                  </w:r>
                  <w:r>
                    <w:rPr>
                      <w:rFonts w:hint="eastAsia"/>
                      <w:snapToGrid w:val="0"/>
                      <w:color w:val="auto"/>
                      <w:kern w:val="0"/>
                      <w:sz w:val="21"/>
                      <w:szCs w:val="21"/>
                      <w:lang w:eastAsia="zh-CN"/>
                    </w:rPr>
                    <w:t>废</w:t>
                  </w:r>
                  <w:r>
                    <w:rPr>
                      <w:snapToGrid w:val="0"/>
                      <w:color w:val="auto"/>
                      <w:kern w:val="0"/>
                      <w:sz w:val="21"/>
                      <w:szCs w:val="21"/>
                    </w:rPr>
                    <w:t>水</w:t>
                  </w:r>
                </w:p>
              </w:tc>
              <w:tc>
                <w:tcPr>
                  <w:tcW w:w="606" w:type="pc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textAlignment w:val="baseline"/>
                    <w:rPr>
                      <w:color w:val="auto"/>
                      <w:kern w:val="0"/>
                      <w:sz w:val="21"/>
                      <w:szCs w:val="21"/>
                    </w:rPr>
                  </w:pPr>
                  <w:r>
                    <w:rPr>
                      <w:color w:val="auto"/>
                      <w:kern w:val="0"/>
                      <w:sz w:val="21"/>
                      <w:szCs w:val="21"/>
                    </w:rPr>
                    <w:t>COD</w:t>
                  </w:r>
                </w:p>
                <w:p>
                  <w:pPr>
                    <w:keepNext w:val="0"/>
                    <w:keepLines w:val="0"/>
                    <w:pageBreakBefore w:val="0"/>
                    <w:kinsoku/>
                    <w:wordWrap/>
                    <w:overflowPunct/>
                    <w:topLinePunct w:val="0"/>
                    <w:autoSpaceDE/>
                    <w:autoSpaceDN/>
                    <w:bidi w:val="0"/>
                    <w:adjustRightInd w:val="0"/>
                    <w:snapToGrid w:val="0"/>
                    <w:ind w:left="-71" w:leftChars="-34" w:right="-71" w:rightChars="-34"/>
                    <w:jc w:val="center"/>
                    <w:textAlignment w:val="baseline"/>
                    <w:rPr>
                      <w:color w:val="auto"/>
                      <w:kern w:val="0"/>
                      <w:sz w:val="21"/>
                      <w:szCs w:val="21"/>
                    </w:rPr>
                  </w:pPr>
                  <w:r>
                    <w:rPr>
                      <w:color w:val="auto"/>
                      <w:kern w:val="0"/>
                      <w:sz w:val="21"/>
                      <w:szCs w:val="21"/>
                    </w:rPr>
                    <w:t>SS</w:t>
                  </w:r>
                </w:p>
                <w:p>
                  <w:pPr>
                    <w:keepNext w:val="0"/>
                    <w:keepLines w:val="0"/>
                    <w:pageBreakBefore w:val="0"/>
                    <w:kinsoku/>
                    <w:wordWrap/>
                    <w:overflowPunct/>
                    <w:topLinePunct w:val="0"/>
                    <w:autoSpaceDE/>
                    <w:autoSpaceDN/>
                    <w:bidi w:val="0"/>
                    <w:adjustRightInd w:val="0"/>
                    <w:snapToGrid w:val="0"/>
                    <w:ind w:left="-71" w:leftChars="-34" w:right="-71" w:rightChars="-34"/>
                    <w:jc w:val="center"/>
                    <w:textAlignment w:val="baseline"/>
                    <w:rPr>
                      <w:color w:val="auto"/>
                      <w:kern w:val="0"/>
                      <w:sz w:val="21"/>
                      <w:szCs w:val="21"/>
                    </w:rPr>
                  </w:pPr>
                  <w:r>
                    <w:rPr>
                      <w:color w:val="auto"/>
                      <w:kern w:val="0"/>
                      <w:sz w:val="21"/>
                      <w:szCs w:val="21"/>
                    </w:rPr>
                    <w:t>氨氮</w:t>
                  </w:r>
                </w:p>
                <w:p>
                  <w:pPr>
                    <w:keepNext w:val="0"/>
                    <w:keepLines w:val="0"/>
                    <w:pageBreakBefore w:val="0"/>
                    <w:kinsoku/>
                    <w:wordWrap/>
                    <w:overflowPunct/>
                    <w:topLinePunct w:val="0"/>
                    <w:autoSpaceDE/>
                    <w:autoSpaceDN/>
                    <w:bidi w:val="0"/>
                    <w:adjustRightInd w:val="0"/>
                    <w:snapToGrid w:val="0"/>
                    <w:ind w:left="-71" w:leftChars="-34" w:right="-71" w:rightChars="-34"/>
                    <w:jc w:val="center"/>
                    <w:textAlignment w:val="baseline"/>
                    <w:rPr>
                      <w:color w:val="auto"/>
                      <w:kern w:val="0"/>
                      <w:sz w:val="21"/>
                      <w:szCs w:val="21"/>
                      <w:vertAlign w:val="subscript"/>
                    </w:rPr>
                  </w:pPr>
                  <w:r>
                    <w:rPr>
                      <w:color w:val="auto"/>
                      <w:kern w:val="0"/>
                      <w:sz w:val="21"/>
                      <w:szCs w:val="21"/>
                    </w:rPr>
                    <w:t>BOD</w:t>
                  </w:r>
                  <w:r>
                    <w:rPr>
                      <w:color w:val="auto"/>
                      <w:kern w:val="0"/>
                      <w:sz w:val="21"/>
                      <w:szCs w:val="21"/>
                      <w:vertAlign w:val="subscript"/>
                    </w:rPr>
                    <w:t>5</w:t>
                  </w:r>
                </w:p>
                <w:p>
                  <w:pPr>
                    <w:keepNext w:val="0"/>
                    <w:keepLines w:val="0"/>
                    <w:pageBreakBefore w:val="0"/>
                    <w:kinsoku/>
                    <w:wordWrap/>
                    <w:overflowPunct/>
                    <w:topLinePunct w:val="0"/>
                    <w:autoSpaceDE/>
                    <w:autoSpaceDN/>
                    <w:bidi w:val="0"/>
                    <w:adjustRightInd w:val="0"/>
                    <w:snapToGrid w:val="0"/>
                    <w:ind w:left="-71" w:leftChars="-34" w:right="-71" w:rightChars="-34"/>
                    <w:jc w:val="center"/>
                    <w:textAlignment w:val="baseline"/>
                    <w:rPr>
                      <w:color w:val="auto"/>
                      <w:kern w:val="0"/>
                      <w:sz w:val="21"/>
                      <w:szCs w:val="21"/>
                    </w:rPr>
                  </w:pPr>
                  <w:r>
                    <w:rPr>
                      <w:color w:val="auto"/>
                      <w:kern w:val="0"/>
                      <w:sz w:val="21"/>
                      <w:szCs w:val="21"/>
                    </w:rPr>
                    <w:t>粪大肠菌群数</w:t>
                  </w:r>
                </w:p>
              </w:tc>
              <w:tc>
                <w:tcPr>
                  <w:tcW w:w="408"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p>
              </w:tc>
              <w:tc>
                <w:tcPr>
                  <w:tcW w:w="614"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p>
              </w:tc>
              <w:tc>
                <w:tcPr>
                  <w:tcW w:w="396"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snapToGrid w:val="0"/>
                      <w:color w:val="auto"/>
                      <w:kern w:val="0"/>
                      <w:sz w:val="21"/>
                      <w:szCs w:val="21"/>
                    </w:rPr>
                  </w:pPr>
                </w:p>
              </w:tc>
              <w:tc>
                <w:tcPr>
                  <w:tcW w:w="395"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snapToGrid w:val="0"/>
                      <w:color w:val="auto"/>
                      <w:kern w:val="0"/>
                      <w:sz w:val="21"/>
                      <w:szCs w:val="21"/>
                    </w:rPr>
                  </w:pPr>
                </w:p>
              </w:tc>
              <w:tc>
                <w:tcPr>
                  <w:tcW w:w="368"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p>
              </w:tc>
              <w:tc>
                <w:tcPr>
                  <w:tcW w:w="455"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p>
              </w:tc>
              <w:tc>
                <w:tcPr>
                  <w:tcW w:w="523"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snapToGrid w:val="0"/>
                      <w:color w:val="auto"/>
                      <w:kern w:val="0"/>
                      <w:sz w:val="21"/>
                      <w:szCs w:val="21"/>
                    </w:rPr>
                  </w:pPr>
                </w:p>
              </w:tc>
              <w:tc>
                <w:tcPr>
                  <w:tcW w:w="502"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snapToGrid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57" w:type="pc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r>
                    <w:rPr>
                      <w:color w:val="auto"/>
                      <w:sz w:val="21"/>
                      <w:szCs w:val="21"/>
                    </w:rPr>
                    <w:t>4</w:t>
                  </w:r>
                </w:p>
              </w:tc>
              <w:tc>
                <w:tcPr>
                  <w:tcW w:w="471" w:type="pc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snapToGrid w:val="0"/>
                      <w:color w:val="auto"/>
                      <w:kern w:val="0"/>
                      <w:sz w:val="21"/>
                      <w:szCs w:val="21"/>
                    </w:rPr>
                  </w:pPr>
                  <w:r>
                    <w:rPr>
                      <w:bCs/>
                      <w:color w:val="auto"/>
                      <w:sz w:val="21"/>
                      <w:szCs w:val="21"/>
                    </w:rPr>
                    <w:t>门诊废水</w:t>
                  </w:r>
                </w:p>
              </w:tc>
              <w:tc>
                <w:tcPr>
                  <w:tcW w:w="606" w:type="pc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textAlignment w:val="baseline"/>
                    <w:rPr>
                      <w:color w:val="auto"/>
                      <w:kern w:val="0"/>
                      <w:sz w:val="21"/>
                      <w:szCs w:val="21"/>
                    </w:rPr>
                  </w:pPr>
                  <w:r>
                    <w:rPr>
                      <w:color w:val="auto"/>
                      <w:kern w:val="0"/>
                      <w:sz w:val="21"/>
                      <w:szCs w:val="21"/>
                    </w:rPr>
                    <w:t>COD</w:t>
                  </w:r>
                </w:p>
                <w:p>
                  <w:pPr>
                    <w:keepNext w:val="0"/>
                    <w:keepLines w:val="0"/>
                    <w:pageBreakBefore w:val="0"/>
                    <w:kinsoku/>
                    <w:wordWrap/>
                    <w:overflowPunct/>
                    <w:topLinePunct w:val="0"/>
                    <w:autoSpaceDE/>
                    <w:autoSpaceDN/>
                    <w:bidi w:val="0"/>
                    <w:adjustRightInd w:val="0"/>
                    <w:snapToGrid w:val="0"/>
                    <w:ind w:left="-71" w:leftChars="-34" w:right="-71" w:rightChars="-34"/>
                    <w:jc w:val="center"/>
                    <w:textAlignment w:val="baseline"/>
                    <w:rPr>
                      <w:color w:val="auto"/>
                      <w:kern w:val="0"/>
                      <w:sz w:val="21"/>
                      <w:szCs w:val="21"/>
                    </w:rPr>
                  </w:pPr>
                  <w:r>
                    <w:rPr>
                      <w:color w:val="auto"/>
                      <w:kern w:val="0"/>
                      <w:sz w:val="21"/>
                      <w:szCs w:val="21"/>
                    </w:rPr>
                    <w:t>SS</w:t>
                  </w:r>
                </w:p>
                <w:p>
                  <w:pPr>
                    <w:keepNext w:val="0"/>
                    <w:keepLines w:val="0"/>
                    <w:pageBreakBefore w:val="0"/>
                    <w:kinsoku/>
                    <w:wordWrap/>
                    <w:overflowPunct/>
                    <w:topLinePunct w:val="0"/>
                    <w:autoSpaceDE/>
                    <w:autoSpaceDN/>
                    <w:bidi w:val="0"/>
                    <w:adjustRightInd w:val="0"/>
                    <w:snapToGrid w:val="0"/>
                    <w:ind w:left="-71" w:leftChars="-34" w:right="-71" w:rightChars="-34"/>
                    <w:jc w:val="center"/>
                    <w:textAlignment w:val="baseline"/>
                    <w:rPr>
                      <w:color w:val="auto"/>
                      <w:kern w:val="0"/>
                      <w:sz w:val="21"/>
                      <w:szCs w:val="21"/>
                    </w:rPr>
                  </w:pPr>
                  <w:r>
                    <w:rPr>
                      <w:color w:val="auto"/>
                      <w:kern w:val="0"/>
                      <w:sz w:val="21"/>
                      <w:szCs w:val="21"/>
                    </w:rPr>
                    <w:t>氨氮</w:t>
                  </w:r>
                </w:p>
                <w:p>
                  <w:pPr>
                    <w:keepNext w:val="0"/>
                    <w:keepLines w:val="0"/>
                    <w:pageBreakBefore w:val="0"/>
                    <w:kinsoku/>
                    <w:wordWrap/>
                    <w:overflowPunct/>
                    <w:topLinePunct w:val="0"/>
                    <w:autoSpaceDE/>
                    <w:autoSpaceDN/>
                    <w:bidi w:val="0"/>
                    <w:adjustRightInd w:val="0"/>
                    <w:snapToGrid w:val="0"/>
                    <w:ind w:left="-71" w:leftChars="-34" w:right="-71" w:rightChars="-34"/>
                    <w:jc w:val="center"/>
                    <w:textAlignment w:val="baseline"/>
                    <w:rPr>
                      <w:color w:val="auto"/>
                      <w:kern w:val="0"/>
                      <w:sz w:val="21"/>
                      <w:szCs w:val="21"/>
                      <w:vertAlign w:val="subscript"/>
                    </w:rPr>
                  </w:pPr>
                  <w:r>
                    <w:rPr>
                      <w:color w:val="auto"/>
                      <w:kern w:val="0"/>
                      <w:sz w:val="21"/>
                      <w:szCs w:val="21"/>
                    </w:rPr>
                    <w:t>BOD</w:t>
                  </w:r>
                  <w:r>
                    <w:rPr>
                      <w:color w:val="auto"/>
                      <w:kern w:val="0"/>
                      <w:sz w:val="21"/>
                      <w:szCs w:val="21"/>
                      <w:vertAlign w:val="subscript"/>
                    </w:rPr>
                    <w:t>5</w:t>
                  </w:r>
                </w:p>
                <w:p>
                  <w:pPr>
                    <w:keepNext w:val="0"/>
                    <w:keepLines w:val="0"/>
                    <w:pageBreakBefore w:val="0"/>
                    <w:kinsoku/>
                    <w:wordWrap/>
                    <w:overflowPunct/>
                    <w:topLinePunct w:val="0"/>
                    <w:autoSpaceDE/>
                    <w:autoSpaceDN/>
                    <w:bidi w:val="0"/>
                    <w:adjustRightInd w:val="0"/>
                    <w:snapToGrid w:val="0"/>
                    <w:ind w:left="-71" w:leftChars="-34" w:right="-71" w:rightChars="-34"/>
                    <w:jc w:val="center"/>
                    <w:textAlignment w:val="baseline"/>
                    <w:rPr>
                      <w:color w:val="auto"/>
                      <w:kern w:val="0"/>
                      <w:sz w:val="21"/>
                      <w:szCs w:val="21"/>
                    </w:rPr>
                  </w:pPr>
                  <w:r>
                    <w:rPr>
                      <w:color w:val="auto"/>
                      <w:kern w:val="0"/>
                      <w:sz w:val="21"/>
                      <w:szCs w:val="21"/>
                    </w:rPr>
                    <w:t>粪大肠菌群数</w:t>
                  </w:r>
                </w:p>
              </w:tc>
              <w:tc>
                <w:tcPr>
                  <w:tcW w:w="408"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p>
              </w:tc>
              <w:tc>
                <w:tcPr>
                  <w:tcW w:w="614"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p>
              </w:tc>
              <w:tc>
                <w:tcPr>
                  <w:tcW w:w="396"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r>
                    <w:rPr>
                      <w:color w:val="auto"/>
                      <w:sz w:val="21"/>
                      <w:szCs w:val="21"/>
                    </w:rPr>
                    <w:t>TW002</w:t>
                  </w:r>
                </w:p>
              </w:tc>
              <w:tc>
                <w:tcPr>
                  <w:tcW w:w="395"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r>
                    <w:rPr>
                      <w:color w:val="auto"/>
                      <w:sz w:val="21"/>
                      <w:szCs w:val="21"/>
                    </w:rPr>
                    <w:t>污水处理站</w:t>
                  </w:r>
                </w:p>
              </w:tc>
              <w:tc>
                <w:tcPr>
                  <w:tcW w:w="368"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p>
              </w:tc>
              <w:tc>
                <w:tcPr>
                  <w:tcW w:w="455"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p>
              </w:tc>
              <w:tc>
                <w:tcPr>
                  <w:tcW w:w="523"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snapToGrid w:val="0"/>
                      <w:color w:val="auto"/>
                      <w:kern w:val="0"/>
                      <w:sz w:val="21"/>
                      <w:szCs w:val="21"/>
                    </w:rPr>
                  </w:pPr>
                </w:p>
              </w:tc>
              <w:tc>
                <w:tcPr>
                  <w:tcW w:w="502"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snapToGrid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57" w:type="pc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r>
                    <w:rPr>
                      <w:color w:val="auto"/>
                      <w:sz w:val="21"/>
                      <w:szCs w:val="21"/>
                    </w:rPr>
                    <w:t>5</w:t>
                  </w:r>
                </w:p>
              </w:tc>
              <w:tc>
                <w:tcPr>
                  <w:tcW w:w="471" w:type="pc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snapToGrid w:val="0"/>
                      <w:color w:val="auto"/>
                      <w:kern w:val="0"/>
                      <w:sz w:val="21"/>
                      <w:szCs w:val="21"/>
                    </w:rPr>
                  </w:pPr>
                  <w:r>
                    <w:rPr>
                      <w:snapToGrid w:val="0"/>
                      <w:color w:val="auto"/>
                      <w:kern w:val="0"/>
                      <w:sz w:val="21"/>
                      <w:szCs w:val="21"/>
                    </w:rPr>
                    <w:t>检验废水</w:t>
                  </w:r>
                </w:p>
              </w:tc>
              <w:tc>
                <w:tcPr>
                  <w:tcW w:w="606" w:type="pct"/>
                  <w:vAlign w:val="center"/>
                </w:tcPr>
                <w:p>
                  <w:pPr>
                    <w:keepNext w:val="0"/>
                    <w:keepLines w:val="0"/>
                    <w:pageBreakBefore w:val="0"/>
                    <w:widowControl w:val="0"/>
                    <w:kinsoku/>
                    <w:wordWrap/>
                    <w:overflowPunct/>
                    <w:topLinePunct w:val="0"/>
                    <w:autoSpaceDE/>
                    <w:autoSpaceDN/>
                    <w:bidi w:val="0"/>
                    <w:adjustRightInd w:val="0"/>
                    <w:snapToGrid w:val="0"/>
                    <w:ind w:left="-71" w:leftChars="-34" w:right="-71" w:rightChars="-34"/>
                    <w:jc w:val="center"/>
                    <w:textAlignment w:val="baseline"/>
                    <w:rPr>
                      <w:color w:val="auto"/>
                      <w:kern w:val="0"/>
                      <w:sz w:val="21"/>
                      <w:szCs w:val="21"/>
                    </w:rPr>
                  </w:pPr>
                  <w:r>
                    <w:rPr>
                      <w:color w:val="auto"/>
                      <w:kern w:val="0"/>
                      <w:sz w:val="21"/>
                      <w:szCs w:val="21"/>
                    </w:rPr>
                    <w:t>COD</w:t>
                  </w:r>
                </w:p>
                <w:p>
                  <w:pPr>
                    <w:keepNext w:val="0"/>
                    <w:keepLines w:val="0"/>
                    <w:pageBreakBefore w:val="0"/>
                    <w:widowControl w:val="0"/>
                    <w:kinsoku/>
                    <w:wordWrap/>
                    <w:overflowPunct/>
                    <w:topLinePunct w:val="0"/>
                    <w:autoSpaceDE/>
                    <w:autoSpaceDN/>
                    <w:bidi w:val="0"/>
                    <w:adjustRightInd w:val="0"/>
                    <w:snapToGrid w:val="0"/>
                    <w:ind w:left="-71" w:leftChars="-34" w:right="-71" w:rightChars="-34"/>
                    <w:jc w:val="center"/>
                    <w:textAlignment w:val="baseline"/>
                    <w:rPr>
                      <w:color w:val="auto"/>
                      <w:kern w:val="0"/>
                      <w:sz w:val="21"/>
                      <w:szCs w:val="21"/>
                    </w:rPr>
                  </w:pPr>
                  <w:r>
                    <w:rPr>
                      <w:color w:val="auto"/>
                      <w:kern w:val="0"/>
                      <w:sz w:val="21"/>
                      <w:szCs w:val="21"/>
                    </w:rPr>
                    <w:t>SS</w:t>
                  </w:r>
                </w:p>
                <w:p>
                  <w:pPr>
                    <w:keepNext w:val="0"/>
                    <w:keepLines w:val="0"/>
                    <w:pageBreakBefore w:val="0"/>
                    <w:widowControl w:val="0"/>
                    <w:kinsoku/>
                    <w:wordWrap/>
                    <w:overflowPunct/>
                    <w:topLinePunct w:val="0"/>
                    <w:autoSpaceDE/>
                    <w:autoSpaceDN/>
                    <w:bidi w:val="0"/>
                    <w:adjustRightInd w:val="0"/>
                    <w:snapToGrid w:val="0"/>
                    <w:ind w:left="-71" w:leftChars="-34" w:right="-71" w:rightChars="-34"/>
                    <w:jc w:val="center"/>
                    <w:textAlignment w:val="baseline"/>
                    <w:rPr>
                      <w:color w:val="auto"/>
                      <w:kern w:val="0"/>
                      <w:sz w:val="21"/>
                      <w:szCs w:val="21"/>
                    </w:rPr>
                  </w:pPr>
                  <w:r>
                    <w:rPr>
                      <w:color w:val="auto"/>
                      <w:kern w:val="0"/>
                      <w:sz w:val="21"/>
                      <w:szCs w:val="21"/>
                    </w:rPr>
                    <w:t>氨氮</w:t>
                  </w:r>
                </w:p>
                <w:p>
                  <w:pPr>
                    <w:keepNext w:val="0"/>
                    <w:keepLines w:val="0"/>
                    <w:pageBreakBefore w:val="0"/>
                    <w:widowControl w:val="0"/>
                    <w:kinsoku/>
                    <w:wordWrap/>
                    <w:overflowPunct/>
                    <w:topLinePunct w:val="0"/>
                    <w:autoSpaceDE/>
                    <w:autoSpaceDN/>
                    <w:bidi w:val="0"/>
                    <w:adjustRightInd w:val="0"/>
                    <w:snapToGrid w:val="0"/>
                    <w:ind w:left="-71" w:leftChars="-34" w:right="-71" w:rightChars="-34"/>
                    <w:jc w:val="center"/>
                    <w:textAlignment w:val="baseline"/>
                    <w:rPr>
                      <w:color w:val="auto"/>
                      <w:kern w:val="0"/>
                      <w:sz w:val="21"/>
                      <w:szCs w:val="21"/>
                      <w:vertAlign w:val="subscript"/>
                    </w:rPr>
                  </w:pPr>
                  <w:r>
                    <w:rPr>
                      <w:color w:val="auto"/>
                      <w:kern w:val="0"/>
                      <w:sz w:val="21"/>
                      <w:szCs w:val="21"/>
                    </w:rPr>
                    <w:t>BOD</w:t>
                  </w:r>
                  <w:r>
                    <w:rPr>
                      <w:color w:val="auto"/>
                      <w:kern w:val="0"/>
                      <w:sz w:val="21"/>
                      <w:szCs w:val="21"/>
                      <w:vertAlign w:val="subscript"/>
                    </w:rPr>
                    <w:t>5</w:t>
                  </w:r>
                </w:p>
                <w:p>
                  <w:pPr>
                    <w:keepNext w:val="0"/>
                    <w:keepLines w:val="0"/>
                    <w:pageBreakBefore w:val="0"/>
                    <w:kinsoku/>
                    <w:wordWrap/>
                    <w:overflowPunct/>
                    <w:topLinePunct w:val="0"/>
                    <w:autoSpaceDE/>
                    <w:autoSpaceDN/>
                    <w:bidi w:val="0"/>
                    <w:adjustRightInd w:val="0"/>
                    <w:snapToGrid w:val="0"/>
                    <w:ind w:left="-71" w:leftChars="-34" w:right="-71" w:rightChars="-34"/>
                    <w:jc w:val="center"/>
                    <w:textAlignment w:val="baseline"/>
                    <w:rPr>
                      <w:color w:val="auto"/>
                      <w:kern w:val="0"/>
                      <w:sz w:val="21"/>
                      <w:szCs w:val="21"/>
                    </w:rPr>
                  </w:pPr>
                  <w:r>
                    <w:rPr>
                      <w:color w:val="auto"/>
                      <w:kern w:val="0"/>
                      <w:sz w:val="21"/>
                      <w:szCs w:val="21"/>
                    </w:rPr>
                    <w:t>粪大肠菌群数</w:t>
                  </w:r>
                </w:p>
              </w:tc>
              <w:tc>
                <w:tcPr>
                  <w:tcW w:w="408"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p>
              </w:tc>
              <w:tc>
                <w:tcPr>
                  <w:tcW w:w="614"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p>
              </w:tc>
              <w:tc>
                <w:tcPr>
                  <w:tcW w:w="396"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p>
              </w:tc>
              <w:tc>
                <w:tcPr>
                  <w:tcW w:w="395"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p>
              </w:tc>
              <w:tc>
                <w:tcPr>
                  <w:tcW w:w="368"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p>
              </w:tc>
              <w:tc>
                <w:tcPr>
                  <w:tcW w:w="455"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p>
              </w:tc>
              <w:tc>
                <w:tcPr>
                  <w:tcW w:w="523"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snapToGrid w:val="0"/>
                      <w:color w:val="auto"/>
                      <w:kern w:val="0"/>
                      <w:sz w:val="21"/>
                      <w:szCs w:val="21"/>
                    </w:rPr>
                  </w:pPr>
                </w:p>
              </w:tc>
              <w:tc>
                <w:tcPr>
                  <w:tcW w:w="502" w:type="pct"/>
                  <w:vMerge w:val="continue"/>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snapToGrid w:val="0"/>
                      <w:color w:val="auto"/>
                      <w:kern w:val="0"/>
                      <w:sz w:val="21"/>
                      <w:szCs w:val="21"/>
                    </w:rPr>
                  </w:pPr>
                </w:p>
              </w:tc>
            </w:tr>
          </w:tbl>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jc w:val="left"/>
              <w:textAlignment w:val="auto"/>
              <w:rPr>
                <w:snapToGrid w:val="0"/>
                <w:color w:val="auto"/>
                <w:kern w:val="0"/>
                <w:sz w:val="24"/>
                <w:szCs w:val="24"/>
              </w:rPr>
            </w:pPr>
            <w:r>
              <w:rPr>
                <w:color w:val="auto"/>
                <w:kern w:val="0"/>
                <w:sz w:val="24"/>
                <w:szCs w:val="24"/>
              </w:rPr>
              <w:t>废水间接排放口基本情况见表4-</w:t>
            </w:r>
            <w:r>
              <w:rPr>
                <w:rFonts w:hint="eastAsia"/>
                <w:color w:val="auto"/>
                <w:kern w:val="0"/>
                <w:sz w:val="24"/>
                <w:szCs w:val="24"/>
                <w:lang w:val="en-US" w:eastAsia="zh-CN"/>
              </w:rPr>
              <w:t>10</w:t>
            </w:r>
            <w:r>
              <w:rPr>
                <w:snapToGrid w:val="0"/>
                <w:color w:val="auto"/>
                <w:kern w:val="0"/>
                <w:sz w:val="24"/>
                <w:szCs w:val="24"/>
              </w:rPr>
              <w:t>。</w:t>
            </w:r>
          </w:p>
          <w:p>
            <w:pPr>
              <w:adjustRightInd w:val="0"/>
              <w:snapToGrid w:val="0"/>
              <w:jc w:val="center"/>
              <w:rPr>
                <w:b/>
                <w:bCs/>
                <w:color w:val="auto"/>
                <w:kern w:val="0"/>
                <w:sz w:val="21"/>
                <w:szCs w:val="21"/>
                <w:highlight w:val="yellow"/>
              </w:rPr>
            </w:pPr>
            <w:r>
              <w:rPr>
                <w:b/>
                <w:bCs/>
                <w:color w:val="auto"/>
                <w:kern w:val="0"/>
                <w:sz w:val="21"/>
                <w:szCs w:val="21"/>
              </w:rPr>
              <w:t>表4-</w:t>
            </w:r>
            <w:r>
              <w:rPr>
                <w:rFonts w:hint="eastAsia"/>
                <w:b/>
                <w:bCs/>
                <w:color w:val="auto"/>
                <w:kern w:val="0"/>
                <w:sz w:val="21"/>
                <w:szCs w:val="21"/>
                <w:lang w:val="en-US" w:eastAsia="zh-CN"/>
              </w:rPr>
              <w:t>10</w:t>
            </w:r>
            <w:r>
              <w:rPr>
                <w:b/>
                <w:bCs/>
                <w:color w:val="auto"/>
                <w:kern w:val="0"/>
                <w:sz w:val="21"/>
                <w:szCs w:val="21"/>
              </w:rPr>
              <w:t xml:space="preserve">  废水间接排放口基本情况表</w:t>
            </w:r>
          </w:p>
          <w:tbl>
            <w:tblPr>
              <w:tblStyle w:val="25"/>
              <w:tblW w:w="492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1"/>
              <w:gridCol w:w="860"/>
              <w:gridCol w:w="1072"/>
              <w:gridCol w:w="967"/>
              <w:gridCol w:w="763"/>
              <w:gridCol w:w="550"/>
              <w:gridCol w:w="549"/>
              <w:gridCol w:w="692"/>
              <w:gridCol w:w="693"/>
              <w:gridCol w:w="1259"/>
              <w:gridCol w:w="1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39"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b/>
                      <w:color w:val="auto"/>
                      <w:sz w:val="21"/>
                      <w:szCs w:val="21"/>
                    </w:rPr>
                  </w:pPr>
                  <w:r>
                    <w:rPr>
                      <w:b/>
                      <w:color w:val="auto"/>
                      <w:sz w:val="21"/>
                      <w:szCs w:val="21"/>
                    </w:rPr>
                    <w:t>序号</w:t>
                  </w:r>
                </w:p>
              </w:tc>
              <w:tc>
                <w:tcPr>
                  <w:tcW w:w="490"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b/>
                      <w:color w:val="auto"/>
                      <w:sz w:val="21"/>
                      <w:szCs w:val="21"/>
                    </w:rPr>
                  </w:pPr>
                  <w:r>
                    <w:rPr>
                      <w:b/>
                      <w:color w:val="auto"/>
                      <w:sz w:val="21"/>
                      <w:szCs w:val="21"/>
                    </w:rPr>
                    <w:t>排放口编号</w:t>
                  </w:r>
                </w:p>
              </w:tc>
              <w:tc>
                <w:tcPr>
                  <w:tcW w:w="1054" w:type="pct"/>
                  <w:gridSpan w:val="2"/>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b/>
                      <w:color w:val="auto"/>
                      <w:sz w:val="21"/>
                      <w:szCs w:val="21"/>
                    </w:rPr>
                  </w:pPr>
                  <w:r>
                    <w:rPr>
                      <w:b/>
                      <w:color w:val="auto"/>
                      <w:sz w:val="21"/>
                      <w:szCs w:val="21"/>
                    </w:rPr>
                    <w:t>排放口地理位置</w:t>
                  </w:r>
                </w:p>
              </w:tc>
              <w:tc>
                <w:tcPr>
                  <w:tcW w:w="436"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b/>
                      <w:color w:val="auto"/>
                      <w:sz w:val="21"/>
                      <w:szCs w:val="21"/>
                    </w:rPr>
                  </w:pPr>
                  <w:r>
                    <w:rPr>
                      <w:b/>
                      <w:color w:val="auto"/>
                      <w:sz w:val="21"/>
                      <w:szCs w:val="21"/>
                    </w:rPr>
                    <w:t>废水排放量（t/a）</w:t>
                  </w:r>
                </w:p>
              </w:tc>
              <w:tc>
                <w:tcPr>
                  <w:tcW w:w="317"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b/>
                      <w:color w:val="auto"/>
                      <w:sz w:val="21"/>
                      <w:szCs w:val="21"/>
                    </w:rPr>
                  </w:pPr>
                  <w:r>
                    <w:rPr>
                      <w:b/>
                      <w:color w:val="auto"/>
                      <w:sz w:val="21"/>
                      <w:szCs w:val="21"/>
                    </w:rPr>
                    <w:t>排放去向</w:t>
                  </w:r>
                </w:p>
              </w:tc>
              <w:tc>
                <w:tcPr>
                  <w:tcW w:w="316"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b/>
                      <w:color w:val="auto"/>
                      <w:sz w:val="21"/>
                      <w:szCs w:val="21"/>
                    </w:rPr>
                  </w:pPr>
                  <w:r>
                    <w:rPr>
                      <w:b/>
                      <w:color w:val="auto"/>
                      <w:sz w:val="21"/>
                      <w:szCs w:val="21"/>
                    </w:rPr>
                    <w:t>排放规律</w:t>
                  </w:r>
                </w:p>
              </w:tc>
              <w:tc>
                <w:tcPr>
                  <w:tcW w:w="396"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b/>
                      <w:color w:val="auto"/>
                      <w:sz w:val="21"/>
                      <w:szCs w:val="21"/>
                    </w:rPr>
                  </w:pPr>
                  <w:r>
                    <w:rPr>
                      <w:b/>
                      <w:color w:val="auto"/>
                      <w:sz w:val="21"/>
                      <w:szCs w:val="21"/>
                    </w:rPr>
                    <w:t>间歇排放时段</w:t>
                  </w:r>
                </w:p>
              </w:tc>
              <w:tc>
                <w:tcPr>
                  <w:tcW w:w="1747" w:type="pct"/>
                  <w:gridSpan w:val="3"/>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b/>
                      <w:color w:val="auto"/>
                      <w:sz w:val="21"/>
                      <w:szCs w:val="21"/>
                    </w:rPr>
                  </w:pPr>
                  <w:r>
                    <w:rPr>
                      <w:b/>
                      <w:color w:val="auto"/>
                      <w:sz w:val="21"/>
                      <w:szCs w:val="21"/>
                    </w:rPr>
                    <w:t>受纳污水处理厂信息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39"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b/>
                      <w:color w:val="auto"/>
                      <w:sz w:val="21"/>
                      <w:szCs w:val="21"/>
                    </w:rPr>
                  </w:pPr>
                </w:p>
              </w:tc>
              <w:tc>
                <w:tcPr>
                  <w:tcW w:w="490"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b/>
                      <w:color w:val="auto"/>
                      <w:sz w:val="21"/>
                      <w:szCs w:val="21"/>
                    </w:rPr>
                  </w:pPr>
                </w:p>
              </w:tc>
              <w:tc>
                <w:tcPr>
                  <w:tcW w:w="535" w:type="pc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b/>
                      <w:color w:val="auto"/>
                      <w:sz w:val="21"/>
                      <w:szCs w:val="21"/>
                    </w:rPr>
                  </w:pPr>
                  <w:r>
                    <w:rPr>
                      <w:b/>
                      <w:color w:val="auto"/>
                      <w:sz w:val="21"/>
                      <w:szCs w:val="21"/>
                    </w:rPr>
                    <w:t>经度</w:t>
                  </w:r>
                </w:p>
              </w:tc>
              <w:tc>
                <w:tcPr>
                  <w:tcW w:w="519" w:type="pc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b/>
                      <w:color w:val="auto"/>
                      <w:sz w:val="21"/>
                      <w:szCs w:val="21"/>
                    </w:rPr>
                  </w:pPr>
                  <w:r>
                    <w:rPr>
                      <w:b/>
                      <w:color w:val="auto"/>
                      <w:sz w:val="21"/>
                      <w:szCs w:val="21"/>
                    </w:rPr>
                    <w:t>纬度</w:t>
                  </w:r>
                </w:p>
              </w:tc>
              <w:tc>
                <w:tcPr>
                  <w:tcW w:w="436"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b/>
                      <w:color w:val="auto"/>
                      <w:sz w:val="21"/>
                      <w:szCs w:val="21"/>
                    </w:rPr>
                  </w:pPr>
                </w:p>
              </w:tc>
              <w:tc>
                <w:tcPr>
                  <w:tcW w:w="317"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b/>
                      <w:color w:val="auto"/>
                      <w:sz w:val="21"/>
                      <w:szCs w:val="21"/>
                    </w:rPr>
                  </w:pPr>
                </w:p>
              </w:tc>
              <w:tc>
                <w:tcPr>
                  <w:tcW w:w="316"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b/>
                      <w:color w:val="auto"/>
                      <w:sz w:val="21"/>
                      <w:szCs w:val="21"/>
                    </w:rPr>
                  </w:pPr>
                </w:p>
              </w:tc>
              <w:tc>
                <w:tcPr>
                  <w:tcW w:w="396"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b/>
                      <w:color w:val="auto"/>
                      <w:sz w:val="21"/>
                      <w:szCs w:val="21"/>
                    </w:rPr>
                  </w:pPr>
                </w:p>
              </w:tc>
              <w:tc>
                <w:tcPr>
                  <w:tcW w:w="397" w:type="pc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b/>
                      <w:color w:val="auto"/>
                      <w:sz w:val="21"/>
                      <w:szCs w:val="21"/>
                    </w:rPr>
                  </w:pPr>
                  <w:r>
                    <w:rPr>
                      <w:b/>
                      <w:color w:val="auto"/>
                      <w:sz w:val="21"/>
                      <w:szCs w:val="21"/>
                    </w:rPr>
                    <w:t>名称</w:t>
                  </w:r>
                </w:p>
              </w:tc>
              <w:tc>
                <w:tcPr>
                  <w:tcW w:w="713" w:type="pc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b/>
                      <w:color w:val="auto"/>
                      <w:sz w:val="21"/>
                      <w:szCs w:val="21"/>
                    </w:rPr>
                  </w:pPr>
                  <w:r>
                    <w:rPr>
                      <w:b/>
                      <w:color w:val="auto"/>
                      <w:sz w:val="21"/>
                      <w:szCs w:val="21"/>
                    </w:rPr>
                    <w:t>污染物种类</w:t>
                  </w:r>
                </w:p>
              </w:tc>
              <w:tc>
                <w:tcPr>
                  <w:tcW w:w="636" w:type="pc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b/>
                      <w:color w:val="auto"/>
                      <w:sz w:val="21"/>
                      <w:szCs w:val="21"/>
                    </w:rPr>
                  </w:pPr>
                  <w:r>
                    <w:rPr>
                      <w:b/>
                      <w:color w:val="auto"/>
                      <w:sz w:val="21"/>
                      <w:szCs w:val="21"/>
                    </w:rPr>
                    <w:t>污水厂接管浓度限值（mg/L）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39"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r>
                    <w:rPr>
                      <w:color w:val="auto"/>
                      <w:sz w:val="21"/>
                      <w:szCs w:val="21"/>
                    </w:rPr>
                    <w:t>1</w:t>
                  </w:r>
                </w:p>
              </w:tc>
              <w:tc>
                <w:tcPr>
                  <w:tcW w:w="490"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r>
                    <w:rPr>
                      <w:color w:val="auto"/>
                      <w:sz w:val="21"/>
                      <w:szCs w:val="21"/>
                    </w:rPr>
                    <w:t>DW001</w:t>
                  </w:r>
                </w:p>
              </w:tc>
              <w:tc>
                <w:tcPr>
                  <w:tcW w:w="535"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rFonts w:hint="default" w:eastAsia="宋体"/>
                      <w:color w:val="auto"/>
                      <w:sz w:val="21"/>
                      <w:szCs w:val="21"/>
                      <w:lang w:val="en-US" w:eastAsia="zh-CN"/>
                    </w:rPr>
                  </w:pPr>
                  <w:r>
                    <w:rPr>
                      <w:rFonts w:hint="eastAsia"/>
                      <w:color w:val="auto"/>
                      <w:sz w:val="21"/>
                      <w:szCs w:val="21"/>
                      <w:lang w:val="en-US" w:eastAsia="zh-CN"/>
                    </w:rPr>
                    <w:t>108.918476</w:t>
                  </w:r>
                </w:p>
              </w:tc>
              <w:tc>
                <w:tcPr>
                  <w:tcW w:w="519"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rFonts w:hint="default" w:eastAsia="宋体"/>
                      <w:color w:val="auto"/>
                      <w:sz w:val="21"/>
                      <w:szCs w:val="21"/>
                      <w:lang w:val="en-US" w:eastAsia="zh-CN"/>
                    </w:rPr>
                  </w:pPr>
                  <w:r>
                    <w:rPr>
                      <w:rFonts w:hint="eastAsia"/>
                      <w:color w:val="auto"/>
                      <w:sz w:val="21"/>
                      <w:szCs w:val="21"/>
                      <w:lang w:val="en-US" w:eastAsia="zh-CN"/>
                    </w:rPr>
                    <w:t>34.270381</w:t>
                  </w:r>
                </w:p>
              </w:tc>
              <w:tc>
                <w:tcPr>
                  <w:tcW w:w="436"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rFonts w:hint="default" w:eastAsia="宋体"/>
                      <w:color w:val="auto"/>
                      <w:sz w:val="21"/>
                      <w:szCs w:val="21"/>
                      <w:lang w:val="en-US" w:eastAsia="zh-CN"/>
                    </w:rPr>
                  </w:pPr>
                  <w:r>
                    <w:rPr>
                      <w:rFonts w:hint="eastAsia"/>
                      <w:color w:val="auto"/>
                      <w:sz w:val="21"/>
                      <w:szCs w:val="21"/>
                      <w:lang w:val="en-US" w:eastAsia="zh-CN"/>
                    </w:rPr>
                    <w:t>4142.6</w:t>
                  </w:r>
                </w:p>
              </w:tc>
              <w:tc>
                <w:tcPr>
                  <w:tcW w:w="317"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rFonts w:hint="eastAsia" w:eastAsia="宋体"/>
                      <w:color w:val="auto"/>
                      <w:sz w:val="21"/>
                      <w:szCs w:val="21"/>
                      <w:lang w:eastAsia="zh-CN"/>
                    </w:rPr>
                  </w:pPr>
                  <w:r>
                    <w:rPr>
                      <w:rFonts w:hint="eastAsia"/>
                      <w:color w:val="auto"/>
                      <w:sz w:val="21"/>
                      <w:szCs w:val="21"/>
                      <w:lang w:eastAsia="zh-CN"/>
                    </w:rPr>
                    <w:t>西安市第一污水处理厂一期</w:t>
                  </w:r>
                </w:p>
              </w:tc>
              <w:tc>
                <w:tcPr>
                  <w:tcW w:w="316"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r>
                    <w:rPr>
                      <w:color w:val="auto"/>
                      <w:sz w:val="21"/>
                      <w:szCs w:val="21"/>
                    </w:rPr>
                    <w:t>间断</w:t>
                  </w:r>
                </w:p>
              </w:tc>
              <w:tc>
                <w:tcPr>
                  <w:tcW w:w="396"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r>
                    <w:rPr>
                      <w:color w:val="auto"/>
                      <w:sz w:val="21"/>
                      <w:szCs w:val="21"/>
                    </w:rPr>
                    <w:t>/</w:t>
                  </w:r>
                </w:p>
              </w:tc>
              <w:tc>
                <w:tcPr>
                  <w:tcW w:w="397" w:type="pct"/>
                  <w:vMerge w:val="restar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r>
                    <w:rPr>
                      <w:rFonts w:hint="eastAsia"/>
                      <w:color w:val="auto"/>
                      <w:sz w:val="21"/>
                      <w:szCs w:val="21"/>
                      <w:lang w:eastAsia="zh-CN"/>
                    </w:rPr>
                    <w:t>西安市第一污水处理厂一期</w:t>
                  </w:r>
                </w:p>
              </w:tc>
              <w:tc>
                <w:tcPr>
                  <w:tcW w:w="713" w:type="pc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r>
                    <w:rPr>
                      <w:bCs/>
                      <w:color w:val="auto"/>
                      <w:sz w:val="21"/>
                      <w:szCs w:val="21"/>
                    </w:rPr>
                    <w:t>pH</w:t>
                  </w:r>
                </w:p>
              </w:tc>
              <w:tc>
                <w:tcPr>
                  <w:tcW w:w="636" w:type="pc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r>
                    <w:rPr>
                      <w:bCs/>
                      <w:color w:val="auto"/>
                      <w:sz w:val="21"/>
                      <w:szCs w:val="21"/>
                      <w:lang w:val="zh-CN"/>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39"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490"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535"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519"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436"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317"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316"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396"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397"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713" w:type="pc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r>
                    <w:rPr>
                      <w:color w:val="auto"/>
                      <w:sz w:val="21"/>
                      <w:szCs w:val="21"/>
                    </w:rPr>
                    <w:t>COD</w:t>
                  </w:r>
                </w:p>
              </w:tc>
              <w:tc>
                <w:tcPr>
                  <w:tcW w:w="636" w:type="pct"/>
                  <w:vAlign w:val="center"/>
                </w:tcPr>
                <w:p>
                  <w:pPr>
                    <w:keepNext w:val="0"/>
                    <w:keepLines w:val="0"/>
                    <w:pageBreakBefore w:val="0"/>
                    <w:widowControl/>
                    <w:kinsoku/>
                    <w:wordWrap/>
                    <w:overflowPunct/>
                    <w:topLinePunct w:val="0"/>
                    <w:autoSpaceDE/>
                    <w:autoSpaceDN/>
                    <w:bidi w:val="0"/>
                    <w:adjustRightInd w:val="0"/>
                    <w:snapToGrid w:val="0"/>
                    <w:ind w:left="-71" w:leftChars="-34" w:right="-71" w:rightChars="-34"/>
                    <w:jc w:val="center"/>
                    <w:textAlignment w:val="baseline"/>
                    <w:rPr>
                      <w:color w:val="auto"/>
                      <w:spacing w:val="4"/>
                      <w:kern w:val="0"/>
                      <w:sz w:val="21"/>
                      <w:szCs w:val="21"/>
                    </w:rPr>
                  </w:pPr>
                  <w:r>
                    <w:rPr>
                      <w:color w:val="auto"/>
                      <w:sz w:val="21"/>
                      <w:szCs w:val="21"/>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39"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490"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535"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519"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436"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317"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316"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396"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397"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713" w:type="pc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r>
                    <w:rPr>
                      <w:bCs/>
                      <w:color w:val="auto"/>
                      <w:sz w:val="21"/>
                      <w:szCs w:val="21"/>
                    </w:rPr>
                    <w:t>SS</w:t>
                  </w:r>
                </w:p>
              </w:tc>
              <w:tc>
                <w:tcPr>
                  <w:tcW w:w="636" w:type="pct"/>
                  <w:vAlign w:val="center"/>
                </w:tcPr>
                <w:p>
                  <w:pPr>
                    <w:keepNext w:val="0"/>
                    <w:keepLines w:val="0"/>
                    <w:pageBreakBefore w:val="0"/>
                    <w:widowControl/>
                    <w:kinsoku/>
                    <w:wordWrap/>
                    <w:overflowPunct/>
                    <w:topLinePunct w:val="0"/>
                    <w:autoSpaceDE/>
                    <w:autoSpaceDN/>
                    <w:bidi w:val="0"/>
                    <w:adjustRightInd w:val="0"/>
                    <w:snapToGrid w:val="0"/>
                    <w:ind w:left="-71" w:leftChars="-34" w:right="-71" w:rightChars="-34"/>
                    <w:jc w:val="center"/>
                    <w:textAlignment w:val="baseline"/>
                    <w:rPr>
                      <w:color w:val="auto"/>
                      <w:spacing w:val="4"/>
                      <w:kern w:val="0"/>
                      <w:sz w:val="21"/>
                      <w:szCs w:val="21"/>
                    </w:rPr>
                  </w:pPr>
                  <w:r>
                    <w:rPr>
                      <w:color w:val="auto"/>
                      <w:sz w:val="21"/>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39"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490"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535"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519"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436"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317"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316"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396"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397"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713" w:type="pct"/>
                  <w:vAlign w:val="center"/>
                </w:tcPr>
                <w:p>
                  <w:pPr>
                    <w:keepNext w:val="0"/>
                    <w:keepLines w:val="0"/>
                    <w:pageBreakBefore w:val="0"/>
                    <w:kinsoku/>
                    <w:wordWrap/>
                    <w:overflowPunct/>
                    <w:topLinePunct w:val="0"/>
                    <w:autoSpaceDE/>
                    <w:autoSpaceDN/>
                    <w:bidi w:val="0"/>
                    <w:adjustRightInd w:val="0"/>
                    <w:snapToGrid w:val="0"/>
                    <w:ind w:left="-71" w:leftChars="-34" w:right="-71" w:rightChars="-34"/>
                    <w:jc w:val="center"/>
                    <w:rPr>
                      <w:color w:val="auto"/>
                      <w:sz w:val="21"/>
                      <w:szCs w:val="21"/>
                    </w:rPr>
                  </w:pPr>
                  <w:r>
                    <w:rPr>
                      <w:bCs/>
                      <w:color w:val="auto"/>
                      <w:sz w:val="21"/>
                      <w:szCs w:val="21"/>
                    </w:rPr>
                    <w:t>氨氮</w:t>
                  </w:r>
                </w:p>
              </w:tc>
              <w:tc>
                <w:tcPr>
                  <w:tcW w:w="636" w:type="pct"/>
                  <w:vAlign w:val="center"/>
                </w:tcPr>
                <w:p>
                  <w:pPr>
                    <w:keepNext w:val="0"/>
                    <w:keepLines w:val="0"/>
                    <w:pageBreakBefore w:val="0"/>
                    <w:widowControl/>
                    <w:kinsoku/>
                    <w:wordWrap/>
                    <w:overflowPunct/>
                    <w:topLinePunct w:val="0"/>
                    <w:autoSpaceDE/>
                    <w:autoSpaceDN/>
                    <w:bidi w:val="0"/>
                    <w:adjustRightInd w:val="0"/>
                    <w:snapToGrid w:val="0"/>
                    <w:ind w:left="-71" w:leftChars="-34" w:right="-71" w:rightChars="-34"/>
                    <w:jc w:val="center"/>
                    <w:textAlignment w:val="baseline"/>
                    <w:rPr>
                      <w:color w:val="auto"/>
                      <w:spacing w:val="4"/>
                      <w:kern w:val="0"/>
                      <w:sz w:val="21"/>
                      <w:szCs w:val="21"/>
                    </w:rPr>
                  </w:pPr>
                  <w:r>
                    <w:rPr>
                      <w:color w:val="auto"/>
                      <w:sz w:val="21"/>
                      <w:szCs w:val="21"/>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39"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490"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535"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519"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436"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317"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316"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396"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397"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713" w:type="pct"/>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kern w:val="0"/>
                      <w:sz w:val="21"/>
                      <w:szCs w:val="21"/>
                      <w:vertAlign w:val="subscript"/>
                    </w:rPr>
                  </w:pPr>
                  <w:r>
                    <w:rPr>
                      <w:color w:val="auto"/>
                      <w:kern w:val="0"/>
                      <w:sz w:val="21"/>
                      <w:szCs w:val="21"/>
                    </w:rPr>
                    <w:t>BOD</w:t>
                  </w:r>
                  <w:r>
                    <w:rPr>
                      <w:color w:val="auto"/>
                      <w:kern w:val="0"/>
                      <w:sz w:val="21"/>
                      <w:szCs w:val="21"/>
                      <w:vertAlign w:val="subscript"/>
                    </w:rPr>
                    <w:t>5</w:t>
                  </w:r>
                </w:p>
              </w:tc>
              <w:tc>
                <w:tcPr>
                  <w:tcW w:w="636" w:type="pct"/>
                  <w:vAlign w:val="center"/>
                </w:tcPr>
                <w:p>
                  <w:pPr>
                    <w:keepNext w:val="0"/>
                    <w:keepLines w:val="0"/>
                    <w:pageBreakBefore w:val="0"/>
                    <w:widowControl/>
                    <w:kinsoku/>
                    <w:wordWrap/>
                    <w:overflowPunct/>
                    <w:topLinePunct w:val="0"/>
                    <w:autoSpaceDE/>
                    <w:autoSpaceDN/>
                    <w:bidi w:val="0"/>
                    <w:adjustRightInd w:val="0"/>
                    <w:snapToGrid w:val="0"/>
                    <w:ind w:left="-71" w:leftChars="-34" w:right="-71" w:rightChars="-34"/>
                    <w:jc w:val="center"/>
                    <w:textAlignment w:val="baseline"/>
                    <w:rPr>
                      <w:snapToGrid w:val="0"/>
                      <w:color w:val="auto"/>
                      <w:kern w:val="0"/>
                      <w:sz w:val="21"/>
                      <w:szCs w:val="21"/>
                    </w:rPr>
                  </w:pPr>
                  <w:r>
                    <w:rPr>
                      <w:color w:val="auto"/>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39"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490"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535"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519"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436"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317"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316"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396"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397" w:type="pct"/>
                  <w:vMerge w:val="continue"/>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sz w:val="21"/>
                      <w:szCs w:val="21"/>
                      <w:highlight w:val="yellow"/>
                    </w:rPr>
                  </w:pPr>
                </w:p>
              </w:tc>
              <w:tc>
                <w:tcPr>
                  <w:tcW w:w="713" w:type="pct"/>
                  <w:vAlign w:val="center"/>
                </w:tcPr>
                <w:p>
                  <w:pPr>
                    <w:keepNext w:val="0"/>
                    <w:keepLines w:val="0"/>
                    <w:pageBreakBefore w:val="0"/>
                    <w:widowControl/>
                    <w:kinsoku/>
                    <w:wordWrap/>
                    <w:overflowPunct/>
                    <w:topLinePunct w:val="0"/>
                    <w:autoSpaceDE/>
                    <w:autoSpaceDN/>
                    <w:bidi w:val="0"/>
                    <w:ind w:left="-71" w:leftChars="-34" w:right="-71" w:rightChars="-34"/>
                    <w:jc w:val="center"/>
                    <w:rPr>
                      <w:color w:val="auto"/>
                      <w:kern w:val="0"/>
                      <w:sz w:val="21"/>
                      <w:szCs w:val="21"/>
                    </w:rPr>
                  </w:pPr>
                  <w:r>
                    <w:rPr>
                      <w:color w:val="auto"/>
                      <w:sz w:val="21"/>
                      <w:szCs w:val="21"/>
                    </w:rPr>
                    <w:t>粪大肠菌群</w:t>
                  </w:r>
                </w:p>
              </w:tc>
              <w:tc>
                <w:tcPr>
                  <w:tcW w:w="636" w:type="pct"/>
                  <w:vAlign w:val="center"/>
                </w:tcPr>
                <w:p>
                  <w:pPr>
                    <w:keepNext w:val="0"/>
                    <w:keepLines w:val="0"/>
                    <w:pageBreakBefore w:val="0"/>
                    <w:widowControl/>
                    <w:kinsoku/>
                    <w:wordWrap/>
                    <w:overflowPunct/>
                    <w:topLinePunct w:val="0"/>
                    <w:autoSpaceDE/>
                    <w:autoSpaceDN/>
                    <w:bidi w:val="0"/>
                    <w:adjustRightInd w:val="0"/>
                    <w:snapToGrid w:val="0"/>
                    <w:ind w:left="-71" w:leftChars="-34" w:right="-71" w:rightChars="-34"/>
                    <w:jc w:val="center"/>
                    <w:textAlignment w:val="baseline"/>
                    <w:rPr>
                      <w:color w:val="auto"/>
                      <w:sz w:val="21"/>
                      <w:szCs w:val="21"/>
                    </w:rPr>
                  </w:pPr>
                  <w:r>
                    <w:rPr>
                      <w:color w:val="auto"/>
                      <w:sz w:val="21"/>
                      <w:szCs w:val="21"/>
                    </w:rPr>
                    <w:t>5000 MPN/L</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0" w:firstLineChars="200"/>
              <w:jc w:val="left"/>
              <w:textAlignment w:val="auto"/>
              <w:rPr>
                <w:color w:val="auto"/>
                <w:kern w:val="0"/>
                <w:sz w:val="24"/>
                <w:szCs w:val="24"/>
              </w:rPr>
            </w:pPr>
            <w:r>
              <w:rPr>
                <w:color w:val="auto"/>
                <w:kern w:val="0"/>
                <w:sz w:val="24"/>
                <w:szCs w:val="24"/>
              </w:rPr>
              <w:t>（4）水污染源监测计划</w:t>
            </w:r>
          </w:p>
          <w:p>
            <w:pPr>
              <w:snapToGrid w:val="0"/>
              <w:spacing w:line="360" w:lineRule="auto"/>
              <w:ind w:firstLine="480" w:firstLineChars="200"/>
              <w:jc w:val="left"/>
              <w:rPr>
                <w:color w:val="auto"/>
                <w:sz w:val="24"/>
                <w:szCs w:val="24"/>
              </w:rPr>
            </w:pPr>
            <w:r>
              <w:rPr>
                <w:color w:val="auto"/>
                <w:sz w:val="24"/>
                <w:szCs w:val="24"/>
              </w:rPr>
              <w:t>根据《排污许可证申请与核发技术规范 医疗机构》（HJ1105-2020）、《</w:t>
            </w:r>
            <w:r>
              <w:rPr>
                <w:rFonts w:hint="eastAsia"/>
                <w:color w:val="auto"/>
                <w:sz w:val="24"/>
                <w:szCs w:val="24"/>
                <w:lang w:eastAsia="zh-CN"/>
              </w:rPr>
              <w:t>排污单位自行监测技术指南</w:t>
            </w:r>
            <w:r>
              <w:rPr>
                <w:rFonts w:hint="eastAsia"/>
                <w:color w:val="auto"/>
                <w:sz w:val="24"/>
                <w:szCs w:val="24"/>
                <w:lang w:val="en-US" w:eastAsia="zh-CN"/>
              </w:rPr>
              <w:t xml:space="preserve"> 总则</w:t>
            </w:r>
            <w:r>
              <w:rPr>
                <w:color w:val="auto"/>
                <w:sz w:val="24"/>
                <w:szCs w:val="24"/>
              </w:rPr>
              <w:t>》（HJ</w:t>
            </w:r>
            <w:r>
              <w:rPr>
                <w:rFonts w:hint="eastAsia"/>
                <w:color w:val="auto"/>
                <w:sz w:val="24"/>
                <w:szCs w:val="24"/>
                <w:lang w:val="en-US" w:eastAsia="zh-CN"/>
              </w:rPr>
              <w:t>819</w:t>
            </w:r>
            <w:r>
              <w:rPr>
                <w:color w:val="auto"/>
                <w:sz w:val="24"/>
                <w:szCs w:val="24"/>
              </w:rPr>
              <w:t>-20</w:t>
            </w:r>
            <w:r>
              <w:rPr>
                <w:rFonts w:hint="eastAsia"/>
                <w:color w:val="auto"/>
                <w:sz w:val="24"/>
                <w:szCs w:val="24"/>
                <w:lang w:val="en-US" w:eastAsia="zh-CN"/>
              </w:rPr>
              <w:t>17</w:t>
            </w:r>
            <w:r>
              <w:rPr>
                <w:color w:val="auto"/>
                <w:sz w:val="24"/>
                <w:szCs w:val="24"/>
              </w:rPr>
              <w:t>），本项目废水监测计划见表4-</w:t>
            </w:r>
            <w:r>
              <w:rPr>
                <w:rFonts w:hint="eastAsia"/>
                <w:color w:val="auto"/>
                <w:sz w:val="24"/>
                <w:szCs w:val="24"/>
                <w:lang w:val="en-US" w:eastAsia="zh-CN"/>
              </w:rPr>
              <w:t>11</w:t>
            </w:r>
            <w:r>
              <w:rPr>
                <w:color w:val="auto"/>
                <w:sz w:val="24"/>
                <w:szCs w:val="24"/>
              </w:rPr>
              <w:t>。</w:t>
            </w:r>
          </w:p>
          <w:p>
            <w:pPr>
              <w:pStyle w:val="67"/>
              <w:adjustRightInd w:val="0"/>
              <w:snapToGrid w:val="0"/>
              <w:ind w:firstLine="0" w:firstLineChars="0"/>
              <w:jc w:val="center"/>
              <w:rPr>
                <w:rFonts w:eastAsia="宋体" w:cs="Times New Roman"/>
                <w:snapToGrid w:val="0"/>
                <w:color w:val="auto"/>
                <w:kern w:val="0"/>
                <w:sz w:val="21"/>
                <w:szCs w:val="21"/>
              </w:rPr>
            </w:pPr>
            <w:r>
              <w:rPr>
                <w:rFonts w:eastAsia="宋体" w:cs="Times New Roman"/>
                <w:b/>
                <w:bCs/>
                <w:snapToGrid w:val="0"/>
                <w:color w:val="auto"/>
                <w:kern w:val="0"/>
                <w:sz w:val="21"/>
                <w:szCs w:val="21"/>
              </w:rPr>
              <w:t>表4-</w:t>
            </w:r>
            <w:r>
              <w:rPr>
                <w:rFonts w:hint="eastAsia" w:eastAsia="宋体" w:cs="Times New Roman"/>
                <w:b/>
                <w:bCs/>
                <w:snapToGrid w:val="0"/>
                <w:color w:val="auto"/>
                <w:kern w:val="0"/>
                <w:sz w:val="21"/>
                <w:szCs w:val="21"/>
                <w:lang w:val="en-US" w:eastAsia="zh-CN"/>
              </w:rPr>
              <w:t>11</w:t>
            </w:r>
            <w:r>
              <w:rPr>
                <w:rFonts w:eastAsia="宋体" w:cs="Times New Roman"/>
                <w:b/>
                <w:bCs/>
                <w:snapToGrid w:val="0"/>
                <w:color w:val="auto"/>
                <w:kern w:val="0"/>
                <w:sz w:val="21"/>
                <w:szCs w:val="21"/>
              </w:rPr>
              <w:t xml:space="preserve">  废水污染源环境监测计划</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3"/>
              <w:gridCol w:w="881"/>
              <w:gridCol w:w="1319"/>
              <w:gridCol w:w="1814"/>
              <w:gridCol w:w="1725"/>
              <w:gridCol w:w="1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3" w:type="pct"/>
                  <w:vAlign w:val="center"/>
                </w:tcPr>
                <w:p>
                  <w:pPr>
                    <w:adjustRightInd w:val="0"/>
                    <w:snapToGrid w:val="0"/>
                    <w:jc w:val="center"/>
                    <w:rPr>
                      <w:b/>
                      <w:color w:val="auto"/>
                      <w:sz w:val="21"/>
                      <w:szCs w:val="21"/>
                    </w:rPr>
                  </w:pPr>
                  <w:r>
                    <w:rPr>
                      <w:b/>
                      <w:color w:val="auto"/>
                      <w:sz w:val="21"/>
                      <w:szCs w:val="21"/>
                    </w:rPr>
                    <w:t>类别</w:t>
                  </w:r>
                </w:p>
              </w:tc>
              <w:tc>
                <w:tcPr>
                  <w:tcW w:w="443" w:type="pct"/>
                  <w:vAlign w:val="center"/>
                </w:tcPr>
                <w:p>
                  <w:pPr>
                    <w:adjustRightInd w:val="0"/>
                    <w:snapToGrid w:val="0"/>
                    <w:jc w:val="center"/>
                    <w:rPr>
                      <w:b/>
                      <w:color w:val="auto"/>
                      <w:sz w:val="21"/>
                      <w:szCs w:val="21"/>
                    </w:rPr>
                  </w:pPr>
                  <w:r>
                    <w:rPr>
                      <w:b/>
                      <w:color w:val="auto"/>
                      <w:sz w:val="21"/>
                      <w:szCs w:val="21"/>
                    </w:rPr>
                    <w:t>排放口编号</w:t>
                  </w:r>
                </w:p>
              </w:tc>
              <w:tc>
                <w:tcPr>
                  <w:tcW w:w="822" w:type="pct"/>
                  <w:vAlign w:val="center"/>
                </w:tcPr>
                <w:p>
                  <w:pPr>
                    <w:adjustRightInd w:val="0"/>
                    <w:snapToGrid w:val="0"/>
                    <w:jc w:val="center"/>
                    <w:rPr>
                      <w:b/>
                      <w:color w:val="auto"/>
                      <w:sz w:val="21"/>
                      <w:szCs w:val="21"/>
                    </w:rPr>
                  </w:pPr>
                  <w:r>
                    <w:rPr>
                      <w:b/>
                      <w:color w:val="auto"/>
                      <w:sz w:val="21"/>
                      <w:szCs w:val="21"/>
                    </w:rPr>
                    <w:t>污染物</w:t>
                  </w:r>
                </w:p>
                <w:p>
                  <w:pPr>
                    <w:adjustRightInd w:val="0"/>
                    <w:snapToGrid w:val="0"/>
                    <w:jc w:val="center"/>
                    <w:rPr>
                      <w:b/>
                      <w:color w:val="auto"/>
                      <w:sz w:val="21"/>
                      <w:szCs w:val="21"/>
                    </w:rPr>
                  </w:pPr>
                  <w:r>
                    <w:rPr>
                      <w:b/>
                      <w:color w:val="auto"/>
                      <w:sz w:val="21"/>
                      <w:szCs w:val="21"/>
                    </w:rPr>
                    <w:t>名称</w:t>
                  </w:r>
                </w:p>
              </w:tc>
              <w:tc>
                <w:tcPr>
                  <w:tcW w:w="1095" w:type="pct"/>
                  <w:vAlign w:val="center"/>
                </w:tcPr>
                <w:p>
                  <w:pPr>
                    <w:adjustRightInd w:val="0"/>
                    <w:snapToGrid w:val="0"/>
                    <w:jc w:val="center"/>
                    <w:rPr>
                      <w:b/>
                      <w:color w:val="auto"/>
                      <w:sz w:val="21"/>
                      <w:szCs w:val="21"/>
                    </w:rPr>
                  </w:pPr>
                  <w:r>
                    <w:rPr>
                      <w:b/>
                      <w:color w:val="auto"/>
                      <w:sz w:val="21"/>
                      <w:szCs w:val="21"/>
                    </w:rPr>
                    <w:t>排放口类型</w:t>
                  </w:r>
                </w:p>
              </w:tc>
              <w:tc>
                <w:tcPr>
                  <w:tcW w:w="1046" w:type="pct"/>
                  <w:vAlign w:val="center"/>
                </w:tcPr>
                <w:p>
                  <w:pPr>
                    <w:adjustRightInd w:val="0"/>
                    <w:snapToGrid w:val="0"/>
                    <w:jc w:val="center"/>
                    <w:rPr>
                      <w:b/>
                      <w:color w:val="auto"/>
                      <w:sz w:val="21"/>
                      <w:szCs w:val="21"/>
                      <w:vertAlign w:val="superscript"/>
                    </w:rPr>
                  </w:pPr>
                  <w:r>
                    <w:rPr>
                      <w:b/>
                      <w:color w:val="auto"/>
                      <w:sz w:val="21"/>
                      <w:szCs w:val="21"/>
                    </w:rPr>
                    <w:t>监测频次</w:t>
                  </w:r>
                </w:p>
              </w:tc>
              <w:tc>
                <w:tcPr>
                  <w:tcW w:w="729" w:type="pct"/>
                  <w:vAlign w:val="center"/>
                </w:tcPr>
                <w:p>
                  <w:pPr>
                    <w:adjustRightInd w:val="0"/>
                    <w:snapToGrid w:val="0"/>
                    <w:jc w:val="center"/>
                    <w:rPr>
                      <w:b/>
                      <w:color w:val="auto"/>
                      <w:sz w:val="21"/>
                      <w:szCs w:val="21"/>
                      <w:vertAlign w:val="superscript"/>
                    </w:rPr>
                  </w:pPr>
                  <w:r>
                    <w:rPr>
                      <w:b/>
                      <w:color w:val="auto"/>
                      <w:sz w:val="21"/>
                      <w:szCs w:val="21"/>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3" w:type="pct"/>
                  <w:vMerge w:val="restart"/>
                  <w:vAlign w:val="center"/>
                </w:tcPr>
                <w:p>
                  <w:pPr>
                    <w:adjustRightInd w:val="0"/>
                    <w:snapToGrid w:val="0"/>
                    <w:jc w:val="center"/>
                    <w:rPr>
                      <w:color w:val="auto"/>
                      <w:sz w:val="21"/>
                      <w:szCs w:val="21"/>
                    </w:rPr>
                  </w:pPr>
                  <w:r>
                    <w:rPr>
                      <w:color w:val="auto"/>
                      <w:sz w:val="21"/>
                      <w:szCs w:val="21"/>
                    </w:rPr>
                    <w:t>生产废水</w:t>
                  </w:r>
                </w:p>
              </w:tc>
              <w:tc>
                <w:tcPr>
                  <w:tcW w:w="443" w:type="pct"/>
                  <w:vMerge w:val="restart"/>
                  <w:vAlign w:val="center"/>
                </w:tcPr>
                <w:p>
                  <w:pPr>
                    <w:adjustRightInd w:val="0"/>
                    <w:snapToGrid w:val="0"/>
                    <w:jc w:val="center"/>
                    <w:rPr>
                      <w:color w:val="auto"/>
                      <w:sz w:val="21"/>
                      <w:szCs w:val="21"/>
                    </w:rPr>
                  </w:pPr>
                  <w:r>
                    <w:rPr>
                      <w:color w:val="auto"/>
                      <w:sz w:val="21"/>
                      <w:szCs w:val="21"/>
                    </w:rPr>
                    <w:t>企业</w:t>
                  </w:r>
                </w:p>
                <w:p>
                  <w:pPr>
                    <w:adjustRightInd w:val="0"/>
                    <w:snapToGrid w:val="0"/>
                    <w:jc w:val="center"/>
                    <w:rPr>
                      <w:color w:val="auto"/>
                      <w:sz w:val="21"/>
                      <w:szCs w:val="21"/>
                    </w:rPr>
                  </w:pPr>
                  <w:r>
                    <w:rPr>
                      <w:color w:val="auto"/>
                      <w:sz w:val="21"/>
                      <w:szCs w:val="21"/>
                    </w:rPr>
                    <w:t>总排DW001</w:t>
                  </w:r>
                </w:p>
              </w:tc>
              <w:tc>
                <w:tcPr>
                  <w:tcW w:w="822" w:type="pct"/>
                  <w:vAlign w:val="center"/>
                </w:tcPr>
                <w:p>
                  <w:pPr>
                    <w:pStyle w:val="41"/>
                    <w:spacing w:before="24" w:after="24"/>
                    <w:rPr>
                      <w:rFonts w:ascii="Times New Roman" w:hAnsi="Times New Roman" w:cs="Times New Roman"/>
                      <w:color w:val="auto"/>
                      <w:sz w:val="21"/>
                      <w:szCs w:val="21"/>
                    </w:rPr>
                  </w:pPr>
                  <w:r>
                    <w:rPr>
                      <w:rFonts w:ascii="Times New Roman" w:hAnsi="Times New Roman" w:cs="Times New Roman"/>
                      <w:color w:val="auto"/>
                      <w:sz w:val="21"/>
                      <w:szCs w:val="21"/>
                    </w:rPr>
                    <w:t>流量</w:t>
                  </w:r>
                </w:p>
              </w:tc>
              <w:tc>
                <w:tcPr>
                  <w:tcW w:w="1095" w:type="pct"/>
                  <w:vMerge w:val="restart"/>
                  <w:vAlign w:val="center"/>
                </w:tcPr>
                <w:p>
                  <w:pPr>
                    <w:adjustRightInd w:val="0"/>
                    <w:snapToGrid w:val="0"/>
                    <w:jc w:val="center"/>
                    <w:rPr>
                      <w:snapToGrid w:val="0"/>
                      <w:color w:val="auto"/>
                      <w:sz w:val="21"/>
                      <w:szCs w:val="21"/>
                    </w:rPr>
                  </w:pPr>
                  <w:r>
                    <w:rPr>
                      <w:snapToGrid w:val="0"/>
                      <w:color w:val="auto"/>
                      <w:sz w:val="21"/>
                      <w:szCs w:val="21"/>
                    </w:rPr>
                    <w:t>一般排放口</w:t>
                  </w:r>
                </w:p>
              </w:tc>
              <w:tc>
                <w:tcPr>
                  <w:tcW w:w="1046" w:type="pct"/>
                  <w:vAlign w:val="center"/>
                </w:tcPr>
                <w:p>
                  <w:pPr>
                    <w:adjustRightInd w:val="0"/>
                    <w:snapToGrid w:val="0"/>
                    <w:jc w:val="center"/>
                    <w:rPr>
                      <w:color w:val="auto"/>
                      <w:sz w:val="21"/>
                      <w:szCs w:val="21"/>
                    </w:rPr>
                  </w:pPr>
                  <w:r>
                    <w:rPr>
                      <w:color w:val="auto"/>
                      <w:sz w:val="21"/>
                      <w:szCs w:val="21"/>
                    </w:rPr>
                    <w:t>自动监测</w:t>
                  </w:r>
                </w:p>
              </w:tc>
              <w:tc>
                <w:tcPr>
                  <w:tcW w:w="729" w:type="pct"/>
                  <w:vMerge w:val="restart"/>
                  <w:vAlign w:val="center"/>
                </w:tcPr>
                <w:p>
                  <w:pPr>
                    <w:adjustRightInd w:val="0"/>
                    <w:snapToGrid w:val="0"/>
                    <w:jc w:val="center"/>
                    <w:rPr>
                      <w:color w:val="auto"/>
                      <w:sz w:val="21"/>
                      <w:szCs w:val="21"/>
                    </w:rPr>
                  </w:pPr>
                  <w:r>
                    <w:rPr>
                      <w:color w:val="auto"/>
                      <w:sz w:val="21"/>
                      <w:szCs w:val="21"/>
                    </w:rPr>
                    <w:t>《医疗机构水污染物排放标准》（GB18466-2005）表2“预处理标准”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3" w:type="pct"/>
                  <w:vMerge w:val="continue"/>
                  <w:vAlign w:val="center"/>
                </w:tcPr>
                <w:p>
                  <w:pPr>
                    <w:adjustRightInd w:val="0"/>
                    <w:snapToGrid w:val="0"/>
                    <w:jc w:val="center"/>
                    <w:rPr>
                      <w:color w:val="auto"/>
                      <w:sz w:val="21"/>
                      <w:szCs w:val="21"/>
                    </w:rPr>
                  </w:pPr>
                </w:p>
              </w:tc>
              <w:tc>
                <w:tcPr>
                  <w:tcW w:w="443" w:type="pct"/>
                  <w:vMerge w:val="continue"/>
                  <w:vAlign w:val="center"/>
                </w:tcPr>
                <w:p>
                  <w:pPr>
                    <w:adjustRightInd w:val="0"/>
                    <w:snapToGrid w:val="0"/>
                    <w:jc w:val="center"/>
                    <w:rPr>
                      <w:color w:val="auto"/>
                      <w:sz w:val="21"/>
                      <w:szCs w:val="21"/>
                    </w:rPr>
                  </w:pPr>
                </w:p>
              </w:tc>
              <w:tc>
                <w:tcPr>
                  <w:tcW w:w="822" w:type="pct"/>
                  <w:vAlign w:val="center"/>
                </w:tcPr>
                <w:p>
                  <w:pPr>
                    <w:pStyle w:val="41"/>
                    <w:spacing w:before="24" w:after="24"/>
                    <w:rPr>
                      <w:rFonts w:ascii="Times New Roman" w:hAnsi="Times New Roman" w:cs="Times New Roman"/>
                      <w:color w:val="auto"/>
                      <w:sz w:val="21"/>
                      <w:szCs w:val="21"/>
                    </w:rPr>
                  </w:pPr>
                  <w:r>
                    <w:rPr>
                      <w:rFonts w:ascii="Times New Roman" w:hAnsi="Times New Roman" w:cs="Times New Roman"/>
                      <w:color w:val="auto"/>
                      <w:sz w:val="21"/>
                      <w:szCs w:val="21"/>
                    </w:rPr>
                    <w:t>pH</w:t>
                  </w:r>
                </w:p>
              </w:tc>
              <w:tc>
                <w:tcPr>
                  <w:tcW w:w="1095" w:type="pct"/>
                  <w:vMerge w:val="continue"/>
                  <w:vAlign w:val="center"/>
                </w:tcPr>
                <w:p>
                  <w:pPr>
                    <w:adjustRightInd w:val="0"/>
                    <w:snapToGrid w:val="0"/>
                    <w:jc w:val="center"/>
                    <w:rPr>
                      <w:color w:val="auto"/>
                      <w:sz w:val="21"/>
                      <w:szCs w:val="21"/>
                    </w:rPr>
                  </w:pPr>
                </w:p>
              </w:tc>
              <w:tc>
                <w:tcPr>
                  <w:tcW w:w="1046" w:type="pct"/>
                  <w:vAlign w:val="center"/>
                </w:tcPr>
                <w:p>
                  <w:pPr>
                    <w:adjustRightInd w:val="0"/>
                    <w:snapToGrid w:val="0"/>
                    <w:jc w:val="center"/>
                    <w:rPr>
                      <w:color w:val="auto"/>
                      <w:sz w:val="21"/>
                      <w:szCs w:val="21"/>
                    </w:rPr>
                  </w:pPr>
                  <w:r>
                    <w:rPr>
                      <w:color w:val="auto"/>
                      <w:sz w:val="21"/>
                      <w:szCs w:val="21"/>
                    </w:rPr>
                    <w:t>1次/12小时</w:t>
                  </w:r>
                </w:p>
              </w:tc>
              <w:tc>
                <w:tcPr>
                  <w:tcW w:w="729" w:type="pct"/>
                  <w:vMerge w:val="continue"/>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3" w:type="pct"/>
                  <w:vMerge w:val="continue"/>
                  <w:vAlign w:val="center"/>
                </w:tcPr>
                <w:p>
                  <w:pPr>
                    <w:adjustRightInd w:val="0"/>
                    <w:snapToGrid w:val="0"/>
                    <w:jc w:val="center"/>
                    <w:rPr>
                      <w:color w:val="auto"/>
                      <w:sz w:val="21"/>
                      <w:szCs w:val="21"/>
                    </w:rPr>
                  </w:pPr>
                </w:p>
              </w:tc>
              <w:tc>
                <w:tcPr>
                  <w:tcW w:w="443" w:type="pct"/>
                  <w:vMerge w:val="continue"/>
                  <w:vAlign w:val="center"/>
                </w:tcPr>
                <w:p>
                  <w:pPr>
                    <w:adjustRightInd w:val="0"/>
                    <w:snapToGrid w:val="0"/>
                    <w:jc w:val="center"/>
                    <w:rPr>
                      <w:color w:val="auto"/>
                      <w:sz w:val="21"/>
                      <w:szCs w:val="21"/>
                    </w:rPr>
                  </w:pPr>
                </w:p>
              </w:tc>
              <w:tc>
                <w:tcPr>
                  <w:tcW w:w="822" w:type="pct"/>
                  <w:vAlign w:val="center"/>
                </w:tcPr>
                <w:p>
                  <w:pPr>
                    <w:pStyle w:val="41"/>
                    <w:spacing w:before="24" w:after="24"/>
                    <w:rPr>
                      <w:rFonts w:ascii="Times New Roman" w:hAnsi="Times New Roman" w:cs="Times New Roman"/>
                      <w:color w:val="auto"/>
                      <w:sz w:val="21"/>
                      <w:szCs w:val="21"/>
                    </w:rPr>
                  </w:pPr>
                  <w:r>
                    <w:rPr>
                      <w:rFonts w:ascii="Times New Roman" w:hAnsi="Times New Roman" w:cs="Times New Roman"/>
                      <w:color w:val="auto"/>
                      <w:sz w:val="21"/>
                      <w:szCs w:val="21"/>
                    </w:rPr>
                    <w:t>COD</w:t>
                  </w:r>
                </w:p>
              </w:tc>
              <w:tc>
                <w:tcPr>
                  <w:tcW w:w="1095" w:type="pct"/>
                  <w:vMerge w:val="continue"/>
                  <w:vAlign w:val="center"/>
                </w:tcPr>
                <w:p>
                  <w:pPr>
                    <w:adjustRightInd w:val="0"/>
                    <w:snapToGrid w:val="0"/>
                    <w:jc w:val="center"/>
                    <w:rPr>
                      <w:color w:val="auto"/>
                      <w:sz w:val="21"/>
                      <w:szCs w:val="21"/>
                    </w:rPr>
                  </w:pPr>
                </w:p>
              </w:tc>
              <w:tc>
                <w:tcPr>
                  <w:tcW w:w="1046" w:type="pct"/>
                  <w:vAlign w:val="center"/>
                </w:tcPr>
                <w:p>
                  <w:pPr>
                    <w:adjustRightInd w:val="0"/>
                    <w:snapToGrid w:val="0"/>
                    <w:jc w:val="center"/>
                    <w:rPr>
                      <w:color w:val="auto"/>
                      <w:sz w:val="21"/>
                      <w:szCs w:val="21"/>
                    </w:rPr>
                  </w:pPr>
                  <w:r>
                    <w:rPr>
                      <w:color w:val="auto"/>
                      <w:sz w:val="21"/>
                      <w:szCs w:val="21"/>
                    </w:rPr>
                    <w:t>1次/周</w:t>
                  </w:r>
                </w:p>
              </w:tc>
              <w:tc>
                <w:tcPr>
                  <w:tcW w:w="729" w:type="pct"/>
                  <w:vMerge w:val="continue"/>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3" w:type="pct"/>
                  <w:vMerge w:val="continue"/>
                  <w:vAlign w:val="center"/>
                </w:tcPr>
                <w:p>
                  <w:pPr>
                    <w:adjustRightInd w:val="0"/>
                    <w:snapToGrid w:val="0"/>
                    <w:jc w:val="center"/>
                    <w:rPr>
                      <w:color w:val="auto"/>
                      <w:sz w:val="21"/>
                      <w:szCs w:val="21"/>
                    </w:rPr>
                  </w:pPr>
                </w:p>
              </w:tc>
              <w:tc>
                <w:tcPr>
                  <w:tcW w:w="443" w:type="pct"/>
                  <w:vMerge w:val="continue"/>
                  <w:vAlign w:val="center"/>
                </w:tcPr>
                <w:p>
                  <w:pPr>
                    <w:adjustRightInd w:val="0"/>
                    <w:snapToGrid w:val="0"/>
                    <w:jc w:val="center"/>
                    <w:rPr>
                      <w:color w:val="auto"/>
                      <w:sz w:val="21"/>
                      <w:szCs w:val="21"/>
                    </w:rPr>
                  </w:pPr>
                </w:p>
              </w:tc>
              <w:tc>
                <w:tcPr>
                  <w:tcW w:w="822" w:type="pct"/>
                  <w:vAlign w:val="center"/>
                </w:tcPr>
                <w:p>
                  <w:pPr>
                    <w:pStyle w:val="41"/>
                    <w:spacing w:before="24" w:after="24"/>
                    <w:rPr>
                      <w:rFonts w:ascii="Times New Roman" w:hAnsi="Times New Roman" w:cs="Times New Roman"/>
                      <w:color w:val="auto"/>
                      <w:sz w:val="21"/>
                      <w:szCs w:val="21"/>
                    </w:rPr>
                  </w:pPr>
                  <w:r>
                    <w:rPr>
                      <w:rFonts w:ascii="Times New Roman" w:hAnsi="Times New Roman" w:cs="Times New Roman"/>
                      <w:color w:val="auto"/>
                      <w:sz w:val="21"/>
                      <w:szCs w:val="21"/>
                    </w:rPr>
                    <w:t>BOD</w:t>
                  </w:r>
                  <w:r>
                    <w:rPr>
                      <w:rFonts w:ascii="Times New Roman" w:hAnsi="Times New Roman" w:cs="Times New Roman"/>
                      <w:color w:val="auto"/>
                      <w:sz w:val="21"/>
                      <w:szCs w:val="21"/>
                      <w:vertAlign w:val="subscript"/>
                    </w:rPr>
                    <w:t>5</w:t>
                  </w:r>
                </w:p>
              </w:tc>
              <w:tc>
                <w:tcPr>
                  <w:tcW w:w="1095" w:type="pct"/>
                  <w:vMerge w:val="continue"/>
                  <w:vAlign w:val="center"/>
                </w:tcPr>
                <w:p>
                  <w:pPr>
                    <w:adjustRightInd w:val="0"/>
                    <w:snapToGrid w:val="0"/>
                    <w:jc w:val="center"/>
                    <w:rPr>
                      <w:color w:val="auto"/>
                      <w:sz w:val="21"/>
                      <w:szCs w:val="21"/>
                    </w:rPr>
                  </w:pPr>
                </w:p>
              </w:tc>
              <w:tc>
                <w:tcPr>
                  <w:tcW w:w="1046" w:type="pct"/>
                  <w:vAlign w:val="center"/>
                </w:tcPr>
                <w:p>
                  <w:pPr>
                    <w:adjustRightInd w:val="0"/>
                    <w:snapToGrid w:val="0"/>
                    <w:jc w:val="center"/>
                    <w:rPr>
                      <w:color w:val="auto"/>
                      <w:sz w:val="21"/>
                      <w:szCs w:val="21"/>
                    </w:rPr>
                  </w:pPr>
                  <w:r>
                    <w:rPr>
                      <w:color w:val="auto"/>
                      <w:sz w:val="21"/>
                      <w:szCs w:val="21"/>
                    </w:rPr>
                    <w:t>1次/季度</w:t>
                  </w:r>
                </w:p>
              </w:tc>
              <w:tc>
                <w:tcPr>
                  <w:tcW w:w="729" w:type="pct"/>
                  <w:vMerge w:val="continue"/>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3" w:type="pct"/>
                  <w:vMerge w:val="continue"/>
                  <w:vAlign w:val="center"/>
                </w:tcPr>
                <w:p>
                  <w:pPr>
                    <w:adjustRightInd w:val="0"/>
                    <w:snapToGrid w:val="0"/>
                    <w:jc w:val="center"/>
                    <w:rPr>
                      <w:color w:val="auto"/>
                      <w:sz w:val="21"/>
                      <w:szCs w:val="21"/>
                    </w:rPr>
                  </w:pPr>
                </w:p>
              </w:tc>
              <w:tc>
                <w:tcPr>
                  <w:tcW w:w="443" w:type="pct"/>
                  <w:vMerge w:val="continue"/>
                  <w:vAlign w:val="center"/>
                </w:tcPr>
                <w:p>
                  <w:pPr>
                    <w:adjustRightInd w:val="0"/>
                    <w:snapToGrid w:val="0"/>
                    <w:jc w:val="center"/>
                    <w:rPr>
                      <w:color w:val="auto"/>
                      <w:sz w:val="21"/>
                      <w:szCs w:val="21"/>
                    </w:rPr>
                  </w:pPr>
                </w:p>
              </w:tc>
              <w:tc>
                <w:tcPr>
                  <w:tcW w:w="822" w:type="pct"/>
                  <w:vAlign w:val="center"/>
                </w:tcPr>
                <w:p>
                  <w:pPr>
                    <w:pStyle w:val="41"/>
                    <w:spacing w:before="24" w:after="24"/>
                    <w:rPr>
                      <w:rFonts w:ascii="Times New Roman" w:hAnsi="Times New Roman" w:cs="Times New Roman"/>
                      <w:color w:val="auto"/>
                      <w:sz w:val="21"/>
                      <w:szCs w:val="21"/>
                    </w:rPr>
                  </w:pPr>
                  <w:r>
                    <w:rPr>
                      <w:rFonts w:ascii="Times New Roman" w:hAnsi="Times New Roman" w:cs="Times New Roman"/>
                      <w:color w:val="auto"/>
                      <w:sz w:val="21"/>
                      <w:szCs w:val="21"/>
                    </w:rPr>
                    <w:t>SS</w:t>
                  </w:r>
                </w:p>
              </w:tc>
              <w:tc>
                <w:tcPr>
                  <w:tcW w:w="1095" w:type="pct"/>
                  <w:vMerge w:val="continue"/>
                  <w:vAlign w:val="center"/>
                </w:tcPr>
                <w:p>
                  <w:pPr>
                    <w:adjustRightInd w:val="0"/>
                    <w:snapToGrid w:val="0"/>
                    <w:jc w:val="center"/>
                    <w:rPr>
                      <w:color w:val="auto"/>
                      <w:sz w:val="21"/>
                      <w:szCs w:val="21"/>
                    </w:rPr>
                  </w:pPr>
                </w:p>
              </w:tc>
              <w:tc>
                <w:tcPr>
                  <w:tcW w:w="1046" w:type="pct"/>
                  <w:vAlign w:val="center"/>
                </w:tcPr>
                <w:p>
                  <w:pPr>
                    <w:adjustRightInd w:val="0"/>
                    <w:snapToGrid w:val="0"/>
                    <w:jc w:val="center"/>
                    <w:rPr>
                      <w:color w:val="auto"/>
                      <w:sz w:val="21"/>
                      <w:szCs w:val="21"/>
                    </w:rPr>
                  </w:pPr>
                  <w:r>
                    <w:rPr>
                      <w:color w:val="auto"/>
                      <w:sz w:val="21"/>
                      <w:szCs w:val="21"/>
                    </w:rPr>
                    <w:t>1次/周</w:t>
                  </w:r>
                </w:p>
              </w:tc>
              <w:tc>
                <w:tcPr>
                  <w:tcW w:w="729" w:type="pct"/>
                  <w:vMerge w:val="continue"/>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3" w:type="pct"/>
                  <w:vMerge w:val="continue"/>
                  <w:vAlign w:val="center"/>
                </w:tcPr>
                <w:p>
                  <w:pPr>
                    <w:adjustRightInd w:val="0"/>
                    <w:snapToGrid w:val="0"/>
                    <w:jc w:val="center"/>
                    <w:rPr>
                      <w:color w:val="auto"/>
                      <w:sz w:val="21"/>
                      <w:szCs w:val="21"/>
                    </w:rPr>
                  </w:pPr>
                </w:p>
              </w:tc>
              <w:tc>
                <w:tcPr>
                  <w:tcW w:w="443" w:type="pct"/>
                  <w:vMerge w:val="continue"/>
                  <w:vAlign w:val="center"/>
                </w:tcPr>
                <w:p>
                  <w:pPr>
                    <w:adjustRightInd w:val="0"/>
                    <w:snapToGrid w:val="0"/>
                    <w:jc w:val="center"/>
                    <w:rPr>
                      <w:color w:val="auto"/>
                      <w:sz w:val="21"/>
                      <w:szCs w:val="21"/>
                    </w:rPr>
                  </w:pPr>
                </w:p>
              </w:tc>
              <w:tc>
                <w:tcPr>
                  <w:tcW w:w="822" w:type="pct"/>
                  <w:vAlign w:val="center"/>
                </w:tcPr>
                <w:p>
                  <w:pPr>
                    <w:pStyle w:val="41"/>
                    <w:spacing w:before="24" w:after="24"/>
                    <w:rPr>
                      <w:rFonts w:ascii="Times New Roman" w:hAnsi="Times New Roman" w:cs="Times New Roman"/>
                      <w:color w:val="auto"/>
                      <w:sz w:val="21"/>
                      <w:szCs w:val="21"/>
                    </w:rPr>
                  </w:pPr>
                  <w:r>
                    <w:rPr>
                      <w:rFonts w:ascii="Times New Roman" w:hAnsi="Times New Roman" w:cs="Times New Roman"/>
                      <w:color w:val="auto"/>
                      <w:sz w:val="21"/>
                      <w:szCs w:val="21"/>
                    </w:rPr>
                    <w:t>氨氮</w:t>
                  </w:r>
                </w:p>
              </w:tc>
              <w:tc>
                <w:tcPr>
                  <w:tcW w:w="1095" w:type="pct"/>
                  <w:vMerge w:val="continue"/>
                  <w:vAlign w:val="center"/>
                </w:tcPr>
                <w:p>
                  <w:pPr>
                    <w:adjustRightInd w:val="0"/>
                    <w:snapToGrid w:val="0"/>
                    <w:jc w:val="center"/>
                    <w:rPr>
                      <w:color w:val="auto"/>
                      <w:sz w:val="21"/>
                      <w:szCs w:val="21"/>
                    </w:rPr>
                  </w:pPr>
                </w:p>
              </w:tc>
              <w:tc>
                <w:tcPr>
                  <w:tcW w:w="1046" w:type="pct"/>
                  <w:vAlign w:val="center"/>
                </w:tcPr>
                <w:p>
                  <w:pPr>
                    <w:adjustRightInd w:val="0"/>
                    <w:snapToGrid w:val="0"/>
                    <w:jc w:val="center"/>
                    <w:rPr>
                      <w:color w:val="auto"/>
                      <w:sz w:val="21"/>
                      <w:szCs w:val="21"/>
                    </w:rPr>
                  </w:pPr>
                  <w:r>
                    <w:rPr>
                      <w:color w:val="auto"/>
                      <w:sz w:val="21"/>
                      <w:szCs w:val="21"/>
                    </w:rPr>
                    <w:t>/</w:t>
                  </w:r>
                </w:p>
              </w:tc>
              <w:tc>
                <w:tcPr>
                  <w:tcW w:w="729" w:type="pct"/>
                  <w:vMerge w:val="continue"/>
                  <w:vAlign w:val="center"/>
                </w:tcPr>
                <w:p>
                  <w:pPr>
                    <w:adjustRightInd w:val="0"/>
                    <w:snapToGrid w:val="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3" w:type="pct"/>
                  <w:vMerge w:val="continue"/>
                  <w:vAlign w:val="center"/>
                </w:tcPr>
                <w:p>
                  <w:pPr>
                    <w:adjustRightInd w:val="0"/>
                    <w:snapToGrid w:val="0"/>
                    <w:jc w:val="center"/>
                    <w:rPr>
                      <w:color w:val="auto"/>
                      <w:sz w:val="21"/>
                      <w:szCs w:val="21"/>
                    </w:rPr>
                  </w:pPr>
                </w:p>
              </w:tc>
              <w:tc>
                <w:tcPr>
                  <w:tcW w:w="443" w:type="pct"/>
                  <w:vMerge w:val="continue"/>
                  <w:vAlign w:val="center"/>
                </w:tcPr>
                <w:p>
                  <w:pPr>
                    <w:adjustRightInd w:val="0"/>
                    <w:snapToGrid w:val="0"/>
                    <w:jc w:val="center"/>
                    <w:rPr>
                      <w:color w:val="auto"/>
                      <w:sz w:val="21"/>
                      <w:szCs w:val="21"/>
                    </w:rPr>
                  </w:pPr>
                </w:p>
              </w:tc>
              <w:tc>
                <w:tcPr>
                  <w:tcW w:w="822" w:type="pct"/>
                  <w:vAlign w:val="center"/>
                </w:tcPr>
                <w:p>
                  <w:pPr>
                    <w:pStyle w:val="41"/>
                    <w:spacing w:before="24" w:after="24"/>
                    <w:rPr>
                      <w:rFonts w:ascii="Times New Roman" w:hAnsi="Times New Roman" w:cs="Times New Roman"/>
                      <w:color w:val="auto"/>
                      <w:sz w:val="21"/>
                      <w:szCs w:val="21"/>
                    </w:rPr>
                  </w:pPr>
                  <w:r>
                    <w:rPr>
                      <w:rFonts w:ascii="Times New Roman" w:hAnsi="Times New Roman" w:cs="Times New Roman"/>
                      <w:bCs/>
                      <w:snapToGrid w:val="0"/>
                      <w:color w:val="auto"/>
                      <w:sz w:val="21"/>
                      <w:szCs w:val="21"/>
                    </w:rPr>
                    <w:t>粪大肠菌群数</w:t>
                  </w:r>
                </w:p>
              </w:tc>
              <w:tc>
                <w:tcPr>
                  <w:tcW w:w="1095" w:type="pct"/>
                  <w:vMerge w:val="continue"/>
                  <w:vAlign w:val="center"/>
                </w:tcPr>
                <w:p>
                  <w:pPr>
                    <w:adjustRightInd w:val="0"/>
                    <w:snapToGrid w:val="0"/>
                    <w:jc w:val="center"/>
                    <w:rPr>
                      <w:color w:val="auto"/>
                      <w:sz w:val="21"/>
                      <w:szCs w:val="21"/>
                    </w:rPr>
                  </w:pPr>
                </w:p>
              </w:tc>
              <w:tc>
                <w:tcPr>
                  <w:tcW w:w="1046" w:type="pct"/>
                  <w:vAlign w:val="center"/>
                </w:tcPr>
                <w:p>
                  <w:pPr>
                    <w:adjustRightInd w:val="0"/>
                    <w:snapToGrid w:val="0"/>
                    <w:jc w:val="center"/>
                    <w:rPr>
                      <w:color w:val="auto"/>
                      <w:sz w:val="21"/>
                      <w:szCs w:val="21"/>
                    </w:rPr>
                  </w:pPr>
                  <w:r>
                    <w:rPr>
                      <w:color w:val="auto"/>
                      <w:sz w:val="21"/>
                      <w:szCs w:val="21"/>
                    </w:rPr>
                    <w:t>1次/月</w:t>
                  </w:r>
                </w:p>
              </w:tc>
              <w:tc>
                <w:tcPr>
                  <w:tcW w:w="729" w:type="pct"/>
                  <w:vMerge w:val="continue"/>
                  <w:vAlign w:val="center"/>
                </w:tcPr>
                <w:p>
                  <w:pPr>
                    <w:adjustRightInd w:val="0"/>
                    <w:snapToGrid w:val="0"/>
                    <w:jc w:val="center"/>
                    <w:rPr>
                      <w:color w:val="auto"/>
                      <w:sz w:val="21"/>
                      <w:szCs w:val="21"/>
                    </w:rPr>
                  </w:pPr>
                </w:p>
              </w:tc>
            </w:tr>
          </w:tbl>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jc w:val="left"/>
              <w:textAlignment w:val="auto"/>
              <w:rPr>
                <w:color w:val="auto"/>
                <w:kern w:val="0"/>
                <w:sz w:val="24"/>
                <w:szCs w:val="24"/>
              </w:rPr>
            </w:pPr>
            <w:r>
              <w:rPr>
                <w:color w:val="auto"/>
                <w:kern w:val="0"/>
                <w:sz w:val="24"/>
                <w:szCs w:val="24"/>
              </w:rPr>
              <w:t>（5）废水污染治理设施可行性分析</w:t>
            </w:r>
          </w:p>
          <w:p>
            <w:pPr>
              <w:adjustRightInd w:val="0"/>
              <w:snapToGrid w:val="0"/>
              <w:spacing w:line="360" w:lineRule="auto"/>
              <w:ind w:firstLine="480" w:firstLineChars="200"/>
              <w:jc w:val="left"/>
              <w:rPr>
                <w:color w:val="auto"/>
                <w:sz w:val="24"/>
                <w:szCs w:val="24"/>
              </w:rPr>
            </w:pPr>
            <w:r>
              <w:rPr>
                <w:color w:val="auto"/>
                <w:sz w:val="24"/>
                <w:szCs w:val="24"/>
              </w:rPr>
              <w:t>本项目行政办公人员生活废水</w:t>
            </w:r>
            <w:r>
              <w:rPr>
                <w:rFonts w:hint="eastAsia"/>
                <w:color w:val="auto"/>
                <w:sz w:val="24"/>
                <w:szCs w:val="24"/>
                <w:lang w:eastAsia="zh-CN"/>
              </w:rPr>
              <w:t>、</w:t>
            </w:r>
            <w:r>
              <w:rPr>
                <w:color w:val="auto"/>
                <w:sz w:val="24"/>
                <w:szCs w:val="24"/>
              </w:rPr>
              <w:t>医护人员生活污水</w:t>
            </w:r>
            <w:r>
              <w:rPr>
                <w:rFonts w:hint="eastAsia"/>
                <w:color w:val="auto"/>
                <w:sz w:val="24"/>
                <w:szCs w:val="24"/>
                <w:lang w:eastAsia="zh-CN"/>
              </w:rPr>
              <w:t>、</w:t>
            </w:r>
            <w:r>
              <w:rPr>
                <w:color w:val="auto"/>
                <w:sz w:val="24"/>
                <w:szCs w:val="24"/>
              </w:rPr>
              <w:t>病房废水经化粪池预处理后，</w:t>
            </w:r>
            <w:r>
              <w:rPr>
                <w:rFonts w:hint="eastAsia"/>
                <w:color w:val="auto"/>
                <w:sz w:val="24"/>
                <w:szCs w:val="24"/>
              </w:rPr>
              <w:t>与检验废水</w:t>
            </w:r>
            <w:r>
              <w:rPr>
                <w:rFonts w:hint="eastAsia"/>
                <w:color w:val="auto"/>
                <w:sz w:val="24"/>
                <w:szCs w:val="24"/>
                <w:lang w:eastAsia="zh-CN"/>
              </w:rPr>
              <w:t>、门诊废水</w:t>
            </w:r>
            <w:r>
              <w:rPr>
                <w:color w:val="auto"/>
                <w:sz w:val="24"/>
                <w:szCs w:val="24"/>
              </w:rPr>
              <w:t>一同</w:t>
            </w:r>
            <w:r>
              <w:rPr>
                <w:rFonts w:hint="eastAsia"/>
                <w:color w:val="auto"/>
                <w:sz w:val="24"/>
                <w:szCs w:val="24"/>
                <w:lang w:eastAsia="zh-CN"/>
              </w:rPr>
              <w:t>进入</w:t>
            </w:r>
            <w:r>
              <w:rPr>
                <w:color w:val="auto"/>
                <w:sz w:val="24"/>
                <w:szCs w:val="24"/>
              </w:rPr>
              <w:t>污水处理站处理后</w:t>
            </w:r>
            <w:r>
              <w:rPr>
                <w:rFonts w:hint="eastAsia"/>
                <w:color w:val="auto"/>
                <w:sz w:val="24"/>
                <w:szCs w:val="24"/>
                <w:lang w:eastAsia="zh-CN"/>
              </w:rPr>
              <w:t>排</w:t>
            </w:r>
            <w:r>
              <w:rPr>
                <w:color w:val="auto"/>
                <w:sz w:val="24"/>
                <w:szCs w:val="24"/>
              </w:rPr>
              <w:t>入市政污水管网。</w:t>
            </w:r>
          </w:p>
          <w:p>
            <w:pPr>
              <w:adjustRightInd w:val="0"/>
              <w:snapToGrid w:val="0"/>
              <w:spacing w:line="360" w:lineRule="auto"/>
              <w:ind w:firstLine="480" w:firstLineChars="200"/>
              <w:jc w:val="left"/>
              <w:rPr>
                <w:color w:val="auto"/>
                <w:sz w:val="24"/>
                <w:szCs w:val="24"/>
              </w:rPr>
            </w:pPr>
            <w:r>
              <w:rPr>
                <w:rFonts w:hint="eastAsia"/>
                <w:color w:val="auto"/>
                <w:sz w:val="24"/>
                <w:szCs w:val="24"/>
                <w:lang w:eastAsia="zh-CN"/>
              </w:rPr>
              <w:t>①</w:t>
            </w:r>
            <w:r>
              <w:rPr>
                <w:color w:val="auto"/>
                <w:sz w:val="24"/>
                <w:szCs w:val="24"/>
              </w:rPr>
              <w:t>污水处理设施规模合理性分析</w:t>
            </w:r>
          </w:p>
          <w:p>
            <w:pPr>
              <w:adjustRightInd w:val="0"/>
              <w:snapToGrid w:val="0"/>
              <w:spacing w:line="360" w:lineRule="auto"/>
              <w:ind w:firstLine="480" w:firstLineChars="200"/>
              <w:rPr>
                <w:color w:val="auto"/>
                <w:sz w:val="24"/>
                <w:szCs w:val="24"/>
              </w:rPr>
            </w:pPr>
            <w:r>
              <w:rPr>
                <w:rFonts w:hint="eastAsia"/>
                <w:color w:val="auto"/>
                <w:sz w:val="24"/>
                <w:szCs w:val="24"/>
              </w:rPr>
              <w:t>按照《医院污水处理工程技术规范》(HJ2029-2013)要求，“医院污水处理工程设计水量应在实测或测算的基础上留有设计裕量，设计裕量宜取实测值或测算值的10%~20%</w:t>
            </w:r>
            <w:r>
              <w:rPr>
                <w:color w:val="auto"/>
                <w:sz w:val="24"/>
                <w:szCs w:val="24"/>
              </w:rPr>
              <w:t>”</w:t>
            </w:r>
            <w:r>
              <w:rPr>
                <w:rFonts w:hint="eastAsia"/>
                <w:color w:val="auto"/>
                <w:sz w:val="24"/>
                <w:szCs w:val="24"/>
              </w:rPr>
              <w:t>；本项目废水产生量为</w:t>
            </w:r>
            <w:r>
              <w:rPr>
                <w:rFonts w:hint="eastAsia"/>
                <w:color w:val="auto"/>
                <w:sz w:val="24"/>
                <w:szCs w:val="24"/>
                <w:lang w:val="en-US" w:eastAsia="zh-CN"/>
              </w:rPr>
              <w:t>11.35</w:t>
            </w:r>
            <w:r>
              <w:rPr>
                <w:color w:val="auto"/>
                <w:sz w:val="24"/>
                <w:szCs w:val="24"/>
              </w:rPr>
              <w:t>t/d</w:t>
            </w:r>
            <w:r>
              <w:rPr>
                <w:rFonts w:hint="eastAsia"/>
                <w:color w:val="auto"/>
                <w:sz w:val="24"/>
                <w:szCs w:val="24"/>
              </w:rPr>
              <w:t>，污水处理站的处理能力为2</w:t>
            </w:r>
            <w:r>
              <w:rPr>
                <w:color w:val="auto"/>
                <w:sz w:val="24"/>
                <w:szCs w:val="24"/>
              </w:rPr>
              <w:t>0t/d</w:t>
            </w:r>
            <w:r>
              <w:rPr>
                <w:rFonts w:hint="eastAsia"/>
                <w:color w:val="auto"/>
                <w:sz w:val="24"/>
                <w:szCs w:val="24"/>
              </w:rPr>
              <w:t>处理能力可以满足项目废水处理要求。</w:t>
            </w:r>
          </w:p>
          <w:p>
            <w:pPr>
              <w:adjustRightInd w:val="0"/>
              <w:snapToGrid w:val="0"/>
              <w:spacing w:line="360" w:lineRule="auto"/>
              <w:ind w:firstLine="480" w:firstLineChars="200"/>
              <w:rPr>
                <w:color w:val="auto"/>
                <w:sz w:val="24"/>
                <w:szCs w:val="24"/>
              </w:rPr>
            </w:pPr>
            <w:r>
              <w:rPr>
                <w:rFonts w:hint="eastAsia"/>
                <w:color w:val="auto"/>
                <w:sz w:val="24"/>
                <w:szCs w:val="24"/>
                <w:lang w:val="en-US" w:eastAsia="zh-CN"/>
              </w:rPr>
              <w:t>②</w:t>
            </w:r>
            <w:r>
              <w:rPr>
                <w:rFonts w:hint="eastAsia"/>
                <w:color w:val="auto"/>
                <w:sz w:val="24"/>
                <w:szCs w:val="24"/>
              </w:rPr>
              <w:t>工艺</w:t>
            </w:r>
            <w:r>
              <w:rPr>
                <w:color w:val="auto"/>
                <w:sz w:val="24"/>
                <w:szCs w:val="24"/>
              </w:rPr>
              <w:t>合理性分析</w:t>
            </w:r>
          </w:p>
          <w:p>
            <w:pPr>
              <w:adjustRightInd w:val="0"/>
              <w:snapToGrid w:val="0"/>
              <w:spacing w:line="360" w:lineRule="auto"/>
              <w:ind w:firstLine="480" w:firstLineChars="200"/>
              <w:rPr>
                <w:color w:val="auto"/>
                <w:sz w:val="24"/>
                <w:szCs w:val="24"/>
              </w:rPr>
            </w:pPr>
            <w:r>
              <w:rPr>
                <w:rFonts w:hint="eastAsia"/>
                <w:color w:val="auto"/>
                <w:sz w:val="24"/>
                <w:szCs w:val="24"/>
              </w:rPr>
              <w:t>按照《医院污水处理工程技术规范》(HJ2029-2013)要求。“①特殊性质污水应单独收集，经预处理后与医院污水合并处理，不得将特殊性质污水随意排入下水道；②新</w:t>
            </w:r>
            <w:r>
              <w:rPr>
                <w:rFonts w:hint="eastAsia"/>
                <w:color w:val="auto"/>
                <w:sz w:val="24"/>
                <w:szCs w:val="24"/>
                <w:lang w:eastAsia="zh-CN"/>
              </w:rPr>
              <w:t>（</w:t>
            </w:r>
            <w:r>
              <w:rPr>
                <w:rFonts w:hint="eastAsia"/>
                <w:color w:val="auto"/>
                <w:sz w:val="24"/>
                <w:szCs w:val="24"/>
              </w:rPr>
              <w:t>改、扩建</w:t>
            </w:r>
            <w:r>
              <w:rPr>
                <w:rFonts w:hint="eastAsia"/>
                <w:color w:val="auto"/>
                <w:sz w:val="24"/>
                <w:szCs w:val="24"/>
                <w:lang w:eastAsia="zh-CN"/>
              </w:rPr>
              <w:t>）</w:t>
            </w:r>
            <w:r>
              <w:rPr>
                <w:rFonts w:hint="eastAsia"/>
                <w:color w:val="auto"/>
                <w:sz w:val="24"/>
                <w:szCs w:val="24"/>
              </w:rPr>
              <w:t>医院，在设计医院污水处理系统时应考虑将医院病区、非病区、传染病房、非传染病房污水分别收集；③非传染病医院污水，若处理出水直接或间接排入地表水体或海域时，应采用二级处理+消毒工艺</w:t>
            </w:r>
            <w:r>
              <w:rPr>
                <w:rFonts w:hint="eastAsia"/>
                <w:color w:val="auto"/>
                <w:sz w:val="24"/>
                <w:szCs w:val="24"/>
                <w:lang w:eastAsia="zh-CN"/>
              </w:rPr>
              <w:t>或</w:t>
            </w:r>
            <w:r>
              <w:rPr>
                <w:rFonts w:hint="eastAsia"/>
                <w:color w:val="auto"/>
                <w:sz w:val="24"/>
                <w:szCs w:val="24"/>
              </w:rPr>
              <w:t>二级处理+深度处理+消毒工艺；若处理出水排入终端已建有正常运行的二级污水处理厂的城市污水管网时候，可采用一级强化处理+消毒工艺”。</w:t>
            </w:r>
          </w:p>
          <w:p>
            <w:pPr>
              <w:adjustRightInd w:val="0"/>
              <w:snapToGrid w:val="0"/>
              <w:spacing w:line="360" w:lineRule="auto"/>
              <w:ind w:firstLine="480" w:firstLineChars="200"/>
              <w:rPr>
                <w:rFonts w:hint="eastAsia"/>
                <w:color w:val="auto"/>
                <w:sz w:val="24"/>
                <w:szCs w:val="24"/>
              </w:rPr>
            </w:pPr>
            <w:r>
              <w:rPr>
                <w:color w:val="auto"/>
                <w:sz w:val="24"/>
                <w:szCs w:val="24"/>
              </w:rPr>
              <w:t>本项目为新建项目，不设传染性病区，另外由于本项目</w:t>
            </w:r>
            <w:r>
              <w:rPr>
                <w:rFonts w:hint="eastAsia"/>
                <w:color w:val="auto"/>
                <w:sz w:val="24"/>
                <w:szCs w:val="24"/>
                <w:lang w:eastAsia="zh-CN"/>
              </w:rPr>
              <w:t>四层</w:t>
            </w:r>
            <w:r>
              <w:rPr>
                <w:color w:val="auto"/>
                <w:sz w:val="24"/>
                <w:szCs w:val="24"/>
              </w:rPr>
              <w:t>房屋均作为医院病区和</w:t>
            </w:r>
            <w:r>
              <w:rPr>
                <w:rFonts w:hint="eastAsia"/>
                <w:color w:val="auto"/>
                <w:sz w:val="24"/>
                <w:szCs w:val="24"/>
              </w:rPr>
              <w:t>医生</w:t>
            </w:r>
            <w:r>
              <w:rPr>
                <w:color w:val="auto"/>
                <w:sz w:val="24"/>
                <w:szCs w:val="24"/>
              </w:rPr>
              <w:t>办公所用，</w:t>
            </w:r>
            <w:r>
              <w:rPr>
                <w:rFonts w:hint="eastAsia"/>
                <w:color w:val="auto"/>
                <w:sz w:val="24"/>
                <w:szCs w:val="24"/>
              </w:rPr>
              <w:t>故将</w:t>
            </w:r>
            <w:r>
              <w:rPr>
                <w:rFonts w:hint="eastAsia"/>
                <w:color w:val="auto"/>
                <w:sz w:val="24"/>
                <w:szCs w:val="24"/>
                <w:lang w:eastAsia="zh-CN"/>
              </w:rPr>
              <w:t>四层</w:t>
            </w:r>
            <w:r>
              <w:rPr>
                <w:rFonts w:hint="eastAsia"/>
                <w:color w:val="auto"/>
                <w:sz w:val="24"/>
                <w:szCs w:val="24"/>
              </w:rPr>
              <w:t>楼产生的综合废水集中一并处理。</w:t>
            </w:r>
            <w:r>
              <w:rPr>
                <w:rFonts w:hint="eastAsia"/>
                <w:color w:val="auto"/>
                <w:sz w:val="24"/>
                <w:szCs w:val="24"/>
                <w:lang w:eastAsia="zh-CN"/>
              </w:rPr>
              <w:t>行政办公人员生活废水、病房废水、医护人员生活废水污水经过</w:t>
            </w:r>
            <w:r>
              <w:rPr>
                <w:rFonts w:hint="eastAsia"/>
                <w:color w:val="auto"/>
                <w:sz w:val="24"/>
                <w:szCs w:val="24"/>
              </w:rPr>
              <w:t>化粪池</w:t>
            </w:r>
            <w:r>
              <w:rPr>
                <w:rFonts w:hint="eastAsia"/>
                <w:color w:val="auto"/>
                <w:sz w:val="24"/>
                <w:szCs w:val="24"/>
                <w:lang w:eastAsia="zh-CN"/>
              </w:rPr>
              <w:t>处理再与门诊废水、检验废水一起</w:t>
            </w:r>
            <w:r>
              <w:rPr>
                <w:rFonts w:hint="eastAsia"/>
                <w:color w:val="auto"/>
                <w:sz w:val="24"/>
                <w:szCs w:val="24"/>
              </w:rPr>
              <w:t>通过新建污水处理站接管城镇污水管网至</w:t>
            </w:r>
            <w:r>
              <w:rPr>
                <w:rFonts w:hint="eastAsia"/>
                <w:color w:val="auto"/>
                <w:sz w:val="24"/>
                <w:szCs w:val="24"/>
                <w:lang w:eastAsia="zh-CN"/>
              </w:rPr>
              <w:t>西安市第一污水处理厂一期</w:t>
            </w:r>
            <w:r>
              <w:rPr>
                <w:rFonts w:hint="eastAsia"/>
                <w:color w:val="auto"/>
                <w:sz w:val="24"/>
                <w:szCs w:val="24"/>
              </w:rPr>
              <w:t>处理，本项目</w:t>
            </w:r>
            <w:r>
              <w:rPr>
                <w:rFonts w:hint="eastAsia"/>
                <w:color w:val="auto"/>
                <w:sz w:val="24"/>
                <w:szCs w:val="24"/>
                <w:lang w:eastAsia="zh-CN"/>
              </w:rPr>
              <w:t>新建污水处理站内设置一体化污水处理设施，位于一层东南角，</w:t>
            </w:r>
            <w:r>
              <w:rPr>
                <w:rFonts w:hint="eastAsia"/>
                <w:color w:val="auto"/>
                <w:sz w:val="24"/>
                <w:szCs w:val="24"/>
              </w:rPr>
              <w:t>采用“</w:t>
            </w:r>
            <w:r>
              <w:rPr>
                <w:rFonts w:hint="eastAsia"/>
                <w:color w:val="auto"/>
                <w:sz w:val="24"/>
                <w:szCs w:val="24"/>
                <w:lang w:val="en-US" w:eastAsia="zh-CN"/>
              </w:rPr>
              <w:t>调节池+厌氧/缺氧+好氧</w:t>
            </w:r>
            <w:r>
              <w:rPr>
                <w:rFonts w:hint="eastAsia"/>
                <w:color w:val="auto"/>
                <w:sz w:val="24"/>
                <w:szCs w:val="24"/>
              </w:rPr>
              <w:t>+消毒”的处理工艺，满足《医院污水处理工程技术规范》(HJ2029-2013)中设计要求，出水能达到《医疗机构水污染物排放标准》(GB18466-2005)表2中的预处理标准。</w:t>
            </w:r>
          </w:p>
          <w:p>
            <w:pPr>
              <w:pStyle w:val="31"/>
              <w:keepNext w:val="0"/>
              <w:keepLines w:val="0"/>
              <w:pageBreakBefore w:val="0"/>
              <w:widowControl w:val="0"/>
              <w:kinsoku/>
              <w:wordWrap/>
              <w:overflowPunct/>
              <w:topLinePunct w:val="0"/>
              <w:bidi w:val="0"/>
              <w:adjustRightInd w:val="0"/>
              <w:spacing w:line="360" w:lineRule="auto"/>
              <w:ind w:firstLine="480" w:firstLineChars="200"/>
              <w:textAlignment w:val="auto"/>
              <w:rPr>
                <w:rFonts w:hint="default"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根据</w:t>
            </w:r>
            <w:r>
              <w:rPr>
                <w:rFonts w:hint="eastAsia" w:ascii="Times New Roman" w:cs="Times New Roman"/>
                <w:color w:val="auto"/>
                <w:kern w:val="2"/>
                <w:sz w:val="24"/>
                <w:szCs w:val="24"/>
                <w:lang w:val="en-US" w:eastAsia="zh-CN" w:bidi="ar-SA"/>
              </w:rPr>
              <w:t>表4-8，COD排放量为1.036t/a，平均每个床位每天的排放量为47.31g/(床位.d)，SS排放量为0.083t/a，平均每个床位每天的排放量为3.79g/(床位.d)，</w:t>
            </w:r>
            <w:r>
              <w:rPr>
                <w:rFonts w:hint="eastAsia" w:ascii="Times New Roman" w:hAnsi="Times New Roman" w:eastAsia="宋体" w:cs="Times New Roman"/>
                <w:color w:val="auto"/>
                <w:kern w:val="2"/>
                <w:sz w:val="24"/>
                <w:szCs w:val="24"/>
                <w:lang w:val="en-US" w:eastAsia="zh-CN" w:bidi="ar-SA"/>
              </w:rPr>
              <w:t>《医院污水处理工程技术规范》(HJ2029-2013)要求</w:t>
            </w:r>
            <w:r>
              <w:rPr>
                <w:rFonts w:hint="eastAsia" w:ascii="Times New Roman" w:cs="Times New Roman"/>
                <w:color w:val="auto"/>
                <w:kern w:val="2"/>
                <w:sz w:val="24"/>
                <w:szCs w:val="24"/>
                <w:lang w:val="en-US" w:eastAsia="zh-CN" w:bidi="ar-SA"/>
              </w:rPr>
              <w:t>（COD最高允许排放负荷为250g/(床位.d)，SS最高允许排放负荷为60g/(床位.d)）。</w:t>
            </w:r>
          </w:p>
          <w:p>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rPr>
                <w:color w:val="auto"/>
              </w:rPr>
            </w:pPr>
            <w:r>
              <w:rPr>
                <w:rFonts w:hint="eastAsia" w:ascii="Times New Roman" w:hAnsi="Times New Roman" w:eastAsia="宋体" w:cs="Times New Roman"/>
                <w:color w:val="auto"/>
                <w:kern w:val="2"/>
                <w:sz w:val="24"/>
                <w:szCs w:val="24"/>
                <w:lang w:val="en-US" w:eastAsia="zh-CN" w:bidi="ar-SA"/>
              </w:rPr>
              <w:t>本项目选择臭氧机进行消毒。臭氧机的工作原理为：采用</w:t>
            </w:r>
            <w:r>
              <w:rPr>
                <w:rFonts w:hint="eastAsia"/>
                <w:color w:val="auto"/>
                <w:sz w:val="24"/>
                <w:szCs w:val="24"/>
                <w:lang w:eastAsia="zh-CN"/>
              </w:rPr>
              <w:t>空气作为原料，以电子方式高频高压放电产生高浓度臭氧，臭氧比氧分子多一个氧原子，化学性质活泼，是一种强氧化剂，有四大功能：氧化、灭菌、脱色、除味。臭氧的灭菌消毒原为为臭氧的超强氧化能力，在一定浓度下能与病菌、病毒、病原体等微生物产生生化反应，达到消毒灭菌的作用。</w:t>
            </w:r>
          </w:p>
          <w:p>
            <w:pPr>
              <w:adjustRightInd w:val="0"/>
              <w:snapToGrid w:val="0"/>
              <w:spacing w:line="360" w:lineRule="auto"/>
              <w:ind w:firstLine="480" w:firstLineChars="200"/>
              <w:jc w:val="left"/>
              <w:rPr>
                <w:color w:val="auto"/>
                <w:sz w:val="24"/>
                <w:szCs w:val="24"/>
              </w:rPr>
            </w:pPr>
            <w:r>
              <w:rPr>
                <w:color w:val="auto"/>
                <w:sz w:val="24"/>
                <w:szCs w:val="24"/>
              </w:rPr>
              <w:t>具体工艺流程见图4-2。</w:t>
            </w:r>
          </w:p>
          <w:p>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eastAsia="宋体"/>
                <w:color w:val="auto"/>
                <w:sz w:val="24"/>
                <w:szCs w:val="24"/>
                <w:lang w:eastAsia="zh-CN"/>
              </w:rPr>
            </w:pPr>
            <w:r>
              <w:rPr>
                <w:rFonts w:hint="eastAsia"/>
                <w:color w:val="auto"/>
                <w:sz w:val="24"/>
                <w:szCs w:val="24"/>
              </w:rPr>
              <w:drawing>
                <wp:inline distT="0" distB="0" distL="114300" distR="114300">
                  <wp:extent cx="5488305" cy="1619250"/>
                  <wp:effectExtent l="0" t="0" r="0" b="0"/>
                  <wp:docPr id="11" name="ECB019B1-382A-4266-B25C-5B523AA43C14-2" descr="C:/Users/Administrator/AppData/Local/Temp/wps.DhMPRC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CB019B1-382A-4266-B25C-5B523AA43C14-2" descr="C:/Users/Administrator/AppData/Local/Temp/wps.DhMPRCwps"/>
                          <pic:cNvPicPr>
                            <a:picLocks noChangeAspect="1"/>
                          </pic:cNvPicPr>
                        </pic:nvPicPr>
                        <pic:blipFill>
                          <a:blip r:embed="rId16"/>
                          <a:stretch>
                            <a:fillRect/>
                          </a:stretch>
                        </pic:blipFill>
                        <pic:spPr>
                          <a:xfrm>
                            <a:off x="0" y="0"/>
                            <a:ext cx="5488305" cy="161925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b/>
                <w:color w:val="auto"/>
                <w:sz w:val="21"/>
                <w:szCs w:val="21"/>
              </w:rPr>
            </w:pPr>
            <w:r>
              <w:rPr>
                <w:b/>
                <w:color w:val="auto"/>
                <w:sz w:val="21"/>
                <w:szCs w:val="21"/>
              </w:rPr>
              <w:t xml:space="preserve">图4-2 </w:t>
            </w:r>
            <w:r>
              <w:rPr>
                <w:rFonts w:hint="eastAsia"/>
                <w:b/>
                <w:color w:val="auto"/>
                <w:sz w:val="21"/>
                <w:szCs w:val="21"/>
                <w:lang w:eastAsia="zh-CN"/>
              </w:rPr>
              <w:t>污水处理站</w:t>
            </w:r>
            <w:r>
              <w:rPr>
                <w:b/>
                <w:color w:val="auto"/>
                <w:sz w:val="21"/>
                <w:szCs w:val="21"/>
              </w:rPr>
              <w:t>处理工艺流程图</w:t>
            </w:r>
          </w:p>
          <w:p>
            <w:pPr>
              <w:snapToGrid w:val="0"/>
              <w:spacing w:line="360" w:lineRule="auto"/>
              <w:ind w:firstLine="482" w:firstLineChars="200"/>
              <w:rPr>
                <w:b/>
                <w:bCs/>
                <w:color w:val="auto"/>
                <w:sz w:val="24"/>
                <w:szCs w:val="24"/>
              </w:rPr>
            </w:pPr>
            <w:r>
              <w:rPr>
                <w:b/>
                <w:bCs/>
                <w:color w:val="auto"/>
                <w:sz w:val="24"/>
                <w:szCs w:val="24"/>
              </w:rPr>
              <w:t>工艺流程介绍：</w:t>
            </w:r>
          </w:p>
          <w:p>
            <w:pPr>
              <w:adjustRightInd w:val="0"/>
              <w:snapToGrid w:val="0"/>
              <w:spacing w:line="360" w:lineRule="auto"/>
              <w:ind w:firstLine="480" w:firstLineChars="200"/>
              <w:rPr>
                <w:color w:val="auto"/>
                <w:spacing w:val="6"/>
                <w:sz w:val="24"/>
                <w:szCs w:val="24"/>
              </w:rPr>
            </w:pPr>
            <w:r>
              <w:rPr>
                <w:rFonts w:hint="eastAsia"/>
                <w:b w:val="0"/>
                <w:bCs w:val="0"/>
                <w:color w:val="auto"/>
                <w:sz w:val="24"/>
                <w:szCs w:val="24"/>
                <w:lang w:eastAsia="zh-CN"/>
              </w:rPr>
              <w:t>生活污水在进入污水处理站前均会先进入化粪池，化粪池会过滤一些杂质，</w:t>
            </w:r>
            <w:r>
              <w:rPr>
                <w:color w:val="auto"/>
                <w:sz w:val="24"/>
                <w:szCs w:val="24"/>
              </w:rPr>
              <w:t>后续处理构筑物的正常运行及减轻处理负荷</w:t>
            </w:r>
            <w:r>
              <w:rPr>
                <w:rFonts w:hint="eastAsia"/>
                <w:color w:val="auto"/>
                <w:sz w:val="24"/>
                <w:szCs w:val="24"/>
                <w:lang w:eastAsia="zh-CN"/>
              </w:rPr>
              <w:t>。检验废水及门诊废水直接进入污水处理站处理。</w:t>
            </w:r>
          </w:p>
          <w:p>
            <w:pPr>
              <w:snapToGrid w:val="0"/>
              <w:spacing w:line="360" w:lineRule="auto"/>
              <w:ind w:firstLine="482" w:firstLineChars="200"/>
              <w:rPr>
                <w:b/>
                <w:bCs/>
                <w:color w:val="auto"/>
                <w:sz w:val="24"/>
                <w:szCs w:val="24"/>
              </w:rPr>
            </w:pPr>
            <w:r>
              <w:rPr>
                <w:b/>
                <w:bCs/>
                <w:color w:val="auto"/>
                <w:sz w:val="24"/>
                <w:szCs w:val="24"/>
              </w:rPr>
              <w:t>集水池：</w:t>
            </w:r>
            <w:r>
              <w:rPr>
                <w:color w:val="auto"/>
                <w:sz w:val="24"/>
                <w:szCs w:val="24"/>
              </w:rPr>
              <w:t>一楼污水由排水系统收集后，流入集水池；设有液位开关，经提升泵提升至调节池。</w:t>
            </w:r>
          </w:p>
          <w:p>
            <w:pPr>
              <w:adjustRightInd w:val="0"/>
              <w:snapToGrid w:val="0"/>
              <w:spacing w:line="360" w:lineRule="auto"/>
              <w:ind w:firstLine="482" w:firstLineChars="200"/>
              <w:rPr>
                <w:color w:val="auto"/>
                <w:spacing w:val="6"/>
                <w:sz w:val="24"/>
                <w:szCs w:val="24"/>
              </w:rPr>
            </w:pPr>
            <w:r>
              <w:rPr>
                <w:b/>
                <w:bCs/>
                <w:color w:val="auto"/>
                <w:sz w:val="24"/>
                <w:szCs w:val="24"/>
              </w:rPr>
              <w:t>调节池：</w:t>
            </w:r>
            <w:r>
              <w:rPr>
                <w:rFonts w:hint="default" w:ascii="Times New Roman" w:hAnsi="Times New Roman" w:cs="Times New Roman"/>
                <w:color w:val="auto"/>
                <w:sz w:val="24"/>
                <w:szCs w:val="24"/>
                <w:lang w:val="en-US" w:eastAsia="zh-CN"/>
              </w:rPr>
              <w:t>由于污水的排放一般不是连续的，往往会因为时间差异存在很大变化，考虑到瞬时最大排放量，为防止其对后续工艺的冲击，设置了调节池，对污水进行水质水量的调节，从而使</w:t>
            </w:r>
            <w:r>
              <w:rPr>
                <w:rFonts w:hint="eastAsia" w:cs="Times New Roman"/>
                <w:color w:val="auto"/>
                <w:sz w:val="24"/>
                <w:szCs w:val="24"/>
                <w:lang w:val="en-US" w:eastAsia="zh-CN"/>
              </w:rPr>
              <w:t>水量</w:t>
            </w:r>
            <w:r>
              <w:rPr>
                <w:rFonts w:hint="default" w:ascii="Times New Roman" w:hAnsi="Times New Roman" w:cs="Times New Roman"/>
                <w:color w:val="auto"/>
                <w:sz w:val="24"/>
                <w:szCs w:val="24"/>
                <w:lang w:val="en-US" w:eastAsia="zh-CN"/>
              </w:rPr>
              <w:t>满足后续工艺要求。</w:t>
            </w:r>
          </w:p>
          <w:p>
            <w:pPr>
              <w:snapToGrid w:val="0"/>
              <w:spacing w:line="360" w:lineRule="auto"/>
              <w:ind w:firstLine="482" w:firstLineChars="200"/>
              <w:rPr>
                <w:b/>
                <w:bCs/>
                <w:color w:val="auto"/>
                <w:sz w:val="24"/>
                <w:szCs w:val="24"/>
              </w:rPr>
            </w:pPr>
            <w:r>
              <w:rPr>
                <w:b/>
                <w:bCs/>
                <w:color w:val="auto"/>
                <w:sz w:val="24"/>
                <w:szCs w:val="24"/>
              </w:rPr>
              <w:t>缺氧池：</w:t>
            </w:r>
            <w:r>
              <w:rPr>
                <w:color w:val="auto"/>
                <w:sz w:val="24"/>
                <w:szCs w:val="24"/>
              </w:rPr>
              <w:t>污水在此进行酸化水解和硝化反硝化，降低有机物浓度，去除部分氨氮。</w:t>
            </w:r>
          </w:p>
          <w:p>
            <w:pPr>
              <w:snapToGrid w:val="0"/>
              <w:spacing w:line="360" w:lineRule="auto"/>
              <w:ind w:firstLine="482" w:firstLineChars="200"/>
              <w:rPr>
                <w:b/>
                <w:bCs/>
                <w:color w:val="auto"/>
                <w:sz w:val="24"/>
                <w:szCs w:val="24"/>
              </w:rPr>
            </w:pPr>
            <w:r>
              <w:rPr>
                <w:b/>
                <w:bCs/>
                <w:color w:val="auto"/>
                <w:sz w:val="24"/>
                <w:szCs w:val="24"/>
              </w:rPr>
              <w:t>好氧池：</w:t>
            </w:r>
            <w:r>
              <w:rPr>
                <w:color w:val="auto"/>
                <w:sz w:val="24"/>
                <w:szCs w:val="24"/>
              </w:rPr>
              <w:t>污水由</w:t>
            </w:r>
            <w:r>
              <w:rPr>
                <w:rFonts w:hint="eastAsia"/>
                <w:color w:val="auto"/>
                <w:sz w:val="24"/>
                <w:szCs w:val="24"/>
                <w:lang w:eastAsia="zh-CN"/>
              </w:rPr>
              <w:t>缺</w:t>
            </w:r>
            <w:r>
              <w:rPr>
                <w:color w:val="auto"/>
                <w:sz w:val="24"/>
                <w:szCs w:val="24"/>
              </w:rPr>
              <w:t>氧池流入好氧池进行好氧生化反应，在此绝大部分有机污染物通过生物氧化、吸附得以降解。电控控制曝气机调节好氧池DO浓度。曝气机一备一用，交替工作。</w:t>
            </w:r>
          </w:p>
          <w:p>
            <w:pPr>
              <w:snapToGrid w:val="0"/>
              <w:spacing w:line="360" w:lineRule="auto"/>
              <w:ind w:firstLine="482" w:firstLineChars="200"/>
              <w:rPr>
                <w:b/>
                <w:bCs/>
                <w:color w:val="auto"/>
                <w:sz w:val="24"/>
                <w:szCs w:val="24"/>
              </w:rPr>
            </w:pPr>
            <w:r>
              <w:rPr>
                <w:b/>
                <w:bCs/>
                <w:color w:val="auto"/>
                <w:sz w:val="24"/>
                <w:szCs w:val="24"/>
              </w:rPr>
              <w:t>沉降池：</w:t>
            </w:r>
            <w:r>
              <w:rPr>
                <w:color w:val="auto"/>
                <w:sz w:val="24"/>
                <w:szCs w:val="24"/>
              </w:rPr>
              <w:t>好氧池出水溢流至沉降池进行固液分离，沉淀池上清液流入消毒池，污泥则回流及排放。</w:t>
            </w:r>
          </w:p>
          <w:p>
            <w:pPr>
              <w:adjustRightInd w:val="0"/>
              <w:snapToGrid w:val="0"/>
              <w:spacing w:line="360" w:lineRule="auto"/>
              <w:ind w:firstLine="482" w:firstLineChars="200"/>
              <w:rPr>
                <w:color w:val="auto"/>
                <w:sz w:val="24"/>
                <w:szCs w:val="24"/>
              </w:rPr>
            </w:pPr>
            <w:r>
              <w:rPr>
                <w:b/>
                <w:bCs/>
                <w:color w:val="auto"/>
                <w:sz w:val="24"/>
                <w:szCs w:val="24"/>
              </w:rPr>
              <w:t>消毒池：</w:t>
            </w:r>
            <w:r>
              <w:rPr>
                <w:rFonts w:hint="eastAsia"/>
                <w:color w:val="auto"/>
                <w:sz w:val="24"/>
                <w:szCs w:val="24"/>
              </w:rPr>
              <w:t>沉淀池上清液流入消毒池，经</w:t>
            </w:r>
            <w:r>
              <w:rPr>
                <w:rFonts w:hint="eastAsia"/>
                <w:color w:val="auto"/>
                <w:sz w:val="24"/>
                <w:szCs w:val="24"/>
                <w:lang w:eastAsia="zh-CN"/>
              </w:rPr>
              <w:t>臭氧</w:t>
            </w:r>
            <w:r>
              <w:rPr>
                <w:rFonts w:hint="eastAsia"/>
                <w:color w:val="auto"/>
                <w:sz w:val="24"/>
                <w:szCs w:val="24"/>
              </w:rPr>
              <w:t>消毒杀灭水中有害菌种，直接排放管网。</w:t>
            </w:r>
          </w:p>
          <w:p>
            <w:pPr>
              <w:pStyle w:val="24"/>
              <w:spacing w:after="0" w:line="360" w:lineRule="auto"/>
              <w:ind w:left="0" w:leftChars="0"/>
              <w:jc w:val="left"/>
              <w:rPr>
                <w:color w:val="auto"/>
                <w:sz w:val="24"/>
                <w:szCs w:val="24"/>
              </w:rPr>
            </w:pPr>
            <w:r>
              <w:rPr>
                <w:rFonts w:hint="eastAsia"/>
                <w:color w:val="auto"/>
                <w:sz w:val="24"/>
                <w:szCs w:val="24"/>
                <w:lang w:val="en-US" w:eastAsia="zh-CN"/>
              </w:rPr>
              <w:t>3</w:t>
            </w:r>
            <w:r>
              <w:rPr>
                <w:rFonts w:hint="eastAsia"/>
                <w:color w:val="auto"/>
                <w:sz w:val="24"/>
                <w:szCs w:val="24"/>
              </w:rPr>
              <w:t>）</w:t>
            </w:r>
            <w:r>
              <w:rPr>
                <w:color w:val="auto"/>
                <w:sz w:val="24"/>
                <w:szCs w:val="24"/>
              </w:rPr>
              <w:t>污水处理装置工艺参数</w:t>
            </w:r>
          </w:p>
          <w:p>
            <w:pPr>
              <w:pStyle w:val="24"/>
              <w:spacing w:after="0" w:line="360" w:lineRule="auto"/>
              <w:ind w:left="0" w:leftChars="0"/>
              <w:jc w:val="left"/>
              <w:rPr>
                <w:color w:val="auto"/>
                <w:sz w:val="24"/>
                <w:szCs w:val="24"/>
              </w:rPr>
            </w:pPr>
            <w:r>
              <w:rPr>
                <w:color w:val="auto"/>
                <w:sz w:val="24"/>
                <w:szCs w:val="24"/>
              </w:rPr>
              <w:t>本套污水处理站处理装置工艺参数见表4-</w:t>
            </w:r>
            <w:r>
              <w:rPr>
                <w:rFonts w:hint="eastAsia"/>
                <w:color w:val="auto"/>
                <w:sz w:val="24"/>
                <w:szCs w:val="24"/>
                <w:lang w:val="en-US" w:eastAsia="zh-CN"/>
              </w:rPr>
              <w:t>12</w:t>
            </w:r>
            <w:r>
              <w:rPr>
                <w:color w:val="auto"/>
                <w:sz w:val="24"/>
                <w:szCs w:val="24"/>
              </w:rPr>
              <w:t>。</w:t>
            </w:r>
          </w:p>
          <w:p>
            <w:pPr>
              <w:pStyle w:val="24"/>
              <w:ind w:left="0" w:leftChars="0" w:firstLine="0" w:firstLineChars="0"/>
              <w:jc w:val="center"/>
              <w:rPr>
                <w:b/>
                <w:color w:val="auto"/>
                <w:sz w:val="21"/>
                <w:szCs w:val="21"/>
              </w:rPr>
            </w:pPr>
            <w:r>
              <w:rPr>
                <w:b/>
                <w:color w:val="auto"/>
                <w:sz w:val="21"/>
                <w:szCs w:val="21"/>
              </w:rPr>
              <w:t>表4-</w:t>
            </w:r>
            <w:r>
              <w:rPr>
                <w:rFonts w:hint="eastAsia"/>
                <w:b/>
                <w:color w:val="auto"/>
                <w:sz w:val="21"/>
                <w:szCs w:val="21"/>
                <w:lang w:val="en-US" w:eastAsia="zh-CN"/>
              </w:rPr>
              <w:t>12</w:t>
            </w:r>
            <w:r>
              <w:rPr>
                <w:b/>
                <w:color w:val="auto"/>
                <w:sz w:val="21"/>
                <w:szCs w:val="21"/>
              </w:rPr>
              <w:t xml:space="preserve">  污水处理站处理装置工艺参数表</w:t>
            </w:r>
          </w:p>
          <w:tbl>
            <w:tblPr>
              <w:tblStyle w:val="25"/>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2"/>
              <w:gridCol w:w="1959"/>
              <w:gridCol w:w="786"/>
              <w:gridCol w:w="955"/>
              <w:gridCol w:w="2316"/>
              <w:gridCol w:w="23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9" w:type="pct"/>
                  <w:vAlign w:val="center"/>
                </w:tcPr>
                <w:p>
                  <w:pPr>
                    <w:jc w:val="center"/>
                    <w:rPr>
                      <w:b/>
                      <w:color w:val="auto"/>
                      <w:sz w:val="21"/>
                      <w:szCs w:val="21"/>
                    </w:rPr>
                  </w:pPr>
                  <w:r>
                    <w:rPr>
                      <w:b/>
                      <w:color w:val="auto"/>
                      <w:sz w:val="21"/>
                      <w:szCs w:val="21"/>
                    </w:rPr>
                    <w:t>序号</w:t>
                  </w:r>
                </w:p>
              </w:tc>
              <w:tc>
                <w:tcPr>
                  <w:tcW w:w="1079" w:type="pct"/>
                  <w:vAlign w:val="center"/>
                </w:tcPr>
                <w:p>
                  <w:pPr>
                    <w:jc w:val="center"/>
                    <w:rPr>
                      <w:b/>
                      <w:color w:val="auto"/>
                      <w:sz w:val="21"/>
                      <w:szCs w:val="21"/>
                    </w:rPr>
                  </w:pPr>
                  <w:r>
                    <w:rPr>
                      <w:b/>
                      <w:color w:val="auto"/>
                      <w:sz w:val="21"/>
                      <w:szCs w:val="21"/>
                    </w:rPr>
                    <w:t>设备名称</w:t>
                  </w:r>
                </w:p>
              </w:tc>
              <w:tc>
                <w:tcPr>
                  <w:tcW w:w="433" w:type="pct"/>
                  <w:vAlign w:val="center"/>
                </w:tcPr>
                <w:p>
                  <w:pPr>
                    <w:jc w:val="center"/>
                    <w:rPr>
                      <w:b/>
                      <w:color w:val="auto"/>
                      <w:sz w:val="21"/>
                      <w:szCs w:val="21"/>
                    </w:rPr>
                  </w:pPr>
                  <w:r>
                    <w:rPr>
                      <w:b/>
                      <w:color w:val="auto"/>
                      <w:sz w:val="21"/>
                      <w:szCs w:val="21"/>
                    </w:rPr>
                    <w:t>数量</w:t>
                  </w:r>
                </w:p>
              </w:tc>
              <w:tc>
                <w:tcPr>
                  <w:tcW w:w="526" w:type="pct"/>
                  <w:vAlign w:val="center"/>
                </w:tcPr>
                <w:p>
                  <w:pPr>
                    <w:jc w:val="center"/>
                    <w:rPr>
                      <w:b/>
                      <w:color w:val="auto"/>
                      <w:sz w:val="21"/>
                      <w:szCs w:val="21"/>
                    </w:rPr>
                  </w:pPr>
                  <w:r>
                    <w:rPr>
                      <w:b/>
                      <w:color w:val="auto"/>
                      <w:sz w:val="21"/>
                      <w:szCs w:val="21"/>
                    </w:rPr>
                    <w:t>单位</w:t>
                  </w:r>
                </w:p>
              </w:tc>
              <w:tc>
                <w:tcPr>
                  <w:tcW w:w="1276" w:type="pct"/>
                  <w:vAlign w:val="center"/>
                </w:tcPr>
                <w:p>
                  <w:pPr>
                    <w:jc w:val="center"/>
                    <w:rPr>
                      <w:rFonts w:hint="eastAsia" w:eastAsia="宋体"/>
                      <w:b/>
                      <w:color w:val="auto"/>
                      <w:sz w:val="21"/>
                      <w:szCs w:val="21"/>
                      <w:lang w:eastAsia="zh-CN"/>
                    </w:rPr>
                  </w:pPr>
                  <w:r>
                    <w:rPr>
                      <w:b/>
                      <w:color w:val="auto"/>
                      <w:sz w:val="21"/>
                      <w:szCs w:val="21"/>
                    </w:rPr>
                    <w:t>规格型号</w:t>
                  </w:r>
                  <w:r>
                    <w:rPr>
                      <w:rFonts w:hint="eastAsia"/>
                      <w:b/>
                      <w:color w:val="auto"/>
                      <w:sz w:val="21"/>
                      <w:szCs w:val="21"/>
                      <w:lang w:eastAsia="zh-CN"/>
                    </w:rPr>
                    <w:t>（</w:t>
                  </w:r>
                  <w:r>
                    <w:rPr>
                      <w:rFonts w:hint="eastAsia"/>
                      <w:b/>
                      <w:color w:val="auto"/>
                      <w:sz w:val="21"/>
                      <w:szCs w:val="21"/>
                      <w:lang w:val="en-US" w:eastAsia="zh-CN"/>
                    </w:rPr>
                    <w:t>m</w:t>
                  </w:r>
                  <w:r>
                    <w:rPr>
                      <w:rFonts w:hint="eastAsia"/>
                      <w:b/>
                      <w:color w:val="auto"/>
                      <w:sz w:val="21"/>
                      <w:szCs w:val="21"/>
                      <w:lang w:eastAsia="zh-CN"/>
                    </w:rPr>
                    <w:t>）</w:t>
                  </w:r>
                </w:p>
              </w:tc>
              <w:tc>
                <w:tcPr>
                  <w:tcW w:w="1276" w:type="pct"/>
                  <w:vAlign w:val="center"/>
                </w:tcPr>
                <w:p>
                  <w:pPr>
                    <w:jc w:val="center"/>
                    <w:rPr>
                      <w:rFonts w:hint="eastAsia" w:eastAsia="宋体"/>
                      <w:b/>
                      <w:color w:val="auto"/>
                      <w:sz w:val="21"/>
                      <w:szCs w:val="21"/>
                      <w:lang w:eastAsia="zh-CN"/>
                    </w:rPr>
                  </w:pPr>
                  <w:r>
                    <w:rPr>
                      <w:rFonts w:hint="eastAsia"/>
                      <w:b/>
                      <w:color w:val="auto"/>
                      <w:sz w:val="21"/>
                      <w:szCs w:val="21"/>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9" w:type="pct"/>
                  <w:vAlign w:val="center"/>
                </w:tcPr>
                <w:p>
                  <w:pPr>
                    <w:jc w:val="center"/>
                    <w:rPr>
                      <w:color w:val="auto"/>
                      <w:sz w:val="21"/>
                      <w:szCs w:val="21"/>
                    </w:rPr>
                  </w:pPr>
                  <w:r>
                    <w:rPr>
                      <w:color w:val="auto"/>
                      <w:sz w:val="21"/>
                      <w:szCs w:val="21"/>
                    </w:rPr>
                    <w:t>1</w:t>
                  </w:r>
                </w:p>
              </w:tc>
              <w:tc>
                <w:tcPr>
                  <w:tcW w:w="1079" w:type="pct"/>
                  <w:vAlign w:val="center"/>
                </w:tcPr>
                <w:p>
                  <w:pPr>
                    <w:jc w:val="center"/>
                    <w:rPr>
                      <w:color w:val="auto"/>
                      <w:sz w:val="21"/>
                      <w:szCs w:val="21"/>
                    </w:rPr>
                  </w:pPr>
                  <w:r>
                    <w:rPr>
                      <w:color w:val="auto"/>
                      <w:sz w:val="21"/>
                      <w:szCs w:val="21"/>
                    </w:rPr>
                    <w:t>集水池</w:t>
                  </w:r>
                </w:p>
              </w:tc>
              <w:tc>
                <w:tcPr>
                  <w:tcW w:w="433" w:type="pct"/>
                  <w:vAlign w:val="center"/>
                </w:tcPr>
                <w:p>
                  <w:pPr>
                    <w:jc w:val="center"/>
                    <w:rPr>
                      <w:color w:val="auto"/>
                      <w:sz w:val="21"/>
                      <w:szCs w:val="21"/>
                    </w:rPr>
                  </w:pPr>
                  <w:r>
                    <w:rPr>
                      <w:color w:val="auto"/>
                      <w:sz w:val="21"/>
                      <w:szCs w:val="21"/>
                    </w:rPr>
                    <w:t>1</w:t>
                  </w:r>
                </w:p>
              </w:tc>
              <w:tc>
                <w:tcPr>
                  <w:tcW w:w="526" w:type="pct"/>
                  <w:vAlign w:val="center"/>
                </w:tcPr>
                <w:p>
                  <w:pPr>
                    <w:jc w:val="center"/>
                    <w:rPr>
                      <w:color w:val="auto"/>
                      <w:sz w:val="21"/>
                      <w:szCs w:val="21"/>
                    </w:rPr>
                  </w:pPr>
                  <w:r>
                    <w:rPr>
                      <w:color w:val="auto"/>
                      <w:sz w:val="21"/>
                      <w:szCs w:val="21"/>
                    </w:rPr>
                    <w:t>座</w:t>
                  </w:r>
                </w:p>
              </w:tc>
              <w:tc>
                <w:tcPr>
                  <w:tcW w:w="1276" w:type="pct"/>
                  <w:vAlign w:val="center"/>
                </w:tcPr>
                <w:p>
                  <w:pPr>
                    <w:jc w:val="center"/>
                    <w:rPr>
                      <w:rFonts w:hint="default" w:eastAsia="宋体"/>
                      <w:color w:val="auto"/>
                      <w:sz w:val="21"/>
                      <w:szCs w:val="21"/>
                      <w:lang w:val="en-US" w:eastAsia="zh-CN"/>
                    </w:rPr>
                  </w:pPr>
                  <w:r>
                    <w:rPr>
                      <w:color w:val="auto"/>
                      <w:sz w:val="21"/>
                      <w:szCs w:val="21"/>
                    </w:rPr>
                    <w:t>1×</w:t>
                  </w:r>
                  <w:r>
                    <w:rPr>
                      <w:rFonts w:hint="eastAsia"/>
                      <w:color w:val="auto"/>
                      <w:sz w:val="21"/>
                      <w:szCs w:val="21"/>
                      <w:lang w:val="en-US" w:eastAsia="zh-CN"/>
                    </w:rPr>
                    <w:t>1.1</w:t>
                  </w:r>
                  <w:r>
                    <w:rPr>
                      <w:color w:val="auto"/>
                      <w:sz w:val="21"/>
                      <w:szCs w:val="21"/>
                    </w:rPr>
                    <w:t>×</w:t>
                  </w:r>
                  <w:r>
                    <w:rPr>
                      <w:rFonts w:hint="eastAsia"/>
                      <w:color w:val="auto"/>
                      <w:sz w:val="21"/>
                      <w:szCs w:val="21"/>
                      <w:lang w:val="en-US" w:eastAsia="zh-CN"/>
                    </w:rPr>
                    <w:t>0.7</w:t>
                  </w:r>
                </w:p>
              </w:tc>
              <w:tc>
                <w:tcPr>
                  <w:tcW w:w="1276" w:type="pct"/>
                  <w:vAlign w:val="center"/>
                </w:tcPr>
                <w:p>
                  <w:pPr>
                    <w:jc w:val="center"/>
                    <w:rPr>
                      <w:rFonts w:hint="eastAsia" w:eastAsia="宋体"/>
                      <w:color w:val="auto"/>
                      <w:sz w:val="21"/>
                      <w:szCs w:val="21"/>
                      <w:lang w:eastAsia="zh-CN"/>
                    </w:rPr>
                  </w:pPr>
                  <w:r>
                    <w:rPr>
                      <w:rFonts w:hint="eastAsia"/>
                      <w:color w:val="auto"/>
                      <w:sz w:val="21"/>
                      <w:szCs w:val="21"/>
                      <w:lang w:eastAsia="zh-CN"/>
                    </w:rPr>
                    <w:t>地下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9" w:type="pct"/>
                  <w:vAlign w:val="center"/>
                </w:tcPr>
                <w:p>
                  <w:pPr>
                    <w:jc w:val="center"/>
                    <w:rPr>
                      <w:color w:val="auto"/>
                      <w:sz w:val="21"/>
                      <w:szCs w:val="21"/>
                    </w:rPr>
                  </w:pPr>
                  <w:r>
                    <w:rPr>
                      <w:color w:val="auto"/>
                      <w:sz w:val="21"/>
                      <w:szCs w:val="21"/>
                    </w:rPr>
                    <w:t>2</w:t>
                  </w:r>
                </w:p>
              </w:tc>
              <w:tc>
                <w:tcPr>
                  <w:tcW w:w="1079" w:type="pct"/>
                  <w:vAlign w:val="center"/>
                </w:tcPr>
                <w:p>
                  <w:pPr>
                    <w:jc w:val="center"/>
                    <w:rPr>
                      <w:color w:val="auto"/>
                      <w:sz w:val="21"/>
                      <w:szCs w:val="21"/>
                    </w:rPr>
                  </w:pPr>
                  <w:r>
                    <w:rPr>
                      <w:rFonts w:hint="eastAsia"/>
                      <w:color w:val="auto"/>
                      <w:sz w:val="21"/>
                      <w:szCs w:val="21"/>
                      <w:lang w:eastAsia="zh-CN"/>
                    </w:rPr>
                    <w:t>厌</w:t>
                  </w:r>
                  <w:r>
                    <w:rPr>
                      <w:color w:val="auto"/>
                      <w:sz w:val="21"/>
                      <w:szCs w:val="21"/>
                    </w:rPr>
                    <w:t>氧池</w:t>
                  </w:r>
                </w:p>
              </w:tc>
              <w:tc>
                <w:tcPr>
                  <w:tcW w:w="433" w:type="pct"/>
                  <w:vAlign w:val="center"/>
                </w:tcPr>
                <w:p>
                  <w:pPr>
                    <w:jc w:val="center"/>
                    <w:rPr>
                      <w:color w:val="auto"/>
                      <w:sz w:val="21"/>
                      <w:szCs w:val="21"/>
                    </w:rPr>
                  </w:pPr>
                  <w:r>
                    <w:rPr>
                      <w:color w:val="auto"/>
                      <w:sz w:val="21"/>
                      <w:szCs w:val="21"/>
                    </w:rPr>
                    <w:t>1</w:t>
                  </w:r>
                </w:p>
              </w:tc>
              <w:tc>
                <w:tcPr>
                  <w:tcW w:w="526" w:type="pct"/>
                  <w:vAlign w:val="center"/>
                </w:tcPr>
                <w:p>
                  <w:pPr>
                    <w:jc w:val="center"/>
                    <w:rPr>
                      <w:color w:val="auto"/>
                      <w:sz w:val="21"/>
                      <w:szCs w:val="21"/>
                    </w:rPr>
                  </w:pPr>
                  <w:r>
                    <w:rPr>
                      <w:color w:val="auto"/>
                      <w:sz w:val="21"/>
                      <w:szCs w:val="21"/>
                    </w:rPr>
                    <w:t>座</w:t>
                  </w:r>
                </w:p>
              </w:tc>
              <w:tc>
                <w:tcPr>
                  <w:tcW w:w="1276" w:type="pct"/>
                  <w:vAlign w:val="center"/>
                </w:tcPr>
                <w:p>
                  <w:pPr>
                    <w:jc w:val="center"/>
                    <w:rPr>
                      <w:rFonts w:hint="default" w:eastAsia="宋体"/>
                      <w:color w:val="auto"/>
                      <w:sz w:val="21"/>
                      <w:szCs w:val="21"/>
                      <w:lang w:val="en-US" w:eastAsia="zh-CN"/>
                    </w:rPr>
                  </w:pPr>
                  <w:r>
                    <w:rPr>
                      <w:color w:val="auto"/>
                      <w:sz w:val="21"/>
                      <w:szCs w:val="21"/>
                    </w:rPr>
                    <w:t>1</w:t>
                  </w:r>
                  <w:r>
                    <w:rPr>
                      <w:rFonts w:hint="eastAsia"/>
                      <w:color w:val="auto"/>
                      <w:sz w:val="21"/>
                      <w:szCs w:val="21"/>
                      <w:lang w:val="en-US" w:eastAsia="zh-CN"/>
                    </w:rPr>
                    <w:t>.5</w:t>
                  </w:r>
                  <w:r>
                    <w:rPr>
                      <w:color w:val="auto"/>
                      <w:sz w:val="21"/>
                      <w:szCs w:val="21"/>
                    </w:rPr>
                    <w:t>×</w:t>
                  </w:r>
                  <w:r>
                    <w:rPr>
                      <w:rFonts w:hint="eastAsia"/>
                      <w:color w:val="auto"/>
                      <w:sz w:val="21"/>
                      <w:szCs w:val="21"/>
                      <w:lang w:val="en-US" w:eastAsia="zh-CN"/>
                    </w:rPr>
                    <w:t>0.75</w:t>
                  </w:r>
                  <w:r>
                    <w:rPr>
                      <w:color w:val="auto"/>
                      <w:sz w:val="21"/>
                      <w:szCs w:val="21"/>
                    </w:rPr>
                    <w:t>×</w:t>
                  </w:r>
                  <w:r>
                    <w:rPr>
                      <w:rFonts w:hint="eastAsia"/>
                      <w:color w:val="auto"/>
                      <w:sz w:val="21"/>
                      <w:szCs w:val="21"/>
                      <w:lang w:val="en-US" w:eastAsia="zh-CN"/>
                    </w:rPr>
                    <w:t>1.8</w:t>
                  </w:r>
                </w:p>
              </w:tc>
              <w:tc>
                <w:tcPr>
                  <w:tcW w:w="1276" w:type="pct"/>
                  <w:vAlign w:val="center"/>
                </w:tcPr>
                <w:p>
                  <w:pPr>
                    <w:jc w:val="center"/>
                    <w:rPr>
                      <w:rFonts w:hint="eastAsia" w:eastAsia="宋体"/>
                      <w:color w:val="auto"/>
                      <w:sz w:val="21"/>
                      <w:szCs w:val="21"/>
                      <w:lang w:eastAsia="zh-CN"/>
                    </w:rPr>
                  </w:pPr>
                  <w:r>
                    <w:rPr>
                      <w:rFonts w:hint="eastAsia"/>
                      <w:color w:val="auto"/>
                      <w:sz w:val="21"/>
                      <w:szCs w:val="21"/>
                      <w:lang w:eastAsia="zh-CN"/>
                    </w:rPr>
                    <w:t>地上水箱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09" w:type="pct"/>
                  <w:vAlign w:val="center"/>
                </w:tcPr>
                <w:p>
                  <w:pPr>
                    <w:jc w:val="center"/>
                    <w:rPr>
                      <w:color w:val="auto"/>
                      <w:sz w:val="21"/>
                      <w:szCs w:val="21"/>
                    </w:rPr>
                  </w:pPr>
                  <w:r>
                    <w:rPr>
                      <w:color w:val="auto"/>
                      <w:sz w:val="21"/>
                      <w:szCs w:val="21"/>
                    </w:rPr>
                    <w:t>3</w:t>
                  </w:r>
                </w:p>
              </w:tc>
              <w:tc>
                <w:tcPr>
                  <w:tcW w:w="1079" w:type="pct"/>
                  <w:vAlign w:val="center"/>
                </w:tcPr>
                <w:p>
                  <w:pPr>
                    <w:jc w:val="center"/>
                    <w:rPr>
                      <w:rFonts w:hint="eastAsia" w:eastAsia="宋体"/>
                      <w:color w:val="auto"/>
                      <w:sz w:val="21"/>
                      <w:szCs w:val="21"/>
                      <w:lang w:val="en-US" w:eastAsia="zh-CN"/>
                    </w:rPr>
                  </w:pPr>
                  <w:r>
                    <w:rPr>
                      <w:color w:val="auto"/>
                      <w:sz w:val="21"/>
                      <w:szCs w:val="21"/>
                    </w:rPr>
                    <w:t>好氧池</w:t>
                  </w:r>
                  <w:r>
                    <w:rPr>
                      <w:rFonts w:hint="eastAsia"/>
                      <w:color w:val="auto"/>
                      <w:sz w:val="21"/>
                      <w:szCs w:val="21"/>
                      <w:lang w:val="en-US" w:eastAsia="zh-CN"/>
                    </w:rPr>
                    <w:t>1</w:t>
                  </w:r>
                </w:p>
              </w:tc>
              <w:tc>
                <w:tcPr>
                  <w:tcW w:w="433" w:type="pct"/>
                  <w:vAlign w:val="center"/>
                </w:tcPr>
                <w:p>
                  <w:pPr>
                    <w:jc w:val="center"/>
                    <w:rPr>
                      <w:color w:val="auto"/>
                      <w:sz w:val="21"/>
                      <w:szCs w:val="21"/>
                    </w:rPr>
                  </w:pPr>
                  <w:r>
                    <w:rPr>
                      <w:color w:val="auto"/>
                      <w:sz w:val="21"/>
                      <w:szCs w:val="21"/>
                    </w:rPr>
                    <w:t>1</w:t>
                  </w:r>
                </w:p>
              </w:tc>
              <w:tc>
                <w:tcPr>
                  <w:tcW w:w="526" w:type="pct"/>
                  <w:vAlign w:val="center"/>
                </w:tcPr>
                <w:p>
                  <w:pPr>
                    <w:jc w:val="center"/>
                    <w:rPr>
                      <w:color w:val="auto"/>
                      <w:sz w:val="21"/>
                      <w:szCs w:val="21"/>
                    </w:rPr>
                  </w:pPr>
                  <w:r>
                    <w:rPr>
                      <w:color w:val="auto"/>
                      <w:sz w:val="21"/>
                      <w:szCs w:val="21"/>
                    </w:rPr>
                    <w:t>座</w:t>
                  </w:r>
                </w:p>
              </w:tc>
              <w:tc>
                <w:tcPr>
                  <w:tcW w:w="1276" w:type="pct"/>
                  <w:vAlign w:val="center"/>
                </w:tcPr>
                <w:p>
                  <w:pPr>
                    <w:jc w:val="center"/>
                    <w:rPr>
                      <w:color w:val="auto"/>
                      <w:sz w:val="21"/>
                      <w:szCs w:val="21"/>
                    </w:rPr>
                  </w:pPr>
                  <w:r>
                    <w:rPr>
                      <w:color w:val="auto"/>
                      <w:sz w:val="21"/>
                      <w:szCs w:val="21"/>
                    </w:rPr>
                    <w:t>1</w:t>
                  </w:r>
                  <w:r>
                    <w:rPr>
                      <w:rFonts w:hint="eastAsia"/>
                      <w:color w:val="auto"/>
                      <w:sz w:val="21"/>
                      <w:szCs w:val="21"/>
                      <w:lang w:val="en-US" w:eastAsia="zh-CN"/>
                    </w:rPr>
                    <w:t>.5</w:t>
                  </w:r>
                  <w:r>
                    <w:rPr>
                      <w:color w:val="auto"/>
                      <w:sz w:val="21"/>
                      <w:szCs w:val="21"/>
                    </w:rPr>
                    <w:t>×</w:t>
                  </w:r>
                  <w:r>
                    <w:rPr>
                      <w:rFonts w:hint="eastAsia"/>
                      <w:color w:val="auto"/>
                      <w:sz w:val="21"/>
                      <w:szCs w:val="21"/>
                      <w:lang w:val="en-US" w:eastAsia="zh-CN"/>
                    </w:rPr>
                    <w:t>0.75</w:t>
                  </w:r>
                  <w:r>
                    <w:rPr>
                      <w:color w:val="auto"/>
                      <w:sz w:val="21"/>
                      <w:szCs w:val="21"/>
                    </w:rPr>
                    <w:t>×</w:t>
                  </w:r>
                  <w:r>
                    <w:rPr>
                      <w:rFonts w:hint="eastAsia"/>
                      <w:color w:val="auto"/>
                      <w:sz w:val="21"/>
                      <w:szCs w:val="21"/>
                      <w:lang w:val="en-US" w:eastAsia="zh-CN"/>
                    </w:rPr>
                    <w:t>1.8</w:t>
                  </w:r>
                </w:p>
              </w:tc>
              <w:tc>
                <w:tcPr>
                  <w:tcW w:w="1276" w:type="pct"/>
                  <w:vAlign w:val="center"/>
                </w:tcPr>
                <w:p>
                  <w:pPr>
                    <w:jc w:val="center"/>
                    <w:rPr>
                      <w:color w:val="auto"/>
                      <w:sz w:val="21"/>
                      <w:szCs w:val="21"/>
                    </w:rPr>
                  </w:pPr>
                  <w:r>
                    <w:rPr>
                      <w:rFonts w:hint="eastAsia"/>
                      <w:color w:val="auto"/>
                      <w:sz w:val="21"/>
                      <w:szCs w:val="21"/>
                      <w:lang w:eastAsia="zh-CN"/>
                    </w:rPr>
                    <w:t>地上水箱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9" w:type="pct"/>
                  <w:vAlign w:val="center"/>
                </w:tcPr>
                <w:p>
                  <w:pPr>
                    <w:jc w:val="center"/>
                    <w:rPr>
                      <w:color w:val="auto"/>
                      <w:sz w:val="21"/>
                      <w:szCs w:val="21"/>
                    </w:rPr>
                  </w:pPr>
                  <w:r>
                    <w:rPr>
                      <w:color w:val="auto"/>
                      <w:sz w:val="21"/>
                      <w:szCs w:val="21"/>
                    </w:rPr>
                    <w:t>4</w:t>
                  </w:r>
                </w:p>
              </w:tc>
              <w:tc>
                <w:tcPr>
                  <w:tcW w:w="1079" w:type="pct"/>
                  <w:vAlign w:val="center"/>
                </w:tcPr>
                <w:p>
                  <w:pPr>
                    <w:jc w:val="center"/>
                    <w:rPr>
                      <w:rFonts w:hint="eastAsia" w:eastAsia="宋体"/>
                      <w:color w:val="auto"/>
                      <w:sz w:val="21"/>
                      <w:szCs w:val="21"/>
                      <w:lang w:val="en-US" w:eastAsia="zh-CN"/>
                    </w:rPr>
                  </w:pPr>
                  <w:r>
                    <w:rPr>
                      <w:color w:val="auto"/>
                      <w:sz w:val="21"/>
                      <w:szCs w:val="21"/>
                    </w:rPr>
                    <w:t>好氧池</w:t>
                  </w:r>
                  <w:r>
                    <w:rPr>
                      <w:rFonts w:hint="eastAsia"/>
                      <w:color w:val="auto"/>
                      <w:sz w:val="21"/>
                      <w:szCs w:val="21"/>
                      <w:lang w:val="en-US" w:eastAsia="zh-CN"/>
                    </w:rPr>
                    <w:t>2</w:t>
                  </w:r>
                </w:p>
              </w:tc>
              <w:tc>
                <w:tcPr>
                  <w:tcW w:w="433" w:type="pct"/>
                  <w:vAlign w:val="center"/>
                </w:tcPr>
                <w:p>
                  <w:pPr>
                    <w:jc w:val="center"/>
                    <w:rPr>
                      <w:color w:val="auto"/>
                      <w:sz w:val="21"/>
                      <w:szCs w:val="21"/>
                    </w:rPr>
                  </w:pPr>
                  <w:r>
                    <w:rPr>
                      <w:color w:val="auto"/>
                      <w:sz w:val="21"/>
                      <w:szCs w:val="21"/>
                    </w:rPr>
                    <w:t>1</w:t>
                  </w:r>
                </w:p>
              </w:tc>
              <w:tc>
                <w:tcPr>
                  <w:tcW w:w="526" w:type="pct"/>
                  <w:vAlign w:val="center"/>
                </w:tcPr>
                <w:p>
                  <w:pPr>
                    <w:jc w:val="center"/>
                    <w:rPr>
                      <w:color w:val="auto"/>
                      <w:sz w:val="21"/>
                      <w:szCs w:val="21"/>
                    </w:rPr>
                  </w:pPr>
                  <w:r>
                    <w:rPr>
                      <w:color w:val="auto"/>
                      <w:sz w:val="21"/>
                      <w:szCs w:val="21"/>
                    </w:rPr>
                    <w:t>座</w:t>
                  </w:r>
                </w:p>
              </w:tc>
              <w:tc>
                <w:tcPr>
                  <w:tcW w:w="1276" w:type="pct"/>
                  <w:vAlign w:val="center"/>
                </w:tcPr>
                <w:p>
                  <w:pPr>
                    <w:jc w:val="center"/>
                    <w:rPr>
                      <w:color w:val="auto"/>
                      <w:sz w:val="21"/>
                      <w:szCs w:val="21"/>
                    </w:rPr>
                  </w:pPr>
                  <w:r>
                    <w:rPr>
                      <w:color w:val="auto"/>
                      <w:sz w:val="21"/>
                      <w:szCs w:val="21"/>
                    </w:rPr>
                    <w:t>1</w:t>
                  </w:r>
                  <w:r>
                    <w:rPr>
                      <w:rFonts w:hint="eastAsia"/>
                      <w:color w:val="auto"/>
                      <w:sz w:val="21"/>
                      <w:szCs w:val="21"/>
                      <w:lang w:val="en-US" w:eastAsia="zh-CN"/>
                    </w:rPr>
                    <w:t>.5</w:t>
                  </w:r>
                  <w:r>
                    <w:rPr>
                      <w:color w:val="auto"/>
                      <w:sz w:val="21"/>
                      <w:szCs w:val="21"/>
                    </w:rPr>
                    <w:t>×</w:t>
                  </w:r>
                  <w:r>
                    <w:rPr>
                      <w:rFonts w:hint="eastAsia"/>
                      <w:color w:val="auto"/>
                      <w:sz w:val="21"/>
                      <w:szCs w:val="21"/>
                      <w:lang w:val="en-US" w:eastAsia="zh-CN"/>
                    </w:rPr>
                    <w:t>0.75</w:t>
                  </w:r>
                  <w:r>
                    <w:rPr>
                      <w:color w:val="auto"/>
                      <w:sz w:val="21"/>
                      <w:szCs w:val="21"/>
                    </w:rPr>
                    <w:t>×</w:t>
                  </w:r>
                  <w:r>
                    <w:rPr>
                      <w:rFonts w:hint="eastAsia"/>
                      <w:color w:val="auto"/>
                      <w:sz w:val="21"/>
                      <w:szCs w:val="21"/>
                      <w:lang w:val="en-US" w:eastAsia="zh-CN"/>
                    </w:rPr>
                    <w:t>1.8</w:t>
                  </w:r>
                </w:p>
              </w:tc>
              <w:tc>
                <w:tcPr>
                  <w:tcW w:w="1276" w:type="pct"/>
                  <w:vAlign w:val="center"/>
                </w:tcPr>
                <w:p>
                  <w:pPr>
                    <w:jc w:val="center"/>
                    <w:rPr>
                      <w:color w:val="auto"/>
                      <w:sz w:val="21"/>
                      <w:szCs w:val="21"/>
                    </w:rPr>
                  </w:pPr>
                  <w:r>
                    <w:rPr>
                      <w:rFonts w:hint="eastAsia"/>
                      <w:color w:val="auto"/>
                      <w:sz w:val="21"/>
                      <w:szCs w:val="21"/>
                      <w:lang w:eastAsia="zh-CN"/>
                    </w:rPr>
                    <w:t>地上水箱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9" w:type="pct"/>
                  <w:vAlign w:val="center"/>
                </w:tcPr>
                <w:p>
                  <w:pPr>
                    <w:jc w:val="center"/>
                    <w:rPr>
                      <w:color w:val="auto"/>
                      <w:sz w:val="21"/>
                      <w:szCs w:val="21"/>
                    </w:rPr>
                  </w:pPr>
                  <w:r>
                    <w:rPr>
                      <w:color w:val="auto"/>
                      <w:sz w:val="21"/>
                      <w:szCs w:val="21"/>
                    </w:rPr>
                    <w:t>5</w:t>
                  </w:r>
                </w:p>
              </w:tc>
              <w:tc>
                <w:tcPr>
                  <w:tcW w:w="1079" w:type="pct"/>
                  <w:vAlign w:val="center"/>
                </w:tcPr>
                <w:p>
                  <w:pPr>
                    <w:jc w:val="center"/>
                    <w:rPr>
                      <w:rFonts w:hint="eastAsia" w:eastAsia="宋体"/>
                      <w:color w:val="auto"/>
                      <w:sz w:val="21"/>
                      <w:szCs w:val="21"/>
                      <w:lang w:eastAsia="zh-CN"/>
                    </w:rPr>
                  </w:pPr>
                  <w:r>
                    <w:rPr>
                      <w:rFonts w:hint="eastAsia"/>
                      <w:color w:val="auto"/>
                      <w:sz w:val="21"/>
                      <w:szCs w:val="21"/>
                      <w:lang w:eastAsia="zh-CN"/>
                    </w:rPr>
                    <w:t>沉淀池</w:t>
                  </w:r>
                </w:p>
              </w:tc>
              <w:tc>
                <w:tcPr>
                  <w:tcW w:w="433" w:type="pct"/>
                  <w:vAlign w:val="center"/>
                </w:tcPr>
                <w:p>
                  <w:pPr>
                    <w:jc w:val="center"/>
                    <w:rPr>
                      <w:color w:val="auto"/>
                      <w:sz w:val="21"/>
                      <w:szCs w:val="21"/>
                    </w:rPr>
                  </w:pPr>
                  <w:r>
                    <w:rPr>
                      <w:color w:val="auto"/>
                      <w:sz w:val="21"/>
                      <w:szCs w:val="21"/>
                    </w:rPr>
                    <w:t>1</w:t>
                  </w:r>
                </w:p>
              </w:tc>
              <w:tc>
                <w:tcPr>
                  <w:tcW w:w="526" w:type="pct"/>
                  <w:vAlign w:val="center"/>
                </w:tcPr>
                <w:p>
                  <w:pPr>
                    <w:jc w:val="center"/>
                    <w:rPr>
                      <w:color w:val="auto"/>
                      <w:sz w:val="21"/>
                      <w:szCs w:val="21"/>
                    </w:rPr>
                  </w:pPr>
                  <w:r>
                    <w:rPr>
                      <w:color w:val="auto"/>
                      <w:sz w:val="21"/>
                      <w:szCs w:val="21"/>
                    </w:rPr>
                    <w:t>座</w:t>
                  </w:r>
                </w:p>
              </w:tc>
              <w:tc>
                <w:tcPr>
                  <w:tcW w:w="1276" w:type="pct"/>
                  <w:vAlign w:val="center"/>
                </w:tcPr>
                <w:p>
                  <w:pPr>
                    <w:jc w:val="center"/>
                    <w:rPr>
                      <w:color w:val="auto"/>
                      <w:sz w:val="21"/>
                      <w:szCs w:val="21"/>
                    </w:rPr>
                  </w:pPr>
                  <w:r>
                    <w:rPr>
                      <w:color w:val="auto"/>
                      <w:sz w:val="21"/>
                      <w:szCs w:val="21"/>
                    </w:rPr>
                    <w:t>1</w:t>
                  </w:r>
                  <w:r>
                    <w:rPr>
                      <w:rFonts w:hint="eastAsia"/>
                      <w:color w:val="auto"/>
                      <w:sz w:val="21"/>
                      <w:szCs w:val="21"/>
                      <w:lang w:val="en-US" w:eastAsia="zh-CN"/>
                    </w:rPr>
                    <w:t>.5</w:t>
                  </w:r>
                  <w:r>
                    <w:rPr>
                      <w:color w:val="auto"/>
                      <w:sz w:val="21"/>
                      <w:szCs w:val="21"/>
                    </w:rPr>
                    <w:t>×</w:t>
                  </w:r>
                  <w:r>
                    <w:rPr>
                      <w:rFonts w:hint="eastAsia"/>
                      <w:color w:val="auto"/>
                      <w:sz w:val="21"/>
                      <w:szCs w:val="21"/>
                      <w:lang w:val="en-US" w:eastAsia="zh-CN"/>
                    </w:rPr>
                    <w:t>0.75</w:t>
                  </w:r>
                  <w:r>
                    <w:rPr>
                      <w:color w:val="auto"/>
                      <w:sz w:val="21"/>
                      <w:szCs w:val="21"/>
                    </w:rPr>
                    <w:t>×</w:t>
                  </w:r>
                  <w:r>
                    <w:rPr>
                      <w:rFonts w:hint="eastAsia"/>
                      <w:color w:val="auto"/>
                      <w:sz w:val="21"/>
                      <w:szCs w:val="21"/>
                      <w:lang w:val="en-US" w:eastAsia="zh-CN"/>
                    </w:rPr>
                    <w:t>1.8</w:t>
                  </w:r>
                </w:p>
              </w:tc>
              <w:tc>
                <w:tcPr>
                  <w:tcW w:w="1276" w:type="pct"/>
                  <w:vAlign w:val="center"/>
                </w:tcPr>
                <w:p>
                  <w:pPr>
                    <w:jc w:val="center"/>
                    <w:rPr>
                      <w:color w:val="auto"/>
                      <w:sz w:val="21"/>
                      <w:szCs w:val="21"/>
                    </w:rPr>
                  </w:pPr>
                  <w:r>
                    <w:rPr>
                      <w:rFonts w:hint="eastAsia"/>
                      <w:color w:val="auto"/>
                      <w:sz w:val="21"/>
                      <w:szCs w:val="21"/>
                      <w:lang w:eastAsia="zh-CN"/>
                    </w:rPr>
                    <w:t>地上水箱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09" w:type="pct"/>
                  <w:vAlign w:val="center"/>
                </w:tcPr>
                <w:p>
                  <w:pPr>
                    <w:jc w:val="center"/>
                    <w:rPr>
                      <w:color w:val="auto"/>
                      <w:sz w:val="21"/>
                      <w:szCs w:val="21"/>
                    </w:rPr>
                  </w:pPr>
                  <w:r>
                    <w:rPr>
                      <w:color w:val="auto"/>
                      <w:sz w:val="21"/>
                      <w:szCs w:val="21"/>
                    </w:rPr>
                    <w:t>6</w:t>
                  </w:r>
                </w:p>
              </w:tc>
              <w:tc>
                <w:tcPr>
                  <w:tcW w:w="1079" w:type="pct"/>
                  <w:vAlign w:val="center"/>
                </w:tcPr>
                <w:p>
                  <w:pPr>
                    <w:jc w:val="center"/>
                    <w:rPr>
                      <w:color w:val="auto"/>
                      <w:sz w:val="21"/>
                      <w:szCs w:val="21"/>
                    </w:rPr>
                  </w:pPr>
                  <w:r>
                    <w:rPr>
                      <w:color w:val="auto"/>
                      <w:sz w:val="21"/>
                      <w:szCs w:val="21"/>
                    </w:rPr>
                    <w:t>电控</w:t>
                  </w:r>
                </w:p>
              </w:tc>
              <w:tc>
                <w:tcPr>
                  <w:tcW w:w="433" w:type="pct"/>
                  <w:vAlign w:val="center"/>
                </w:tcPr>
                <w:p>
                  <w:pPr>
                    <w:jc w:val="center"/>
                    <w:rPr>
                      <w:color w:val="auto"/>
                      <w:sz w:val="21"/>
                      <w:szCs w:val="21"/>
                    </w:rPr>
                  </w:pPr>
                  <w:r>
                    <w:rPr>
                      <w:color w:val="auto"/>
                      <w:sz w:val="21"/>
                      <w:szCs w:val="21"/>
                    </w:rPr>
                    <w:t>1</w:t>
                  </w:r>
                </w:p>
              </w:tc>
              <w:tc>
                <w:tcPr>
                  <w:tcW w:w="526" w:type="pct"/>
                  <w:vAlign w:val="center"/>
                </w:tcPr>
                <w:p>
                  <w:pPr>
                    <w:jc w:val="center"/>
                    <w:rPr>
                      <w:color w:val="auto"/>
                      <w:sz w:val="21"/>
                      <w:szCs w:val="21"/>
                    </w:rPr>
                  </w:pPr>
                  <w:r>
                    <w:rPr>
                      <w:color w:val="auto"/>
                      <w:sz w:val="21"/>
                      <w:szCs w:val="21"/>
                    </w:rPr>
                    <w:t>台</w:t>
                  </w:r>
                </w:p>
              </w:tc>
              <w:tc>
                <w:tcPr>
                  <w:tcW w:w="1276" w:type="pct"/>
                  <w:vAlign w:val="center"/>
                </w:tcPr>
                <w:p>
                  <w:pPr>
                    <w:jc w:val="center"/>
                    <w:rPr>
                      <w:rFonts w:hint="eastAsia" w:eastAsia="宋体"/>
                      <w:color w:val="auto"/>
                      <w:sz w:val="21"/>
                      <w:szCs w:val="21"/>
                      <w:lang w:eastAsia="zh-CN"/>
                    </w:rPr>
                  </w:pPr>
                  <w:r>
                    <w:rPr>
                      <w:rFonts w:hint="eastAsia"/>
                      <w:color w:val="auto"/>
                      <w:sz w:val="21"/>
                      <w:szCs w:val="21"/>
                      <w:lang w:val="en-US" w:eastAsia="zh-CN"/>
                    </w:rPr>
                    <w:t>/</w:t>
                  </w:r>
                </w:p>
              </w:tc>
              <w:tc>
                <w:tcPr>
                  <w:tcW w:w="1276" w:type="pct"/>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9" w:type="pct"/>
                  <w:vAlign w:val="center"/>
                </w:tcPr>
                <w:p>
                  <w:pPr>
                    <w:jc w:val="center"/>
                    <w:rPr>
                      <w:color w:val="auto"/>
                      <w:sz w:val="21"/>
                      <w:szCs w:val="21"/>
                    </w:rPr>
                  </w:pPr>
                  <w:r>
                    <w:rPr>
                      <w:color w:val="auto"/>
                      <w:sz w:val="21"/>
                      <w:szCs w:val="21"/>
                    </w:rPr>
                    <w:t>7</w:t>
                  </w:r>
                </w:p>
              </w:tc>
              <w:tc>
                <w:tcPr>
                  <w:tcW w:w="1079" w:type="pct"/>
                  <w:vAlign w:val="center"/>
                </w:tcPr>
                <w:p>
                  <w:pPr>
                    <w:jc w:val="center"/>
                    <w:rPr>
                      <w:color w:val="auto"/>
                      <w:sz w:val="21"/>
                      <w:szCs w:val="21"/>
                    </w:rPr>
                  </w:pPr>
                  <w:r>
                    <w:rPr>
                      <w:color w:val="auto"/>
                      <w:sz w:val="21"/>
                      <w:szCs w:val="21"/>
                    </w:rPr>
                    <w:t>提升泵</w:t>
                  </w:r>
                </w:p>
              </w:tc>
              <w:tc>
                <w:tcPr>
                  <w:tcW w:w="433" w:type="pct"/>
                  <w:vAlign w:val="center"/>
                </w:tcPr>
                <w:p>
                  <w:pPr>
                    <w:jc w:val="center"/>
                    <w:rPr>
                      <w:color w:val="auto"/>
                      <w:sz w:val="21"/>
                      <w:szCs w:val="21"/>
                    </w:rPr>
                  </w:pPr>
                  <w:r>
                    <w:rPr>
                      <w:color w:val="auto"/>
                      <w:sz w:val="21"/>
                      <w:szCs w:val="21"/>
                    </w:rPr>
                    <w:t>1</w:t>
                  </w:r>
                </w:p>
              </w:tc>
              <w:tc>
                <w:tcPr>
                  <w:tcW w:w="526" w:type="pct"/>
                  <w:vAlign w:val="center"/>
                </w:tcPr>
                <w:p>
                  <w:pPr>
                    <w:jc w:val="center"/>
                    <w:rPr>
                      <w:color w:val="auto"/>
                      <w:sz w:val="21"/>
                      <w:szCs w:val="21"/>
                    </w:rPr>
                  </w:pPr>
                  <w:r>
                    <w:rPr>
                      <w:color w:val="auto"/>
                      <w:sz w:val="21"/>
                      <w:szCs w:val="21"/>
                    </w:rPr>
                    <w:t>台</w:t>
                  </w:r>
                </w:p>
              </w:tc>
              <w:tc>
                <w:tcPr>
                  <w:tcW w:w="1276" w:type="pct"/>
                  <w:vAlign w:val="center"/>
                </w:tcPr>
                <w:p>
                  <w:pPr>
                    <w:jc w:val="center"/>
                    <w:rPr>
                      <w:color w:val="auto"/>
                      <w:sz w:val="21"/>
                      <w:szCs w:val="21"/>
                    </w:rPr>
                  </w:pPr>
                  <w:r>
                    <w:rPr>
                      <w:color w:val="auto"/>
                      <w:sz w:val="21"/>
                      <w:szCs w:val="21"/>
                    </w:rPr>
                    <w:t>/</w:t>
                  </w:r>
                </w:p>
              </w:tc>
              <w:tc>
                <w:tcPr>
                  <w:tcW w:w="1276" w:type="pct"/>
                  <w:vAlign w:val="center"/>
                </w:tcPr>
                <w:p>
                  <w:pPr>
                    <w:jc w:val="center"/>
                    <w:rPr>
                      <w:rFonts w:ascii="Times New Roman" w:hAnsi="Times New Roman" w:eastAsia="宋体" w:cs="Times New Roman"/>
                      <w:color w:val="auto"/>
                      <w:kern w:val="2"/>
                      <w:sz w:val="21"/>
                      <w:szCs w:val="21"/>
                      <w:lang w:val="en-US" w:eastAsia="zh-CN" w:bidi="ar-SA"/>
                    </w:rPr>
                  </w:pPr>
                  <w:r>
                    <w:rPr>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9" w:type="pct"/>
                  <w:vAlign w:val="center"/>
                </w:tcPr>
                <w:p>
                  <w:pPr>
                    <w:jc w:val="center"/>
                    <w:rPr>
                      <w:color w:val="auto"/>
                      <w:sz w:val="21"/>
                      <w:szCs w:val="21"/>
                    </w:rPr>
                  </w:pPr>
                  <w:r>
                    <w:rPr>
                      <w:color w:val="auto"/>
                      <w:sz w:val="21"/>
                      <w:szCs w:val="21"/>
                    </w:rPr>
                    <w:t>8</w:t>
                  </w:r>
                </w:p>
              </w:tc>
              <w:tc>
                <w:tcPr>
                  <w:tcW w:w="1079" w:type="pct"/>
                  <w:vAlign w:val="center"/>
                </w:tcPr>
                <w:p>
                  <w:pPr>
                    <w:jc w:val="center"/>
                    <w:rPr>
                      <w:color w:val="auto"/>
                      <w:sz w:val="21"/>
                      <w:szCs w:val="21"/>
                    </w:rPr>
                  </w:pPr>
                  <w:r>
                    <w:rPr>
                      <w:color w:val="auto"/>
                      <w:sz w:val="21"/>
                      <w:szCs w:val="21"/>
                    </w:rPr>
                    <w:t>回转风机</w:t>
                  </w:r>
                </w:p>
              </w:tc>
              <w:tc>
                <w:tcPr>
                  <w:tcW w:w="433" w:type="pct"/>
                  <w:vAlign w:val="center"/>
                </w:tcPr>
                <w:p>
                  <w:pPr>
                    <w:jc w:val="center"/>
                    <w:rPr>
                      <w:color w:val="auto"/>
                      <w:sz w:val="21"/>
                      <w:szCs w:val="21"/>
                    </w:rPr>
                  </w:pPr>
                  <w:r>
                    <w:rPr>
                      <w:color w:val="auto"/>
                      <w:sz w:val="21"/>
                      <w:szCs w:val="21"/>
                    </w:rPr>
                    <w:t>2</w:t>
                  </w:r>
                </w:p>
              </w:tc>
              <w:tc>
                <w:tcPr>
                  <w:tcW w:w="526" w:type="pct"/>
                  <w:vAlign w:val="center"/>
                </w:tcPr>
                <w:p>
                  <w:pPr>
                    <w:jc w:val="center"/>
                    <w:rPr>
                      <w:color w:val="auto"/>
                      <w:sz w:val="21"/>
                      <w:szCs w:val="21"/>
                    </w:rPr>
                  </w:pPr>
                  <w:r>
                    <w:rPr>
                      <w:color w:val="auto"/>
                      <w:sz w:val="21"/>
                      <w:szCs w:val="21"/>
                    </w:rPr>
                    <w:t>台</w:t>
                  </w:r>
                </w:p>
              </w:tc>
              <w:tc>
                <w:tcPr>
                  <w:tcW w:w="1276" w:type="pct"/>
                  <w:vAlign w:val="center"/>
                </w:tcPr>
                <w:p>
                  <w:pPr>
                    <w:jc w:val="center"/>
                    <w:rPr>
                      <w:rFonts w:hint="eastAsia" w:eastAsia="宋体"/>
                      <w:color w:val="auto"/>
                      <w:sz w:val="21"/>
                      <w:szCs w:val="21"/>
                      <w:lang w:val="en-US" w:eastAsia="zh-CN"/>
                    </w:rPr>
                  </w:pPr>
                  <w:r>
                    <w:rPr>
                      <w:rFonts w:hint="eastAsia"/>
                      <w:color w:val="auto"/>
                      <w:sz w:val="21"/>
                      <w:szCs w:val="21"/>
                      <w:lang w:val="en-US" w:eastAsia="zh-CN"/>
                    </w:rPr>
                    <w:t>/</w:t>
                  </w:r>
                </w:p>
              </w:tc>
              <w:tc>
                <w:tcPr>
                  <w:tcW w:w="1276" w:type="pct"/>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9" w:type="pct"/>
                  <w:vAlign w:val="center"/>
                </w:tcPr>
                <w:p>
                  <w:pPr>
                    <w:jc w:val="center"/>
                    <w:rPr>
                      <w:color w:val="auto"/>
                      <w:sz w:val="21"/>
                      <w:szCs w:val="21"/>
                    </w:rPr>
                  </w:pPr>
                  <w:r>
                    <w:rPr>
                      <w:color w:val="auto"/>
                      <w:sz w:val="21"/>
                      <w:szCs w:val="21"/>
                    </w:rPr>
                    <w:t>9</w:t>
                  </w:r>
                </w:p>
              </w:tc>
              <w:tc>
                <w:tcPr>
                  <w:tcW w:w="1079" w:type="pct"/>
                  <w:vAlign w:val="center"/>
                </w:tcPr>
                <w:p>
                  <w:pPr>
                    <w:jc w:val="center"/>
                    <w:rPr>
                      <w:color w:val="auto"/>
                      <w:sz w:val="21"/>
                      <w:szCs w:val="21"/>
                    </w:rPr>
                  </w:pPr>
                  <w:r>
                    <w:rPr>
                      <w:color w:val="auto"/>
                      <w:sz w:val="21"/>
                      <w:szCs w:val="21"/>
                    </w:rPr>
                    <w:t>降噪设施</w:t>
                  </w:r>
                </w:p>
              </w:tc>
              <w:tc>
                <w:tcPr>
                  <w:tcW w:w="433" w:type="pct"/>
                  <w:vAlign w:val="center"/>
                </w:tcPr>
                <w:p>
                  <w:pPr>
                    <w:jc w:val="center"/>
                    <w:rPr>
                      <w:color w:val="auto"/>
                      <w:sz w:val="21"/>
                      <w:szCs w:val="21"/>
                    </w:rPr>
                  </w:pPr>
                  <w:r>
                    <w:rPr>
                      <w:color w:val="auto"/>
                      <w:sz w:val="21"/>
                      <w:szCs w:val="21"/>
                    </w:rPr>
                    <w:t>2</w:t>
                  </w:r>
                </w:p>
              </w:tc>
              <w:tc>
                <w:tcPr>
                  <w:tcW w:w="526" w:type="pct"/>
                  <w:vAlign w:val="center"/>
                </w:tcPr>
                <w:p>
                  <w:pPr>
                    <w:jc w:val="center"/>
                    <w:rPr>
                      <w:color w:val="auto"/>
                      <w:sz w:val="21"/>
                      <w:szCs w:val="21"/>
                    </w:rPr>
                  </w:pPr>
                  <w:r>
                    <w:rPr>
                      <w:color w:val="auto"/>
                      <w:sz w:val="21"/>
                      <w:szCs w:val="21"/>
                    </w:rPr>
                    <w:t>台</w:t>
                  </w:r>
                </w:p>
              </w:tc>
              <w:tc>
                <w:tcPr>
                  <w:tcW w:w="1276" w:type="pct"/>
                  <w:vAlign w:val="center"/>
                </w:tcPr>
                <w:p>
                  <w:pPr>
                    <w:jc w:val="center"/>
                    <w:rPr>
                      <w:rFonts w:hint="eastAsia" w:eastAsia="宋体"/>
                      <w:color w:val="auto"/>
                      <w:sz w:val="21"/>
                      <w:szCs w:val="21"/>
                      <w:lang w:val="en-US" w:eastAsia="zh-CN"/>
                    </w:rPr>
                  </w:pPr>
                  <w:r>
                    <w:rPr>
                      <w:rFonts w:hint="eastAsia"/>
                      <w:color w:val="auto"/>
                      <w:sz w:val="21"/>
                      <w:szCs w:val="21"/>
                      <w:lang w:val="en-US" w:eastAsia="zh-CN"/>
                    </w:rPr>
                    <w:t>/</w:t>
                  </w:r>
                </w:p>
              </w:tc>
              <w:tc>
                <w:tcPr>
                  <w:tcW w:w="1276" w:type="pct"/>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09" w:type="pct"/>
                  <w:vAlign w:val="center"/>
                </w:tcPr>
                <w:p>
                  <w:pPr>
                    <w:jc w:val="center"/>
                    <w:rPr>
                      <w:color w:val="auto"/>
                      <w:sz w:val="21"/>
                      <w:szCs w:val="21"/>
                    </w:rPr>
                  </w:pPr>
                  <w:r>
                    <w:rPr>
                      <w:color w:val="auto"/>
                      <w:sz w:val="21"/>
                      <w:szCs w:val="21"/>
                    </w:rPr>
                    <w:t>10</w:t>
                  </w:r>
                </w:p>
              </w:tc>
              <w:tc>
                <w:tcPr>
                  <w:tcW w:w="1079" w:type="pct"/>
                  <w:vAlign w:val="center"/>
                </w:tcPr>
                <w:p>
                  <w:pPr>
                    <w:jc w:val="center"/>
                    <w:rPr>
                      <w:rFonts w:ascii="Times New Roman" w:hAnsi="Times New Roman" w:eastAsia="宋体" w:cs="Times New Roman"/>
                      <w:color w:val="auto"/>
                      <w:kern w:val="2"/>
                      <w:sz w:val="21"/>
                      <w:szCs w:val="21"/>
                      <w:lang w:val="en-US" w:eastAsia="zh-CN" w:bidi="ar-SA"/>
                    </w:rPr>
                  </w:pPr>
                  <w:r>
                    <w:rPr>
                      <w:color w:val="auto"/>
                      <w:sz w:val="21"/>
                      <w:szCs w:val="21"/>
                    </w:rPr>
                    <w:t>混合液回流泵</w:t>
                  </w:r>
                </w:p>
              </w:tc>
              <w:tc>
                <w:tcPr>
                  <w:tcW w:w="433" w:type="pct"/>
                  <w:vAlign w:val="center"/>
                </w:tcPr>
                <w:p>
                  <w:pPr>
                    <w:jc w:val="center"/>
                    <w:rPr>
                      <w:color w:val="auto"/>
                      <w:sz w:val="21"/>
                      <w:szCs w:val="21"/>
                    </w:rPr>
                  </w:pPr>
                  <w:r>
                    <w:rPr>
                      <w:color w:val="auto"/>
                      <w:sz w:val="21"/>
                      <w:szCs w:val="21"/>
                    </w:rPr>
                    <w:t>1</w:t>
                  </w:r>
                </w:p>
              </w:tc>
              <w:tc>
                <w:tcPr>
                  <w:tcW w:w="526" w:type="pct"/>
                  <w:vAlign w:val="center"/>
                </w:tcPr>
                <w:p>
                  <w:pPr>
                    <w:jc w:val="center"/>
                    <w:rPr>
                      <w:color w:val="auto"/>
                      <w:sz w:val="21"/>
                      <w:szCs w:val="21"/>
                    </w:rPr>
                  </w:pPr>
                  <w:r>
                    <w:rPr>
                      <w:color w:val="auto"/>
                      <w:sz w:val="21"/>
                      <w:szCs w:val="21"/>
                    </w:rPr>
                    <w:t>台</w:t>
                  </w:r>
                </w:p>
              </w:tc>
              <w:tc>
                <w:tcPr>
                  <w:tcW w:w="1276" w:type="pct"/>
                  <w:vAlign w:val="center"/>
                </w:tcPr>
                <w:p>
                  <w:pPr>
                    <w:jc w:val="center"/>
                    <w:rPr>
                      <w:rFonts w:hint="eastAsia" w:eastAsia="宋体"/>
                      <w:color w:val="auto"/>
                      <w:sz w:val="21"/>
                      <w:szCs w:val="21"/>
                      <w:lang w:val="en-US" w:eastAsia="zh-CN"/>
                    </w:rPr>
                  </w:pPr>
                  <w:r>
                    <w:rPr>
                      <w:rFonts w:hint="eastAsia"/>
                      <w:color w:val="auto"/>
                      <w:sz w:val="21"/>
                      <w:szCs w:val="21"/>
                      <w:lang w:val="en-US" w:eastAsia="zh-CN"/>
                    </w:rPr>
                    <w:t>/</w:t>
                  </w:r>
                </w:p>
              </w:tc>
              <w:tc>
                <w:tcPr>
                  <w:tcW w:w="1276" w:type="pct"/>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9" w:type="pct"/>
                  <w:vAlign w:val="center"/>
                </w:tcPr>
                <w:p>
                  <w:pPr>
                    <w:jc w:val="center"/>
                    <w:rPr>
                      <w:color w:val="auto"/>
                      <w:sz w:val="21"/>
                      <w:szCs w:val="21"/>
                    </w:rPr>
                  </w:pPr>
                  <w:r>
                    <w:rPr>
                      <w:color w:val="auto"/>
                      <w:sz w:val="21"/>
                      <w:szCs w:val="21"/>
                    </w:rPr>
                    <w:t>11</w:t>
                  </w:r>
                </w:p>
              </w:tc>
              <w:tc>
                <w:tcPr>
                  <w:tcW w:w="1079" w:type="pct"/>
                  <w:vAlign w:val="center"/>
                </w:tcPr>
                <w:p>
                  <w:pPr>
                    <w:jc w:val="center"/>
                    <w:rPr>
                      <w:rFonts w:ascii="Times New Roman" w:hAnsi="Times New Roman" w:eastAsia="宋体" w:cs="Times New Roman"/>
                      <w:color w:val="auto"/>
                      <w:kern w:val="2"/>
                      <w:sz w:val="21"/>
                      <w:szCs w:val="21"/>
                      <w:lang w:val="en-US" w:eastAsia="zh-CN" w:bidi="ar-SA"/>
                    </w:rPr>
                  </w:pPr>
                  <w:r>
                    <w:rPr>
                      <w:color w:val="auto"/>
                      <w:sz w:val="21"/>
                      <w:szCs w:val="21"/>
                    </w:rPr>
                    <w:t>污泥回流泵</w:t>
                  </w:r>
                </w:p>
              </w:tc>
              <w:tc>
                <w:tcPr>
                  <w:tcW w:w="433" w:type="pct"/>
                  <w:vAlign w:val="center"/>
                </w:tcPr>
                <w:p>
                  <w:pPr>
                    <w:jc w:val="center"/>
                    <w:rPr>
                      <w:color w:val="auto"/>
                      <w:sz w:val="21"/>
                      <w:szCs w:val="21"/>
                    </w:rPr>
                  </w:pPr>
                  <w:r>
                    <w:rPr>
                      <w:color w:val="auto"/>
                      <w:sz w:val="21"/>
                      <w:szCs w:val="21"/>
                    </w:rPr>
                    <w:t>1</w:t>
                  </w:r>
                </w:p>
              </w:tc>
              <w:tc>
                <w:tcPr>
                  <w:tcW w:w="526" w:type="pct"/>
                  <w:vAlign w:val="center"/>
                </w:tcPr>
                <w:p>
                  <w:pPr>
                    <w:jc w:val="center"/>
                    <w:rPr>
                      <w:color w:val="auto"/>
                      <w:sz w:val="21"/>
                      <w:szCs w:val="21"/>
                    </w:rPr>
                  </w:pPr>
                  <w:r>
                    <w:rPr>
                      <w:color w:val="auto"/>
                      <w:sz w:val="21"/>
                      <w:szCs w:val="21"/>
                    </w:rPr>
                    <w:t>台</w:t>
                  </w:r>
                </w:p>
              </w:tc>
              <w:tc>
                <w:tcPr>
                  <w:tcW w:w="1276" w:type="pct"/>
                  <w:vAlign w:val="center"/>
                </w:tcPr>
                <w:p>
                  <w:pPr>
                    <w:jc w:val="center"/>
                    <w:rPr>
                      <w:rFonts w:hint="eastAsia" w:eastAsia="宋体"/>
                      <w:color w:val="auto"/>
                      <w:sz w:val="21"/>
                      <w:szCs w:val="21"/>
                      <w:lang w:val="en-US" w:eastAsia="zh-CN"/>
                    </w:rPr>
                  </w:pPr>
                  <w:r>
                    <w:rPr>
                      <w:rFonts w:hint="eastAsia"/>
                      <w:color w:val="auto"/>
                      <w:sz w:val="21"/>
                      <w:szCs w:val="21"/>
                      <w:lang w:val="en-US" w:eastAsia="zh-CN"/>
                    </w:rPr>
                    <w:t>/</w:t>
                  </w:r>
                </w:p>
              </w:tc>
              <w:tc>
                <w:tcPr>
                  <w:tcW w:w="1276" w:type="pct"/>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9" w:type="pct"/>
                  <w:vAlign w:val="center"/>
                </w:tcPr>
                <w:p>
                  <w:pPr>
                    <w:jc w:val="center"/>
                    <w:rPr>
                      <w:color w:val="auto"/>
                      <w:sz w:val="21"/>
                      <w:szCs w:val="21"/>
                    </w:rPr>
                  </w:pPr>
                  <w:r>
                    <w:rPr>
                      <w:color w:val="auto"/>
                      <w:sz w:val="21"/>
                      <w:szCs w:val="21"/>
                    </w:rPr>
                    <w:t>12</w:t>
                  </w:r>
                </w:p>
              </w:tc>
              <w:tc>
                <w:tcPr>
                  <w:tcW w:w="1079" w:type="pct"/>
                  <w:vAlign w:val="center"/>
                </w:tcPr>
                <w:p>
                  <w:pPr>
                    <w:jc w:val="center"/>
                    <w:rPr>
                      <w:rFonts w:ascii="Times New Roman" w:hAnsi="Times New Roman" w:eastAsia="宋体" w:cs="Times New Roman"/>
                      <w:color w:val="auto"/>
                      <w:kern w:val="2"/>
                      <w:sz w:val="21"/>
                      <w:szCs w:val="21"/>
                      <w:lang w:val="en-US" w:eastAsia="zh-CN" w:bidi="ar-SA"/>
                    </w:rPr>
                  </w:pPr>
                  <w:r>
                    <w:rPr>
                      <w:color w:val="auto"/>
                      <w:sz w:val="21"/>
                      <w:szCs w:val="21"/>
                    </w:rPr>
                    <w:t>除臭设备</w:t>
                  </w:r>
                </w:p>
              </w:tc>
              <w:tc>
                <w:tcPr>
                  <w:tcW w:w="433" w:type="pct"/>
                  <w:vAlign w:val="center"/>
                </w:tcPr>
                <w:p>
                  <w:pPr>
                    <w:jc w:val="center"/>
                    <w:rPr>
                      <w:color w:val="auto"/>
                      <w:sz w:val="21"/>
                      <w:szCs w:val="21"/>
                    </w:rPr>
                  </w:pPr>
                  <w:r>
                    <w:rPr>
                      <w:color w:val="auto"/>
                      <w:sz w:val="21"/>
                      <w:szCs w:val="21"/>
                    </w:rPr>
                    <w:t>1</w:t>
                  </w:r>
                </w:p>
              </w:tc>
              <w:tc>
                <w:tcPr>
                  <w:tcW w:w="526" w:type="pct"/>
                  <w:vAlign w:val="center"/>
                </w:tcPr>
                <w:p>
                  <w:pPr>
                    <w:jc w:val="center"/>
                    <w:rPr>
                      <w:color w:val="auto"/>
                      <w:sz w:val="21"/>
                      <w:szCs w:val="21"/>
                    </w:rPr>
                  </w:pPr>
                  <w:r>
                    <w:rPr>
                      <w:color w:val="auto"/>
                      <w:sz w:val="21"/>
                      <w:szCs w:val="21"/>
                    </w:rPr>
                    <w:t>套</w:t>
                  </w:r>
                </w:p>
              </w:tc>
              <w:tc>
                <w:tcPr>
                  <w:tcW w:w="1276" w:type="pct"/>
                  <w:vAlign w:val="center"/>
                </w:tcPr>
                <w:p>
                  <w:pPr>
                    <w:jc w:val="center"/>
                    <w:rPr>
                      <w:rFonts w:hint="eastAsia" w:eastAsia="宋体"/>
                      <w:color w:val="auto"/>
                      <w:sz w:val="21"/>
                      <w:szCs w:val="21"/>
                      <w:lang w:val="en-US" w:eastAsia="zh-CN"/>
                    </w:rPr>
                  </w:pPr>
                  <w:r>
                    <w:rPr>
                      <w:rFonts w:hint="eastAsia"/>
                      <w:color w:val="auto"/>
                      <w:sz w:val="21"/>
                      <w:szCs w:val="21"/>
                      <w:lang w:val="en-US" w:eastAsia="zh-CN"/>
                    </w:rPr>
                    <w:t>/</w:t>
                  </w:r>
                </w:p>
              </w:tc>
              <w:tc>
                <w:tcPr>
                  <w:tcW w:w="1276" w:type="pct"/>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9" w:type="pct"/>
                  <w:vAlign w:val="center"/>
                </w:tcPr>
                <w:p>
                  <w:pPr>
                    <w:jc w:val="center"/>
                    <w:rPr>
                      <w:color w:val="auto"/>
                      <w:sz w:val="21"/>
                      <w:szCs w:val="21"/>
                    </w:rPr>
                  </w:pPr>
                  <w:r>
                    <w:rPr>
                      <w:color w:val="auto"/>
                      <w:sz w:val="21"/>
                      <w:szCs w:val="21"/>
                    </w:rPr>
                    <w:t>13</w:t>
                  </w:r>
                </w:p>
              </w:tc>
              <w:tc>
                <w:tcPr>
                  <w:tcW w:w="1079" w:type="pct"/>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eastAsia="zh-CN"/>
                    </w:rPr>
                    <w:t>离心式污泥脱水机</w:t>
                  </w:r>
                </w:p>
              </w:tc>
              <w:tc>
                <w:tcPr>
                  <w:tcW w:w="433" w:type="pct"/>
                  <w:vAlign w:val="center"/>
                </w:tcPr>
                <w:p>
                  <w:pPr>
                    <w:jc w:val="center"/>
                    <w:rPr>
                      <w:color w:val="auto"/>
                      <w:sz w:val="21"/>
                      <w:szCs w:val="21"/>
                    </w:rPr>
                  </w:pPr>
                  <w:r>
                    <w:rPr>
                      <w:color w:val="auto"/>
                      <w:sz w:val="21"/>
                      <w:szCs w:val="21"/>
                    </w:rPr>
                    <w:t>1</w:t>
                  </w:r>
                </w:p>
              </w:tc>
              <w:tc>
                <w:tcPr>
                  <w:tcW w:w="526" w:type="pct"/>
                  <w:vAlign w:val="center"/>
                </w:tcPr>
                <w:p>
                  <w:pPr>
                    <w:jc w:val="center"/>
                    <w:rPr>
                      <w:color w:val="auto"/>
                      <w:sz w:val="21"/>
                      <w:szCs w:val="21"/>
                    </w:rPr>
                  </w:pPr>
                  <w:r>
                    <w:rPr>
                      <w:color w:val="auto"/>
                      <w:sz w:val="21"/>
                      <w:szCs w:val="21"/>
                    </w:rPr>
                    <w:t>套</w:t>
                  </w:r>
                </w:p>
              </w:tc>
              <w:tc>
                <w:tcPr>
                  <w:tcW w:w="1276" w:type="pct"/>
                  <w:vAlign w:val="center"/>
                </w:tcPr>
                <w:p>
                  <w:pPr>
                    <w:jc w:val="center"/>
                    <w:rPr>
                      <w:rFonts w:hint="eastAsia" w:eastAsia="宋体"/>
                      <w:color w:val="auto"/>
                      <w:sz w:val="21"/>
                      <w:szCs w:val="21"/>
                      <w:lang w:val="en-US" w:eastAsia="zh-CN"/>
                    </w:rPr>
                  </w:pPr>
                  <w:r>
                    <w:rPr>
                      <w:rFonts w:hint="eastAsia"/>
                      <w:color w:val="auto"/>
                      <w:sz w:val="21"/>
                      <w:szCs w:val="21"/>
                      <w:lang w:val="en-US" w:eastAsia="zh-CN"/>
                    </w:rPr>
                    <w:t>/</w:t>
                  </w:r>
                </w:p>
              </w:tc>
              <w:tc>
                <w:tcPr>
                  <w:tcW w:w="1276" w:type="pct"/>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w:t>
                  </w:r>
                </w:p>
              </w:tc>
            </w:tr>
          </w:tbl>
          <w:p>
            <w:pPr>
              <w:pStyle w:val="24"/>
              <w:keepNext w:val="0"/>
              <w:keepLines w:val="0"/>
              <w:pageBreakBefore w:val="0"/>
              <w:widowControl w:val="0"/>
              <w:kinsoku/>
              <w:wordWrap/>
              <w:overflowPunct/>
              <w:topLinePunct w:val="0"/>
              <w:autoSpaceDE/>
              <w:autoSpaceDN/>
              <w:bidi w:val="0"/>
              <w:adjustRightInd/>
              <w:snapToGrid/>
              <w:spacing w:before="157" w:beforeLines="50" w:after="0" w:line="360" w:lineRule="auto"/>
              <w:ind w:left="0" w:leftChars="0"/>
              <w:jc w:val="left"/>
              <w:textAlignment w:val="auto"/>
              <w:rPr>
                <w:color w:val="auto"/>
                <w:sz w:val="24"/>
                <w:szCs w:val="24"/>
              </w:rPr>
            </w:pPr>
            <w:r>
              <w:rPr>
                <w:color w:val="auto"/>
                <w:sz w:val="24"/>
                <w:szCs w:val="24"/>
              </w:rPr>
              <w:t>根据《排污许可证申请与核发技术规范 医疗机构》（HJ1105-2020）附录A表A.2</w:t>
            </w:r>
            <w:r>
              <w:rPr>
                <w:rFonts w:hint="eastAsia"/>
                <w:color w:val="auto"/>
                <w:sz w:val="24"/>
                <w:szCs w:val="24"/>
                <w:lang w:eastAsia="zh-CN"/>
              </w:rPr>
              <w:t>“</w:t>
            </w:r>
            <w:r>
              <w:rPr>
                <w:color w:val="auto"/>
                <w:sz w:val="24"/>
                <w:szCs w:val="24"/>
              </w:rPr>
              <w:t>医疗机构排污单位污水治理可行技术参照表</w:t>
            </w:r>
            <w:r>
              <w:rPr>
                <w:rFonts w:hint="eastAsia"/>
                <w:color w:val="auto"/>
                <w:sz w:val="24"/>
                <w:szCs w:val="24"/>
                <w:lang w:eastAsia="zh-CN"/>
              </w:rPr>
              <w:t>”</w:t>
            </w:r>
            <w:r>
              <w:rPr>
                <w:color w:val="auto"/>
                <w:sz w:val="24"/>
                <w:szCs w:val="24"/>
              </w:rPr>
              <w:t>，本项目属于医疗污水，推荐</w:t>
            </w:r>
            <w:r>
              <w:rPr>
                <w:rFonts w:hint="eastAsia"/>
                <w:color w:val="auto"/>
                <w:sz w:val="24"/>
                <w:szCs w:val="24"/>
                <w:lang w:eastAsia="zh-CN"/>
              </w:rPr>
              <w:t>“</w:t>
            </w:r>
            <w:r>
              <w:rPr>
                <w:color w:val="auto"/>
                <w:sz w:val="24"/>
                <w:szCs w:val="24"/>
              </w:rPr>
              <w:t>一级处理/一级强化处理+消毒工艺</w:t>
            </w:r>
            <w:r>
              <w:rPr>
                <w:rFonts w:hint="eastAsia"/>
                <w:color w:val="auto"/>
                <w:sz w:val="24"/>
                <w:szCs w:val="24"/>
                <w:lang w:eastAsia="zh-CN"/>
              </w:rPr>
              <w:t>”</w:t>
            </w:r>
            <w:r>
              <w:rPr>
                <w:color w:val="auto"/>
                <w:sz w:val="24"/>
                <w:szCs w:val="24"/>
              </w:rPr>
              <w:t>作为废水的污染防治可行技术。因此，建设项目污水处理站采用</w:t>
            </w:r>
            <w:r>
              <w:rPr>
                <w:rFonts w:hint="eastAsia"/>
                <w:color w:val="auto"/>
                <w:sz w:val="24"/>
                <w:szCs w:val="24"/>
                <w:lang w:eastAsia="zh-CN"/>
              </w:rPr>
              <w:t>“</w:t>
            </w:r>
            <w:r>
              <w:rPr>
                <w:color w:val="auto"/>
                <w:sz w:val="24"/>
                <w:szCs w:val="24"/>
              </w:rPr>
              <w:t>调节池+缺氧池+好氧池+</w:t>
            </w:r>
            <w:r>
              <w:rPr>
                <w:rFonts w:hint="eastAsia"/>
                <w:color w:val="auto"/>
                <w:sz w:val="24"/>
                <w:szCs w:val="24"/>
                <w:lang w:eastAsia="zh-CN"/>
              </w:rPr>
              <w:t>消毒”的处理工艺，</w:t>
            </w:r>
            <w:r>
              <w:rPr>
                <w:color w:val="auto"/>
                <w:sz w:val="24"/>
                <w:szCs w:val="24"/>
              </w:rPr>
              <w:t>污染治理措施可行。</w:t>
            </w:r>
          </w:p>
          <w:p>
            <w:pPr>
              <w:adjustRightInd w:val="0"/>
              <w:snapToGrid w:val="0"/>
              <w:spacing w:line="360" w:lineRule="auto"/>
              <w:ind w:firstLine="480" w:firstLineChars="200"/>
              <w:jc w:val="left"/>
              <w:rPr>
                <w:color w:val="auto"/>
                <w:kern w:val="0"/>
                <w:sz w:val="24"/>
                <w:szCs w:val="24"/>
              </w:rPr>
            </w:pPr>
            <w:r>
              <w:rPr>
                <w:color w:val="auto"/>
                <w:kern w:val="0"/>
                <w:sz w:val="24"/>
                <w:szCs w:val="24"/>
              </w:rPr>
              <w:t>（6）依托污水处理厂可行性分析</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①</w:t>
            </w:r>
            <w:r>
              <w:rPr>
                <w:rFonts w:hint="default" w:ascii="Times New Roman" w:hAnsi="Times New Roman" w:eastAsia="宋体" w:cs="Times New Roman"/>
                <w:color w:val="auto"/>
                <w:kern w:val="0"/>
                <w:sz w:val="24"/>
                <w:szCs w:val="24"/>
                <w:lang w:eastAsia="zh-CN"/>
              </w:rPr>
              <w:t>西安市第一污水处理</w:t>
            </w:r>
            <w:r>
              <w:rPr>
                <w:rFonts w:hint="default" w:ascii="Times New Roman" w:hAnsi="Times New Roman" w:eastAsia="宋体" w:cs="Times New Roman"/>
                <w:color w:val="auto"/>
                <w:kern w:val="0"/>
                <w:sz w:val="24"/>
                <w:szCs w:val="24"/>
              </w:rPr>
              <w:t>厂</w:t>
            </w:r>
            <w:r>
              <w:rPr>
                <w:rFonts w:hint="default" w:ascii="Times New Roman" w:hAnsi="Times New Roman" w:eastAsia="宋体" w:cs="Times New Roman"/>
                <w:color w:val="auto"/>
                <w:kern w:val="0"/>
                <w:sz w:val="24"/>
                <w:szCs w:val="24"/>
                <w:lang w:eastAsia="zh-CN"/>
              </w:rPr>
              <w:t>一期</w:t>
            </w:r>
            <w:r>
              <w:rPr>
                <w:rFonts w:hint="default" w:ascii="Times New Roman" w:hAnsi="Times New Roman" w:eastAsia="宋体" w:cs="Times New Roman"/>
                <w:color w:val="auto"/>
                <w:kern w:val="0"/>
                <w:sz w:val="24"/>
                <w:szCs w:val="24"/>
              </w:rPr>
              <w:t>简介</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kern w:val="0"/>
                <w:sz w:val="24"/>
                <w:szCs w:val="24"/>
                <w:lang w:eastAsia="zh-CN"/>
              </w:rPr>
              <w:t>西安市第一污水处理</w:t>
            </w:r>
            <w:r>
              <w:rPr>
                <w:rFonts w:hint="default" w:ascii="Times New Roman" w:hAnsi="Times New Roman" w:eastAsia="宋体" w:cs="Times New Roman"/>
                <w:color w:val="auto"/>
                <w:kern w:val="0"/>
                <w:sz w:val="24"/>
                <w:szCs w:val="24"/>
              </w:rPr>
              <w:t>厂</w:t>
            </w:r>
            <w:r>
              <w:rPr>
                <w:rFonts w:hint="default" w:ascii="Times New Roman" w:hAnsi="Times New Roman" w:eastAsia="宋体" w:cs="Times New Roman"/>
                <w:color w:val="auto"/>
                <w:kern w:val="0"/>
                <w:sz w:val="24"/>
                <w:szCs w:val="24"/>
                <w:lang w:eastAsia="zh-CN"/>
              </w:rPr>
              <w:t>一期</w:t>
            </w:r>
            <w:r>
              <w:rPr>
                <w:rFonts w:hint="default" w:ascii="Times New Roman" w:hAnsi="Times New Roman" w:eastAsia="宋体" w:cs="Times New Roman"/>
                <w:color w:val="auto"/>
                <w:sz w:val="24"/>
                <w:szCs w:val="24"/>
              </w:rPr>
              <w:t>厂址位于莲湖区大兴西路19号。主要服务范围为西安市环城西路以西、三桥皂河以东，南至大环河区域，服务面积41.68km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eastAsia="zh-CN"/>
              </w:rPr>
              <w:t>污染处理工艺为：</w:t>
            </w:r>
            <w:r>
              <w:rPr>
                <w:rFonts w:hint="default" w:ascii="Times New Roman" w:hAnsi="Times New Roman" w:eastAsia="宋体" w:cs="Times New Roman"/>
                <w:color w:val="auto"/>
                <w:sz w:val="24"/>
                <w:szCs w:val="24"/>
              </w:rPr>
              <w:t>多段多级AO除磷脱氮+微絮凝过滤</w:t>
            </w:r>
            <w:r>
              <w:rPr>
                <w:rFonts w:hint="default" w:ascii="Times New Roman" w:hAnsi="Times New Roman" w:eastAsia="宋体" w:cs="Times New Roman"/>
                <w:color w:val="auto"/>
                <w:sz w:val="24"/>
                <w:szCs w:val="24"/>
                <w:lang w:eastAsia="zh-CN"/>
              </w:rPr>
              <w:t>，处理规模为</w:t>
            </w:r>
            <w:r>
              <w:rPr>
                <w:rFonts w:hint="default" w:ascii="Times New Roman" w:hAnsi="Times New Roman" w:eastAsia="宋体" w:cs="Times New Roman"/>
                <w:color w:val="auto"/>
                <w:sz w:val="24"/>
                <w:szCs w:val="24"/>
              </w:rPr>
              <w:t>12×10</w:t>
            </w:r>
            <w:r>
              <w:rPr>
                <w:rFonts w:hint="default" w:ascii="Times New Roman" w:hAnsi="Times New Roman" w:eastAsia="宋体" w:cs="Times New Roman"/>
                <w:color w:val="auto"/>
                <w:sz w:val="24"/>
                <w:szCs w:val="24"/>
                <w:vertAlign w:val="superscript"/>
              </w:rPr>
              <w:t>4</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/d，，出水水质满足《城镇污水处理厂污染物排放标准》（GB18918-2002）一级A 排放标准排入皂河</w:t>
            </w:r>
            <w:r>
              <w:rPr>
                <w:rFonts w:hint="default" w:ascii="Times New Roman" w:hAnsi="Times New Roman" w:eastAsia="宋体" w:cs="Times New Roman"/>
                <w:color w:val="auto"/>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②处理工艺</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color w:val="auto"/>
                <w:kern w:val="0"/>
                <w:sz w:val="24"/>
                <w:szCs w:val="24"/>
              </w:rPr>
            </w:pPr>
            <w:r>
              <w:rPr>
                <w:rFonts w:hint="default" w:ascii="Times New Roman" w:hAnsi="Times New Roman" w:eastAsia="宋体" w:cs="Times New Roman"/>
                <w:color w:val="auto"/>
                <w:kern w:val="0"/>
                <w:sz w:val="24"/>
                <w:szCs w:val="24"/>
                <w:lang w:eastAsia="zh-CN"/>
              </w:rPr>
              <w:t>西安市第一污水处理</w:t>
            </w:r>
            <w:r>
              <w:rPr>
                <w:rFonts w:hint="default" w:ascii="Times New Roman" w:hAnsi="Times New Roman" w:eastAsia="宋体" w:cs="Times New Roman"/>
                <w:color w:val="auto"/>
                <w:kern w:val="0"/>
                <w:sz w:val="24"/>
                <w:szCs w:val="24"/>
              </w:rPr>
              <w:t>厂</w:t>
            </w:r>
            <w:r>
              <w:rPr>
                <w:rFonts w:hint="default" w:ascii="Times New Roman" w:hAnsi="Times New Roman" w:eastAsia="宋体" w:cs="Times New Roman"/>
                <w:color w:val="auto"/>
                <w:kern w:val="0"/>
                <w:sz w:val="24"/>
                <w:szCs w:val="24"/>
                <w:lang w:eastAsia="zh-CN"/>
              </w:rPr>
              <w:t>一期</w:t>
            </w:r>
            <w:r>
              <w:rPr>
                <w:rFonts w:hint="default" w:ascii="Times New Roman" w:hAnsi="Times New Roman" w:cs="Times New Roman"/>
                <w:color w:val="auto"/>
                <w:kern w:val="0"/>
                <w:sz w:val="24"/>
                <w:szCs w:val="24"/>
              </w:rPr>
              <w:t>采用</w:t>
            </w:r>
            <w:r>
              <w:rPr>
                <w:rFonts w:hint="default" w:ascii="Times New Roman" w:hAnsi="Times New Roman" w:eastAsia="宋体" w:cs="Times New Roman"/>
                <w:color w:val="auto"/>
                <w:sz w:val="24"/>
                <w:szCs w:val="24"/>
              </w:rPr>
              <w:t>多段多级AO除磷脱氮</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2段MBBR池+BBR池改造</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rPr>
              <w:t>+微絮凝过滤</w:t>
            </w:r>
            <w:r>
              <w:rPr>
                <w:rFonts w:hint="default" w:ascii="Times New Roman" w:hAnsi="Times New Roman" w:cs="Times New Roman"/>
                <w:color w:val="auto"/>
                <w:sz w:val="24"/>
                <w:szCs w:val="24"/>
                <w:lang w:val="en-US" w:eastAsia="zh-CN"/>
              </w:rPr>
              <w:t>+消毒</w:t>
            </w:r>
            <w:r>
              <w:rPr>
                <w:rFonts w:hint="default" w:ascii="Times New Roman" w:hAnsi="Times New Roman" w:cs="Times New Roman"/>
                <w:color w:val="auto"/>
                <w:kern w:val="0"/>
                <w:sz w:val="24"/>
                <w:szCs w:val="24"/>
              </w:rPr>
              <w:t>相结合的处理工艺。A</w:t>
            </w:r>
            <w:r>
              <w:rPr>
                <w:rFonts w:hint="default" w:ascii="Times New Roman" w:hAnsi="Times New Roman" w:cs="Times New Roman"/>
                <w:color w:val="auto"/>
                <w:kern w:val="0"/>
                <w:sz w:val="24"/>
                <w:szCs w:val="24"/>
                <w:vertAlign w:val="superscript"/>
              </w:rPr>
              <w:t>2</w:t>
            </w:r>
            <w:r>
              <w:rPr>
                <w:rFonts w:hint="default" w:ascii="Times New Roman" w:hAnsi="Times New Roman" w:cs="Times New Roman"/>
                <w:color w:val="auto"/>
                <w:kern w:val="0"/>
                <w:sz w:val="24"/>
                <w:szCs w:val="24"/>
              </w:rPr>
              <w:t>/O法又称AAO法，是一种常用的污水处理工艺，可用于二级污水处理或三级污水处理，以及中水回用，具有良好的脱氮除磷效果；主要分为下面三个单元：1、厌氧反应器，原污水与从沉淀池排出的含磷回流污泥同步进入，本反应器主要功能是释放磷，同时部分有机物进行氨化；2、缺氧反应器，首要功能是脱氮，硝态氮是通过内循环由好氧反应器送来的，循环的混合液量较大；3、好氧反应器—曝气池，这一反应单元是多功能的，去除BOD，硝化和吸收磷等均在此处进行</w:t>
            </w:r>
            <w:r>
              <w:rPr>
                <w:rFonts w:hint="default" w:ascii="Times New Roman" w:hAnsi="Times New Roman" w:cs="Times New Roman"/>
                <w:color w:val="auto"/>
                <w:kern w:val="0"/>
                <w:sz w:val="24"/>
                <w:szCs w:val="24"/>
                <w:lang w:eastAsia="zh-CN"/>
              </w:rPr>
              <w:t>；</w:t>
            </w:r>
            <w:r>
              <w:rPr>
                <w:rFonts w:hint="default" w:ascii="Times New Roman" w:hAnsi="Times New Roman" w:cs="Times New Roman"/>
                <w:color w:val="auto"/>
                <w:kern w:val="0"/>
                <w:sz w:val="24"/>
                <w:szCs w:val="24"/>
                <w:lang w:val="en-US" w:eastAsia="zh-CN"/>
              </w:rPr>
              <w:t>4、本项目消毒采用紫外消毒及次氯酸钠消毒</w:t>
            </w:r>
            <w:r>
              <w:rPr>
                <w:rFonts w:hint="default" w:ascii="Times New Roman" w:hAnsi="Times New Roman" w:cs="Times New Roman"/>
                <w:color w:val="auto"/>
                <w:kern w:val="0"/>
                <w:sz w:val="24"/>
                <w:szCs w:val="24"/>
              </w:rPr>
              <w:t>。可确保出水主要指标</w:t>
            </w:r>
            <w:r>
              <w:rPr>
                <w:rFonts w:hint="default" w:ascii="Times New Roman" w:hAnsi="Times New Roman" w:eastAsia="TimesNewRomanPSMT" w:cs="Times New Roman"/>
                <w:color w:val="auto"/>
                <w:sz w:val="24"/>
                <w:szCs w:val="24"/>
              </w:rPr>
              <w:t>TN</w:t>
            </w:r>
            <w:r>
              <w:rPr>
                <w:rFonts w:hint="default" w:ascii="Times New Roman" w:hAnsi="Times New Roman" w:eastAsia="宋体" w:cs="Times New Roman"/>
                <w:color w:val="auto"/>
                <w:sz w:val="24"/>
                <w:szCs w:val="24"/>
              </w:rPr>
              <w:t>执行西安市人民政府办公厅关于印发《西安市城镇污水处理厂再生水化提标改造和加盖</w:t>
            </w:r>
            <w:r>
              <w:rPr>
                <w:rFonts w:hint="eastAsia" w:cs="Times New Roman"/>
                <w:color w:val="auto"/>
                <w:sz w:val="24"/>
                <w:szCs w:val="24"/>
                <w:lang w:eastAsia="zh-CN"/>
              </w:rPr>
              <w:t>除臭</w:t>
            </w:r>
            <w:r>
              <w:rPr>
                <w:rFonts w:hint="default" w:ascii="Times New Roman" w:hAnsi="Times New Roman" w:eastAsia="宋体" w:cs="Times New Roman"/>
                <w:color w:val="auto"/>
                <w:sz w:val="24"/>
                <w:szCs w:val="24"/>
              </w:rPr>
              <w:t>工程三年行动方案（</w:t>
            </w:r>
            <w:r>
              <w:rPr>
                <w:rFonts w:hint="default" w:ascii="Times New Roman" w:hAnsi="Times New Roman" w:eastAsia="TimesNewRomanPSMT" w:cs="Times New Roman"/>
                <w:color w:val="auto"/>
                <w:sz w:val="24"/>
                <w:szCs w:val="24"/>
              </w:rPr>
              <w:t xml:space="preserve">2018-2020 </w:t>
            </w:r>
            <w:r>
              <w:rPr>
                <w:rFonts w:hint="default" w:ascii="Times New Roman" w:hAnsi="Times New Roman" w:eastAsia="宋体" w:cs="Times New Roman"/>
                <w:color w:val="auto"/>
                <w:sz w:val="24"/>
                <w:szCs w:val="24"/>
              </w:rPr>
              <w:t>年）》通知中准</w:t>
            </w:r>
            <w:r>
              <w:rPr>
                <w:rFonts w:hint="default" w:ascii="Times New Roman" w:hAnsi="Times New Roman" w:eastAsia="TimesNewRomanPSMT" w:cs="Times New Roman"/>
                <w:color w:val="auto"/>
                <w:sz w:val="24"/>
                <w:szCs w:val="24"/>
              </w:rPr>
              <w:t>Ⅳ</w:t>
            </w:r>
            <w:r>
              <w:rPr>
                <w:rFonts w:hint="default" w:ascii="Times New Roman" w:hAnsi="Times New Roman" w:eastAsia="宋体" w:cs="Times New Roman"/>
                <w:color w:val="auto"/>
                <w:sz w:val="24"/>
                <w:szCs w:val="24"/>
              </w:rPr>
              <w:t>类标准；</w:t>
            </w:r>
            <w:r>
              <w:rPr>
                <w:rFonts w:hint="default" w:ascii="Times New Roman" w:hAnsi="Times New Roman" w:eastAsia="TimesNewRomanPSMT" w:cs="Times New Roman"/>
                <w:color w:val="auto"/>
                <w:sz w:val="24"/>
                <w:szCs w:val="24"/>
              </w:rPr>
              <w:t>TP</w:t>
            </w:r>
            <w:r>
              <w:rPr>
                <w:rFonts w:hint="default" w:ascii="Times New Roman" w:hAnsi="Times New Roman" w:eastAsia="宋体" w:cs="Times New Roman"/>
                <w:color w:val="auto"/>
                <w:sz w:val="24"/>
                <w:szCs w:val="24"/>
              </w:rPr>
              <w:t>、</w:t>
            </w:r>
            <w:r>
              <w:rPr>
                <w:rFonts w:hint="default" w:ascii="Times New Roman" w:hAnsi="Times New Roman" w:eastAsia="TimesNewRomanPSMT" w:cs="Times New Roman"/>
                <w:color w:val="auto"/>
                <w:sz w:val="24"/>
                <w:szCs w:val="24"/>
              </w:rPr>
              <w:t>SS</w:t>
            </w:r>
            <w:r>
              <w:rPr>
                <w:rFonts w:hint="default" w:ascii="Times New Roman" w:hAnsi="Times New Roman" w:eastAsia="宋体" w:cs="Times New Roman"/>
                <w:color w:val="auto"/>
                <w:sz w:val="24"/>
                <w:szCs w:val="24"/>
              </w:rPr>
              <w:t>、</w:t>
            </w:r>
            <w:r>
              <w:rPr>
                <w:rFonts w:hint="default" w:ascii="Times New Roman" w:hAnsi="Times New Roman" w:eastAsia="TimesNewRomanPSMT" w:cs="Times New Roman"/>
                <w:color w:val="auto"/>
                <w:sz w:val="24"/>
                <w:szCs w:val="24"/>
              </w:rPr>
              <w:t>COD</w:t>
            </w:r>
            <w:r>
              <w:rPr>
                <w:rFonts w:hint="default" w:ascii="Times New Roman" w:hAnsi="Times New Roman" w:eastAsia="宋体" w:cs="Times New Roman"/>
                <w:color w:val="auto"/>
                <w:sz w:val="24"/>
                <w:szCs w:val="24"/>
              </w:rPr>
              <w:t>、</w:t>
            </w:r>
            <w:r>
              <w:rPr>
                <w:rFonts w:hint="default" w:ascii="Times New Roman" w:hAnsi="Times New Roman" w:eastAsia="TimesNewRomanPSMT" w:cs="Times New Roman"/>
                <w:color w:val="auto"/>
                <w:sz w:val="24"/>
                <w:szCs w:val="24"/>
              </w:rPr>
              <w:t>BOD</w:t>
            </w:r>
            <w:r>
              <w:rPr>
                <w:rFonts w:hint="default" w:ascii="Times New Roman" w:hAnsi="Times New Roman" w:eastAsia="TimesNewRomanPSMT" w:cs="Times New Roman"/>
                <w:color w:val="auto"/>
                <w:sz w:val="24"/>
                <w:szCs w:val="24"/>
                <w:vertAlign w:val="subscript"/>
              </w:rPr>
              <w:t>5</w:t>
            </w:r>
            <w:r>
              <w:rPr>
                <w:rFonts w:hint="default" w:ascii="Times New Roman" w:hAnsi="Times New Roman" w:eastAsia="宋体" w:cs="Times New Roman"/>
                <w:color w:val="auto"/>
                <w:sz w:val="24"/>
                <w:szCs w:val="24"/>
              </w:rPr>
              <w:t>、</w:t>
            </w:r>
            <w:r>
              <w:rPr>
                <w:rFonts w:hint="default" w:ascii="Times New Roman" w:hAnsi="Times New Roman" w:eastAsia="TimesNewRomanPSMT" w:cs="Times New Roman"/>
                <w:color w:val="auto"/>
                <w:sz w:val="24"/>
                <w:szCs w:val="24"/>
              </w:rPr>
              <w:t>NH</w:t>
            </w:r>
            <w:r>
              <w:rPr>
                <w:rFonts w:hint="default" w:ascii="Times New Roman" w:hAnsi="Times New Roman" w:eastAsia="TimesNewRomanPSMT" w:cs="Times New Roman"/>
                <w:color w:val="auto"/>
                <w:sz w:val="24"/>
                <w:szCs w:val="24"/>
                <w:vertAlign w:val="subscript"/>
              </w:rPr>
              <w:t>3</w:t>
            </w:r>
            <w:r>
              <w:rPr>
                <w:rFonts w:hint="default" w:ascii="Times New Roman" w:hAnsi="Times New Roman" w:eastAsia="TimesNewRomanPSMT" w:cs="Times New Roman"/>
                <w:color w:val="auto"/>
                <w:sz w:val="24"/>
                <w:szCs w:val="24"/>
              </w:rPr>
              <w:t xml:space="preserve">-N </w:t>
            </w:r>
            <w:r>
              <w:rPr>
                <w:rFonts w:hint="default" w:ascii="Times New Roman" w:hAnsi="Times New Roman" w:eastAsia="宋体" w:cs="Times New Roman"/>
                <w:color w:val="auto"/>
                <w:sz w:val="24"/>
                <w:szCs w:val="24"/>
              </w:rPr>
              <w:t>执行《陕西省黄河流域污水综合排放标准》（</w:t>
            </w:r>
            <w:r>
              <w:rPr>
                <w:rFonts w:hint="default" w:ascii="Times New Roman" w:hAnsi="Times New Roman" w:eastAsia="TimesNewRomanPSMT" w:cs="Times New Roman"/>
                <w:color w:val="auto"/>
                <w:sz w:val="24"/>
                <w:szCs w:val="24"/>
              </w:rPr>
              <w:t>DB61/224-2018</w:t>
            </w:r>
            <w:r>
              <w:rPr>
                <w:rFonts w:hint="default" w:ascii="Times New Roman" w:hAnsi="Times New Roman" w:eastAsia="宋体" w:cs="Times New Roman"/>
                <w:color w:val="auto"/>
                <w:sz w:val="24"/>
                <w:szCs w:val="24"/>
              </w:rPr>
              <w:t>）表</w:t>
            </w:r>
            <w:r>
              <w:rPr>
                <w:rFonts w:hint="default" w:ascii="Times New Roman" w:hAnsi="Times New Roman" w:eastAsia="TimesNewRomanPSMT" w:cs="Times New Roman"/>
                <w:color w:val="auto"/>
                <w:sz w:val="24"/>
                <w:szCs w:val="24"/>
              </w:rPr>
              <w:t xml:space="preserve">1 </w:t>
            </w:r>
            <w:r>
              <w:rPr>
                <w:rFonts w:hint="default" w:ascii="Times New Roman" w:hAnsi="Times New Roman" w:eastAsia="宋体" w:cs="Times New Roman"/>
                <w:color w:val="auto"/>
                <w:sz w:val="24"/>
                <w:szCs w:val="24"/>
              </w:rPr>
              <w:t>污水处理厂水污染物排放浓度限值</w:t>
            </w:r>
            <w:r>
              <w:rPr>
                <w:rFonts w:hint="eastAsia" w:ascii="Times New Roman" w:hAnsi="Times New Roman" w:eastAsia="宋体" w:cs="Times New Roman"/>
                <w:color w:val="auto"/>
                <w:sz w:val="24"/>
                <w:szCs w:val="24"/>
                <w:lang w:eastAsia="zh-CN"/>
              </w:rPr>
              <w:t>后排入皂河</w:t>
            </w:r>
            <w:r>
              <w:rPr>
                <w:rFonts w:hint="default" w:ascii="Times New Roman" w:hAnsi="Times New Roman" w:cs="Times New Roman"/>
                <w:color w:val="auto"/>
                <w:kern w:val="0"/>
                <w:sz w:val="24"/>
                <w:szCs w:val="24"/>
              </w:rPr>
              <w:t>。</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color w:val="auto"/>
                <w:kern w:val="0"/>
                <w:sz w:val="24"/>
                <w:szCs w:val="24"/>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0"/>
                <w:sz w:val="24"/>
                <w:szCs w:val="24"/>
              </w:rPr>
            </w:pPr>
            <w:r>
              <w:rPr>
                <w:color w:val="auto"/>
              </w:rPr>
              <w:drawing>
                <wp:inline distT="0" distB="0" distL="114300" distR="114300">
                  <wp:extent cx="5534025" cy="4101465"/>
                  <wp:effectExtent l="0" t="0" r="9525" b="13335"/>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17"/>
                          <a:stretch>
                            <a:fillRect/>
                          </a:stretch>
                        </pic:blipFill>
                        <pic:spPr>
                          <a:xfrm>
                            <a:off x="0" y="0"/>
                            <a:ext cx="5534025" cy="4101465"/>
                          </a:xfrm>
                          <a:prstGeom prst="rect">
                            <a:avLst/>
                          </a:prstGeom>
                          <a:noFill/>
                          <a:ln>
                            <a:noFill/>
                          </a:ln>
                        </pic:spPr>
                      </pic:pic>
                    </a:graphicData>
                  </a:graphic>
                </wp:inline>
              </w:drawing>
            </w:r>
          </w:p>
          <w:p>
            <w:pPr>
              <w:adjustRightInd w:val="0"/>
              <w:snapToGrid w:val="0"/>
              <w:spacing w:line="360" w:lineRule="auto"/>
              <w:jc w:val="center"/>
              <w:rPr>
                <w:b/>
                <w:color w:val="auto"/>
                <w:kern w:val="0"/>
                <w:sz w:val="21"/>
                <w:szCs w:val="21"/>
              </w:rPr>
            </w:pPr>
            <w:r>
              <w:rPr>
                <w:b/>
                <w:color w:val="auto"/>
                <w:kern w:val="0"/>
                <w:sz w:val="21"/>
                <w:szCs w:val="21"/>
              </w:rPr>
              <w:t>图4-3</w:t>
            </w:r>
            <w:r>
              <w:rPr>
                <w:rFonts w:hint="eastAsia"/>
                <w:b/>
                <w:color w:val="auto"/>
                <w:kern w:val="0"/>
                <w:sz w:val="21"/>
                <w:szCs w:val="21"/>
                <w:lang w:val="en-US" w:eastAsia="zh-CN"/>
              </w:rPr>
              <w:t xml:space="preserve">  </w:t>
            </w:r>
            <w:r>
              <w:rPr>
                <w:rFonts w:hint="eastAsia"/>
                <w:b/>
                <w:color w:val="auto"/>
                <w:kern w:val="0"/>
                <w:sz w:val="21"/>
                <w:szCs w:val="21"/>
                <w:lang w:eastAsia="zh-CN"/>
              </w:rPr>
              <w:t>西安市第一</w:t>
            </w:r>
            <w:r>
              <w:rPr>
                <w:b/>
                <w:color w:val="auto"/>
                <w:kern w:val="0"/>
                <w:sz w:val="21"/>
                <w:szCs w:val="21"/>
              </w:rPr>
              <w:t>污水处理厂一期工艺示意图</w:t>
            </w:r>
          </w:p>
          <w:p>
            <w:pPr>
              <w:pStyle w:val="55"/>
              <w:numPr>
                <w:ilvl w:val="0"/>
                <w:numId w:val="0"/>
              </w:numPr>
              <w:snapToGrid w:val="0"/>
              <w:spacing w:line="360" w:lineRule="auto"/>
              <w:ind w:left="643" w:leftChars="0"/>
              <w:jc w:val="left"/>
              <w:rPr>
                <w:color w:val="auto"/>
                <w:sz w:val="24"/>
                <w:szCs w:val="24"/>
              </w:rPr>
            </w:pPr>
            <w:r>
              <w:rPr>
                <w:rFonts w:hint="eastAsia"/>
                <w:color w:val="auto"/>
                <w:sz w:val="24"/>
                <w:szCs w:val="24"/>
                <w:lang w:eastAsia="zh-CN"/>
              </w:rPr>
              <w:t>③</w:t>
            </w:r>
            <w:r>
              <w:rPr>
                <w:color w:val="auto"/>
                <w:sz w:val="24"/>
                <w:szCs w:val="24"/>
              </w:rPr>
              <w:t>水量接管可行</w:t>
            </w:r>
          </w:p>
          <w:p>
            <w:pPr>
              <w:snapToGrid w:val="0"/>
              <w:spacing w:line="360" w:lineRule="auto"/>
              <w:ind w:firstLine="480" w:firstLineChars="200"/>
              <w:jc w:val="left"/>
              <w:rPr>
                <w:bCs/>
                <w:color w:val="auto"/>
                <w:sz w:val="24"/>
                <w:szCs w:val="24"/>
              </w:rPr>
            </w:pPr>
            <w:r>
              <w:rPr>
                <w:rFonts w:hint="eastAsia"/>
                <w:bCs/>
                <w:color w:val="auto"/>
                <w:sz w:val="24"/>
                <w:szCs w:val="24"/>
                <w:lang w:eastAsia="zh-CN"/>
              </w:rPr>
              <w:t>西安市第一</w:t>
            </w:r>
            <w:r>
              <w:rPr>
                <w:bCs/>
                <w:color w:val="auto"/>
                <w:sz w:val="24"/>
                <w:szCs w:val="24"/>
              </w:rPr>
              <w:t>污水处理厂一期目前处理量约</w:t>
            </w:r>
            <w:r>
              <w:rPr>
                <w:rFonts w:hint="eastAsia"/>
                <w:bCs/>
                <w:color w:val="auto"/>
                <w:sz w:val="24"/>
                <w:szCs w:val="24"/>
                <w:lang w:val="en-US" w:eastAsia="zh-CN"/>
              </w:rPr>
              <w:t>12</w:t>
            </w:r>
            <w:r>
              <w:rPr>
                <w:bCs/>
                <w:color w:val="auto"/>
                <w:sz w:val="24"/>
                <w:szCs w:val="24"/>
              </w:rPr>
              <w:t>万t/d，建设项目排放废水水量约为</w:t>
            </w:r>
            <w:r>
              <w:rPr>
                <w:rFonts w:hint="eastAsia"/>
                <w:bCs/>
                <w:color w:val="auto"/>
                <w:sz w:val="24"/>
                <w:szCs w:val="24"/>
                <w:lang w:eastAsia="zh-CN"/>
              </w:rPr>
              <w:t>11.35</w:t>
            </w:r>
            <w:r>
              <w:rPr>
                <w:bCs/>
                <w:color w:val="auto"/>
                <w:sz w:val="24"/>
                <w:szCs w:val="24"/>
              </w:rPr>
              <w:t>t/d，占</w:t>
            </w:r>
            <w:r>
              <w:rPr>
                <w:rFonts w:hint="eastAsia"/>
                <w:bCs/>
                <w:color w:val="auto"/>
                <w:sz w:val="24"/>
                <w:szCs w:val="24"/>
                <w:lang w:eastAsia="zh-CN"/>
              </w:rPr>
              <w:t>西安市第一</w:t>
            </w:r>
            <w:r>
              <w:rPr>
                <w:bCs/>
                <w:color w:val="auto"/>
                <w:sz w:val="24"/>
                <w:szCs w:val="24"/>
              </w:rPr>
              <w:t>污水处理厂一期日处理量的0.00</w:t>
            </w:r>
            <w:r>
              <w:rPr>
                <w:rFonts w:hint="eastAsia"/>
                <w:bCs/>
                <w:color w:val="auto"/>
                <w:sz w:val="24"/>
                <w:szCs w:val="24"/>
                <w:lang w:val="en-US" w:eastAsia="zh-CN"/>
              </w:rPr>
              <w:t>9</w:t>
            </w:r>
            <w:r>
              <w:rPr>
                <w:bCs/>
                <w:color w:val="auto"/>
                <w:sz w:val="24"/>
                <w:szCs w:val="24"/>
              </w:rPr>
              <w:t>%，可被接纳。因此，建设项目污水接管</w:t>
            </w:r>
            <w:r>
              <w:rPr>
                <w:rFonts w:hint="eastAsia"/>
                <w:bCs/>
                <w:color w:val="auto"/>
                <w:sz w:val="24"/>
                <w:szCs w:val="24"/>
                <w:lang w:eastAsia="zh-CN"/>
              </w:rPr>
              <w:t>西安市第一</w:t>
            </w:r>
            <w:r>
              <w:rPr>
                <w:bCs/>
                <w:color w:val="auto"/>
                <w:sz w:val="24"/>
                <w:szCs w:val="24"/>
              </w:rPr>
              <w:t>污水处理厂一期对其正常运营影响较小，污水集中处理后对周围水环境影响较小。</w:t>
            </w:r>
          </w:p>
          <w:p>
            <w:pPr>
              <w:adjustRightInd w:val="0"/>
              <w:snapToGrid w:val="0"/>
              <w:spacing w:line="360" w:lineRule="auto"/>
              <w:ind w:firstLine="480" w:firstLineChars="200"/>
              <w:jc w:val="left"/>
              <w:rPr>
                <w:color w:val="auto"/>
                <w:sz w:val="24"/>
                <w:szCs w:val="24"/>
              </w:rPr>
            </w:pPr>
            <w:r>
              <w:rPr>
                <w:rFonts w:hint="eastAsia" w:ascii="宋体" w:hAnsi="宋体" w:cs="宋体"/>
                <w:color w:val="auto"/>
                <w:sz w:val="24"/>
                <w:szCs w:val="24"/>
              </w:rPr>
              <w:t>④</w:t>
            </w:r>
            <w:r>
              <w:rPr>
                <w:color w:val="auto"/>
                <w:sz w:val="24"/>
                <w:szCs w:val="24"/>
              </w:rPr>
              <w:t>水质接管可行</w:t>
            </w:r>
          </w:p>
          <w:p>
            <w:pPr>
              <w:spacing w:line="360" w:lineRule="auto"/>
              <w:ind w:firstLine="480" w:firstLineChars="200"/>
              <w:jc w:val="left"/>
              <w:rPr>
                <w:color w:val="auto"/>
                <w:sz w:val="24"/>
                <w:szCs w:val="24"/>
              </w:rPr>
            </w:pPr>
            <w:r>
              <w:rPr>
                <w:color w:val="auto"/>
                <w:sz w:val="24"/>
                <w:szCs w:val="24"/>
              </w:rPr>
              <w:t>本项目雨、污水分别接管进入市政雨、污水管网，污水经相应措施处理后，可达</w:t>
            </w:r>
            <w:r>
              <w:rPr>
                <w:rFonts w:hint="eastAsia"/>
                <w:bCs/>
                <w:color w:val="auto"/>
                <w:sz w:val="24"/>
                <w:szCs w:val="24"/>
                <w:lang w:eastAsia="zh-CN"/>
              </w:rPr>
              <w:t>西安市第一</w:t>
            </w:r>
            <w:r>
              <w:rPr>
                <w:bCs/>
                <w:color w:val="auto"/>
                <w:sz w:val="24"/>
                <w:szCs w:val="24"/>
              </w:rPr>
              <w:t>污水处理厂一期</w:t>
            </w:r>
            <w:r>
              <w:rPr>
                <w:color w:val="auto"/>
                <w:sz w:val="24"/>
                <w:szCs w:val="24"/>
              </w:rPr>
              <w:t>的接管要求，污水经</w:t>
            </w:r>
            <w:r>
              <w:rPr>
                <w:rFonts w:hint="eastAsia"/>
                <w:bCs/>
                <w:color w:val="auto"/>
                <w:sz w:val="24"/>
                <w:szCs w:val="24"/>
                <w:lang w:eastAsia="zh-CN"/>
              </w:rPr>
              <w:t>西安市第一</w:t>
            </w:r>
            <w:r>
              <w:rPr>
                <w:bCs/>
                <w:color w:val="auto"/>
                <w:sz w:val="24"/>
                <w:szCs w:val="24"/>
              </w:rPr>
              <w:t>污水处理厂一期</w:t>
            </w:r>
            <w:r>
              <w:rPr>
                <w:color w:val="auto"/>
                <w:sz w:val="24"/>
                <w:szCs w:val="24"/>
              </w:rPr>
              <w:t>处理后达标排放，对周围水环境影响较小。</w:t>
            </w:r>
          </w:p>
          <w:p>
            <w:pPr>
              <w:spacing w:line="360" w:lineRule="auto"/>
              <w:ind w:firstLine="420" w:firstLineChars="175"/>
              <w:jc w:val="left"/>
              <w:outlineLvl w:val="2"/>
              <w:rPr>
                <w:color w:val="auto"/>
                <w:sz w:val="24"/>
                <w:szCs w:val="24"/>
              </w:rPr>
            </w:pPr>
            <w:r>
              <w:rPr>
                <w:rFonts w:hint="eastAsia" w:ascii="宋体" w:hAnsi="宋体" w:cs="宋体"/>
                <w:color w:val="auto"/>
                <w:sz w:val="24"/>
                <w:szCs w:val="24"/>
              </w:rPr>
              <w:t>⑤</w:t>
            </w:r>
            <w:r>
              <w:rPr>
                <w:color w:val="auto"/>
                <w:sz w:val="24"/>
                <w:szCs w:val="24"/>
              </w:rPr>
              <w:t>管网配套</w:t>
            </w:r>
          </w:p>
          <w:p>
            <w:pPr>
              <w:spacing w:line="360" w:lineRule="auto"/>
              <w:ind w:firstLine="480" w:firstLineChars="200"/>
              <w:jc w:val="left"/>
              <w:rPr>
                <w:color w:val="auto"/>
                <w:sz w:val="24"/>
                <w:szCs w:val="24"/>
              </w:rPr>
            </w:pPr>
            <w:r>
              <w:rPr>
                <w:color w:val="auto"/>
                <w:sz w:val="24"/>
                <w:szCs w:val="24"/>
              </w:rPr>
              <w:t>本项目位于</w:t>
            </w:r>
            <w:r>
              <w:rPr>
                <w:rFonts w:hint="eastAsia"/>
                <w:color w:val="auto"/>
                <w:sz w:val="24"/>
                <w:szCs w:val="24"/>
                <w:lang w:eastAsia="zh-CN"/>
              </w:rPr>
              <w:t>陕西省西安市莲湖区环城西路玉祥门盘道东南角</w:t>
            </w:r>
            <w:r>
              <w:rPr>
                <w:color w:val="auto"/>
                <w:sz w:val="24"/>
                <w:szCs w:val="24"/>
              </w:rPr>
              <w:t>，位于</w:t>
            </w:r>
            <w:r>
              <w:rPr>
                <w:rFonts w:hint="eastAsia"/>
                <w:bCs/>
                <w:color w:val="auto"/>
                <w:sz w:val="24"/>
                <w:szCs w:val="24"/>
                <w:lang w:eastAsia="zh-CN"/>
              </w:rPr>
              <w:t>西安市第一</w:t>
            </w:r>
            <w:r>
              <w:rPr>
                <w:bCs/>
                <w:color w:val="auto"/>
                <w:sz w:val="24"/>
                <w:szCs w:val="24"/>
              </w:rPr>
              <w:t>污水处理厂一期</w:t>
            </w:r>
            <w:r>
              <w:rPr>
                <w:color w:val="auto"/>
                <w:sz w:val="24"/>
                <w:szCs w:val="24"/>
              </w:rPr>
              <w:t>污水管网覆盖范围内，目前，项目所在地区域管网已铺设到位。</w:t>
            </w:r>
          </w:p>
          <w:p>
            <w:pPr>
              <w:spacing w:line="360" w:lineRule="auto"/>
              <w:ind w:firstLine="480" w:firstLineChars="200"/>
              <w:jc w:val="left"/>
              <w:rPr>
                <w:color w:val="auto"/>
                <w:sz w:val="24"/>
                <w:szCs w:val="24"/>
              </w:rPr>
            </w:pPr>
            <w:r>
              <w:rPr>
                <w:color w:val="auto"/>
                <w:sz w:val="24"/>
                <w:szCs w:val="24"/>
              </w:rPr>
              <w:t>从以上的分析可知，项目废水接入</w:t>
            </w:r>
            <w:r>
              <w:rPr>
                <w:rFonts w:hint="eastAsia"/>
                <w:bCs/>
                <w:color w:val="auto"/>
                <w:sz w:val="24"/>
                <w:szCs w:val="24"/>
                <w:lang w:eastAsia="zh-CN"/>
              </w:rPr>
              <w:t>西安市第一</w:t>
            </w:r>
            <w:r>
              <w:rPr>
                <w:bCs/>
                <w:color w:val="auto"/>
                <w:sz w:val="24"/>
                <w:szCs w:val="24"/>
              </w:rPr>
              <w:t>污水处理厂一期</w:t>
            </w:r>
            <w:r>
              <w:rPr>
                <w:color w:val="auto"/>
                <w:sz w:val="24"/>
                <w:szCs w:val="24"/>
              </w:rPr>
              <w:t>处理是可行的。</w:t>
            </w:r>
          </w:p>
          <w:p>
            <w:pPr>
              <w:spacing w:line="360" w:lineRule="auto"/>
              <w:ind w:firstLine="480" w:firstLineChars="200"/>
              <w:jc w:val="left"/>
              <w:rPr>
                <w:color w:val="auto"/>
                <w:sz w:val="24"/>
                <w:szCs w:val="24"/>
              </w:rPr>
            </w:pPr>
            <w:r>
              <w:rPr>
                <w:color w:val="auto"/>
                <w:sz w:val="24"/>
                <w:szCs w:val="24"/>
              </w:rPr>
              <w:t>（7）地表水环境影响评价结论</w:t>
            </w:r>
          </w:p>
          <w:p>
            <w:pPr>
              <w:adjustRightInd w:val="0"/>
              <w:snapToGrid w:val="0"/>
              <w:spacing w:line="360" w:lineRule="auto"/>
              <w:ind w:firstLine="480" w:firstLineChars="200"/>
              <w:jc w:val="left"/>
              <w:rPr>
                <w:color w:val="auto"/>
                <w:sz w:val="24"/>
                <w:szCs w:val="24"/>
              </w:rPr>
            </w:pPr>
            <w:r>
              <w:rPr>
                <w:color w:val="auto"/>
                <w:sz w:val="24"/>
                <w:szCs w:val="24"/>
              </w:rPr>
              <w:t>本项目位于受纳水体环境质量达标区域，</w:t>
            </w:r>
            <w:r>
              <w:rPr>
                <w:bCs/>
                <w:color w:val="auto"/>
                <w:sz w:val="24"/>
                <w:szCs w:val="24"/>
              </w:rPr>
              <w:t>运营期</w:t>
            </w:r>
            <w:r>
              <w:rPr>
                <w:color w:val="auto"/>
                <w:sz w:val="24"/>
                <w:szCs w:val="24"/>
              </w:rPr>
              <w:t>本项目行政办公人员生活废水</w:t>
            </w:r>
            <w:r>
              <w:rPr>
                <w:rFonts w:hint="eastAsia"/>
                <w:color w:val="auto"/>
                <w:sz w:val="24"/>
                <w:szCs w:val="24"/>
                <w:lang w:eastAsia="zh-CN"/>
              </w:rPr>
              <w:t>、</w:t>
            </w:r>
            <w:r>
              <w:rPr>
                <w:color w:val="auto"/>
                <w:sz w:val="24"/>
                <w:szCs w:val="24"/>
              </w:rPr>
              <w:t>医护人员生活污水、病房废水经化粪池预处理后</w:t>
            </w:r>
            <w:r>
              <w:rPr>
                <w:bCs/>
                <w:color w:val="auto"/>
                <w:sz w:val="24"/>
                <w:szCs w:val="24"/>
              </w:rPr>
              <w:t>，</w:t>
            </w:r>
            <w:r>
              <w:rPr>
                <w:rFonts w:hint="eastAsia"/>
                <w:bCs/>
                <w:color w:val="auto"/>
                <w:sz w:val="24"/>
                <w:szCs w:val="24"/>
              </w:rPr>
              <w:t>与检验废水</w:t>
            </w:r>
            <w:r>
              <w:rPr>
                <w:rFonts w:hint="eastAsia"/>
                <w:bCs/>
                <w:color w:val="auto"/>
                <w:sz w:val="24"/>
                <w:szCs w:val="24"/>
                <w:lang w:eastAsia="zh-CN"/>
              </w:rPr>
              <w:t>、门诊废水</w:t>
            </w:r>
            <w:r>
              <w:rPr>
                <w:color w:val="auto"/>
                <w:sz w:val="24"/>
                <w:szCs w:val="24"/>
              </w:rPr>
              <w:t>一同经污水处理站预处理后接入市政污水管网。</w:t>
            </w:r>
            <w:r>
              <w:rPr>
                <w:bCs/>
                <w:color w:val="auto"/>
                <w:sz w:val="24"/>
                <w:szCs w:val="24"/>
              </w:rPr>
              <w:t>各类污水</w:t>
            </w:r>
            <w:r>
              <w:rPr>
                <w:color w:val="auto"/>
                <w:sz w:val="24"/>
                <w:szCs w:val="24"/>
              </w:rPr>
              <w:t>经相应措施处理后，总排口综合污水水质达《医疗机构水污染物排放标准》（GB18466-2005）表2预处理标准和《污水排入城镇下水道水质标准》（GB/T31962-2015）表1中</w:t>
            </w:r>
            <w:r>
              <w:rPr>
                <w:rFonts w:hint="eastAsia"/>
                <w:color w:val="auto"/>
                <w:sz w:val="24"/>
                <w:szCs w:val="24"/>
                <w:lang w:val="en-US" w:eastAsia="zh-CN"/>
              </w:rPr>
              <w:t>B</w:t>
            </w:r>
            <w:r>
              <w:rPr>
                <w:color w:val="auto"/>
                <w:sz w:val="24"/>
                <w:szCs w:val="24"/>
              </w:rPr>
              <w:t>级标准，通过市政污水管网接管至</w:t>
            </w:r>
            <w:r>
              <w:rPr>
                <w:rFonts w:hint="eastAsia"/>
                <w:bCs/>
                <w:color w:val="auto"/>
                <w:sz w:val="24"/>
                <w:szCs w:val="24"/>
                <w:lang w:eastAsia="zh-CN"/>
              </w:rPr>
              <w:t>西安市第一污水处理厂一期</w:t>
            </w:r>
            <w:r>
              <w:rPr>
                <w:color w:val="auto"/>
                <w:sz w:val="24"/>
                <w:szCs w:val="24"/>
              </w:rPr>
              <w:t>处理，尾水排</w:t>
            </w:r>
            <w:r>
              <w:rPr>
                <w:snapToGrid w:val="0"/>
                <w:color w:val="auto"/>
                <w:kern w:val="0"/>
                <w:sz w:val="24"/>
                <w:szCs w:val="24"/>
              </w:rPr>
              <w:t>入</w:t>
            </w:r>
            <w:r>
              <w:rPr>
                <w:rFonts w:hint="eastAsia"/>
                <w:bCs/>
                <w:color w:val="auto"/>
                <w:sz w:val="24"/>
                <w:szCs w:val="24"/>
                <w:lang w:eastAsia="zh-CN"/>
              </w:rPr>
              <w:t>皂河</w:t>
            </w:r>
            <w:r>
              <w:rPr>
                <w:snapToGrid w:val="0"/>
                <w:color w:val="auto"/>
                <w:kern w:val="0"/>
                <w:sz w:val="24"/>
                <w:szCs w:val="24"/>
              </w:rPr>
              <w:t>。项目废水经预处理后满足</w:t>
            </w:r>
            <w:r>
              <w:rPr>
                <w:rFonts w:hint="eastAsia"/>
                <w:bCs/>
                <w:color w:val="auto"/>
                <w:sz w:val="24"/>
                <w:szCs w:val="24"/>
                <w:lang w:eastAsia="zh-CN"/>
              </w:rPr>
              <w:t>西安市第一污水处理厂一期</w:t>
            </w:r>
            <w:r>
              <w:rPr>
                <w:snapToGrid w:val="0"/>
                <w:color w:val="auto"/>
                <w:kern w:val="0"/>
                <w:sz w:val="24"/>
                <w:szCs w:val="24"/>
              </w:rPr>
              <w:t>接管标准的要求，从水质水量、接管标准及建设进度等方面综合考虑，项目废水接管至</w:t>
            </w:r>
            <w:r>
              <w:rPr>
                <w:rFonts w:hint="eastAsia"/>
                <w:bCs/>
                <w:color w:val="auto"/>
                <w:sz w:val="24"/>
                <w:szCs w:val="24"/>
                <w:lang w:eastAsia="zh-CN"/>
              </w:rPr>
              <w:t>西安市第一污水处理厂一期</w:t>
            </w:r>
            <w:r>
              <w:rPr>
                <w:snapToGrid w:val="0"/>
                <w:color w:val="auto"/>
                <w:kern w:val="0"/>
                <w:sz w:val="24"/>
                <w:szCs w:val="24"/>
              </w:rPr>
              <w:t>处理是可行的。因此，项目对地表水环境的影响可以接受。</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left"/>
              <w:textAlignment w:val="auto"/>
              <w:rPr>
                <w:b/>
                <w:bCs/>
                <w:color w:val="auto"/>
                <w:kern w:val="0"/>
                <w:sz w:val="24"/>
                <w:szCs w:val="24"/>
              </w:rPr>
            </w:pPr>
            <w:r>
              <w:rPr>
                <w:b/>
                <w:bCs/>
                <w:color w:val="auto"/>
                <w:kern w:val="0"/>
                <w:sz w:val="24"/>
                <w:szCs w:val="24"/>
              </w:rPr>
              <w:t>3、噪声</w:t>
            </w:r>
          </w:p>
          <w:p>
            <w:pPr>
              <w:adjustRightInd w:val="0"/>
              <w:snapToGrid w:val="0"/>
              <w:spacing w:line="360" w:lineRule="auto"/>
              <w:ind w:firstLine="480" w:firstLineChars="200"/>
              <w:rPr>
                <w:color w:val="auto"/>
                <w:sz w:val="24"/>
                <w:szCs w:val="24"/>
              </w:rPr>
            </w:pPr>
            <w:r>
              <w:rPr>
                <w:rFonts w:hint="eastAsia"/>
                <w:color w:val="auto"/>
                <w:sz w:val="24"/>
                <w:szCs w:val="24"/>
                <w:lang w:eastAsia="zh-CN"/>
              </w:rPr>
              <w:t>（</w:t>
            </w:r>
            <w:r>
              <w:rPr>
                <w:rFonts w:hint="eastAsia"/>
                <w:color w:val="auto"/>
                <w:sz w:val="24"/>
                <w:szCs w:val="24"/>
                <w:lang w:val="en-US" w:eastAsia="zh-CN"/>
              </w:rPr>
              <w:t>1</w:t>
            </w:r>
            <w:r>
              <w:rPr>
                <w:rFonts w:hint="eastAsia"/>
                <w:color w:val="auto"/>
                <w:sz w:val="24"/>
                <w:szCs w:val="24"/>
                <w:lang w:eastAsia="zh-CN"/>
              </w:rPr>
              <w:t>）</w:t>
            </w:r>
            <w:r>
              <w:rPr>
                <w:color w:val="auto"/>
                <w:sz w:val="24"/>
                <w:szCs w:val="24"/>
              </w:rPr>
              <w:t>噪声源及降噪情况</w:t>
            </w:r>
          </w:p>
          <w:p>
            <w:pPr>
              <w:snapToGrid w:val="0"/>
              <w:spacing w:line="360" w:lineRule="auto"/>
              <w:ind w:firstLine="480" w:firstLineChars="200"/>
              <w:rPr>
                <w:color w:val="auto"/>
                <w:sz w:val="24"/>
                <w:szCs w:val="24"/>
              </w:rPr>
            </w:pPr>
            <w:r>
              <w:rPr>
                <w:color w:val="auto"/>
                <w:sz w:val="24"/>
                <w:szCs w:val="24"/>
              </w:rPr>
              <w:t>建设项目噪声源主要为污水处理站水泵</w:t>
            </w:r>
            <w:r>
              <w:rPr>
                <w:rFonts w:hint="eastAsia"/>
                <w:color w:val="auto"/>
                <w:sz w:val="24"/>
                <w:szCs w:val="24"/>
                <w:lang w:eastAsia="zh-CN"/>
              </w:rPr>
              <w:t>、风机</w:t>
            </w:r>
            <w:r>
              <w:rPr>
                <w:color w:val="auto"/>
                <w:sz w:val="24"/>
                <w:szCs w:val="24"/>
              </w:rPr>
              <w:t>以及空调外机产生的噪声，噪声设备声压级值约75-85dB（A）。</w:t>
            </w:r>
          </w:p>
          <w:p>
            <w:pPr>
              <w:snapToGrid w:val="0"/>
              <w:spacing w:line="360" w:lineRule="auto"/>
              <w:ind w:firstLine="480" w:firstLineChars="200"/>
              <w:rPr>
                <w:color w:val="auto"/>
                <w:sz w:val="24"/>
                <w:szCs w:val="24"/>
                <w:lang w:val="zh-CN" w:eastAsia="zh-CN"/>
              </w:rPr>
            </w:pPr>
            <w:r>
              <w:rPr>
                <w:rFonts w:hint="eastAsia"/>
                <w:color w:val="auto"/>
                <w:sz w:val="24"/>
                <w:szCs w:val="24"/>
                <w:lang w:val="zh-CN" w:eastAsia="zh-CN"/>
              </w:rPr>
              <w:t>①</w:t>
            </w:r>
            <w:r>
              <w:rPr>
                <w:color w:val="auto"/>
                <w:sz w:val="24"/>
                <w:szCs w:val="24"/>
                <w:lang w:val="zh-CN" w:eastAsia="zh-CN"/>
              </w:rPr>
              <w:t>控制设备噪声</w:t>
            </w:r>
          </w:p>
          <w:p>
            <w:pPr>
              <w:snapToGrid w:val="0"/>
              <w:spacing w:line="360" w:lineRule="auto"/>
              <w:ind w:firstLine="480" w:firstLineChars="200"/>
              <w:rPr>
                <w:color w:val="auto"/>
                <w:sz w:val="24"/>
                <w:szCs w:val="24"/>
                <w:lang w:val="zh-CN" w:eastAsia="zh-CN"/>
              </w:rPr>
            </w:pPr>
            <w:r>
              <w:rPr>
                <w:color w:val="auto"/>
                <w:sz w:val="24"/>
                <w:szCs w:val="24"/>
                <w:lang w:val="zh-CN" w:eastAsia="zh-CN"/>
              </w:rPr>
              <w:t>在设备选型时选用先进的低噪声设备,在满足工艺设计的前提下，尽量选用满足国际标准的低噪声、低振动型号的设备，降低噪声源强。</w:t>
            </w:r>
          </w:p>
          <w:p>
            <w:pPr>
              <w:snapToGrid w:val="0"/>
              <w:spacing w:line="360" w:lineRule="auto"/>
              <w:ind w:firstLine="480" w:firstLineChars="200"/>
              <w:rPr>
                <w:color w:val="auto"/>
                <w:sz w:val="24"/>
                <w:szCs w:val="24"/>
                <w:lang w:val="zh-CN" w:eastAsia="zh-CN"/>
              </w:rPr>
            </w:pPr>
            <w:r>
              <w:rPr>
                <w:rFonts w:hint="eastAsia"/>
                <w:color w:val="auto"/>
                <w:sz w:val="24"/>
                <w:szCs w:val="24"/>
                <w:lang w:val="zh-CN" w:eastAsia="zh-CN"/>
              </w:rPr>
              <w:t>②</w:t>
            </w:r>
            <w:r>
              <w:rPr>
                <w:color w:val="auto"/>
                <w:sz w:val="24"/>
                <w:szCs w:val="24"/>
                <w:lang w:val="zh-CN" w:eastAsia="zh-CN"/>
              </w:rPr>
              <w:t>设备减振、</w:t>
            </w:r>
            <w:r>
              <w:rPr>
                <w:rFonts w:hint="eastAsia"/>
                <w:color w:val="auto"/>
                <w:sz w:val="24"/>
                <w:szCs w:val="24"/>
                <w:lang w:val="zh-CN" w:eastAsia="zh-CN"/>
              </w:rPr>
              <w:t>降噪</w:t>
            </w:r>
          </w:p>
          <w:p>
            <w:pPr>
              <w:snapToGrid w:val="0"/>
              <w:spacing w:line="360" w:lineRule="auto"/>
              <w:ind w:firstLine="480" w:firstLineChars="200"/>
              <w:rPr>
                <w:color w:val="auto"/>
                <w:sz w:val="24"/>
                <w:szCs w:val="24"/>
                <w:lang w:val="zh-CN" w:eastAsia="zh-CN"/>
              </w:rPr>
            </w:pPr>
            <w:r>
              <w:rPr>
                <w:color w:val="auto"/>
                <w:sz w:val="24"/>
                <w:szCs w:val="24"/>
                <w:lang w:val="zh-CN" w:eastAsia="zh-CN"/>
              </w:rPr>
              <w:t>高噪声设备安装减震底座，设计降噪量达15dB(A)左右。</w:t>
            </w:r>
          </w:p>
          <w:p>
            <w:pPr>
              <w:snapToGrid w:val="0"/>
              <w:spacing w:line="360" w:lineRule="auto"/>
              <w:ind w:firstLine="480" w:firstLineChars="200"/>
              <w:rPr>
                <w:color w:val="auto"/>
                <w:sz w:val="24"/>
                <w:szCs w:val="24"/>
                <w:lang w:val="zh-CN" w:eastAsia="zh-CN"/>
              </w:rPr>
            </w:pPr>
            <w:r>
              <w:rPr>
                <w:rFonts w:hint="eastAsia"/>
                <w:color w:val="auto"/>
                <w:sz w:val="24"/>
                <w:szCs w:val="24"/>
                <w:lang w:val="zh-CN" w:eastAsia="zh-CN"/>
              </w:rPr>
              <w:t>③</w:t>
            </w:r>
            <w:r>
              <w:rPr>
                <w:color w:val="auto"/>
                <w:sz w:val="24"/>
                <w:szCs w:val="24"/>
                <w:lang w:val="zh-CN" w:eastAsia="zh-CN"/>
              </w:rPr>
              <w:t>加强建筑物隔声措施</w:t>
            </w:r>
          </w:p>
          <w:p>
            <w:pPr>
              <w:snapToGrid w:val="0"/>
              <w:spacing w:line="360" w:lineRule="auto"/>
              <w:ind w:firstLine="480" w:firstLineChars="200"/>
              <w:rPr>
                <w:color w:val="auto"/>
                <w:sz w:val="24"/>
                <w:szCs w:val="24"/>
                <w:lang w:val="zh-CN" w:eastAsia="zh-CN"/>
              </w:rPr>
            </w:pPr>
            <w:r>
              <w:rPr>
                <w:color w:val="auto"/>
                <w:sz w:val="24"/>
                <w:szCs w:val="24"/>
                <w:lang w:val="zh-CN" w:eastAsia="zh-CN"/>
              </w:rPr>
              <w:t>高噪声设备均安置在室内，合理布置设备的位置，有效利用了建筑隔声，防止噪声的扩散和传播，正常生产时门窗密闭，采取隔声措施，降噪量约</w:t>
            </w:r>
            <w:r>
              <w:rPr>
                <w:color w:val="auto"/>
                <w:sz w:val="24"/>
                <w:szCs w:val="24"/>
                <w:lang w:val="zh-CN"/>
              </w:rPr>
              <w:t>10</w:t>
            </w:r>
            <w:r>
              <w:rPr>
                <w:color w:val="auto"/>
                <w:sz w:val="24"/>
                <w:szCs w:val="24"/>
                <w:lang w:val="zh-CN" w:eastAsia="zh-CN"/>
              </w:rPr>
              <w:t>dB(A)左右。</w:t>
            </w:r>
          </w:p>
          <w:p>
            <w:pPr>
              <w:snapToGrid w:val="0"/>
              <w:spacing w:line="360" w:lineRule="auto"/>
              <w:ind w:firstLine="480" w:firstLineChars="200"/>
              <w:rPr>
                <w:color w:val="auto"/>
                <w:sz w:val="24"/>
                <w:szCs w:val="24"/>
                <w:lang w:val="zh-CN" w:eastAsia="zh-CN"/>
              </w:rPr>
            </w:pPr>
            <w:r>
              <w:rPr>
                <w:rFonts w:hint="eastAsia"/>
                <w:color w:val="auto"/>
                <w:sz w:val="24"/>
                <w:szCs w:val="24"/>
                <w:lang w:val="zh-CN" w:eastAsia="zh-CN"/>
              </w:rPr>
              <w:t>④</w:t>
            </w:r>
            <w:r>
              <w:rPr>
                <w:color w:val="auto"/>
                <w:sz w:val="24"/>
                <w:szCs w:val="24"/>
                <w:lang w:val="zh-CN" w:eastAsia="zh-CN"/>
              </w:rPr>
              <w:t>强化生产管理</w:t>
            </w:r>
          </w:p>
          <w:p>
            <w:pPr>
              <w:snapToGrid w:val="0"/>
              <w:spacing w:line="360" w:lineRule="auto"/>
              <w:ind w:firstLine="480" w:firstLineChars="200"/>
              <w:rPr>
                <w:color w:val="auto"/>
                <w:sz w:val="24"/>
                <w:szCs w:val="24"/>
                <w:lang w:val="zh-CN" w:eastAsia="zh-CN"/>
              </w:rPr>
            </w:pPr>
            <w:r>
              <w:rPr>
                <w:color w:val="auto"/>
                <w:sz w:val="24"/>
                <w:szCs w:val="24"/>
                <w:lang w:val="zh-CN" w:eastAsia="zh-CN"/>
              </w:rPr>
              <w:t>确保各类防治措施有效运行，各设备均保持良好运行状态，防止突发噪声。</w:t>
            </w:r>
          </w:p>
          <w:p>
            <w:pPr>
              <w:adjustRightInd w:val="0"/>
              <w:snapToGrid w:val="0"/>
              <w:spacing w:line="360" w:lineRule="auto"/>
              <w:ind w:firstLine="480" w:firstLineChars="200"/>
              <w:rPr>
                <w:color w:val="auto"/>
                <w:sz w:val="24"/>
                <w:szCs w:val="24"/>
              </w:rPr>
            </w:pPr>
            <w:r>
              <w:rPr>
                <w:color w:val="auto"/>
                <w:sz w:val="24"/>
                <w:szCs w:val="24"/>
              </w:rPr>
              <w:t>综上所述，所有设备均安置于车间内，采取上述降噪措施后，设计降噪量达25dB(A)。</w:t>
            </w:r>
          </w:p>
          <w:p>
            <w:pPr>
              <w:pStyle w:val="23"/>
              <w:adjustRightInd w:val="0"/>
              <w:snapToGrid w:val="0"/>
              <w:spacing w:before="0" w:beforeAutospacing="0" w:after="0" w:afterAutospacing="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表4-</w:t>
            </w:r>
            <w:r>
              <w:rPr>
                <w:rFonts w:hint="eastAsia" w:ascii="Times New Roman" w:hAnsi="Times New Roman" w:cs="Times New Roman"/>
                <w:b/>
                <w:bCs/>
                <w:color w:val="auto"/>
                <w:sz w:val="21"/>
                <w:szCs w:val="21"/>
                <w:lang w:val="en-US" w:eastAsia="zh-CN"/>
              </w:rPr>
              <w:t>13</w:t>
            </w:r>
            <w:r>
              <w:rPr>
                <w:rFonts w:ascii="Times New Roman" w:hAnsi="Times New Roman" w:cs="Times New Roman"/>
                <w:b/>
                <w:bCs/>
                <w:color w:val="auto"/>
                <w:sz w:val="21"/>
                <w:szCs w:val="21"/>
              </w:rPr>
              <w:t xml:space="preserve">  工业企业噪声源强调查清单（室内声源）</w:t>
            </w:r>
          </w:p>
          <w:tbl>
            <w:tblPr>
              <w:tblStyle w:val="2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0"/>
              <w:gridCol w:w="481"/>
              <w:gridCol w:w="694"/>
              <w:gridCol w:w="549"/>
              <w:gridCol w:w="640"/>
              <w:gridCol w:w="640"/>
              <w:gridCol w:w="640"/>
              <w:gridCol w:w="482"/>
              <w:gridCol w:w="483"/>
              <w:gridCol w:w="300"/>
              <w:gridCol w:w="480"/>
              <w:gridCol w:w="613"/>
              <w:gridCol w:w="603"/>
              <w:gridCol w:w="634"/>
              <w:gridCol w:w="614"/>
              <w:gridCol w:w="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blHeader/>
                <w:jc w:val="center"/>
              </w:trPr>
              <w:tc>
                <w:tcPr>
                  <w:tcW w:w="303"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r>
                    <w:rPr>
                      <w:b/>
                      <w:bCs/>
                      <w:color w:val="auto"/>
                      <w:sz w:val="21"/>
                      <w:szCs w:val="21"/>
                    </w:rPr>
                    <w:t>序号</w:t>
                  </w:r>
                </w:p>
              </w:tc>
              <w:tc>
                <w:tcPr>
                  <w:tcW w:w="265"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r>
                    <w:rPr>
                      <w:b/>
                      <w:bCs/>
                      <w:color w:val="auto"/>
                      <w:sz w:val="21"/>
                      <w:szCs w:val="21"/>
                    </w:rPr>
                    <w:t>建筑物名称</w:t>
                  </w:r>
                </w:p>
              </w:tc>
              <w:tc>
                <w:tcPr>
                  <w:tcW w:w="382"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r>
                    <w:rPr>
                      <w:b/>
                      <w:bCs/>
                      <w:color w:val="auto"/>
                      <w:sz w:val="21"/>
                      <w:szCs w:val="21"/>
                    </w:rPr>
                    <w:t>声源</w:t>
                  </w:r>
                </w:p>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r>
                    <w:rPr>
                      <w:b/>
                      <w:bCs/>
                      <w:color w:val="auto"/>
                      <w:sz w:val="21"/>
                      <w:szCs w:val="21"/>
                    </w:rPr>
                    <w:t>名称</w:t>
                  </w:r>
                </w:p>
              </w:tc>
              <w:tc>
                <w:tcPr>
                  <w:tcW w:w="302"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r>
                    <w:rPr>
                      <w:b/>
                      <w:bCs/>
                      <w:color w:val="auto"/>
                      <w:sz w:val="21"/>
                      <w:szCs w:val="21"/>
                    </w:rPr>
                    <w:t>型号</w:t>
                  </w:r>
                </w:p>
              </w:tc>
              <w:tc>
                <w:tcPr>
                  <w:tcW w:w="352" w:type="pct"/>
                  <w:vMerge w:val="restart"/>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r>
                    <w:rPr>
                      <w:b/>
                      <w:bCs/>
                      <w:color w:val="auto"/>
                      <w:sz w:val="21"/>
                      <w:szCs w:val="21"/>
                    </w:rPr>
                    <w:t>设备数量（台）</w:t>
                  </w:r>
                </w:p>
              </w:tc>
              <w:tc>
                <w:tcPr>
                  <w:tcW w:w="35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r>
                    <w:rPr>
                      <w:b/>
                      <w:bCs/>
                      <w:color w:val="auto"/>
                      <w:sz w:val="21"/>
                      <w:szCs w:val="21"/>
                    </w:rPr>
                    <w:t>声源源强</w:t>
                  </w:r>
                </w:p>
              </w:tc>
              <w:tc>
                <w:tcPr>
                  <w:tcW w:w="352"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r>
                    <w:rPr>
                      <w:b/>
                      <w:bCs/>
                      <w:color w:val="auto"/>
                      <w:sz w:val="21"/>
                      <w:szCs w:val="21"/>
                    </w:rPr>
                    <w:t>声源控制措施</w:t>
                  </w:r>
                </w:p>
              </w:tc>
              <w:tc>
                <w:tcPr>
                  <w:tcW w:w="696" w:type="pct"/>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r>
                    <w:rPr>
                      <w:b/>
                      <w:bCs/>
                      <w:color w:val="auto"/>
                      <w:sz w:val="21"/>
                      <w:szCs w:val="21"/>
                    </w:rPr>
                    <w:t>空间相对位置/m</w:t>
                  </w:r>
                </w:p>
              </w:tc>
              <w:tc>
                <w:tcPr>
                  <w:tcW w:w="264"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r>
                    <w:rPr>
                      <w:b/>
                      <w:bCs/>
                      <w:color w:val="auto"/>
                      <w:sz w:val="21"/>
                      <w:szCs w:val="21"/>
                    </w:rPr>
                    <w:t>距室内边界距离／m</w:t>
                  </w:r>
                </w:p>
              </w:tc>
              <w:tc>
                <w:tcPr>
                  <w:tcW w:w="337"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r>
                    <w:rPr>
                      <w:b/>
                      <w:bCs/>
                      <w:color w:val="auto"/>
                      <w:sz w:val="21"/>
                      <w:szCs w:val="21"/>
                    </w:rPr>
                    <w:t>室内边界声级/dB(A)</w:t>
                  </w:r>
                </w:p>
              </w:tc>
              <w:tc>
                <w:tcPr>
                  <w:tcW w:w="332"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r>
                    <w:rPr>
                      <w:b/>
                      <w:bCs/>
                      <w:color w:val="auto"/>
                      <w:sz w:val="21"/>
                      <w:szCs w:val="21"/>
                    </w:rPr>
                    <w:t>运行时段</w:t>
                  </w:r>
                </w:p>
              </w:tc>
              <w:tc>
                <w:tcPr>
                  <w:tcW w:w="349"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r>
                    <w:rPr>
                      <w:b/>
                      <w:bCs/>
                      <w:color w:val="auto"/>
                      <w:sz w:val="21"/>
                      <w:szCs w:val="21"/>
                    </w:rPr>
                    <w:t>建筑物插入损失/dB(A)</w:t>
                  </w:r>
                </w:p>
              </w:tc>
              <w:tc>
                <w:tcPr>
                  <w:tcW w:w="705" w:type="pct"/>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r>
                    <w:rPr>
                      <w:b/>
                      <w:bCs/>
                      <w:color w:val="auto"/>
                      <w:sz w:val="21"/>
                      <w:szCs w:val="21"/>
                    </w:rPr>
                    <w:t>建筑物外噪声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blHeader/>
                <w:jc w:val="center"/>
              </w:trPr>
              <w:tc>
                <w:tcPr>
                  <w:tcW w:w="303"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p>
              </w:tc>
              <w:tc>
                <w:tcPr>
                  <w:tcW w:w="265"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p>
              </w:tc>
              <w:tc>
                <w:tcPr>
                  <w:tcW w:w="382"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p>
              </w:tc>
              <w:tc>
                <w:tcPr>
                  <w:tcW w:w="302"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p>
              </w:tc>
              <w:tc>
                <w:tcPr>
                  <w:tcW w:w="352" w:type="pct"/>
                  <w:vMerge w:val="continue"/>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p>
              </w:tc>
              <w:tc>
                <w:tcPr>
                  <w:tcW w:w="35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r>
                    <w:rPr>
                      <w:b/>
                      <w:bCs/>
                      <w:color w:val="auto"/>
                      <w:sz w:val="21"/>
                      <w:szCs w:val="21"/>
                    </w:rPr>
                    <w:t>声功率级/dB(A)</w:t>
                  </w:r>
                </w:p>
              </w:tc>
              <w:tc>
                <w:tcPr>
                  <w:tcW w:w="352"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p>
              </w:tc>
              <w:tc>
                <w:tcPr>
                  <w:tcW w:w="265"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r>
                    <w:rPr>
                      <w:b/>
                      <w:bCs/>
                      <w:color w:val="auto"/>
                      <w:sz w:val="21"/>
                      <w:szCs w:val="21"/>
                    </w:rPr>
                    <w:t>X</w:t>
                  </w:r>
                </w:p>
              </w:tc>
              <w:tc>
                <w:tcPr>
                  <w:tcW w:w="266"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r>
                    <w:rPr>
                      <w:b/>
                      <w:bCs/>
                      <w:color w:val="auto"/>
                      <w:sz w:val="21"/>
                      <w:szCs w:val="21"/>
                    </w:rPr>
                    <w:t>Y</w:t>
                  </w:r>
                </w:p>
              </w:tc>
              <w:tc>
                <w:tcPr>
                  <w:tcW w:w="163"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r>
                    <w:rPr>
                      <w:b/>
                      <w:bCs/>
                      <w:color w:val="auto"/>
                      <w:sz w:val="21"/>
                      <w:szCs w:val="21"/>
                    </w:rPr>
                    <w:t>Z</w:t>
                  </w:r>
                </w:p>
              </w:tc>
              <w:tc>
                <w:tcPr>
                  <w:tcW w:w="264"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p>
              </w:tc>
              <w:tc>
                <w:tcPr>
                  <w:tcW w:w="337"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p>
              </w:tc>
              <w:tc>
                <w:tcPr>
                  <w:tcW w:w="332"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p>
              </w:tc>
              <w:tc>
                <w:tcPr>
                  <w:tcW w:w="349"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p>
              </w:tc>
              <w:tc>
                <w:tcPr>
                  <w:tcW w:w="338"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r>
                    <w:rPr>
                      <w:b/>
                      <w:bCs/>
                      <w:color w:val="auto"/>
                      <w:sz w:val="21"/>
                      <w:szCs w:val="21"/>
                    </w:rPr>
                    <w:t>声压级/dB(A)</w:t>
                  </w:r>
                </w:p>
              </w:tc>
              <w:tc>
                <w:tcPr>
                  <w:tcW w:w="367"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
                      <w:bCs/>
                      <w:color w:val="auto"/>
                      <w:sz w:val="21"/>
                      <w:szCs w:val="21"/>
                    </w:rPr>
                  </w:pPr>
                  <w:r>
                    <w:rPr>
                      <w:b/>
                      <w:bCs/>
                      <w:color w:val="auto"/>
                      <w:sz w:val="21"/>
                      <w:szCs w:val="21"/>
                    </w:rPr>
                    <w:t>建筑物外距离/m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303"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Cs/>
                      <w:color w:val="auto"/>
                      <w:sz w:val="21"/>
                      <w:szCs w:val="21"/>
                    </w:rPr>
                  </w:pPr>
                  <w:r>
                    <w:rPr>
                      <w:bCs/>
                      <w:color w:val="auto"/>
                      <w:sz w:val="21"/>
                      <w:szCs w:val="21"/>
                    </w:rPr>
                    <w:t>1</w:t>
                  </w:r>
                </w:p>
              </w:tc>
              <w:tc>
                <w:tcPr>
                  <w:tcW w:w="265"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Cs/>
                      <w:color w:val="auto"/>
                      <w:sz w:val="21"/>
                      <w:szCs w:val="21"/>
                    </w:rPr>
                  </w:pPr>
                  <w:r>
                    <w:rPr>
                      <w:bCs/>
                      <w:color w:val="auto"/>
                      <w:sz w:val="21"/>
                      <w:szCs w:val="21"/>
                    </w:rPr>
                    <w:t>一楼</w:t>
                  </w:r>
                </w:p>
              </w:tc>
              <w:tc>
                <w:tcPr>
                  <w:tcW w:w="38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Cs/>
                      <w:color w:val="auto"/>
                      <w:sz w:val="21"/>
                      <w:szCs w:val="21"/>
                    </w:rPr>
                  </w:pPr>
                  <w:r>
                    <w:rPr>
                      <w:rFonts w:hint="eastAsia"/>
                      <w:bCs/>
                      <w:color w:val="auto"/>
                      <w:sz w:val="21"/>
                      <w:szCs w:val="21"/>
                      <w:lang w:val="en-US" w:eastAsia="zh-CN"/>
                    </w:rPr>
                    <w:t>提升泵</w:t>
                  </w:r>
                </w:p>
              </w:tc>
              <w:tc>
                <w:tcPr>
                  <w:tcW w:w="30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eastAsia="宋体"/>
                      <w:bCs/>
                      <w:color w:val="auto"/>
                      <w:sz w:val="21"/>
                      <w:szCs w:val="21"/>
                      <w:lang w:eastAsia="zh-CN"/>
                    </w:rPr>
                  </w:pPr>
                  <w:r>
                    <w:rPr>
                      <w:rFonts w:hint="eastAsia"/>
                      <w:color w:val="auto"/>
                      <w:sz w:val="21"/>
                      <w:szCs w:val="21"/>
                      <w:lang w:val="en-US" w:eastAsia="zh-CN"/>
                    </w:rPr>
                    <w:t>/</w:t>
                  </w:r>
                </w:p>
              </w:tc>
              <w:tc>
                <w:tcPr>
                  <w:tcW w:w="352" w:type="pct"/>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eastAsia="宋体"/>
                      <w:bCs/>
                      <w:color w:val="auto"/>
                      <w:sz w:val="21"/>
                      <w:szCs w:val="21"/>
                      <w:lang w:eastAsia="zh-CN"/>
                    </w:rPr>
                  </w:pPr>
                  <w:r>
                    <w:rPr>
                      <w:rFonts w:hint="eastAsia"/>
                      <w:bCs/>
                      <w:color w:val="auto"/>
                      <w:sz w:val="21"/>
                      <w:szCs w:val="21"/>
                      <w:lang w:val="en-US" w:eastAsia="zh-CN"/>
                    </w:rPr>
                    <w:t>1</w:t>
                  </w:r>
                </w:p>
              </w:tc>
              <w:tc>
                <w:tcPr>
                  <w:tcW w:w="35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Cs/>
                      <w:color w:val="auto"/>
                      <w:sz w:val="21"/>
                      <w:szCs w:val="21"/>
                    </w:rPr>
                  </w:pPr>
                  <w:r>
                    <w:rPr>
                      <w:bCs/>
                      <w:color w:val="auto"/>
                      <w:sz w:val="21"/>
                      <w:szCs w:val="21"/>
                    </w:rPr>
                    <w:t>80</w:t>
                  </w:r>
                </w:p>
              </w:tc>
              <w:tc>
                <w:tcPr>
                  <w:tcW w:w="352"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Cs/>
                      <w:color w:val="auto"/>
                      <w:sz w:val="21"/>
                      <w:szCs w:val="21"/>
                    </w:rPr>
                  </w:pPr>
                  <w:r>
                    <w:rPr>
                      <w:color w:val="auto"/>
                      <w:sz w:val="21"/>
                      <w:szCs w:val="21"/>
                    </w:rPr>
                    <w:t>厂房隔声、设备减振</w:t>
                  </w:r>
                </w:p>
              </w:tc>
              <w:tc>
                <w:tcPr>
                  <w:tcW w:w="265"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eastAsia="宋体"/>
                      <w:bCs/>
                      <w:color w:val="auto"/>
                      <w:sz w:val="21"/>
                      <w:szCs w:val="21"/>
                      <w:lang w:val="en-US" w:eastAsia="zh-CN"/>
                    </w:rPr>
                  </w:pPr>
                  <w:r>
                    <w:rPr>
                      <w:rFonts w:hint="eastAsia"/>
                      <w:bCs/>
                      <w:color w:val="auto"/>
                      <w:sz w:val="21"/>
                      <w:szCs w:val="21"/>
                      <w:lang w:val="en-US" w:eastAsia="zh-CN"/>
                    </w:rPr>
                    <w:t>15</w:t>
                  </w:r>
                </w:p>
              </w:tc>
              <w:tc>
                <w:tcPr>
                  <w:tcW w:w="266"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eastAsia="宋体"/>
                      <w:bCs/>
                      <w:color w:val="auto"/>
                      <w:sz w:val="21"/>
                      <w:szCs w:val="21"/>
                      <w:lang w:val="en-US" w:eastAsia="zh-CN"/>
                    </w:rPr>
                  </w:pPr>
                  <w:r>
                    <w:rPr>
                      <w:rFonts w:hint="eastAsia"/>
                      <w:bCs/>
                      <w:color w:val="auto"/>
                      <w:sz w:val="21"/>
                      <w:szCs w:val="21"/>
                      <w:lang w:val="en-US" w:eastAsia="zh-CN"/>
                    </w:rPr>
                    <w:t>41</w:t>
                  </w:r>
                </w:p>
              </w:tc>
              <w:tc>
                <w:tcPr>
                  <w:tcW w:w="163"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Cs/>
                      <w:color w:val="auto"/>
                      <w:sz w:val="21"/>
                      <w:szCs w:val="21"/>
                    </w:rPr>
                  </w:pPr>
                  <w:r>
                    <w:rPr>
                      <w:bCs/>
                      <w:color w:val="auto"/>
                      <w:sz w:val="21"/>
                      <w:szCs w:val="21"/>
                    </w:rPr>
                    <w:t>1.5</w:t>
                  </w:r>
                </w:p>
              </w:tc>
              <w:tc>
                <w:tcPr>
                  <w:tcW w:w="264"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eastAsia="宋体"/>
                      <w:bCs/>
                      <w:color w:val="auto"/>
                      <w:sz w:val="21"/>
                      <w:szCs w:val="21"/>
                      <w:lang w:eastAsia="zh-CN"/>
                    </w:rPr>
                  </w:pPr>
                  <w:r>
                    <w:rPr>
                      <w:rFonts w:hint="eastAsia"/>
                      <w:bCs/>
                      <w:color w:val="auto"/>
                      <w:sz w:val="21"/>
                      <w:szCs w:val="21"/>
                      <w:lang w:val="en-US" w:eastAsia="zh-CN"/>
                    </w:rPr>
                    <w:t>3</w:t>
                  </w:r>
                </w:p>
              </w:tc>
              <w:tc>
                <w:tcPr>
                  <w:tcW w:w="337"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eastAsia="宋体"/>
                      <w:bCs/>
                      <w:color w:val="auto"/>
                      <w:sz w:val="21"/>
                      <w:szCs w:val="21"/>
                      <w:lang w:val="en-US" w:eastAsia="zh-CN"/>
                    </w:rPr>
                  </w:pPr>
                  <w:r>
                    <w:rPr>
                      <w:rFonts w:hint="eastAsia"/>
                      <w:bCs/>
                      <w:color w:val="auto"/>
                      <w:sz w:val="21"/>
                      <w:szCs w:val="21"/>
                      <w:lang w:val="en-US" w:eastAsia="zh-CN"/>
                    </w:rPr>
                    <w:t>80</w:t>
                  </w:r>
                </w:p>
              </w:tc>
              <w:tc>
                <w:tcPr>
                  <w:tcW w:w="33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eastAsia="宋体"/>
                      <w:bCs/>
                      <w:color w:val="auto"/>
                      <w:sz w:val="21"/>
                      <w:szCs w:val="21"/>
                      <w:lang w:val="en-US" w:eastAsia="zh-CN"/>
                    </w:rPr>
                  </w:pPr>
                  <w:r>
                    <w:rPr>
                      <w:rFonts w:hint="eastAsia"/>
                      <w:bCs/>
                      <w:color w:val="auto"/>
                      <w:sz w:val="21"/>
                      <w:szCs w:val="21"/>
                      <w:lang w:val="en-US" w:eastAsia="zh-CN"/>
                    </w:rPr>
                    <w:t>24h</w:t>
                  </w:r>
                </w:p>
              </w:tc>
              <w:tc>
                <w:tcPr>
                  <w:tcW w:w="349"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eastAsia="宋体"/>
                      <w:bCs/>
                      <w:color w:val="auto"/>
                      <w:sz w:val="21"/>
                      <w:szCs w:val="21"/>
                      <w:lang w:val="en-US" w:eastAsia="zh-CN"/>
                    </w:rPr>
                  </w:pPr>
                  <w:r>
                    <w:rPr>
                      <w:rFonts w:hint="eastAsia"/>
                      <w:bCs/>
                      <w:color w:val="auto"/>
                      <w:sz w:val="21"/>
                      <w:szCs w:val="21"/>
                      <w:lang w:val="en-US" w:eastAsia="zh-CN"/>
                    </w:rPr>
                    <w:t>20</w:t>
                  </w:r>
                </w:p>
              </w:tc>
              <w:tc>
                <w:tcPr>
                  <w:tcW w:w="338"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Cs/>
                      <w:color w:val="auto"/>
                      <w:sz w:val="21"/>
                      <w:szCs w:val="21"/>
                    </w:rPr>
                  </w:pPr>
                  <w:r>
                    <w:rPr>
                      <w:bCs/>
                      <w:color w:val="auto"/>
                      <w:sz w:val="21"/>
                      <w:szCs w:val="21"/>
                    </w:rPr>
                    <w:t>33</w:t>
                  </w:r>
                </w:p>
              </w:tc>
              <w:tc>
                <w:tcPr>
                  <w:tcW w:w="367"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Cs/>
                      <w:color w:val="auto"/>
                      <w:sz w:val="21"/>
                      <w:szCs w:val="21"/>
                    </w:rPr>
                  </w:pPr>
                  <w:r>
                    <w:rPr>
                      <w:bCs/>
                      <w:color w:val="auto"/>
                      <w:sz w:val="21"/>
                      <w:szCs w:val="21"/>
                    </w:rPr>
                    <w:t>1m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blHeader/>
                <w:jc w:val="center"/>
              </w:trPr>
              <w:tc>
                <w:tcPr>
                  <w:tcW w:w="303"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eastAsia="宋体"/>
                      <w:bCs/>
                      <w:color w:val="auto"/>
                      <w:sz w:val="21"/>
                      <w:szCs w:val="21"/>
                      <w:lang w:val="en-US" w:eastAsia="zh-CN"/>
                    </w:rPr>
                  </w:pPr>
                  <w:r>
                    <w:rPr>
                      <w:rFonts w:hint="eastAsia"/>
                      <w:bCs/>
                      <w:color w:val="auto"/>
                      <w:sz w:val="21"/>
                      <w:szCs w:val="21"/>
                      <w:lang w:val="en-US" w:eastAsia="zh-CN"/>
                    </w:rPr>
                    <w:t>2</w:t>
                  </w:r>
                </w:p>
              </w:tc>
              <w:tc>
                <w:tcPr>
                  <w:tcW w:w="265"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Cs/>
                      <w:color w:val="auto"/>
                      <w:sz w:val="21"/>
                      <w:szCs w:val="21"/>
                    </w:rPr>
                  </w:pPr>
                </w:p>
              </w:tc>
              <w:tc>
                <w:tcPr>
                  <w:tcW w:w="38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bCs/>
                      <w:color w:val="auto"/>
                      <w:sz w:val="21"/>
                      <w:szCs w:val="21"/>
                      <w:lang w:eastAsia="zh-CN"/>
                    </w:rPr>
                  </w:pPr>
                  <w:r>
                    <w:rPr>
                      <w:rFonts w:hint="eastAsia"/>
                      <w:bCs/>
                      <w:color w:val="auto"/>
                      <w:sz w:val="21"/>
                      <w:szCs w:val="21"/>
                      <w:lang w:eastAsia="zh-CN"/>
                    </w:rPr>
                    <w:t>回转</w:t>
                  </w:r>
                </w:p>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eastAsia="宋体"/>
                      <w:bCs/>
                      <w:color w:val="auto"/>
                      <w:sz w:val="21"/>
                      <w:szCs w:val="21"/>
                      <w:lang w:val="en-US" w:eastAsia="zh-CN"/>
                    </w:rPr>
                  </w:pPr>
                  <w:r>
                    <w:rPr>
                      <w:rFonts w:hint="eastAsia"/>
                      <w:bCs/>
                      <w:color w:val="auto"/>
                      <w:sz w:val="21"/>
                      <w:szCs w:val="21"/>
                      <w:lang w:eastAsia="zh-CN"/>
                    </w:rPr>
                    <w:t>风机</w:t>
                  </w:r>
                </w:p>
              </w:tc>
              <w:tc>
                <w:tcPr>
                  <w:tcW w:w="30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color w:val="auto"/>
                      <w:sz w:val="21"/>
                      <w:szCs w:val="21"/>
                      <w:lang w:val="en-US" w:eastAsia="zh-CN"/>
                    </w:rPr>
                  </w:pPr>
                  <w:r>
                    <w:rPr>
                      <w:rFonts w:hint="eastAsia"/>
                      <w:color w:val="auto"/>
                      <w:sz w:val="21"/>
                      <w:szCs w:val="21"/>
                      <w:lang w:val="en-US" w:eastAsia="zh-CN"/>
                    </w:rPr>
                    <w:t>/</w:t>
                  </w:r>
                </w:p>
              </w:tc>
              <w:tc>
                <w:tcPr>
                  <w:tcW w:w="352" w:type="pct"/>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bCs/>
                      <w:color w:val="auto"/>
                      <w:sz w:val="21"/>
                      <w:szCs w:val="21"/>
                      <w:lang w:val="en-US" w:eastAsia="zh-CN"/>
                    </w:rPr>
                  </w:pPr>
                  <w:r>
                    <w:rPr>
                      <w:rFonts w:hint="eastAsia"/>
                      <w:bCs/>
                      <w:color w:val="auto"/>
                      <w:sz w:val="21"/>
                      <w:szCs w:val="21"/>
                      <w:lang w:val="en-US" w:eastAsia="zh-CN"/>
                    </w:rPr>
                    <w:t>2</w:t>
                  </w:r>
                </w:p>
              </w:tc>
              <w:tc>
                <w:tcPr>
                  <w:tcW w:w="35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bCs/>
                      <w:color w:val="auto"/>
                      <w:sz w:val="21"/>
                      <w:szCs w:val="21"/>
                      <w:lang w:val="en-US" w:eastAsia="zh-CN"/>
                    </w:rPr>
                    <w:t>75</w:t>
                  </w:r>
                </w:p>
              </w:tc>
              <w:tc>
                <w:tcPr>
                  <w:tcW w:w="352"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ascii="Times New Roman" w:hAnsi="Times New Roman" w:eastAsia="宋体" w:cs="Times New Roman"/>
                      <w:bCs/>
                      <w:color w:val="auto"/>
                      <w:kern w:val="2"/>
                      <w:sz w:val="21"/>
                      <w:szCs w:val="21"/>
                      <w:lang w:val="en-US" w:eastAsia="zh-CN" w:bidi="ar-SA"/>
                    </w:rPr>
                  </w:pPr>
                </w:p>
              </w:tc>
              <w:tc>
                <w:tcPr>
                  <w:tcW w:w="265"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bCs/>
                      <w:color w:val="auto"/>
                      <w:sz w:val="21"/>
                      <w:szCs w:val="21"/>
                      <w:lang w:val="en-US" w:eastAsia="zh-CN"/>
                    </w:rPr>
                    <w:t>18</w:t>
                  </w:r>
                </w:p>
              </w:tc>
              <w:tc>
                <w:tcPr>
                  <w:tcW w:w="266"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41</w:t>
                  </w:r>
                </w:p>
              </w:tc>
              <w:tc>
                <w:tcPr>
                  <w:tcW w:w="163"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ascii="Times New Roman" w:hAnsi="Times New Roman" w:eastAsia="宋体" w:cs="Times New Roman"/>
                      <w:bCs/>
                      <w:color w:val="auto"/>
                      <w:kern w:val="2"/>
                      <w:sz w:val="21"/>
                      <w:szCs w:val="21"/>
                      <w:lang w:val="en-US" w:eastAsia="zh-CN" w:bidi="ar-SA"/>
                    </w:rPr>
                  </w:pPr>
                  <w:r>
                    <w:rPr>
                      <w:bCs/>
                      <w:color w:val="auto"/>
                      <w:sz w:val="21"/>
                      <w:szCs w:val="21"/>
                    </w:rPr>
                    <w:t>1.5</w:t>
                  </w:r>
                </w:p>
              </w:tc>
              <w:tc>
                <w:tcPr>
                  <w:tcW w:w="264"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bCs/>
                      <w:color w:val="auto"/>
                      <w:sz w:val="21"/>
                      <w:szCs w:val="21"/>
                      <w:lang w:val="en-US" w:eastAsia="zh-CN"/>
                    </w:rPr>
                    <w:t>3</w:t>
                  </w:r>
                </w:p>
              </w:tc>
              <w:tc>
                <w:tcPr>
                  <w:tcW w:w="337"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75</w:t>
                  </w:r>
                </w:p>
              </w:tc>
              <w:tc>
                <w:tcPr>
                  <w:tcW w:w="33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ascii="Times New Roman" w:hAnsi="Times New Roman" w:eastAsia="宋体" w:cs="Times New Roman"/>
                      <w:bCs/>
                      <w:color w:val="auto"/>
                      <w:kern w:val="2"/>
                      <w:sz w:val="21"/>
                      <w:szCs w:val="21"/>
                      <w:lang w:val="en-US" w:eastAsia="zh-CN" w:bidi="ar-SA"/>
                    </w:rPr>
                  </w:pPr>
                  <w:r>
                    <w:rPr>
                      <w:rFonts w:hint="eastAsia"/>
                      <w:bCs/>
                      <w:color w:val="auto"/>
                      <w:sz w:val="21"/>
                      <w:szCs w:val="21"/>
                      <w:lang w:val="en-US" w:eastAsia="zh-CN"/>
                    </w:rPr>
                    <w:t>24h</w:t>
                  </w:r>
                </w:p>
              </w:tc>
              <w:tc>
                <w:tcPr>
                  <w:tcW w:w="349"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20</w:t>
                  </w:r>
                </w:p>
              </w:tc>
              <w:tc>
                <w:tcPr>
                  <w:tcW w:w="338"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ascii="Times New Roman" w:hAnsi="Times New Roman" w:eastAsia="宋体" w:cs="Times New Roman"/>
                      <w:bCs/>
                      <w:color w:val="auto"/>
                      <w:kern w:val="2"/>
                      <w:sz w:val="21"/>
                      <w:szCs w:val="21"/>
                      <w:lang w:val="en-US" w:eastAsia="zh-CN" w:bidi="ar-SA"/>
                    </w:rPr>
                  </w:pPr>
                  <w:r>
                    <w:rPr>
                      <w:bCs/>
                      <w:color w:val="auto"/>
                      <w:sz w:val="21"/>
                      <w:szCs w:val="21"/>
                    </w:rPr>
                    <w:t>33</w:t>
                  </w:r>
                </w:p>
              </w:tc>
              <w:tc>
                <w:tcPr>
                  <w:tcW w:w="367"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ascii="Times New Roman" w:hAnsi="Times New Roman" w:eastAsia="宋体" w:cs="Times New Roman"/>
                      <w:bCs/>
                      <w:color w:val="auto"/>
                      <w:kern w:val="2"/>
                      <w:sz w:val="21"/>
                      <w:szCs w:val="21"/>
                      <w:lang w:val="en-US" w:eastAsia="zh-CN" w:bidi="ar-SA"/>
                    </w:rPr>
                  </w:pPr>
                  <w:r>
                    <w:rPr>
                      <w:bCs/>
                      <w:color w:val="auto"/>
                      <w:sz w:val="21"/>
                      <w:szCs w:val="21"/>
                    </w:rPr>
                    <w:t>1m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blHeader/>
                <w:jc w:val="center"/>
              </w:trPr>
              <w:tc>
                <w:tcPr>
                  <w:tcW w:w="303"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eastAsia="宋体"/>
                      <w:bCs/>
                      <w:color w:val="auto"/>
                      <w:sz w:val="21"/>
                      <w:szCs w:val="21"/>
                      <w:lang w:val="en-US" w:eastAsia="zh-CN"/>
                    </w:rPr>
                  </w:pPr>
                  <w:r>
                    <w:rPr>
                      <w:rFonts w:hint="eastAsia"/>
                      <w:bCs/>
                      <w:color w:val="auto"/>
                      <w:sz w:val="21"/>
                      <w:szCs w:val="21"/>
                      <w:lang w:val="en-US" w:eastAsia="zh-CN"/>
                    </w:rPr>
                    <w:t>3</w:t>
                  </w:r>
                </w:p>
              </w:tc>
              <w:tc>
                <w:tcPr>
                  <w:tcW w:w="265"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Cs/>
                      <w:color w:val="auto"/>
                      <w:sz w:val="21"/>
                      <w:szCs w:val="21"/>
                    </w:rPr>
                  </w:pPr>
                </w:p>
              </w:tc>
              <w:tc>
                <w:tcPr>
                  <w:tcW w:w="38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eastAsia="宋体"/>
                      <w:bCs/>
                      <w:color w:val="auto"/>
                      <w:sz w:val="21"/>
                      <w:szCs w:val="21"/>
                      <w:lang w:eastAsia="zh-CN"/>
                    </w:rPr>
                  </w:pPr>
                  <w:r>
                    <w:rPr>
                      <w:rFonts w:hint="eastAsia"/>
                      <w:bCs/>
                      <w:color w:val="auto"/>
                      <w:sz w:val="21"/>
                      <w:szCs w:val="21"/>
                      <w:lang w:eastAsia="zh-CN"/>
                    </w:rPr>
                    <w:t>混合液回流泵</w:t>
                  </w:r>
                </w:p>
              </w:tc>
              <w:tc>
                <w:tcPr>
                  <w:tcW w:w="30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color w:val="auto"/>
                      <w:sz w:val="21"/>
                      <w:szCs w:val="21"/>
                      <w:lang w:val="en-US" w:eastAsia="zh-CN"/>
                    </w:rPr>
                  </w:pPr>
                  <w:r>
                    <w:rPr>
                      <w:rFonts w:hint="eastAsia"/>
                      <w:color w:val="auto"/>
                      <w:sz w:val="21"/>
                      <w:szCs w:val="21"/>
                      <w:lang w:val="en-US" w:eastAsia="zh-CN"/>
                    </w:rPr>
                    <w:t>/</w:t>
                  </w:r>
                </w:p>
              </w:tc>
              <w:tc>
                <w:tcPr>
                  <w:tcW w:w="352" w:type="pct"/>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bCs/>
                      <w:color w:val="auto"/>
                      <w:sz w:val="21"/>
                      <w:szCs w:val="21"/>
                      <w:lang w:val="en-US" w:eastAsia="zh-CN"/>
                    </w:rPr>
                  </w:pPr>
                  <w:r>
                    <w:rPr>
                      <w:rFonts w:hint="eastAsia"/>
                      <w:bCs/>
                      <w:color w:val="auto"/>
                      <w:sz w:val="21"/>
                      <w:szCs w:val="21"/>
                      <w:lang w:val="en-US" w:eastAsia="zh-CN"/>
                    </w:rPr>
                    <w:t>1</w:t>
                  </w:r>
                </w:p>
              </w:tc>
              <w:tc>
                <w:tcPr>
                  <w:tcW w:w="35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ascii="Times New Roman" w:hAnsi="Times New Roman" w:eastAsia="宋体" w:cs="Times New Roman"/>
                      <w:bCs/>
                      <w:color w:val="auto"/>
                      <w:kern w:val="2"/>
                      <w:sz w:val="21"/>
                      <w:szCs w:val="21"/>
                      <w:lang w:val="en-US" w:eastAsia="zh-CN" w:bidi="ar-SA"/>
                    </w:rPr>
                  </w:pPr>
                  <w:r>
                    <w:rPr>
                      <w:bCs/>
                      <w:color w:val="auto"/>
                      <w:sz w:val="21"/>
                      <w:szCs w:val="21"/>
                    </w:rPr>
                    <w:t>80</w:t>
                  </w:r>
                </w:p>
              </w:tc>
              <w:tc>
                <w:tcPr>
                  <w:tcW w:w="352"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ascii="Times New Roman" w:hAnsi="Times New Roman" w:eastAsia="宋体" w:cs="Times New Roman"/>
                      <w:bCs/>
                      <w:color w:val="auto"/>
                      <w:kern w:val="2"/>
                      <w:sz w:val="21"/>
                      <w:szCs w:val="21"/>
                      <w:lang w:val="en-US" w:eastAsia="zh-CN" w:bidi="ar-SA"/>
                    </w:rPr>
                  </w:pPr>
                </w:p>
              </w:tc>
              <w:tc>
                <w:tcPr>
                  <w:tcW w:w="265"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bCs/>
                      <w:color w:val="auto"/>
                      <w:sz w:val="21"/>
                      <w:szCs w:val="21"/>
                      <w:lang w:val="en-US" w:eastAsia="zh-CN"/>
                    </w:rPr>
                    <w:t>16</w:t>
                  </w:r>
                </w:p>
              </w:tc>
              <w:tc>
                <w:tcPr>
                  <w:tcW w:w="266"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41</w:t>
                  </w:r>
                </w:p>
              </w:tc>
              <w:tc>
                <w:tcPr>
                  <w:tcW w:w="163"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ascii="Times New Roman" w:hAnsi="Times New Roman" w:eastAsia="宋体" w:cs="Times New Roman"/>
                      <w:bCs/>
                      <w:color w:val="auto"/>
                      <w:kern w:val="2"/>
                      <w:sz w:val="21"/>
                      <w:szCs w:val="21"/>
                      <w:lang w:val="en-US" w:eastAsia="zh-CN" w:bidi="ar-SA"/>
                    </w:rPr>
                  </w:pPr>
                  <w:r>
                    <w:rPr>
                      <w:bCs/>
                      <w:color w:val="auto"/>
                      <w:sz w:val="21"/>
                      <w:szCs w:val="21"/>
                    </w:rPr>
                    <w:t>1.5</w:t>
                  </w:r>
                </w:p>
              </w:tc>
              <w:tc>
                <w:tcPr>
                  <w:tcW w:w="264"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bCs/>
                      <w:color w:val="auto"/>
                      <w:sz w:val="21"/>
                      <w:szCs w:val="21"/>
                      <w:lang w:val="en-US" w:eastAsia="zh-CN"/>
                    </w:rPr>
                    <w:t>3</w:t>
                  </w:r>
                </w:p>
              </w:tc>
              <w:tc>
                <w:tcPr>
                  <w:tcW w:w="337"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80</w:t>
                  </w:r>
                </w:p>
              </w:tc>
              <w:tc>
                <w:tcPr>
                  <w:tcW w:w="33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ascii="Times New Roman" w:hAnsi="Times New Roman" w:eastAsia="宋体" w:cs="Times New Roman"/>
                      <w:bCs/>
                      <w:color w:val="auto"/>
                      <w:kern w:val="2"/>
                      <w:sz w:val="21"/>
                      <w:szCs w:val="21"/>
                      <w:lang w:val="en-US" w:eastAsia="zh-CN" w:bidi="ar-SA"/>
                    </w:rPr>
                  </w:pPr>
                  <w:r>
                    <w:rPr>
                      <w:rFonts w:hint="eastAsia"/>
                      <w:bCs/>
                      <w:color w:val="auto"/>
                      <w:sz w:val="21"/>
                      <w:szCs w:val="21"/>
                      <w:lang w:val="en-US" w:eastAsia="zh-CN"/>
                    </w:rPr>
                    <w:t>24h</w:t>
                  </w:r>
                </w:p>
              </w:tc>
              <w:tc>
                <w:tcPr>
                  <w:tcW w:w="349"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20</w:t>
                  </w:r>
                </w:p>
              </w:tc>
              <w:tc>
                <w:tcPr>
                  <w:tcW w:w="338"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ascii="Times New Roman" w:hAnsi="Times New Roman" w:eastAsia="宋体" w:cs="Times New Roman"/>
                      <w:bCs/>
                      <w:color w:val="auto"/>
                      <w:kern w:val="2"/>
                      <w:sz w:val="21"/>
                      <w:szCs w:val="21"/>
                      <w:lang w:val="en-US" w:eastAsia="zh-CN" w:bidi="ar-SA"/>
                    </w:rPr>
                  </w:pPr>
                  <w:r>
                    <w:rPr>
                      <w:bCs/>
                      <w:color w:val="auto"/>
                      <w:sz w:val="21"/>
                      <w:szCs w:val="21"/>
                    </w:rPr>
                    <w:t>33</w:t>
                  </w:r>
                </w:p>
              </w:tc>
              <w:tc>
                <w:tcPr>
                  <w:tcW w:w="367"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ascii="Times New Roman" w:hAnsi="Times New Roman" w:eastAsia="宋体" w:cs="Times New Roman"/>
                      <w:bCs/>
                      <w:color w:val="auto"/>
                      <w:kern w:val="2"/>
                      <w:sz w:val="21"/>
                      <w:szCs w:val="21"/>
                      <w:lang w:val="en-US" w:eastAsia="zh-CN" w:bidi="ar-SA"/>
                    </w:rPr>
                  </w:pPr>
                  <w:r>
                    <w:rPr>
                      <w:bCs/>
                      <w:color w:val="auto"/>
                      <w:sz w:val="21"/>
                      <w:szCs w:val="21"/>
                    </w:rPr>
                    <w:t>1m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blHeader/>
                <w:jc w:val="center"/>
              </w:trPr>
              <w:tc>
                <w:tcPr>
                  <w:tcW w:w="303"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eastAsia="宋体"/>
                      <w:bCs/>
                      <w:color w:val="auto"/>
                      <w:sz w:val="21"/>
                      <w:szCs w:val="21"/>
                      <w:lang w:val="en-US" w:eastAsia="zh-CN"/>
                    </w:rPr>
                  </w:pPr>
                  <w:r>
                    <w:rPr>
                      <w:rFonts w:hint="eastAsia"/>
                      <w:bCs/>
                      <w:color w:val="auto"/>
                      <w:sz w:val="21"/>
                      <w:szCs w:val="21"/>
                      <w:lang w:val="en-US" w:eastAsia="zh-CN"/>
                    </w:rPr>
                    <w:t>4</w:t>
                  </w:r>
                </w:p>
              </w:tc>
              <w:tc>
                <w:tcPr>
                  <w:tcW w:w="265"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bCs/>
                      <w:color w:val="auto"/>
                      <w:sz w:val="21"/>
                      <w:szCs w:val="21"/>
                    </w:rPr>
                  </w:pPr>
                </w:p>
              </w:tc>
              <w:tc>
                <w:tcPr>
                  <w:tcW w:w="38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eastAsia="宋体"/>
                      <w:bCs/>
                      <w:color w:val="auto"/>
                      <w:sz w:val="21"/>
                      <w:szCs w:val="21"/>
                      <w:lang w:eastAsia="zh-CN"/>
                    </w:rPr>
                  </w:pPr>
                  <w:r>
                    <w:rPr>
                      <w:rFonts w:hint="eastAsia"/>
                      <w:bCs/>
                      <w:color w:val="auto"/>
                      <w:sz w:val="21"/>
                      <w:szCs w:val="21"/>
                      <w:lang w:eastAsia="zh-CN"/>
                    </w:rPr>
                    <w:t>污泥回流泵</w:t>
                  </w:r>
                </w:p>
              </w:tc>
              <w:tc>
                <w:tcPr>
                  <w:tcW w:w="30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color w:val="auto"/>
                      <w:sz w:val="21"/>
                      <w:szCs w:val="21"/>
                      <w:lang w:val="en-US" w:eastAsia="zh-CN"/>
                    </w:rPr>
                  </w:pPr>
                  <w:r>
                    <w:rPr>
                      <w:rFonts w:hint="eastAsia"/>
                      <w:color w:val="auto"/>
                      <w:sz w:val="21"/>
                      <w:szCs w:val="21"/>
                      <w:lang w:val="en-US" w:eastAsia="zh-CN"/>
                    </w:rPr>
                    <w:t>/</w:t>
                  </w:r>
                </w:p>
              </w:tc>
              <w:tc>
                <w:tcPr>
                  <w:tcW w:w="352" w:type="pct"/>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bCs/>
                      <w:color w:val="auto"/>
                      <w:sz w:val="21"/>
                      <w:szCs w:val="21"/>
                      <w:lang w:val="en-US" w:eastAsia="zh-CN"/>
                    </w:rPr>
                  </w:pPr>
                  <w:r>
                    <w:rPr>
                      <w:rFonts w:hint="eastAsia"/>
                      <w:bCs/>
                      <w:color w:val="auto"/>
                      <w:sz w:val="21"/>
                      <w:szCs w:val="21"/>
                      <w:lang w:val="en-US" w:eastAsia="zh-CN"/>
                    </w:rPr>
                    <w:t>1</w:t>
                  </w:r>
                </w:p>
              </w:tc>
              <w:tc>
                <w:tcPr>
                  <w:tcW w:w="35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ascii="Times New Roman" w:hAnsi="Times New Roman" w:eastAsia="宋体" w:cs="Times New Roman"/>
                      <w:bCs/>
                      <w:color w:val="auto"/>
                      <w:kern w:val="2"/>
                      <w:sz w:val="21"/>
                      <w:szCs w:val="21"/>
                      <w:lang w:val="en-US" w:eastAsia="zh-CN" w:bidi="ar-SA"/>
                    </w:rPr>
                  </w:pPr>
                  <w:r>
                    <w:rPr>
                      <w:bCs/>
                      <w:color w:val="auto"/>
                      <w:sz w:val="21"/>
                      <w:szCs w:val="21"/>
                    </w:rPr>
                    <w:t>80</w:t>
                  </w:r>
                </w:p>
              </w:tc>
              <w:tc>
                <w:tcPr>
                  <w:tcW w:w="352"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ascii="Times New Roman" w:hAnsi="Times New Roman" w:eastAsia="宋体" w:cs="Times New Roman"/>
                      <w:bCs/>
                      <w:color w:val="auto"/>
                      <w:kern w:val="2"/>
                      <w:sz w:val="21"/>
                      <w:szCs w:val="21"/>
                      <w:lang w:val="en-US" w:eastAsia="zh-CN" w:bidi="ar-SA"/>
                    </w:rPr>
                  </w:pPr>
                </w:p>
              </w:tc>
              <w:tc>
                <w:tcPr>
                  <w:tcW w:w="265"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bCs/>
                      <w:color w:val="auto"/>
                      <w:sz w:val="21"/>
                      <w:szCs w:val="21"/>
                      <w:lang w:val="en-US" w:eastAsia="zh-CN"/>
                    </w:rPr>
                    <w:t>15</w:t>
                  </w:r>
                </w:p>
              </w:tc>
              <w:tc>
                <w:tcPr>
                  <w:tcW w:w="266"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40</w:t>
                  </w:r>
                </w:p>
              </w:tc>
              <w:tc>
                <w:tcPr>
                  <w:tcW w:w="163"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ascii="Times New Roman" w:hAnsi="Times New Roman" w:eastAsia="宋体" w:cs="Times New Roman"/>
                      <w:bCs/>
                      <w:color w:val="auto"/>
                      <w:kern w:val="2"/>
                      <w:sz w:val="21"/>
                      <w:szCs w:val="21"/>
                      <w:lang w:val="en-US" w:eastAsia="zh-CN" w:bidi="ar-SA"/>
                    </w:rPr>
                  </w:pPr>
                  <w:r>
                    <w:rPr>
                      <w:bCs/>
                      <w:color w:val="auto"/>
                      <w:sz w:val="21"/>
                      <w:szCs w:val="21"/>
                    </w:rPr>
                    <w:t>1.5</w:t>
                  </w:r>
                </w:p>
              </w:tc>
              <w:tc>
                <w:tcPr>
                  <w:tcW w:w="264"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bCs/>
                      <w:color w:val="auto"/>
                      <w:sz w:val="21"/>
                      <w:szCs w:val="21"/>
                      <w:lang w:val="en-US" w:eastAsia="zh-CN"/>
                    </w:rPr>
                    <w:t>3</w:t>
                  </w:r>
                </w:p>
              </w:tc>
              <w:tc>
                <w:tcPr>
                  <w:tcW w:w="337"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80</w:t>
                  </w:r>
                </w:p>
              </w:tc>
              <w:tc>
                <w:tcPr>
                  <w:tcW w:w="332"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ascii="Times New Roman" w:hAnsi="Times New Roman" w:eastAsia="宋体" w:cs="Times New Roman"/>
                      <w:bCs/>
                      <w:color w:val="auto"/>
                      <w:kern w:val="2"/>
                      <w:sz w:val="21"/>
                      <w:szCs w:val="21"/>
                      <w:lang w:val="en-US" w:eastAsia="zh-CN" w:bidi="ar-SA"/>
                    </w:rPr>
                  </w:pPr>
                  <w:r>
                    <w:rPr>
                      <w:rFonts w:hint="eastAsia"/>
                      <w:bCs/>
                      <w:color w:val="auto"/>
                      <w:sz w:val="21"/>
                      <w:szCs w:val="21"/>
                      <w:lang w:val="en-US" w:eastAsia="zh-CN"/>
                    </w:rPr>
                    <w:t>24h</w:t>
                  </w:r>
                </w:p>
              </w:tc>
              <w:tc>
                <w:tcPr>
                  <w:tcW w:w="349"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20</w:t>
                  </w:r>
                </w:p>
              </w:tc>
              <w:tc>
                <w:tcPr>
                  <w:tcW w:w="338"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ascii="Times New Roman" w:hAnsi="Times New Roman" w:eastAsia="宋体" w:cs="Times New Roman"/>
                      <w:bCs/>
                      <w:color w:val="auto"/>
                      <w:kern w:val="2"/>
                      <w:sz w:val="21"/>
                      <w:szCs w:val="21"/>
                      <w:lang w:val="en-US" w:eastAsia="zh-CN" w:bidi="ar-SA"/>
                    </w:rPr>
                  </w:pPr>
                  <w:r>
                    <w:rPr>
                      <w:bCs/>
                      <w:color w:val="auto"/>
                      <w:sz w:val="21"/>
                      <w:szCs w:val="21"/>
                    </w:rPr>
                    <w:t>33</w:t>
                  </w:r>
                </w:p>
              </w:tc>
              <w:tc>
                <w:tcPr>
                  <w:tcW w:w="367"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ascii="Times New Roman" w:hAnsi="Times New Roman" w:eastAsia="宋体" w:cs="Times New Roman"/>
                      <w:bCs/>
                      <w:color w:val="auto"/>
                      <w:kern w:val="2"/>
                      <w:sz w:val="21"/>
                      <w:szCs w:val="21"/>
                      <w:lang w:val="en-US" w:eastAsia="zh-CN" w:bidi="ar-SA"/>
                    </w:rPr>
                  </w:pPr>
                  <w:r>
                    <w:rPr>
                      <w:bCs/>
                      <w:color w:val="auto"/>
                      <w:sz w:val="21"/>
                      <w:szCs w:val="21"/>
                    </w:rPr>
                    <w:t>1m</w:t>
                  </w:r>
                </w:p>
              </w:tc>
            </w:tr>
          </w:tbl>
          <w:p>
            <w:pPr>
              <w:adjustRightInd w:val="0"/>
              <w:snapToGrid w:val="0"/>
              <w:ind w:firstLine="422" w:firstLineChars="200"/>
              <w:rPr>
                <w:b/>
                <w:color w:val="auto"/>
                <w:sz w:val="21"/>
                <w:szCs w:val="21"/>
              </w:rPr>
            </w:pPr>
            <w:r>
              <w:rPr>
                <w:b/>
                <w:color w:val="auto"/>
                <w:sz w:val="21"/>
                <w:szCs w:val="21"/>
              </w:rPr>
              <w:t>注:噪声源空间相对位置，以厂区</w:t>
            </w:r>
            <w:r>
              <w:rPr>
                <w:rFonts w:hint="eastAsia"/>
                <w:b/>
                <w:color w:val="auto"/>
                <w:sz w:val="21"/>
                <w:szCs w:val="21"/>
                <w:lang w:eastAsia="zh-CN"/>
              </w:rPr>
              <w:t>西南</w:t>
            </w:r>
            <w:r>
              <w:rPr>
                <w:b/>
                <w:color w:val="auto"/>
                <w:sz w:val="21"/>
                <w:szCs w:val="21"/>
              </w:rPr>
              <w:t>角为原点,平行</w:t>
            </w:r>
            <w:r>
              <w:rPr>
                <w:rFonts w:hint="eastAsia"/>
                <w:b/>
                <w:color w:val="auto"/>
                <w:sz w:val="21"/>
                <w:szCs w:val="21"/>
                <w:lang w:eastAsia="zh-CN"/>
              </w:rPr>
              <w:t>西</w:t>
            </w:r>
            <w:r>
              <w:rPr>
                <w:b/>
                <w:color w:val="auto"/>
                <w:sz w:val="21"/>
                <w:szCs w:val="21"/>
              </w:rPr>
              <w:t>厂界为</w:t>
            </w:r>
            <w:r>
              <w:rPr>
                <w:rFonts w:hint="eastAsia"/>
                <w:b/>
                <w:color w:val="auto"/>
                <w:sz w:val="21"/>
                <w:szCs w:val="21"/>
                <w:lang w:val="en-US" w:eastAsia="zh-CN"/>
              </w:rPr>
              <w:t>X</w:t>
            </w:r>
            <w:r>
              <w:rPr>
                <w:b/>
                <w:color w:val="auto"/>
                <w:sz w:val="21"/>
                <w:szCs w:val="21"/>
              </w:rPr>
              <w:t>轴、</w:t>
            </w:r>
            <w:r>
              <w:rPr>
                <w:rFonts w:hint="eastAsia"/>
                <w:b/>
                <w:color w:val="auto"/>
                <w:sz w:val="21"/>
                <w:szCs w:val="21"/>
                <w:lang w:eastAsia="zh-CN"/>
              </w:rPr>
              <w:t>南</w:t>
            </w:r>
            <w:r>
              <w:rPr>
                <w:b/>
                <w:color w:val="auto"/>
                <w:sz w:val="21"/>
                <w:szCs w:val="21"/>
              </w:rPr>
              <w:t>厂界为Y轴、垂直地面为Z轴建立坐标系</w:t>
            </w:r>
            <w:r>
              <w:rPr>
                <w:rFonts w:hint="eastAsia"/>
                <w:b/>
                <w:color w:val="auto"/>
                <w:sz w:val="21"/>
                <w:szCs w:val="21"/>
                <w:lang w:eastAsia="zh-CN"/>
              </w:rPr>
              <w:t>（</w:t>
            </w:r>
            <w:r>
              <w:rPr>
                <w:b/>
                <w:color w:val="auto"/>
                <w:sz w:val="21"/>
                <w:szCs w:val="21"/>
              </w:rPr>
              <w:t>下同</w:t>
            </w:r>
            <w:r>
              <w:rPr>
                <w:rFonts w:hint="eastAsia"/>
                <w:b/>
                <w:color w:val="auto"/>
                <w:sz w:val="21"/>
                <w:szCs w:val="21"/>
                <w:lang w:eastAsia="zh-CN"/>
              </w:rPr>
              <w:t>）</w:t>
            </w:r>
            <w:r>
              <w:rPr>
                <w:b/>
                <w:color w:val="auto"/>
                <w:sz w:val="21"/>
                <w:szCs w:val="21"/>
              </w:rPr>
              <w:t>。</w:t>
            </w:r>
          </w:p>
          <w:p>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b/>
                <w:color w:val="auto"/>
                <w:sz w:val="21"/>
                <w:szCs w:val="21"/>
              </w:rPr>
            </w:pPr>
            <w:r>
              <w:rPr>
                <w:b/>
                <w:color w:val="auto"/>
                <w:sz w:val="21"/>
                <w:szCs w:val="21"/>
              </w:rPr>
              <w:t>表4-</w:t>
            </w:r>
            <w:r>
              <w:rPr>
                <w:rFonts w:hint="eastAsia"/>
                <w:b/>
                <w:color w:val="auto"/>
                <w:sz w:val="21"/>
                <w:szCs w:val="21"/>
                <w:lang w:val="en-US" w:eastAsia="zh-CN"/>
              </w:rPr>
              <w:t>14</w:t>
            </w:r>
            <w:r>
              <w:rPr>
                <w:b/>
                <w:color w:val="auto"/>
                <w:sz w:val="21"/>
                <w:szCs w:val="21"/>
              </w:rPr>
              <w:t xml:space="preserve"> </w:t>
            </w:r>
            <w:r>
              <w:rPr>
                <w:b/>
                <w:bCs/>
                <w:color w:val="auto"/>
                <w:kern w:val="0"/>
                <w:sz w:val="21"/>
                <w:szCs w:val="21"/>
              </w:rPr>
              <w:t>工业企业噪声源强调查清单（室外声源）</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
              <w:gridCol w:w="1064"/>
              <w:gridCol w:w="810"/>
              <w:gridCol w:w="913"/>
              <w:gridCol w:w="913"/>
              <w:gridCol w:w="743"/>
              <w:gridCol w:w="696"/>
              <w:gridCol w:w="1204"/>
              <w:gridCol w:w="1289"/>
              <w:gridCol w:w="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5" w:type="pct"/>
                  <w:vMerge w:val="restart"/>
                  <w:shd w:val="clear" w:color="auto" w:fill="auto"/>
                  <w:vAlign w:val="center"/>
                </w:tcPr>
                <w:p>
                  <w:pPr>
                    <w:jc w:val="center"/>
                    <w:rPr>
                      <w:b/>
                      <w:bCs/>
                      <w:color w:val="auto"/>
                      <w:sz w:val="21"/>
                      <w:szCs w:val="21"/>
                    </w:rPr>
                  </w:pPr>
                  <w:r>
                    <w:rPr>
                      <w:b/>
                      <w:bCs/>
                      <w:color w:val="auto"/>
                      <w:sz w:val="21"/>
                      <w:szCs w:val="21"/>
                    </w:rPr>
                    <w:t>序号</w:t>
                  </w:r>
                </w:p>
              </w:tc>
              <w:tc>
                <w:tcPr>
                  <w:tcW w:w="586" w:type="pct"/>
                  <w:vMerge w:val="restart"/>
                  <w:shd w:val="clear" w:color="auto" w:fill="auto"/>
                  <w:vAlign w:val="center"/>
                </w:tcPr>
                <w:p>
                  <w:pPr>
                    <w:jc w:val="center"/>
                    <w:rPr>
                      <w:b/>
                      <w:bCs/>
                      <w:color w:val="auto"/>
                      <w:sz w:val="21"/>
                      <w:szCs w:val="21"/>
                    </w:rPr>
                  </w:pPr>
                  <w:r>
                    <w:rPr>
                      <w:b/>
                      <w:bCs/>
                      <w:color w:val="auto"/>
                      <w:sz w:val="21"/>
                      <w:szCs w:val="21"/>
                    </w:rPr>
                    <w:t>声源名称</w:t>
                  </w:r>
                </w:p>
              </w:tc>
              <w:tc>
                <w:tcPr>
                  <w:tcW w:w="446" w:type="pct"/>
                  <w:vMerge w:val="restart"/>
                  <w:shd w:val="clear" w:color="auto" w:fill="auto"/>
                  <w:vAlign w:val="center"/>
                </w:tcPr>
                <w:p>
                  <w:pPr>
                    <w:jc w:val="center"/>
                    <w:rPr>
                      <w:b/>
                      <w:bCs/>
                      <w:color w:val="auto"/>
                      <w:sz w:val="21"/>
                      <w:szCs w:val="21"/>
                    </w:rPr>
                  </w:pPr>
                  <w:r>
                    <w:rPr>
                      <w:b/>
                      <w:bCs/>
                      <w:color w:val="auto"/>
                      <w:sz w:val="21"/>
                      <w:szCs w:val="21"/>
                    </w:rPr>
                    <w:t>型号</w:t>
                  </w:r>
                </w:p>
              </w:tc>
              <w:tc>
                <w:tcPr>
                  <w:tcW w:w="503" w:type="pct"/>
                  <w:vMerge w:val="restart"/>
                  <w:vAlign w:val="center"/>
                </w:tcPr>
                <w:p>
                  <w:pPr>
                    <w:jc w:val="center"/>
                    <w:rPr>
                      <w:b/>
                      <w:bCs/>
                      <w:color w:val="auto"/>
                      <w:sz w:val="21"/>
                      <w:szCs w:val="21"/>
                    </w:rPr>
                  </w:pPr>
                  <w:r>
                    <w:rPr>
                      <w:b/>
                      <w:bCs/>
                      <w:color w:val="auto"/>
                      <w:sz w:val="21"/>
                      <w:szCs w:val="21"/>
                    </w:rPr>
                    <w:t>设备数量（台）</w:t>
                  </w:r>
                </w:p>
              </w:tc>
              <w:tc>
                <w:tcPr>
                  <w:tcW w:w="1295" w:type="pct"/>
                  <w:gridSpan w:val="3"/>
                  <w:shd w:val="clear" w:color="auto" w:fill="auto"/>
                  <w:vAlign w:val="center"/>
                </w:tcPr>
                <w:p>
                  <w:pPr>
                    <w:jc w:val="center"/>
                    <w:rPr>
                      <w:b/>
                      <w:bCs/>
                      <w:color w:val="auto"/>
                      <w:sz w:val="21"/>
                      <w:szCs w:val="21"/>
                    </w:rPr>
                  </w:pPr>
                  <w:r>
                    <w:rPr>
                      <w:b/>
                      <w:bCs/>
                      <w:color w:val="auto"/>
                      <w:sz w:val="21"/>
                      <w:szCs w:val="21"/>
                    </w:rPr>
                    <w:t>空间相对位置/m</w:t>
                  </w:r>
                </w:p>
              </w:tc>
              <w:tc>
                <w:tcPr>
                  <w:tcW w:w="663" w:type="pct"/>
                  <w:shd w:val="clear" w:color="auto" w:fill="auto"/>
                  <w:vAlign w:val="center"/>
                </w:tcPr>
                <w:p>
                  <w:pPr>
                    <w:jc w:val="center"/>
                    <w:rPr>
                      <w:b/>
                      <w:bCs/>
                      <w:color w:val="auto"/>
                      <w:sz w:val="21"/>
                      <w:szCs w:val="21"/>
                    </w:rPr>
                  </w:pPr>
                  <w:r>
                    <w:rPr>
                      <w:b/>
                      <w:bCs/>
                      <w:color w:val="auto"/>
                      <w:sz w:val="21"/>
                      <w:szCs w:val="21"/>
                    </w:rPr>
                    <w:t>声源源强</w:t>
                  </w:r>
                </w:p>
              </w:tc>
              <w:tc>
                <w:tcPr>
                  <w:tcW w:w="710" w:type="pct"/>
                  <w:vMerge w:val="restart"/>
                  <w:shd w:val="clear" w:color="auto" w:fill="auto"/>
                  <w:vAlign w:val="center"/>
                </w:tcPr>
                <w:p>
                  <w:pPr>
                    <w:jc w:val="center"/>
                    <w:rPr>
                      <w:b/>
                      <w:bCs/>
                      <w:color w:val="auto"/>
                      <w:sz w:val="21"/>
                      <w:szCs w:val="21"/>
                    </w:rPr>
                  </w:pPr>
                  <w:r>
                    <w:rPr>
                      <w:b/>
                      <w:bCs/>
                      <w:color w:val="auto"/>
                      <w:sz w:val="21"/>
                      <w:szCs w:val="21"/>
                    </w:rPr>
                    <w:t>声源控制措施</w:t>
                  </w:r>
                </w:p>
              </w:tc>
              <w:tc>
                <w:tcPr>
                  <w:tcW w:w="549" w:type="pct"/>
                  <w:vMerge w:val="restart"/>
                  <w:shd w:val="clear" w:color="auto" w:fill="auto"/>
                  <w:vAlign w:val="center"/>
                </w:tcPr>
                <w:p>
                  <w:pPr>
                    <w:jc w:val="center"/>
                    <w:rPr>
                      <w:b/>
                      <w:bCs/>
                      <w:color w:val="auto"/>
                      <w:sz w:val="21"/>
                      <w:szCs w:val="21"/>
                    </w:rPr>
                  </w:pPr>
                  <w:r>
                    <w:rPr>
                      <w:b/>
                      <w:bCs/>
                      <w:color w:val="auto"/>
                      <w:sz w:val="21"/>
                      <w:szCs w:val="21"/>
                    </w:rPr>
                    <w:t>运行时段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5" w:type="pct"/>
                  <w:vMerge w:val="continue"/>
                  <w:shd w:val="clear" w:color="auto" w:fill="auto"/>
                  <w:vAlign w:val="center"/>
                </w:tcPr>
                <w:p>
                  <w:pPr>
                    <w:jc w:val="center"/>
                    <w:rPr>
                      <w:b/>
                      <w:bCs/>
                      <w:color w:val="auto"/>
                      <w:sz w:val="21"/>
                      <w:szCs w:val="21"/>
                    </w:rPr>
                  </w:pPr>
                </w:p>
              </w:tc>
              <w:tc>
                <w:tcPr>
                  <w:tcW w:w="586" w:type="pct"/>
                  <w:vMerge w:val="continue"/>
                  <w:shd w:val="clear" w:color="auto" w:fill="auto"/>
                  <w:vAlign w:val="center"/>
                </w:tcPr>
                <w:p>
                  <w:pPr>
                    <w:jc w:val="center"/>
                    <w:rPr>
                      <w:b/>
                      <w:bCs/>
                      <w:color w:val="auto"/>
                      <w:sz w:val="21"/>
                      <w:szCs w:val="21"/>
                    </w:rPr>
                  </w:pPr>
                </w:p>
              </w:tc>
              <w:tc>
                <w:tcPr>
                  <w:tcW w:w="446" w:type="pct"/>
                  <w:vMerge w:val="continue"/>
                  <w:shd w:val="clear" w:color="auto" w:fill="auto"/>
                  <w:vAlign w:val="center"/>
                </w:tcPr>
                <w:p>
                  <w:pPr>
                    <w:jc w:val="center"/>
                    <w:rPr>
                      <w:b/>
                      <w:bCs/>
                      <w:color w:val="auto"/>
                      <w:sz w:val="21"/>
                      <w:szCs w:val="21"/>
                    </w:rPr>
                  </w:pPr>
                </w:p>
              </w:tc>
              <w:tc>
                <w:tcPr>
                  <w:tcW w:w="503" w:type="pct"/>
                  <w:vMerge w:val="continue"/>
                  <w:vAlign w:val="center"/>
                </w:tcPr>
                <w:p>
                  <w:pPr>
                    <w:jc w:val="center"/>
                    <w:rPr>
                      <w:b/>
                      <w:bCs/>
                      <w:color w:val="auto"/>
                      <w:sz w:val="21"/>
                      <w:szCs w:val="21"/>
                    </w:rPr>
                  </w:pPr>
                </w:p>
              </w:tc>
              <w:tc>
                <w:tcPr>
                  <w:tcW w:w="503" w:type="pct"/>
                  <w:shd w:val="clear" w:color="auto" w:fill="auto"/>
                  <w:vAlign w:val="center"/>
                </w:tcPr>
                <w:p>
                  <w:pPr>
                    <w:jc w:val="center"/>
                    <w:rPr>
                      <w:b/>
                      <w:bCs/>
                      <w:color w:val="auto"/>
                      <w:sz w:val="21"/>
                      <w:szCs w:val="21"/>
                    </w:rPr>
                  </w:pPr>
                  <w:r>
                    <w:rPr>
                      <w:b/>
                      <w:bCs/>
                      <w:color w:val="auto"/>
                      <w:sz w:val="21"/>
                      <w:szCs w:val="21"/>
                    </w:rPr>
                    <w:t>X</w:t>
                  </w:r>
                </w:p>
              </w:tc>
              <w:tc>
                <w:tcPr>
                  <w:tcW w:w="409" w:type="pct"/>
                  <w:shd w:val="clear" w:color="auto" w:fill="auto"/>
                  <w:vAlign w:val="center"/>
                </w:tcPr>
                <w:p>
                  <w:pPr>
                    <w:jc w:val="center"/>
                    <w:rPr>
                      <w:b/>
                      <w:bCs/>
                      <w:color w:val="auto"/>
                      <w:sz w:val="21"/>
                      <w:szCs w:val="21"/>
                    </w:rPr>
                  </w:pPr>
                  <w:r>
                    <w:rPr>
                      <w:b/>
                      <w:bCs/>
                      <w:color w:val="auto"/>
                      <w:sz w:val="21"/>
                      <w:szCs w:val="21"/>
                    </w:rPr>
                    <w:t>Y</w:t>
                  </w:r>
                </w:p>
              </w:tc>
              <w:tc>
                <w:tcPr>
                  <w:tcW w:w="383" w:type="pct"/>
                  <w:shd w:val="clear" w:color="auto" w:fill="auto"/>
                  <w:vAlign w:val="center"/>
                </w:tcPr>
                <w:p>
                  <w:pPr>
                    <w:jc w:val="center"/>
                    <w:rPr>
                      <w:b/>
                      <w:bCs/>
                      <w:color w:val="auto"/>
                      <w:sz w:val="21"/>
                      <w:szCs w:val="21"/>
                    </w:rPr>
                  </w:pPr>
                  <w:r>
                    <w:rPr>
                      <w:b/>
                      <w:bCs/>
                      <w:color w:val="auto"/>
                      <w:sz w:val="21"/>
                      <w:szCs w:val="21"/>
                    </w:rPr>
                    <w:t>Z</w:t>
                  </w:r>
                </w:p>
              </w:tc>
              <w:tc>
                <w:tcPr>
                  <w:tcW w:w="663" w:type="pct"/>
                  <w:shd w:val="clear" w:color="auto" w:fill="auto"/>
                  <w:vAlign w:val="center"/>
                </w:tcPr>
                <w:p>
                  <w:pPr>
                    <w:jc w:val="center"/>
                    <w:rPr>
                      <w:b/>
                      <w:bCs/>
                      <w:color w:val="auto"/>
                      <w:sz w:val="21"/>
                      <w:szCs w:val="21"/>
                    </w:rPr>
                  </w:pPr>
                  <w:r>
                    <w:rPr>
                      <w:b/>
                      <w:bCs/>
                      <w:color w:val="auto"/>
                      <w:sz w:val="21"/>
                      <w:szCs w:val="21"/>
                    </w:rPr>
                    <w:t>声压级/距声源距离</w:t>
                  </w:r>
                </w:p>
              </w:tc>
              <w:tc>
                <w:tcPr>
                  <w:tcW w:w="710" w:type="pct"/>
                  <w:vMerge w:val="continue"/>
                  <w:shd w:val="clear" w:color="auto" w:fill="auto"/>
                  <w:vAlign w:val="center"/>
                </w:tcPr>
                <w:p>
                  <w:pPr>
                    <w:jc w:val="center"/>
                    <w:rPr>
                      <w:color w:val="auto"/>
                      <w:sz w:val="21"/>
                      <w:szCs w:val="21"/>
                    </w:rPr>
                  </w:pPr>
                </w:p>
              </w:tc>
              <w:tc>
                <w:tcPr>
                  <w:tcW w:w="549" w:type="pct"/>
                  <w:vMerge w:val="continue"/>
                  <w:shd w:val="clear" w:color="auto" w:fill="auto"/>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245" w:type="pct"/>
                  <w:shd w:val="clear" w:color="auto" w:fill="auto"/>
                  <w:vAlign w:val="center"/>
                </w:tcPr>
                <w:p>
                  <w:pPr>
                    <w:jc w:val="center"/>
                    <w:rPr>
                      <w:color w:val="auto"/>
                      <w:sz w:val="21"/>
                      <w:szCs w:val="21"/>
                    </w:rPr>
                  </w:pPr>
                  <w:r>
                    <w:rPr>
                      <w:color w:val="auto"/>
                      <w:sz w:val="21"/>
                      <w:szCs w:val="21"/>
                    </w:rPr>
                    <w:t>1</w:t>
                  </w:r>
                </w:p>
              </w:tc>
              <w:tc>
                <w:tcPr>
                  <w:tcW w:w="586" w:type="pct"/>
                  <w:shd w:val="clear" w:color="auto" w:fill="auto"/>
                  <w:vAlign w:val="center"/>
                </w:tcPr>
                <w:p>
                  <w:pPr>
                    <w:jc w:val="center"/>
                    <w:rPr>
                      <w:color w:val="auto"/>
                      <w:sz w:val="21"/>
                      <w:szCs w:val="21"/>
                    </w:rPr>
                  </w:pPr>
                  <w:r>
                    <w:rPr>
                      <w:color w:val="auto"/>
                      <w:sz w:val="21"/>
                      <w:szCs w:val="21"/>
                    </w:rPr>
                    <w:t>空调外机1</w:t>
                  </w:r>
                </w:p>
              </w:tc>
              <w:tc>
                <w:tcPr>
                  <w:tcW w:w="446" w:type="pct"/>
                  <w:shd w:val="clear" w:color="auto" w:fill="auto"/>
                  <w:vAlign w:val="center"/>
                </w:tcPr>
                <w:p>
                  <w:pPr>
                    <w:jc w:val="center"/>
                    <w:rPr>
                      <w:color w:val="auto"/>
                      <w:sz w:val="21"/>
                      <w:szCs w:val="21"/>
                    </w:rPr>
                  </w:pPr>
                  <w:r>
                    <w:rPr>
                      <w:color w:val="auto"/>
                      <w:sz w:val="21"/>
                      <w:szCs w:val="21"/>
                    </w:rPr>
                    <w:t>/</w:t>
                  </w:r>
                </w:p>
              </w:tc>
              <w:tc>
                <w:tcPr>
                  <w:tcW w:w="503" w:type="pct"/>
                  <w:vAlign w:val="center"/>
                </w:tcPr>
                <w:p>
                  <w:pPr>
                    <w:jc w:val="center"/>
                    <w:rPr>
                      <w:color w:val="auto"/>
                      <w:sz w:val="21"/>
                      <w:szCs w:val="21"/>
                    </w:rPr>
                  </w:pPr>
                  <w:r>
                    <w:rPr>
                      <w:color w:val="auto"/>
                      <w:sz w:val="21"/>
                      <w:szCs w:val="21"/>
                    </w:rPr>
                    <w:t>1</w:t>
                  </w:r>
                </w:p>
              </w:tc>
              <w:tc>
                <w:tcPr>
                  <w:tcW w:w="503" w:type="pct"/>
                  <w:shd w:val="clear" w:color="auto" w:fill="auto"/>
                  <w:vAlign w:val="center"/>
                </w:tcPr>
                <w:p>
                  <w:pPr>
                    <w:jc w:val="center"/>
                    <w:rPr>
                      <w:rFonts w:hint="default" w:eastAsia="宋体"/>
                      <w:color w:val="auto"/>
                      <w:sz w:val="21"/>
                      <w:szCs w:val="21"/>
                      <w:lang w:val="en-US" w:eastAsia="zh-CN"/>
                    </w:rPr>
                  </w:pPr>
                  <w:r>
                    <w:rPr>
                      <w:rFonts w:hint="eastAsia"/>
                      <w:color w:val="auto"/>
                      <w:sz w:val="21"/>
                      <w:szCs w:val="21"/>
                      <w:lang w:val="en-US" w:eastAsia="zh-CN"/>
                    </w:rPr>
                    <w:t>10.5</w:t>
                  </w:r>
                </w:p>
              </w:tc>
              <w:tc>
                <w:tcPr>
                  <w:tcW w:w="409" w:type="pct"/>
                  <w:shd w:val="clear" w:color="auto" w:fill="auto"/>
                  <w:vAlign w:val="center"/>
                </w:tcPr>
                <w:p>
                  <w:pPr>
                    <w:jc w:val="center"/>
                    <w:rPr>
                      <w:rFonts w:hint="default" w:eastAsia="宋体"/>
                      <w:color w:val="auto"/>
                      <w:sz w:val="21"/>
                      <w:szCs w:val="21"/>
                      <w:lang w:val="en-US" w:eastAsia="zh-CN"/>
                    </w:rPr>
                  </w:pPr>
                  <w:r>
                    <w:rPr>
                      <w:rFonts w:hint="eastAsia"/>
                      <w:color w:val="auto"/>
                      <w:sz w:val="21"/>
                      <w:szCs w:val="21"/>
                      <w:lang w:val="en-US" w:eastAsia="zh-CN"/>
                    </w:rPr>
                    <w:t>42.5</w:t>
                  </w:r>
                </w:p>
              </w:tc>
              <w:tc>
                <w:tcPr>
                  <w:tcW w:w="383" w:type="pct"/>
                  <w:shd w:val="clear" w:color="auto" w:fill="auto"/>
                  <w:vAlign w:val="center"/>
                </w:tcPr>
                <w:p>
                  <w:pPr>
                    <w:jc w:val="center"/>
                    <w:rPr>
                      <w:rFonts w:hint="eastAsia" w:eastAsia="宋体"/>
                      <w:color w:val="auto"/>
                      <w:sz w:val="21"/>
                      <w:szCs w:val="21"/>
                      <w:lang w:val="en-US" w:eastAsia="zh-CN"/>
                    </w:rPr>
                  </w:pPr>
                  <w:r>
                    <w:rPr>
                      <w:rFonts w:hint="eastAsia"/>
                      <w:color w:val="auto"/>
                      <w:sz w:val="21"/>
                      <w:szCs w:val="21"/>
                      <w:lang w:val="en-US" w:eastAsia="zh-CN"/>
                    </w:rPr>
                    <w:t>3</w:t>
                  </w:r>
                </w:p>
              </w:tc>
              <w:tc>
                <w:tcPr>
                  <w:tcW w:w="663" w:type="pct"/>
                  <w:shd w:val="clear" w:color="auto" w:fill="auto"/>
                  <w:vAlign w:val="center"/>
                </w:tcPr>
                <w:p>
                  <w:pPr>
                    <w:jc w:val="center"/>
                    <w:rPr>
                      <w:rFonts w:hint="default" w:eastAsia="宋体"/>
                      <w:color w:val="auto"/>
                      <w:sz w:val="21"/>
                      <w:szCs w:val="21"/>
                      <w:lang w:val="en-US" w:eastAsia="zh-CN"/>
                    </w:rPr>
                  </w:pPr>
                  <w:r>
                    <w:rPr>
                      <w:rFonts w:hint="eastAsia"/>
                      <w:color w:val="auto"/>
                      <w:sz w:val="21"/>
                      <w:szCs w:val="21"/>
                      <w:lang w:val="en-US" w:eastAsia="zh-CN"/>
                    </w:rPr>
                    <w:t>70</w:t>
                  </w:r>
                </w:p>
              </w:tc>
              <w:tc>
                <w:tcPr>
                  <w:tcW w:w="710" w:type="pct"/>
                  <w:vMerge w:val="restart"/>
                  <w:shd w:val="clear" w:color="auto" w:fill="auto"/>
                  <w:vAlign w:val="center"/>
                </w:tcPr>
                <w:p>
                  <w:pPr>
                    <w:jc w:val="center"/>
                    <w:rPr>
                      <w:color w:val="auto"/>
                      <w:sz w:val="21"/>
                      <w:szCs w:val="21"/>
                    </w:rPr>
                  </w:pPr>
                  <w:r>
                    <w:rPr>
                      <w:rFonts w:hint="eastAsia"/>
                      <w:color w:val="auto"/>
                      <w:sz w:val="21"/>
                      <w:szCs w:val="21"/>
                      <w:lang w:eastAsia="zh-CN"/>
                    </w:rPr>
                    <w:t>建筑</w:t>
                  </w:r>
                  <w:r>
                    <w:rPr>
                      <w:color w:val="auto"/>
                      <w:sz w:val="21"/>
                      <w:szCs w:val="21"/>
                    </w:rPr>
                    <w:t>隔声，减振底座</w:t>
                  </w:r>
                </w:p>
              </w:tc>
              <w:tc>
                <w:tcPr>
                  <w:tcW w:w="549" w:type="pct"/>
                  <w:vMerge w:val="restart"/>
                  <w:shd w:val="clear" w:color="auto" w:fill="auto"/>
                  <w:vAlign w:val="center"/>
                </w:tcPr>
                <w:p>
                  <w:pPr>
                    <w:jc w:val="center"/>
                    <w:rPr>
                      <w:color w:val="auto"/>
                      <w:sz w:val="21"/>
                      <w:szCs w:val="21"/>
                    </w:rPr>
                  </w:pPr>
                  <w:r>
                    <w:rPr>
                      <w:rFonts w:hint="eastAsia"/>
                      <w:bCs/>
                      <w:color w:val="auto"/>
                      <w:sz w:val="21"/>
                      <w:szCs w:val="21"/>
                      <w:lang w:val="en-US" w:eastAsia="zh-CN"/>
                    </w:rPr>
                    <w:t>24h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245" w:type="pct"/>
                  <w:shd w:val="clear" w:color="auto" w:fill="auto"/>
                  <w:vAlign w:val="center"/>
                </w:tcPr>
                <w:p>
                  <w:pPr>
                    <w:jc w:val="center"/>
                    <w:rPr>
                      <w:color w:val="auto"/>
                      <w:sz w:val="21"/>
                      <w:szCs w:val="21"/>
                    </w:rPr>
                  </w:pPr>
                  <w:r>
                    <w:rPr>
                      <w:color w:val="auto"/>
                      <w:sz w:val="21"/>
                      <w:szCs w:val="21"/>
                    </w:rPr>
                    <w:t>2</w:t>
                  </w:r>
                </w:p>
              </w:tc>
              <w:tc>
                <w:tcPr>
                  <w:tcW w:w="586" w:type="pct"/>
                  <w:shd w:val="clear" w:color="auto" w:fill="auto"/>
                  <w:vAlign w:val="center"/>
                </w:tcPr>
                <w:p>
                  <w:pPr>
                    <w:jc w:val="center"/>
                    <w:rPr>
                      <w:color w:val="auto"/>
                      <w:sz w:val="21"/>
                      <w:szCs w:val="21"/>
                    </w:rPr>
                  </w:pPr>
                  <w:r>
                    <w:rPr>
                      <w:color w:val="auto"/>
                      <w:sz w:val="21"/>
                      <w:szCs w:val="21"/>
                    </w:rPr>
                    <w:t>空调外机2</w:t>
                  </w:r>
                </w:p>
              </w:tc>
              <w:tc>
                <w:tcPr>
                  <w:tcW w:w="446" w:type="pct"/>
                  <w:shd w:val="clear" w:color="auto" w:fill="auto"/>
                  <w:vAlign w:val="center"/>
                </w:tcPr>
                <w:p>
                  <w:pPr>
                    <w:jc w:val="center"/>
                    <w:rPr>
                      <w:color w:val="auto"/>
                      <w:sz w:val="21"/>
                      <w:szCs w:val="21"/>
                    </w:rPr>
                  </w:pPr>
                  <w:r>
                    <w:rPr>
                      <w:color w:val="auto"/>
                      <w:sz w:val="21"/>
                      <w:szCs w:val="21"/>
                    </w:rPr>
                    <w:t>/</w:t>
                  </w:r>
                </w:p>
              </w:tc>
              <w:tc>
                <w:tcPr>
                  <w:tcW w:w="503" w:type="pct"/>
                  <w:vAlign w:val="center"/>
                </w:tcPr>
                <w:p>
                  <w:pPr>
                    <w:jc w:val="center"/>
                    <w:rPr>
                      <w:color w:val="auto"/>
                      <w:sz w:val="21"/>
                      <w:szCs w:val="21"/>
                    </w:rPr>
                  </w:pPr>
                  <w:r>
                    <w:rPr>
                      <w:color w:val="auto"/>
                      <w:sz w:val="21"/>
                      <w:szCs w:val="21"/>
                    </w:rPr>
                    <w:t>1</w:t>
                  </w:r>
                </w:p>
              </w:tc>
              <w:tc>
                <w:tcPr>
                  <w:tcW w:w="503" w:type="pct"/>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10.5</w:t>
                  </w:r>
                </w:p>
              </w:tc>
              <w:tc>
                <w:tcPr>
                  <w:tcW w:w="409" w:type="pct"/>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42.5</w:t>
                  </w:r>
                </w:p>
              </w:tc>
              <w:tc>
                <w:tcPr>
                  <w:tcW w:w="383" w:type="pct"/>
                  <w:shd w:val="clear" w:color="auto" w:fill="auto"/>
                  <w:vAlign w:val="center"/>
                </w:tcPr>
                <w:p>
                  <w:pPr>
                    <w:jc w:val="center"/>
                    <w:rPr>
                      <w:rFonts w:hint="eastAsia" w:eastAsia="宋体"/>
                      <w:color w:val="auto"/>
                      <w:sz w:val="21"/>
                      <w:szCs w:val="21"/>
                      <w:lang w:val="en-US" w:eastAsia="zh-CN"/>
                    </w:rPr>
                  </w:pPr>
                  <w:r>
                    <w:rPr>
                      <w:rFonts w:hint="eastAsia"/>
                      <w:color w:val="auto"/>
                      <w:sz w:val="21"/>
                      <w:szCs w:val="21"/>
                      <w:lang w:val="en-US" w:eastAsia="zh-CN"/>
                    </w:rPr>
                    <w:t>6</w:t>
                  </w:r>
                </w:p>
              </w:tc>
              <w:tc>
                <w:tcPr>
                  <w:tcW w:w="663" w:type="pct"/>
                  <w:shd w:val="clear" w:color="auto" w:fill="auto"/>
                  <w:vAlign w:val="center"/>
                </w:tcPr>
                <w:p>
                  <w:pPr>
                    <w:jc w:val="center"/>
                    <w:rPr>
                      <w:rFonts w:hint="default" w:eastAsia="宋体"/>
                      <w:color w:val="auto"/>
                      <w:sz w:val="21"/>
                      <w:szCs w:val="21"/>
                      <w:lang w:val="en-US" w:eastAsia="zh-CN"/>
                    </w:rPr>
                  </w:pPr>
                  <w:r>
                    <w:rPr>
                      <w:rFonts w:hint="eastAsia"/>
                      <w:color w:val="auto"/>
                      <w:sz w:val="21"/>
                      <w:szCs w:val="21"/>
                      <w:lang w:val="en-US" w:eastAsia="zh-CN"/>
                    </w:rPr>
                    <w:t>70</w:t>
                  </w:r>
                </w:p>
              </w:tc>
              <w:tc>
                <w:tcPr>
                  <w:tcW w:w="710" w:type="pct"/>
                  <w:vMerge w:val="continue"/>
                  <w:shd w:val="clear" w:color="auto" w:fill="auto"/>
                  <w:vAlign w:val="center"/>
                </w:tcPr>
                <w:p>
                  <w:pPr>
                    <w:jc w:val="center"/>
                    <w:rPr>
                      <w:color w:val="auto"/>
                      <w:sz w:val="21"/>
                      <w:szCs w:val="21"/>
                    </w:rPr>
                  </w:pPr>
                </w:p>
              </w:tc>
              <w:tc>
                <w:tcPr>
                  <w:tcW w:w="549" w:type="pct"/>
                  <w:vMerge w:val="continue"/>
                  <w:shd w:val="clear" w:color="auto" w:fill="auto"/>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245" w:type="pct"/>
                  <w:shd w:val="clear" w:color="auto" w:fill="auto"/>
                  <w:vAlign w:val="center"/>
                </w:tcPr>
                <w:p>
                  <w:pPr>
                    <w:jc w:val="center"/>
                    <w:rPr>
                      <w:color w:val="auto"/>
                      <w:sz w:val="21"/>
                      <w:szCs w:val="21"/>
                    </w:rPr>
                  </w:pPr>
                  <w:r>
                    <w:rPr>
                      <w:color w:val="auto"/>
                      <w:sz w:val="21"/>
                      <w:szCs w:val="21"/>
                    </w:rPr>
                    <w:t>3</w:t>
                  </w:r>
                </w:p>
              </w:tc>
              <w:tc>
                <w:tcPr>
                  <w:tcW w:w="586" w:type="pct"/>
                  <w:shd w:val="clear" w:color="auto" w:fill="auto"/>
                  <w:vAlign w:val="center"/>
                </w:tcPr>
                <w:p>
                  <w:pPr>
                    <w:jc w:val="center"/>
                    <w:rPr>
                      <w:color w:val="auto"/>
                      <w:sz w:val="21"/>
                      <w:szCs w:val="21"/>
                    </w:rPr>
                  </w:pPr>
                  <w:r>
                    <w:rPr>
                      <w:color w:val="auto"/>
                      <w:sz w:val="21"/>
                      <w:szCs w:val="21"/>
                    </w:rPr>
                    <w:t>空调外机3</w:t>
                  </w:r>
                </w:p>
              </w:tc>
              <w:tc>
                <w:tcPr>
                  <w:tcW w:w="446" w:type="pct"/>
                  <w:shd w:val="clear" w:color="auto" w:fill="auto"/>
                  <w:vAlign w:val="center"/>
                </w:tcPr>
                <w:p>
                  <w:pPr>
                    <w:jc w:val="center"/>
                    <w:rPr>
                      <w:color w:val="auto"/>
                      <w:sz w:val="21"/>
                      <w:szCs w:val="21"/>
                    </w:rPr>
                  </w:pPr>
                  <w:r>
                    <w:rPr>
                      <w:color w:val="auto"/>
                      <w:sz w:val="21"/>
                      <w:szCs w:val="21"/>
                    </w:rPr>
                    <w:t>/</w:t>
                  </w:r>
                </w:p>
              </w:tc>
              <w:tc>
                <w:tcPr>
                  <w:tcW w:w="503" w:type="pct"/>
                  <w:vAlign w:val="center"/>
                </w:tcPr>
                <w:p>
                  <w:pPr>
                    <w:jc w:val="center"/>
                    <w:rPr>
                      <w:color w:val="auto"/>
                      <w:sz w:val="21"/>
                      <w:szCs w:val="21"/>
                    </w:rPr>
                  </w:pPr>
                  <w:r>
                    <w:rPr>
                      <w:color w:val="auto"/>
                      <w:sz w:val="21"/>
                      <w:szCs w:val="21"/>
                    </w:rPr>
                    <w:t>1</w:t>
                  </w:r>
                </w:p>
              </w:tc>
              <w:tc>
                <w:tcPr>
                  <w:tcW w:w="503" w:type="pct"/>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10.5</w:t>
                  </w:r>
                </w:p>
              </w:tc>
              <w:tc>
                <w:tcPr>
                  <w:tcW w:w="409" w:type="pct"/>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42.5</w:t>
                  </w:r>
                </w:p>
              </w:tc>
              <w:tc>
                <w:tcPr>
                  <w:tcW w:w="383" w:type="pct"/>
                  <w:shd w:val="clear" w:color="auto" w:fill="auto"/>
                  <w:vAlign w:val="center"/>
                </w:tcPr>
                <w:p>
                  <w:pPr>
                    <w:jc w:val="center"/>
                    <w:rPr>
                      <w:rFonts w:hint="eastAsia" w:eastAsia="宋体"/>
                      <w:color w:val="auto"/>
                      <w:sz w:val="21"/>
                      <w:szCs w:val="21"/>
                      <w:lang w:val="en-US" w:eastAsia="zh-CN"/>
                    </w:rPr>
                  </w:pPr>
                  <w:r>
                    <w:rPr>
                      <w:rFonts w:hint="eastAsia"/>
                      <w:color w:val="auto"/>
                      <w:sz w:val="21"/>
                      <w:szCs w:val="21"/>
                      <w:lang w:val="en-US" w:eastAsia="zh-CN"/>
                    </w:rPr>
                    <w:t>9</w:t>
                  </w:r>
                </w:p>
              </w:tc>
              <w:tc>
                <w:tcPr>
                  <w:tcW w:w="663" w:type="pct"/>
                  <w:shd w:val="clear" w:color="auto" w:fill="auto"/>
                  <w:vAlign w:val="center"/>
                </w:tcPr>
                <w:p>
                  <w:pPr>
                    <w:jc w:val="center"/>
                    <w:rPr>
                      <w:rFonts w:hint="default" w:eastAsia="宋体"/>
                      <w:color w:val="auto"/>
                      <w:sz w:val="21"/>
                      <w:szCs w:val="21"/>
                      <w:lang w:val="en-US" w:eastAsia="zh-CN"/>
                    </w:rPr>
                  </w:pPr>
                  <w:r>
                    <w:rPr>
                      <w:rFonts w:hint="eastAsia"/>
                      <w:color w:val="auto"/>
                      <w:sz w:val="21"/>
                      <w:szCs w:val="21"/>
                      <w:lang w:val="en-US" w:eastAsia="zh-CN"/>
                    </w:rPr>
                    <w:t>70</w:t>
                  </w:r>
                </w:p>
              </w:tc>
              <w:tc>
                <w:tcPr>
                  <w:tcW w:w="710" w:type="pct"/>
                  <w:vMerge w:val="continue"/>
                  <w:shd w:val="clear" w:color="auto" w:fill="auto"/>
                  <w:vAlign w:val="center"/>
                </w:tcPr>
                <w:p>
                  <w:pPr>
                    <w:jc w:val="center"/>
                    <w:rPr>
                      <w:color w:val="auto"/>
                      <w:sz w:val="21"/>
                      <w:szCs w:val="21"/>
                    </w:rPr>
                  </w:pPr>
                </w:p>
              </w:tc>
              <w:tc>
                <w:tcPr>
                  <w:tcW w:w="549" w:type="pct"/>
                  <w:vMerge w:val="continue"/>
                  <w:shd w:val="clear" w:color="auto" w:fill="auto"/>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245" w:type="pct"/>
                  <w:shd w:val="clear" w:color="auto" w:fill="auto"/>
                  <w:vAlign w:val="center"/>
                </w:tcPr>
                <w:p>
                  <w:pPr>
                    <w:jc w:val="center"/>
                    <w:rPr>
                      <w:color w:val="auto"/>
                      <w:sz w:val="21"/>
                      <w:szCs w:val="21"/>
                    </w:rPr>
                  </w:pPr>
                  <w:r>
                    <w:rPr>
                      <w:color w:val="auto"/>
                      <w:sz w:val="21"/>
                      <w:szCs w:val="21"/>
                    </w:rPr>
                    <w:t>4</w:t>
                  </w:r>
                </w:p>
              </w:tc>
              <w:tc>
                <w:tcPr>
                  <w:tcW w:w="586" w:type="pct"/>
                  <w:shd w:val="clear" w:color="auto" w:fill="auto"/>
                  <w:vAlign w:val="center"/>
                </w:tcPr>
                <w:p>
                  <w:pPr>
                    <w:jc w:val="center"/>
                    <w:rPr>
                      <w:color w:val="auto"/>
                      <w:sz w:val="21"/>
                      <w:szCs w:val="21"/>
                    </w:rPr>
                  </w:pPr>
                  <w:r>
                    <w:rPr>
                      <w:color w:val="auto"/>
                      <w:sz w:val="21"/>
                      <w:szCs w:val="21"/>
                    </w:rPr>
                    <w:t>空调外机4</w:t>
                  </w:r>
                </w:p>
              </w:tc>
              <w:tc>
                <w:tcPr>
                  <w:tcW w:w="446" w:type="pct"/>
                  <w:shd w:val="clear" w:color="auto" w:fill="auto"/>
                  <w:vAlign w:val="center"/>
                </w:tcPr>
                <w:p>
                  <w:pPr>
                    <w:jc w:val="center"/>
                    <w:rPr>
                      <w:color w:val="auto"/>
                      <w:sz w:val="21"/>
                      <w:szCs w:val="21"/>
                    </w:rPr>
                  </w:pPr>
                  <w:r>
                    <w:rPr>
                      <w:color w:val="auto"/>
                      <w:sz w:val="21"/>
                      <w:szCs w:val="21"/>
                    </w:rPr>
                    <w:t>/</w:t>
                  </w:r>
                </w:p>
              </w:tc>
              <w:tc>
                <w:tcPr>
                  <w:tcW w:w="503" w:type="pct"/>
                  <w:vAlign w:val="center"/>
                </w:tcPr>
                <w:p>
                  <w:pPr>
                    <w:jc w:val="center"/>
                    <w:rPr>
                      <w:color w:val="auto"/>
                      <w:sz w:val="21"/>
                      <w:szCs w:val="21"/>
                    </w:rPr>
                  </w:pPr>
                  <w:r>
                    <w:rPr>
                      <w:color w:val="auto"/>
                      <w:sz w:val="21"/>
                      <w:szCs w:val="21"/>
                    </w:rPr>
                    <w:t>1</w:t>
                  </w:r>
                </w:p>
              </w:tc>
              <w:tc>
                <w:tcPr>
                  <w:tcW w:w="503" w:type="pct"/>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10.5</w:t>
                  </w:r>
                </w:p>
              </w:tc>
              <w:tc>
                <w:tcPr>
                  <w:tcW w:w="409" w:type="pct"/>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42.5</w:t>
                  </w:r>
                </w:p>
              </w:tc>
              <w:tc>
                <w:tcPr>
                  <w:tcW w:w="383" w:type="pct"/>
                  <w:shd w:val="clear" w:color="auto" w:fill="auto"/>
                  <w:vAlign w:val="center"/>
                </w:tcPr>
                <w:p>
                  <w:pPr>
                    <w:jc w:val="center"/>
                    <w:rPr>
                      <w:rFonts w:hint="default" w:eastAsia="宋体"/>
                      <w:color w:val="auto"/>
                      <w:sz w:val="21"/>
                      <w:szCs w:val="21"/>
                      <w:lang w:val="en-US" w:eastAsia="zh-CN"/>
                    </w:rPr>
                  </w:pPr>
                  <w:r>
                    <w:rPr>
                      <w:rFonts w:hint="eastAsia"/>
                      <w:color w:val="auto"/>
                      <w:sz w:val="21"/>
                      <w:szCs w:val="21"/>
                      <w:lang w:val="en-US" w:eastAsia="zh-CN"/>
                    </w:rPr>
                    <w:t>12</w:t>
                  </w:r>
                </w:p>
              </w:tc>
              <w:tc>
                <w:tcPr>
                  <w:tcW w:w="663" w:type="pct"/>
                  <w:shd w:val="clear" w:color="auto" w:fill="auto"/>
                  <w:vAlign w:val="center"/>
                </w:tcPr>
                <w:p>
                  <w:pPr>
                    <w:jc w:val="center"/>
                    <w:rPr>
                      <w:rFonts w:hint="default" w:eastAsia="宋体"/>
                      <w:color w:val="auto"/>
                      <w:sz w:val="21"/>
                      <w:szCs w:val="21"/>
                      <w:lang w:val="en-US" w:eastAsia="zh-CN"/>
                    </w:rPr>
                  </w:pPr>
                  <w:r>
                    <w:rPr>
                      <w:rFonts w:hint="eastAsia"/>
                      <w:color w:val="auto"/>
                      <w:sz w:val="21"/>
                      <w:szCs w:val="21"/>
                      <w:lang w:val="en-US" w:eastAsia="zh-CN"/>
                    </w:rPr>
                    <w:t>70</w:t>
                  </w:r>
                </w:p>
              </w:tc>
              <w:tc>
                <w:tcPr>
                  <w:tcW w:w="710" w:type="pct"/>
                  <w:vMerge w:val="continue"/>
                  <w:shd w:val="clear" w:color="auto" w:fill="auto"/>
                  <w:vAlign w:val="center"/>
                </w:tcPr>
                <w:p>
                  <w:pPr>
                    <w:jc w:val="center"/>
                    <w:rPr>
                      <w:color w:val="auto"/>
                      <w:sz w:val="21"/>
                      <w:szCs w:val="21"/>
                    </w:rPr>
                  </w:pPr>
                </w:p>
              </w:tc>
              <w:tc>
                <w:tcPr>
                  <w:tcW w:w="549" w:type="pct"/>
                  <w:vMerge w:val="continue"/>
                  <w:shd w:val="clear" w:color="auto" w:fill="auto"/>
                  <w:vAlign w:val="center"/>
                </w:tcPr>
                <w:p>
                  <w:pPr>
                    <w:jc w:val="center"/>
                    <w:rPr>
                      <w:color w:val="auto"/>
                      <w:sz w:val="21"/>
                      <w:szCs w:val="21"/>
                    </w:rPr>
                  </w:pPr>
                </w:p>
              </w:tc>
            </w:tr>
          </w:tbl>
          <w:p>
            <w:pPr>
              <w:adjustRightInd w:val="0"/>
              <w:snapToGrid w:val="0"/>
              <w:ind w:firstLine="422" w:firstLineChars="200"/>
              <w:rPr>
                <w:b/>
                <w:bCs/>
                <w:color w:val="auto"/>
                <w:kern w:val="0"/>
                <w:sz w:val="21"/>
                <w:szCs w:val="21"/>
              </w:rPr>
            </w:pPr>
            <w:r>
              <w:rPr>
                <w:b/>
                <w:color w:val="auto"/>
                <w:sz w:val="21"/>
                <w:szCs w:val="21"/>
              </w:rPr>
              <w:t>注:噪声源空间相对位置，以厂区西南角为原点,平行南厂界为x轴、西厂界为Y轴、垂直地面为Z轴建立坐标系。</w:t>
            </w:r>
          </w:p>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color w:val="auto"/>
                <w:sz w:val="24"/>
                <w:szCs w:val="24"/>
              </w:rPr>
            </w:pPr>
            <w:r>
              <w:rPr>
                <w:color w:val="auto"/>
                <w:sz w:val="24"/>
                <w:szCs w:val="24"/>
              </w:rPr>
              <w:t>本工程拟采取噪声治理措施及设计降噪量见表4-1</w:t>
            </w:r>
            <w:r>
              <w:rPr>
                <w:rFonts w:hint="eastAsia"/>
                <w:color w:val="auto"/>
                <w:sz w:val="24"/>
                <w:szCs w:val="24"/>
                <w:lang w:val="en-US" w:eastAsia="zh-CN"/>
              </w:rPr>
              <w:t>5</w:t>
            </w:r>
            <w:r>
              <w:rPr>
                <w:color w:val="auto"/>
                <w:sz w:val="24"/>
                <w:szCs w:val="24"/>
              </w:rPr>
              <w:t>。</w:t>
            </w:r>
          </w:p>
          <w:p>
            <w:pPr>
              <w:adjustRightInd w:val="0"/>
              <w:snapToGrid w:val="0"/>
              <w:jc w:val="center"/>
              <w:rPr>
                <w:b/>
                <w:bCs/>
                <w:snapToGrid w:val="0"/>
                <w:color w:val="auto"/>
                <w:sz w:val="21"/>
                <w:szCs w:val="21"/>
              </w:rPr>
            </w:pPr>
            <w:bookmarkStart w:id="4" w:name="_Ref45631345"/>
            <w:r>
              <w:rPr>
                <w:b/>
                <w:bCs/>
                <w:snapToGrid w:val="0"/>
                <w:color w:val="auto"/>
                <w:sz w:val="21"/>
                <w:szCs w:val="21"/>
              </w:rPr>
              <w:t>表</w:t>
            </w:r>
            <w:bookmarkEnd w:id="4"/>
            <w:r>
              <w:rPr>
                <w:b/>
                <w:bCs/>
                <w:snapToGrid w:val="0"/>
                <w:color w:val="auto"/>
                <w:sz w:val="21"/>
                <w:szCs w:val="21"/>
              </w:rPr>
              <w:t>4-1</w:t>
            </w:r>
            <w:r>
              <w:rPr>
                <w:rFonts w:hint="eastAsia"/>
                <w:b/>
                <w:bCs/>
                <w:snapToGrid w:val="0"/>
                <w:color w:val="auto"/>
                <w:sz w:val="21"/>
                <w:szCs w:val="21"/>
                <w:lang w:val="en-US" w:eastAsia="zh-CN"/>
              </w:rPr>
              <w:t xml:space="preserve">5  </w:t>
            </w:r>
            <w:r>
              <w:rPr>
                <w:b/>
                <w:bCs/>
                <w:snapToGrid w:val="0"/>
                <w:color w:val="auto"/>
                <w:sz w:val="21"/>
                <w:szCs w:val="21"/>
              </w:rPr>
              <w:t>噪声治理措施及设计降噪量（单位：dB(A)）</w:t>
            </w:r>
          </w:p>
          <w:tbl>
            <w:tblPr>
              <w:tblStyle w:val="2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195"/>
              <w:gridCol w:w="1802"/>
              <w:gridCol w:w="701"/>
              <w:gridCol w:w="818"/>
              <w:gridCol w:w="2797"/>
              <w:gridCol w:w="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jc w:val="center"/>
              </w:trPr>
              <w:tc>
                <w:tcPr>
                  <w:tcW w:w="1232" w:type="pct"/>
                  <w:vAlign w:val="center"/>
                </w:tcPr>
                <w:p>
                  <w:pPr>
                    <w:pStyle w:val="70"/>
                    <w:rPr>
                      <w:rFonts w:eastAsia="宋体"/>
                      <w:b/>
                      <w:bCs/>
                      <w:color w:val="auto"/>
                      <w:sz w:val="21"/>
                      <w:szCs w:val="21"/>
                    </w:rPr>
                  </w:pPr>
                  <w:r>
                    <w:rPr>
                      <w:rFonts w:eastAsia="宋体"/>
                      <w:b/>
                      <w:bCs/>
                      <w:color w:val="auto"/>
                      <w:sz w:val="21"/>
                      <w:szCs w:val="21"/>
                    </w:rPr>
                    <w:t>建筑物</w:t>
                  </w:r>
                </w:p>
              </w:tc>
              <w:tc>
                <w:tcPr>
                  <w:tcW w:w="1015" w:type="pct"/>
                  <w:vAlign w:val="center"/>
                </w:tcPr>
                <w:p>
                  <w:pPr>
                    <w:pStyle w:val="70"/>
                    <w:rPr>
                      <w:rFonts w:eastAsia="宋体"/>
                      <w:b/>
                      <w:bCs/>
                      <w:color w:val="auto"/>
                      <w:sz w:val="21"/>
                      <w:szCs w:val="21"/>
                    </w:rPr>
                  </w:pPr>
                  <w:r>
                    <w:rPr>
                      <w:rFonts w:eastAsia="宋体"/>
                      <w:b/>
                      <w:bCs/>
                      <w:color w:val="auto"/>
                      <w:sz w:val="21"/>
                      <w:szCs w:val="21"/>
                    </w:rPr>
                    <w:t>生产设备</w:t>
                  </w:r>
                </w:p>
              </w:tc>
              <w:tc>
                <w:tcPr>
                  <w:tcW w:w="408" w:type="pct"/>
                  <w:vAlign w:val="center"/>
                </w:tcPr>
                <w:p>
                  <w:pPr>
                    <w:pStyle w:val="70"/>
                    <w:rPr>
                      <w:rFonts w:eastAsia="宋体"/>
                      <w:b/>
                      <w:bCs/>
                      <w:color w:val="auto"/>
                      <w:sz w:val="21"/>
                      <w:szCs w:val="21"/>
                    </w:rPr>
                  </w:pPr>
                  <w:r>
                    <w:rPr>
                      <w:rFonts w:eastAsia="宋体"/>
                      <w:b/>
                      <w:bCs/>
                      <w:color w:val="auto"/>
                      <w:sz w:val="21"/>
                      <w:szCs w:val="21"/>
                    </w:rPr>
                    <w:t>数量/台</w:t>
                  </w:r>
                </w:p>
              </w:tc>
              <w:tc>
                <w:tcPr>
                  <w:tcW w:w="473" w:type="pct"/>
                  <w:vAlign w:val="center"/>
                </w:tcPr>
                <w:p>
                  <w:pPr>
                    <w:pStyle w:val="70"/>
                    <w:rPr>
                      <w:rFonts w:eastAsia="宋体"/>
                      <w:b/>
                      <w:bCs/>
                      <w:color w:val="auto"/>
                      <w:sz w:val="21"/>
                      <w:szCs w:val="21"/>
                    </w:rPr>
                  </w:pPr>
                  <w:r>
                    <w:rPr>
                      <w:rFonts w:eastAsia="宋体"/>
                      <w:b/>
                      <w:bCs/>
                      <w:color w:val="auto"/>
                      <w:sz w:val="21"/>
                      <w:szCs w:val="21"/>
                    </w:rPr>
                    <w:t>声功率级</w:t>
                  </w:r>
                </w:p>
                <w:p>
                  <w:pPr>
                    <w:pStyle w:val="70"/>
                    <w:rPr>
                      <w:rFonts w:eastAsia="宋体"/>
                      <w:b/>
                      <w:bCs/>
                      <w:color w:val="auto"/>
                      <w:sz w:val="21"/>
                      <w:szCs w:val="21"/>
                    </w:rPr>
                  </w:pPr>
                  <w:r>
                    <w:rPr>
                      <w:rFonts w:eastAsia="宋体"/>
                      <w:b/>
                      <w:bCs/>
                      <w:color w:val="auto"/>
                      <w:sz w:val="21"/>
                      <w:szCs w:val="21"/>
                    </w:rPr>
                    <w:t>dB(A)</w:t>
                  </w:r>
                </w:p>
              </w:tc>
              <w:tc>
                <w:tcPr>
                  <w:tcW w:w="1563" w:type="pct"/>
                  <w:vAlign w:val="center"/>
                </w:tcPr>
                <w:p>
                  <w:pPr>
                    <w:pStyle w:val="70"/>
                    <w:rPr>
                      <w:rFonts w:eastAsia="宋体"/>
                      <w:b/>
                      <w:bCs/>
                      <w:color w:val="auto"/>
                      <w:sz w:val="21"/>
                      <w:szCs w:val="21"/>
                    </w:rPr>
                  </w:pPr>
                  <w:r>
                    <w:rPr>
                      <w:rFonts w:eastAsia="宋体"/>
                      <w:b/>
                      <w:bCs/>
                      <w:color w:val="auto"/>
                      <w:sz w:val="21"/>
                      <w:szCs w:val="21"/>
                    </w:rPr>
                    <w:t>治理措施</w:t>
                  </w:r>
                </w:p>
              </w:tc>
              <w:tc>
                <w:tcPr>
                  <w:tcW w:w="306" w:type="pct"/>
                  <w:vAlign w:val="center"/>
                </w:tcPr>
                <w:p>
                  <w:pPr>
                    <w:pStyle w:val="70"/>
                    <w:rPr>
                      <w:rFonts w:eastAsia="宋体"/>
                      <w:b/>
                      <w:bCs/>
                      <w:color w:val="auto"/>
                      <w:sz w:val="21"/>
                      <w:szCs w:val="21"/>
                    </w:rPr>
                  </w:pPr>
                  <w:r>
                    <w:rPr>
                      <w:rFonts w:eastAsia="宋体"/>
                      <w:b/>
                      <w:bCs/>
                      <w:color w:val="auto"/>
                      <w:sz w:val="21"/>
                      <w:szCs w:val="21"/>
                    </w:rPr>
                    <w:t>降噪水平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232" w:type="pct"/>
                  <w:vMerge w:val="restart"/>
                  <w:vAlign w:val="center"/>
                </w:tcPr>
                <w:p>
                  <w:pPr>
                    <w:pStyle w:val="70"/>
                    <w:rPr>
                      <w:rFonts w:eastAsia="宋体"/>
                      <w:color w:val="auto"/>
                      <w:sz w:val="21"/>
                      <w:szCs w:val="21"/>
                    </w:rPr>
                  </w:pPr>
                  <w:r>
                    <w:rPr>
                      <w:rFonts w:eastAsia="宋体"/>
                      <w:color w:val="auto"/>
                      <w:sz w:val="21"/>
                      <w:szCs w:val="21"/>
                    </w:rPr>
                    <w:t>一楼</w:t>
                  </w:r>
                </w:p>
              </w:tc>
              <w:tc>
                <w:tcPr>
                  <w:tcW w:w="1015"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eastAsia="宋体"/>
                      <w:color w:val="auto"/>
                      <w:sz w:val="21"/>
                      <w:szCs w:val="21"/>
                    </w:rPr>
                  </w:pPr>
                  <w:r>
                    <w:rPr>
                      <w:rFonts w:hint="eastAsia"/>
                      <w:bCs/>
                      <w:color w:val="auto"/>
                      <w:sz w:val="21"/>
                      <w:szCs w:val="21"/>
                      <w:lang w:val="en-US" w:eastAsia="zh-CN"/>
                    </w:rPr>
                    <w:t>提升泵</w:t>
                  </w:r>
                </w:p>
              </w:tc>
              <w:tc>
                <w:tcPr>
                  <w:tcW w:w="408" w:type="pct"/>
                  <w:shd w:val="clear" w:color="auto" w:fill="auto"/>
                  <w:vAlign w:val="center"/>
                </w:tcPr>
                <w:p>
                  <w:pPr>
                    <w:pStyle w:val="70"/>
                    <w:rPr>
                      <w:rFonts w:hint="eastAsia" w:eastAsia="宋体"/>
                      <w:color w:val="auto"/>
                      <w:sz w:val="21"/>
                      <w:szCs w:val="21"/>
                      <w:lang w:eastAsia="zh-CN"/>
                    </w:rPr>
                  </w:pPr>
                  <w:r>
                    <w:rPr>
                      <w:rFonts w:hint="eastAsia" w:eastAsia="宋体"/>
                      <w:snapToGrid w:val="0"/>
                      <w:color w:val="auto"/>
                      <w:kern w:val="0"/>
                      <w:sz w:val="21"/>
                      <w:szCs w:val="21"/>
                      <w:lang w:val="en-US" w:eastAsia="zh-CN"/>
                    </w:rPr>
                    <w:t>1</w:t>
                  </w:r>
                </w:p>
              </w:tc>
              <w:tc>
                <w:tcPr>
                  <w:tcW w:w="473" w:type="pct"/>
                  <w:vAlign w:val="center"/>
                </w:tcPr>
                <w:p>
                  <w:pPr>
                    <w:pStyle w:val="70"/>
                    <w:rPr>
                      <w:rFonts w:hint="default" w:eastAsia="宋体"/>
                      <w:color w:val="auto"/>
                      <w:sz w:val="21"/>
                      <w:szCs w:val="21"/>
                      <w:lang w:val="en-US" w:eastAsia="zh-CN"/>
                    </w:rPr>
                  </w:pPr>
                  <w:r>
                    <w:rPr>
                      <w:rFonts w:hint="eastAsia" w:eastAsia="宋体"/>
                      <w:color w:val="auto"/>
                      <w:sz w:val="21"/>
                      <w:szCs w:val="21"/>
                      <w:lang w:val="en-US" w:eastAsia="zh-CN"/>
                    </w:rPr>
                    <w:t>80</w:t>
                  </w:r>
                </w:p>
              </w:tc>
              <w:tc>
                <w:tcPr>
                  <w:tcW w:w="1563" w:type="pct"/>
                  <w:vMerge w:val="restart"/>
                  <w:vAlign w:val="center"/>
                </w:tcPr>
                <w:p>
                  <w:pPr>
                    <w:pStyle w:val="70"/>
                    <w:rPr>
                      <w:rFonts w:eastAsia="宋体"/>
                      <w:color w:val="auto"/>
                      <w:sz w:val="21"/>
                      <w:szCs w:val="21"/>
                    </w:rPr>
                  </w:pPr>
                  <w:r>
                    <w:rPr>
                      <w:rFonts w:hint="eastAsia" w:eastAsia="宋体"/>
                      <w:color w:val="auto"/>
                      <w:kern w:val="0"/>
                      <w:sz w:val="21"/>
                      <w:szCs w:val="21"/>
                      <w:lang w:eastAsia="zh-CN"/>
                    </w:rPr>
                    <w:t>建筑</w:t>
                  </w:r>
                  <w:r>
                    <w:rPr>
                      <w:rFonts w:eastAsia="宋体"/>
                      <w:color w:val="auto"/>
                      <w:kern w:val="0"/>
                      <w:sz w:val="21"/>
                      <w:szCs w:val="21"/>
                    </w:rPr>
                    <w:t>隔声、减振底座</w:t>
                  </w:r>
                </w:p>
              </w:tc>
              <w:tc>
                <w:tcPr>
                  <w:tcW w:w="306" w:type="pct"/>
                  <w:vMerge w:val="restart"/>
                  <w:vAlign w:val="center"/>
                </w:tcPr>
                <w:p>
                  <w:pPr>
                    <w:pStyle w:val="70"/>
                    <w:rPr>
                      <w:rFonts w:eastAsia="宋体"/>
                      <w:color w:val="auto"/>
                      <w:kern w:val="0"/>
                      <w:sz w:val="21"/>
                      <w:szCs w:val="21"/>
                    </w:rPr>
                  </w:pPr>
                  <w:r>
                    <w:rPr>
                      <w:rFonts w:eastAsia="宋体"/>
                      <w:color w:val="auto"/>
                      <w:sz w:val="21"/>
                      <w:szCs w:val="21"/>
                    </w:rPr>
                    <w:t>2</w:t>
                  </w:r>
                  <w:r>
                    <w:rPr>
                      <w:rFonts w:hint="eastAsia" w:eastAsia="宋体"/>
                      <w:color w:val="auto"/>
                      <w:sz w:val="21"/>
                      <w:szCs w:val="21"/>
                      <w:lang w:val="en-US" w:eastAsia="zh-CN"/>
                    </w:rPr>
                    <w:t>0</w:t>
                  </w:r>
                  <w:r>
                    <w:rPr>
                      <w:rFonts w:eastAsia="宋体"/>
                      <w:color w:val="auto"/>
                      <w:sz w:val="21"/>
                      <w:szCs w:val="21"/>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232" w:type="pct"/>
                  <w:vMerge w:val="continue"/>
                  <w:vAlign w:val="center"/>
                </w:tcPr>
                <w:p>
                  <w:pPr>
                    <w:pStyle w:val="70"/>
                    <w:rPr>
                      <w:rFonts w:eastAsia="宋体"/>
                      <w:color w:val="auto"/>
                      <w:sz w:val="21"/>
                      <w:szCs w:val="21"/>
                    </w:rPr>
                  </w:pPr>
                </w:p>
              </w:tc>
              <w:tc>
                <w:tcPr>
                  <w:tcW w:w="1015"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eastAsia="宋体"/>
                      <w:snapToGrid w:val="0"/>
                      <w:color w:val="auto"/>
                      <w:kern w:val="0"/>
                      <w:sz w:val="21"/>
                      <w:szCs w:val="21"/>
                    </w:rPr>
                  </w:pPr>
                  <w:r>
                    <w:rPr>
                      <w:rFonts w:hint="eastAsia"/>
                      <w:bCs/>
                      <w:color w:val="auto"/>
                      <w:sz w:val="21"/>
                      <w:szCs w:val="21"/>
                      <w:lang w:eastAsia="zh-CN"/>
                    </w:rPr>
                    <w:t>回转风机</w:t>
                  </w:r>
                </w:p>
              </w:tc>
              <w:tc>
                <w:tcPr>
                  <w:tcW w:w="408" w:type="pct"/>
                  <w:shd w:val="clear" w:color="auto" w:fill="auto"/>
                  <w:vAlign w:val="center"/>
                </w:tcPr>
                <w:p>
                  <w:pPr>
                    <w:pStyle w:val="70"/>
                    <w:rPr>
                      <w:rFonts w:hint="eastAsia" w:eastAsia="宋体"/>
                      <w:snapToGrid w:val="0"/>
                      <w:color w:val="auto"/>
                      <w:kern w:val="0"/>
                      <w:sz w:val="21"/>
                      <w:szCs w:val="21"/>
                      <w:lang w:val="en-US" w:eastAsia="zh-CN"/>
                    </w:rPr>
                  </w:pPr>
                  <w:r>
                    <w:rPr>
                      <w:rFonts w:hint="eastAsia" w:eastAsia="宋体"/>
                      <w:snapToGrid w:val="0"/>
                      <w:color w:val="auto"/>
                      <w:kern w:val="0"/>
                      <w:sz w:val="21"/>
                      <w:szCs w:val="21"/>
                      <w:lang w:val="en-US" w:eastAsia="zh-CN"/>
                    </w:rPr>
                    <w:t>2</w:t>
                  </w:r>
                </w:p>
              </w:tc>
              <w:tc>
                <w:tcPr>
                  <w:tcW w:w="473" w:type="pct"/>
                  <w:vAlign w:val="center"/>
                </w:tcPr>
                <w:p>
                  <w:pPr>
                    <w:pStyle w:val="70"/>
                    <w:rPr>
                      <w:rFonts w:hint="default" w:eastAsia="宋体"/>
                      <w:color w:val="auto"/>
                      <w:sz w:val="21"/>
                      <w:szCs w:val="21"/>
                      <w:lang w:val="en-US" w:eastAsia="zh-CN"/>
                    </w:rPr>
                  </w:pPr>
                  <w:r>
                    <w:rPr>
                      <w:rFonts w:hint="eastAsia" w:eastAsia="宋体"/>
                      <w:color w:val="auto"/>
                      <w:sz w:val="21"/>
                      <w:szCs w:val="21"/>
                      <w:lang w:val="en-US" w:eastAsia="zh-CN"/>
                    </w:rPr>
                    <w:t>75</w:t>
                  </w:r>
                </w:p>
              </w:tc>
              <w:tc>
                <w:tcPr>
                  <w:tcW w:w="1563" w:type="pct"/>
                  <w:vMerge w:val="continue"/>
                  <w:vAlign w:val="center"/>
                </w:tcPr>
                <w:p>
                  <w:pPr>
                    <w:pStyle w:val="70"/>
                    <w:rPr>
                      <w:rFonts w:eastAsia="宋体"/>
                      <w:color w:val="auto"/>
                      <w:kern w:val="0"/>
                      <w:sz w:val="21"/>
                      <w:szCs w:val="21"/>
                    </w:rPr>
                  </w:pPr>
                </w:p>
              </w:tc>
              <w:tc>
                <w:tcPr>
                  <w:tcW w:w="306" w:type="pct"/>
                  <w:vMerge w:val="continue"/>
                  <w:vAlign w:val="center"/>
                </w:tcPr>
                <w:p>
                  <w:pPr>
                    <w:pStyle w:val="70"/>
                    <w:rPr>
                      <w:rFonts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232" w:type="pct"/>
                  <w:vMerge w:val="continue"/>
                  <w:vAlign w:val="center"/>
                </w:tcPr>
                <w:p>
                  <w:pPr>
                    <w:pStyle w:val="70"/>
                    <w:rPr>
                      <w:rFonts w:eastAsia="宋体"/>
                      <w:color w:val="auto"/>
                      <w:sz w:val="21"/>
                      <w:szCs w:val="21"/>
                    </w:rPr>
                  </w:pPr>
                </w:p>
              </w:tc>
              <w:tc>
                <w:tcPr>
                  <w:tcW w:w="1015"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eastAsia="宋体"/>
                      <w:snapToGrid w:val="0"/>
                      <w:color w:val="auto"/>
                      <w:kern w:val="0"/>
                      <w:sz w:val="21"/>
                      <w:szCs w:val="21"/>
                    </w:rPr>
                  </w:pPr>
                  <w:r>
                    <w:rPr>
                      <w:rFonts w:hint="eastAsia"/>
                      <w:bCs/>
                      <w:color w:val="auto"/>
                      <w:sz w:val="21"/>
                      <w:szCs w:val="21"/>
                      <w:lang w:eastAsia="zh-CN"/>
                    </w:rPr>
                    <w:t>混合液回流泵</w:t>
                  </w:r>
                </w:p>
              </w:tc>
              <w:tc>
                <w:tcPr>
                  <w:tcW w:w="408" w:type="pct"/>
                  <w:shd w:val="clear" w:color="auto" w:fill="auto"/>
                  <w:vAlign w:val="center"/>
                </w:tcPr>
                <w:p>
                  <w:pPr>
                    <w:pStyle w:val="70"/>
                    <w:rPr>
                      <w:rFonts w:hint="eastAsia" w:eastAsia="宋体"/>
                      <w:snapToGrid w:val="0"/>
                      <w:color w:val="auto"/>
                      <w:kern w:val="0"/>
                      <w:sz w:val="21"/>
                      <w:szCs w:val="21"/>
                      <w:lang w:val="en-US" w:eastAsia="zh-CN"/>
                    </w:rPr>
                  </w:pPr>
                  <w:r>
                    <w:rPr>
                      <w:rFonts w:hint="eastAsia" w:eastAsia="宋体"/>
                      <w:snapToGrid w:val="0"/>
                      <w:color w:val="auto"/>
                      <w:kern w:val="0"/>
                      <w:sz w:val="21"/>
                      <w:szCs w:val="21"/>
                      <w:lang w:val="en-US" w:eastAsia="zh-CN"/>
                    </w:rPr>
                    <w:t>1</w:t>
                  </w:r>
                </w:p>
              </w:tc>
              <w:tc>
                <w:tcPr>
                  <w:tcW w:w="473" w:type="pct"/>
                  <w:vAlign w:val="center"/>
                </w:tcPr>
                <w:p>
                  <w:pPr>
                    <w:pStyle w:val="70"/>
                    <w:rPr>
                      <w:rFonts w:hint="default" w:eastAsia="宋体"/>
                      <w:color w:val="auto"/>
                      <w:sz w:val="21"/>
                      <w:szCs w:val="21"/>
                      <w:lang w:val="en-US" w:eastAsia="zh-CN"/>
                    </w:rPr>
                  </w:pPr>
                  <w:r>
                    <w:rPr>
                      <w:rFonts w:hint="eastAsia" w:eastAsia="宋体"/>
                      <w:color w:val="auto"/>
                      <w:sz w:val="21"/>
                      <w:szCs w:val="21"/>
                      <w:lang w:val="en-US" w:eastAsia="zh-CN"/>
                    </w:rPr>
                    <w:t>80</w:t>
                  </w:r>
                </w:p>
              </w:tc>
              <w:tc>
                <w:tcPr>
                  <w:tcW w:w="1563" w:type="pct"/>
                  <w:vMerge w:val="continue"/>
                  <w:vAlign w:val="center"/>
                </w:tcPr>
                <w:p>
                  <w:pPr>
                    <w:pStyle w:val="70"/>
                    <w:rPr>
                      <w:rFonts w:eastAsia="宋体"/>
                      <w:color w:val="auto"/>
                      <w:kern w:val="0"/>
                      <w:sz w:val="21"/>
                      <w:szCs w:val="21"/>
                    </w:rPr>
                  </w:pPr>
                </w:p>
              </w:tc>
              <w:tc>
                <w:tcPr>
                  <w:tcW w:w="306" w:type="pct"/>
                  <w:vMerge w:val="continue"/>
                  <w:vAlign w:val="center"/>
                </w:tcPr>
                <w:p>
                  <w:pPr>
                    <w:pStyle w:val="70"/>
                    <w:rPr>
                      <w:rFonts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232" w:type="pct"/>
                  <w:vMerge w:val="continue"/>
                  <w:vAlign w:val="center"/>
                </w:tcPr>
                <w:p>
                  <w:pPr>
                    <w:pStyle w:val="70"/>
                    <w:rPr>
                      <w:rFonts w:eastAsia="宋体"/>
                      <w:color w:val="auto"/>
                      <w:sz w:val="21"/>
                      <w:szCs w:val="21"/>
                    </w:rPr>
                  </w:pPr>
                </w:p>
              </w:tc>
              <w:tc>
                <w:tcPr>
                  <w:tcW w:w="1015" w:type="pct"/>
                  <w:shd w:val="clear" w:color="auto" w:fill="auto"/>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eastAsia="宋体"/>
                      <w:snapToGrid w:val="0"/>
                      <w:color w:val="auto"/>
                      <w:kern w:val="0"/>
                      <w:sz w:val="21"/>
                      <w:szCs w:val="21"/>
                    </w:rPr>
                  </w:pPr>
                  <w:r>
                    <w:rPr>
                      <w:rFonts w:hint="eastAsia"/>
                      <w:bCs/>
                      <w:color w:val="auto"/>
                      <w:sz w:val="21"/>
                      <w:szCs w:val="21"/>
                      <w:lang w:eastAsia="zh-CN"/>
                    </w:rPr>
                    <w:t>污泥回流泵</w:t>
                  </w:r>
                </w:p>
              </w:tc>
              <w:tc>
                <w:tcPr>
                  <w:tcW w:w="408" w:type="pct"/>
                  <w:shd w:val="clear" w:color="auto" w:fill="auto"/>
                  <w:vAlign w:val="center"/>
                </w:tcPr>
                <w:p>
                  <w:pPr>
                    <w:pStyle w:val="70"/>
                    <w:rPr>
                      <w:rFonts w:hint="eastAsia" w:eastAsia="宋体"/>
                      <w:snapToGrid w:val="0"/>
                      <w:color w:val="auto"/>
                      <w:kern w:val="0"/>
                      <w:sz w:val="21"/>
                      <w:szCs w:val="21"/>
                      <w:lang w:val="en-US" w:eastAsia="zh-CN"/>
                    </w:rPr>
                  </w:pPr>
                  <w:r>
                    <w:rPr>
                      <w:rFonts w:hint="eastAsia" w:eastAsia="宋体"/>
                      <w:snapToGrid w:val="0"/>
                      <w:color w:val="auto"/>
                      <w:kern w:val="0"/>
                      <w:sz w:val="21"/>
                      <w:szCs w:val="21"/>
                      <w:lang w:val="en-US" w:eastAsia="zh-CN"/>
                    </w:rPr>
                    <w:t>1</w:t>
                  </w:r>
                </w:p>
              </w:tc>
              <w:tc>
                <w:tcPr>
                  <w:tcW w:w="473" w:type="pct"/>
                  <w:vAlign w:val="center"/>
                </w:tcPr>
                <w:p>
                  <w:pPr>
                    <w:pStyle w:val="70"/>
                    <w:rPr>
                      <w:rFonts w:hint="default" w:eastAsia="宋体"/>
                      <w:color w:val="auto"/>
                      <w:sz w:val="21"/>
                      <w:szCs w:val="21"/>
                      <w:lang w:val="en-US" w:eastAsia="zh-CN"/>
                    </w:rPr>
                  </w:pPr>
                  <w:r>
                    <w:rPr>
                      <w:rFonts w:hint="eastAsia" w:eastAsia="宋体"/>
                      <w:color w:val="auto"/>
                      <w:sz w:val="21"/>
                      <w:szCs w:val="21"/>
                      <w:lang w:val="en-US" w:eastAsia="zh-CN"/>
                    </w:rPr>
                    <w:t>80</w:t>
                  </w:r>
                </w:p>
              </w:tc>
              <w:tc>
                <w:tcPr>
                  <w:tcW w:w="1563" w:type="pct"/>
                  <w:vMerge w:val="continue"/>
                  <w:vAlign w:val="center"/>
                </w:tcPr>
                <w:p>
                  <w:pPr>
                    <w:pStyle w:val="70"/>
                    <w:rPr>
                      <w:rFonts w:eastAsia="宋体"/>
                      <w:color w:val="auto"/>
                      <w:kern w:val="0"/>
                      <w:sz w:val="21"/>
                      <w:szCs w:val="21"/>
                    </w:rPr>
                  </w:pPr>
                </w:p>
              </w:tc>
              <w:tc>
                <w:tcPr>
                  <w:tcW w:w="306" w:type="pct"/>
                  <w:vMerge w:val="continue"/>
                  <w:vAlign w:val="center"/>
                </w:tcPr>
                <w:p>
                  <w:pPr>
                    <w:pStyle w:val="70"/>
                    <w:rPr>
                      <w:rFonts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32" w:type="pct"/>
                  <w:vAlign w:val="center"/>
                </w:tcPr>
                <w:p>
                  <w:pPr>
                    <w:pStyle w:val="70"/>
                    <w:rPr>
                      <w:rFonts w:eastAsia="宋体"/>
                      <w:color w:val="auto"/>
                      <w:sz w:val="21"/>
                      <w:szCs w:val="21"/>
                    </w:rPr>
                  </w:pPr>
                  <w:r>
                    <w:rPr>
                      <w:rFonts w:eastAsia="宋体"/>
                      <w:color w:val="auto"/>
                      <w:sz w:val="21"/>
                      <w:szCs w:val="21"/>
                    </w:rPr>
                    <w:t>一、二、三、四楼</w:t>
                  </w:r>
                </w:p>
              </w:tc>
              <w:tc>
                <w:tcPr>
                  <w:tcW w:w="1015" w:type="pct"/>
                  <w:shd w:val="clear" w:color="auto" w:fill="auto"/>
                  <w:vAlign w:val="center"/>
                </w:tcPr>
                <w:p>
                  <w:pPr>
                    <w:pStyle w:val="70"/>
                    <w:rPr>
                      <w:rFonts w:eastAsia="宋体"/>
                      <w:color w:val="auto"/>
                      <w:sz w:val="21"/>
                      <w:szCs w:val="21"/>
                    </w:rPr>
                  </w:pPr>
                  <w:r>
                    <w:rPr>
                      <w:rFonts w:eastAsia="宋体"/>
                      <w:color w:val="auto"/>
                      <w:sz w:val="21"/>
                      <w:szCs w:val="21"/>
                    </w:rPr>
                    <w:t>空调外机</w:t>
                  </w:r>
                </w:p>
              </w:tc>
              <w:tc>
                <w:tcPr>
                  <w:tcW w:w="408" w:type="pct"/>
                  <w:shd w:val="clear" w:color="auto" w:fill="auto"/>
                  <w:vAlign w:val="center"/>
                </w:tcPr>
                <w:p>
                  <w:pPr>
                    <w:pStyle w:val="70"/>
                    <w:rPr>
                      <w:rFonts w:hint="eastAsia" w:eastAsia="宋体"/>
                      <w:color w:val="auto"/>
                      <w:sz w:val="21"/>
                      <w:szCs w:val="21"/>
                      <w:lang w:eastAsia="zh-CN"/>
                    </w:rPr>
                  </w:pPr>
                  <w:r>
                    <w:rPr>
                      <w:rFonts w:hint="eastAsia" w:eastAsia="宋体"/>
                      <w:color w:val="auto"/>
                      <w:sz w:val="21"/>
                      <w:szCs w:val="21"/>
                      <w:lang w:val="en-US" w:eastAsia="zh-CN"/>
                    </w:rPr>
                    <w:t>4</w:t>
                  </w:r>
                </w:p>
              </w:tc>
              <w:tc>
                <w:tcPr>
                  <w:tcW w:w="473" w:type="pct"/>
                  <w:vAlign w:val="center"/>
                </w:tcPr>
                <w:p>
                  <w:pPr>
                    <w:pStyle w:val="70"/>
                    <w:rPr>
                      <w:rFonts w:eastAsia="宋体"/>
                      <w:color w:val="auto"/>
                      <w:sz w:val="21"/>
                      <w:szCs w:val="21"/>
                    </w:rPr>
                  </w:pPr>
                  <w:r>
                    <w:rPr>
                      <w:rFonts w:eastAsia="宋体"/>
                      <w:color w:val="auto"/>
                      <w:sz w:val="21"/>
                      <w:szCs w:val="21"/>
                    </w:rPr>
                    <w:t>70</w:t>
                  </w:r>
                </w:p>
              </w:tc>
              <w:tc>
                <w:tcPr>
                  <w:tcW w:w="1563" w:type="pct"/>
                  <w:vAlign w:val="center"/>
                </w:tcPr>
                <w:p>
                  <w:pPr>
                    <w:pStyle w:val="70"/>
                    <w:rPr>
                      <w:rFonts w:eastAsia="宋体"/>
                      <w:color w:val="auto"/>
                      <w:sz w:val="21"/>
                      <w:szCs w:val="21"/>
                    </w:rPr>
                  </w:pPr>
                  <w:r>
                    <w:rPr>
                      <w:rFonts w:eastAsia="宋体"/>
                      <w:color w:val="auto"/>
                      <w:sz w:val="21"/>
                      <w:szCs w:val="21"/>
                    </w:rPr>
                    <w:t>隔声，减振底座</w:t>
                  </w:r>
                </w:p>
              </w:tc>
              <w:tc>
                <w:tcPr>
                  <w:tcW w:w="306" w:type="pct"/>
                  <w:vMerge w:val="continue"/>
                  <w:vAlign w:val="center"/>
                </w:tcPr>
                <w:p>
                  <w:pPr>
                    <w:pStyle w:val="70"/>
                    <w:rPr>
                      <w:rFonts w:eastAsia="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0" w:firstLineChars="200"/>
              <w:textAlignment w:val="auto"/>
              <w:rPr>
                <w:b w:val="0"/>
                <w:bCs w:val="0"/>
                <w:color w:val="auto"/>
                <w:sz w:val="24"/>
                <w:szCs w:val="24"/>
              </w:rPr>
            </w:pPr>
            <w:r>
              <w:rPr>
                <w:b w:val="0"/>
                <w:bCs w:val="0"/>
                <w:color w:val="auto"/>
                <w:sz w:val="24"/>
                <w:szCs w:val="24"/>
              </w:rPr>
              <w:t>（2）厂界达标情况分析</w:t>
            </w:r>
          </w:p>
          <w:p>
            <w:pPr>
              <w:adjustRightInd w:val="0"/>
              <w:snapToGrid w:val="0"/>
              <w:spacing w:line="360" w:lineRule="auto"/>
              <w:ind w:firstLine="480" w:firstLineChars="200"/>
              <w:rPr>
                <w:snapToGrid w:val="0"/>
                <w:color w:val="auto"/>
                <w:sz w:val="24"/>
                <w:szCs w:val="24"/>
              </w:rPr>
            </w:pPr>
            <w:r>
              <w:rPr>
                <w:rFonts w:hint="eastAsia"/>
                <w:snapToGrid w:val="0"/>
                <w:color w:val="auto"/>
                <w:sz w:val="24"/>
                <w:szCs w:val="24"/>
                <w:lang w:val="en-US" w:eastAsia="zh-CN"/>
              </w:rPr>
              <w:t>项目</w:t>
            </w:r>
            <w:r>
              <w:rPr>
                <w:snapToGrid w:val="0"/>
                <w:color w:val="auto"/>
                <w:sz w:val="24"/>
                <w:szCs w:val="24"/>
              </w:rPr>
              <w:t>建成后，厂界噪声贡献值预测结果与达标分析见表4-1</w:t>
            </w:r>
            <w:r>
              <w:rPr>
                <w:rFonts w:hint="eastAsia"/>
                <w:snapToGrid w:val="0"/>
                <w:color w:val="auto"/>
                <w:sz w:val="24"/>
                <w:szCs w:val="24"/>
                <w:lang w:val="en-US" w:eastAsia="zh-CN"/>
              </w:rPr>
              <w:t>6</w:t>
            </w:r>
            <w:r>
              <w:rPr>
                <w:snapToGrid w:val="0"/>
                <w:color w:val="auto"/>
                <w:sz w:val="24"/>
                <w:szCs w:val="24"/>
              </w:rPr>
              <w:t>。</w:t>
            </w:r>
          </w:p>
          <w:p>
            <w:pPr>
              <w:pStyle w:val="67"/>
              <w:adjustRightInd w:val="0"/>
              <w:snapToGrid w:val="0"/>
              <w:spacing w:before="24" w:after="24"/>
              <w:ind w:firstLine="0" w:firstLineChars="0"/>
              <w:jc w:val="center"/>
              <w:rPr>
                <w:rFonts w:eastAsia="宋体" w:cs="Times New Roman"/>
                <w:b/>
                <w:bCs/>
                <w:snapToGrid w:val="0"/>
                <w:color w:val="auto"/>
                <w:sz w:val="21"/>
                <w:szCs w:val="21"/>
              </w:rPr>
            </w:pPr>
            <w:r>
              <w:rPr>
                <w:rFonts w:eastAsia="宋体" w:cs="Times New Roman"/>
                <w:b/>
                <w:bCs/>
                <w:snapToGrid w:val="0"/>
                <w:color w:val="auto"/>
                <w:sz w:val="21"/>
                <w:szCs w:val="21"/>
              </w:rPr>
              <w:t>表4-</w:t>
            </w:r>
            <w:r>
              <w:rPr>
                <w:rFonts w:hint="eastAsia" w:eastAsia="宋体" w:cs="Times New Roman"/>
                <w:b/>
                <w:bCs/>
                <w:snapToGrid w:val="0"/>
                <w:color w:val="auto"/>
                <w:sz w:val="21"/>
                <w:szCs w:val="21"/>
                <w:lang w:val="en-US" w:eastAsia="zh-CN"/>
              </w:rPr>
              <w:t>16</w:t>
            </w:r>
            <w:r>
              <w:rPr>
                <w:rFonts w:eastAsia="宋体" w:cs="Times New Roman"/>
                <w:b/>
                <w:bCs/>
                <w:snapToGrid w:val="0"/>
                <w:color w:val="auto"/>
                <w:sz w:val="21"/>
                <w:szCs w:val="21"/>
              </w:rPr>
              <w:t xml:space="preserve">  厂界噪声贡献值预测结果达标分析</w:t>
            </w:r>
          </w:p>
          <w:tbl>
            <w:tblPr>
              <w:tblStyle w:val="26"/>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0"/>
              <w:gridCol w:w="1120"/>
              <w:gridCol w:w="2285"/>
              <w:gridCol w:w="2308"/>
              <w:gridCol w:w="2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40" w:type="dxa"/>
                  <w:gridSpan w:val="2"/>
                  <w:vAlign w:val="center"/>
                </w:tcPr>
                <w:p>
                  <w:pPr>
                    <w:adjustRightInd w:val="0"/>
                    <w:snapToGrid w:val="0"/>
                    <w:jc w:val="center"/>
                    <w:rPr>
                      <w:b/>
                      <w:bCs/>
                      <w:color w:val="auto"/>
                      <w:sz w:val="21"/>
                      <w:szCs w:val="21"/>
                    </w:rPr>
                  </w:pPr>
                  <w:r>
                    <w:rPr>
                      <w:b/>
                      <w:bCs/>
                      <w:color w:val="auto"/>
                      <w:sz w:val="21"/>
                      <w:szCs w:val="21"/>
                    </w:rPr>
                    <w:t>点位</w:t>
                  </w:r>
                </w:p>
              </w:tc>
              <w:tc>
                <w:tcPr>
                  <w:tcW w:w="2285" w:type="dxa"/>
                  <w:vAlign w:val="center"/>
                </w:tcPr>
                <w:p>
                  <w:pPr>
                    <w:adjustRightInd w:val="0"/>
                    <w:snapToGrid w:val="0"/>
                    <w:jc w:val="center"/>
                    <w:rPr>
                      <w:b/>
                      <w:bCs/>
                      <w:color w:val="auto"/>
                      <w:sz w:val="21"/>
                      <w:szCs w:val="21"/>
                    </w:rPr>
                  </w:pPr>
                  <w:r>
                    <w:rPr>
                      <w:b/>
                      <w:bCs/>
                      <w:color w:val="auto"/>
                      <w:sz w:val="21"/>
                      <w:szCs w:val="21"/>
                    </w:rPr>
                    <w:t>贡献值/dB（A）</w:t>
                  </w:r>
                </w:p>
              </w:tc>
              <w:tc>
                <w:tcPr>
                  <w:tcW w:w="2308" w:type="dxa"/>
                  <w:vAlign w:val="center"/>
                </w:tcPr>
                <w:p>
                  <w:pPr>
                    <w:adjustRightInd w:val="0"/>
                    <w:snapToGrid w:val="0"/>
                    <w:jc w:val="center"/>
                    <w:rPr>
                      <w:b/>
                      <w:bCs/>
                      <w:color w:val="auto"/>
                      <w:sz w:val="21"/>
                      <w:szCs w:val="21"/>
                    </w:rPr>
                  </w:pPr>
                  <w:r>
                    <w:rPr>
                      <w:b/>
                      <w:bCs/>
                      <w:color w:val="auto"/>
                      <w:sz w:val="21"/>
                      <w:szCs w:val="21"/>
                    </w:rPr>
                    <w:t>噪声标准/dB（A）</w:t>
                  </w:r>
                </w:p>
              </w:tc>
              <w:tc>
                <w:tcPr>
                  <w:tcW w:w="2242" w:type="dxa"/>
                  <w:vAlign w:val="center"/>
                </w:tcPr>
                <w:p>
                  <w:pPr>
                    <w:adjustRightInd w:val="0"/>
                    <w:snapToGrid w:val="0"/>
                    <w:jc w:val="center"/>
                    <w:rPr>
                      <w:b/>
                      <w:bCs/>
                      <w:color w:val="auto"/>
                      <w:sz w:val="21"/>
                      <w:szCs w:val="21"/>
                    </w:rPr>
                  </w:pPr>
                  <w:r>
                    <w:rPr>
                      <w:b/>
                      <w:bCs/>
                      <w:color w:val="auto"/>
                      <w:sz w:val="21"/>
                      <w:szCs w:val="21"/>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0" w:type="dxa"/>
                  <w:vMerge w:val="restart"/>
                  <w:vAlign w:val="center"/>
                </w:tcPr>
                <w:p>
                  <w:pPr>
                    <w:adjustRightInd w:val="0"/>
                    <w:snapToGrid w:val="0"/>
                    <w:jc w:val="center"/>
                    <w:rPr>
                      <w:color w:val="auto"/>
                      <w:sz w:val="21"/>
                      <w:szCs w:val="21"/>
                    </w:rPr>
                  </w:pPr>
                  <w:r>
                    <w:rPr>
                      <w:color w:val="auto"/>
                      <w:sz w:val="21"/>
                      <w:szCs w:val="21"/>
                    </w:rPr>
                    <w:t>东厂界</w:t>
                  </w:r>
                </w:p>
              </w:tc>
              <w:tc>
                <w:tcPr>
                  <w:tcW w:w="1120" w:type="dxa"/>
                  <w:vAlign w:val="center"/>
                </w:tcPr>
                <w:p>
                  <w:pPr>
                    <w:adjustRightInd w:val="0"/>
                    <w:snapToGrid w:val="0"/>
                    <w:jc w:val="center"/>
                    <w:rPr>
                      <w:color w:val="auto"/>
                      <w:sz w:val="21"/>
                      <w:szCs w:val="21"/>
                    </w:rPr>
                  </w:pPr>
                  <w:r>
                    <w:rPr>
                      <w:color w:val="auto"/>
                      <w:sz w:val="21"/>
                      <w:szCs w:val="21"/>
                    </w:rPr>
                    <w:t>昼间</w:t>
                  </w:r>
                </w:p>
              </w:tc>
              <w:tc>
                <w:tcPr>
                  <w:tcW w:w="2285" w:type="dxa"/>
                  <w:vAlign w:val="center"/>
                </w:tcPr>
                <w:p>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47.34</w:t>
                  </w:r>
                </w:p>
              </w:tc>
              <w:tc>
                <w:tcPr>
                  <w:tcW w:w="2308" w:type="dxa"/>
                  <w:vAlign w:val="center"/>
                </w:tcPr>
                <w:p>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60</w:t>
                  </w:r>
                </w:p>
              </w:tc>
              <w:tc>
                <w:tcPr>
                  <w:tcW w:w="2242" w:type="dxa"/>
                  <w:vAlign w:val="center"/>
                </w:tcPr>
                <w:p>
                  <w:pPr>
                    <w:adjustRightInd w:val="0"/>
                    <w:snapToGrid w:val="0"/>
                    <w:jc w:val="center"/>
                    <w:rPr>
                      <w:color w:val="auto"/>
                      <w:sz w:val="21"/>
                      <w:szCs w:val="21"/>
                    </w:rPr>
                  </w:pPr>
                  <w:r>
                    <w:rPr>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0" w:type="dxa"/>
                  <w:vMerge w:val="continue"/>
                  <w:vAlign w:val="center"/>
                </w:tcPr>
                <w:p>
                  <w:pPr>
                    <w:adjustRightInd w:val="0"/>
                    <w:snapToGrid w:val="0"/>
                    <w:jc w:val="center"/>
                    <w:rPr>
                      <w:color w:val="auto"/>
                      <w:sz w:val="21"/>
                      <w:szCs w:val="21"/>
                    </w:rPr>
                  </w:pPr>
                </w:p>
              </w:tc>
              <w:tc>
                <w:tcPr>
                  <w:tcW w:w="1120" w:type="dxa"/>
                  <w:vAlign w:val="center"/>
                </w:tcPr>
                <w:p>
                  <w:pPr>
                    <w:adjustRightInd w:val="0"/>
                    <w:snapToGrid w:val="0"/>
                    <w:jc w:val="center"/>
                    <w:rPr>
                      <w:color w:val="auto"/>
                      <w:sz w:val="21"/>
                      <w:szCs w:val="21"/>
                    </w:rPr>
                  </w:pPr>
                  <w:r>
                    <w:rPr>
                      <w:color w:val="auto"/>
                      <w:sz w:val="21"/>
                      <w:szCs w:val="21"/>
                    </w:rPr>
                    <w:t>夜间</w:t>
                  </w:r>
                </w:p>
              </w:tc>
              <w:tc>
                <w:tcPr>
                  <w:tcW w:w="2285" w:type="dxa"/>
                  <w:vAlign w:val="center"/>
                </w:tcPr>
                <w:p>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47.34</w:t>
                  </w:r>
                </w:p>
              </w:tc>
              <w:tc>
                <w:tcPr>
                  <w:tcW w:w="2308" w:type="dxa"/>
                  <w:vAlign w:val="center"/>
                </w:tcPr>
                <w:p>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50</w:t>
                  </w:r>
                </w:p>
              </w:tc>
              <w:tc>
                <w:tcPr>
                  <w:tcW w:w="2242" w:type="dxa"/>
                </w:tcPr>
                <w:p>
                  <w:pPr>
                    <w:adjustRightInd w:val="0"/>
                    <w:snapToGrid w:val="0"/>
                    <w:jc w:val="center"/>
                    <w:rPr>
                      <w:color w:val="auto"/>
                      <w:sz w:val="21"/>
                      <w:szCs w:val="21"/>
                    </w:rPr>
                  </w:pPr>
                  <w:r>
                    <w:rPr>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20" w:type="dxa"/>
                  <w:vMerge w:val="restart"/>
                  <w:vAlign w:val="center"/>
                </w:tcPr>
                <w:p>
                  <w:pPr>
                    <w:adjustRightInd w:val="0"/>
                    <w:snapToGrid w:val="0"/>
                    <w:jc w:val="center"/>
                    <w:rPr>
                      <w:color w:val="auto"/>
                      <w:sz w:val="21"/>
                      <w:szCs w:val="21"/>
                    </w:rPr>
                  </w:pPr>
                  <w:r>
                    <w:rPr>
                      <w:color w:val="auto"/>
                      <w:sz w:val="21"/>
                      <w:szCs w:val="21"/>
                    </w:rPr>
                    <w:t>南厂界</w:t>
                  </w:r>
                </w:p>
              </w:tc>
              <w:tc>
                <w:tcPr>
                  <w:tcW w:w="1120" w:type="dxa"/>
                  <w:vAlign w:val="center"/>
                </w:tcPr>
                <w:p>
                  <w:pPr>
                    <w:adjustRightInd w:val="0"/>
                    <w:snapToGrid w:val="0"/>
                    <w:jc w:val="center"/>
                    <w:rPr>
                      <w:color w:val="auto"/>
                      <w:sz w:val="21"/>
                      <w:szCs w:val="21"/>
                    </w:rPr>
                  </w:pPr>
                  <w:r>
                    <w:rPr>
                      <w:color w:val="auto"/>
                      <w:sz w:val="21"/>
                      <w:szCs w:val="21"/>
                    </w:rPr>
                    <w:t>昼间</w:t>
                  </w:r>
                </w:p>
              </w:tc>
              <w:tc>
                <w:tcPr>
                  <w:tcW w:w="2285" w:type="dxa"/>
                  <w:vAlign w:val="center"/>
                </w:tcPr>
                <w:p>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48.21</w:t>
                  </w:r>
                </w:p>
              </w:tc>
              <w:tc>
                <w:tcPr>
                  <w:tcW w:w="2308" w:type="dxa"/>
                </w:tcPr>
                <w:p>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60</w:t>
                  </w:r>
                </w:p>
              </w:tc>
              <w:tc>
                <w:tcPr>
                  <w:tcW w:w="2242" w:type="dxa"/>
                </w:tcPr>
                <w:p>
                  <w:pPr>
                    <w:adjustRightInd w:val="0"/>
                    <w:snapToGrid w:val="0"/>
                    <w:jc w:val="center"/>
                    <w:rPr>
                      <w:color w:val="auto"/>
                      <w:sz w:val="21"/>
                      <w:szCs w:val="21"/>
                    </w:rPr>
                  </w:pPr>
                  <w:r>
                    <w:rPr>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0" w:type="dxa"/>
                  <w:vMerge w:val="continue"/>
                  <w:vAlign w:val="center"/>
                </w:tcPr>
                <w:p>
                  <w:pPr>
                    <w:adjustRightInd w:val="0"/>
                    <w:snapToGrid w:val="0"/>
                    <w:jc w:val="center"/>
                    <w:rPr>
                      <w:color w:val="auto"/>
                      <w:sz w:val="21"/>
                      <w:szCs w:val="21"/>
                    </w:rPr>
                  </w:pPr>
                </w:p>
              </w:tc>
              <w:tc>
                <w:tcPr>
                  <w:tcW w:w="1120" w:type="dxa"/>
                  <w:vAlign w:val="center"/>
                </w:tcPr>
                <w:p>
                  <w:pPr>
                    <w:adjustRightInd w:val="0"/>
                    <w:snapToGrid w:val="0"/>
                    <w:jc w:val="center"/>
                    <w:rPr>
                      <w:color w:val="auto"/>
                      <w:sz w:val="21"/>
                      <w:szCs w:val="21"/>
                    </w:rPr>
                  </w:pPr>
                  <w:r>
                    <w:rPr>
                      <w:color w:val="auto"/>
                      <w:sz w:val="21"/>
                      <w:szCs w:val="21"/>
                    </w:rPr>
                    <w:t>夜间</w:t>
                  </w:r>
                </w:p>
              </w:tc>
              <w:tc>
                <w:tcPr>
                  <w:tcW w:w="2285" w:type="dxa"/>
                  <w:vAlign w:val="center"/>
                </w:tcPr>
                <w:p>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48.21</w:t>
                  </w:r>
                </w:p>
              </w:tc>
              <w:tc>
                <w:tcPr>
                  <w:tcW w:w="2308" w:type="dxa"/>
                </w:tcPr>
                <w:p>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50</w:t>
                  </w:r>
                </w:p>
              </w:tc>
              <w:tc>
                <w:tcPr>
                  <w:tcW w:w="2242" w:type="dxa"/>
                </w:tcPr>
                <w:p>
                  <w:pPr>
                    <w:adjustRightInd w:val="0"/>
                    <w:snapToGrid w:val="0"/>
                    <w:jc w:val="center"/>
                    <w:rPr>
                      <w:color w:val="auto"/>
                      <w:sz w:val="21"/>
                      <w:szCs w:val="21"/>
                    </w:rPr>
                  </w:pPr>
                  <w:r>
                    <w:rPr>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0" w:type="dxa"/>
                  <w:vMerge w:val="restart"/>
                  <w:vAlign w:val="center"/>
                </w:tcPr>
                <w:p>
                  <w:pPr>
                    <w:adjustRightInd w:val="0"/>
                    <w:snapToGrid w:val="0"/>
                    <w:jc w:val="center"/>
                    <w:rPr>
                      <w:color w:val="auto"/>
                      <w:sz w:val="21"/>
                      <w:szCs w:val="21"/>
                    </w:rPr>
                  </w:pPr>
                  <w:r>
                    <w:rPr>
                      <w:color w:val="auto"/>
                      <w:sz w:val="21"/>
                      <w:szCs w:val="21"/>
                    </w:rPr>
                    <w:t>西厂界</w:t>
                  </w:r>
                </w:p>
              </w:tc>
              <w:tc>
                <w:tcPr>
                  <w:tcW w:w="1120" w:type="dxa"/>
                  <w:vAlign w:val="center"/>
                </w:tcPr>
                <w:p>
                  <w:pPr>
                    <w:adjustRightInd w:val="0"/>
                    <w:snapToGrid w:val="0"/>
                    <w:jc w:val="center"/>
                    <w:rPr>
                      <w:color w:val="auto"/>
                      <w:sz w:val="21"/>
                      <w:szCs w:val="21"/>
                    </w:rPr>
                  </w:pPr>
                  <w:r>
                    <w:rPr>
                      <w:color w:val="auto"/>
                      <w:sz w:val="21"/>
                      <w:szCs w:val="21"/>
                    </w:rPr>
                    <w:t>昼间</w:t>
                  </w:r>
                </w:p>
              </w:tc>
              <w:tc>
                <w:tcPr>
                  <w:tcW w:w="2285" w:type="dxa"/>
                  <w:vAlign w:val="center"/>
                </w:tcPr>
                <w:p>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47.84</w:t>
                  </w:r>
                </w:p>
              </w:tc>
              <w:tc>
                <w:tcPr>
                  <w:tcW w:w="2308" w:type="dxa"/>
                </w:tcPr>
                <w:p>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70</w:t>
                  </w:r>
                </w:p>
              </w:tc>
              <w:tc>
                <w:tcPr>
                  <w:tcW w:w="2242" w:type="dxa"/>
                </w:tcPr>
                <w:p>
                  <w:pPr>
                    <w:adjustRightInd w:val="0"/>
                    <w:snapToGrid w:val="0"/>
                    <w:jc w:val="center"/>
                    <w:rPr>
                      <w:color w:val="auto"/>
                      <w:sz w:val="21"/>
                      <w:szCs w:val="21"/>
                    </w:rPr>
                  </w:pPr>
                  <w:r>
                    <w:rPr>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0" w:type="dxa"/>
                  <w:vMerge w:val="continue"/>
                  <w:vAlign w:val="center"/>
                </w:tcPr>
                <w:p>
                  <w:pPr>
                    <w:adjustRightInd w:val="0"/>
                    <w:snapToGrid w:val="0"/>
                    <w:jc w:val="center"/>
                    <w:rPr>
                      <w:color w:val="auto"/>
                      <w:sz w:val="21"/>
                      <w:szCs w:val="21"/>
                    </w:rPr>
                  </w:pPr>
                </w:p>
              </w:tc>
              <w:tc>
                <w:tcPr>
                  <w:tcW w:w="1120" w:type="dxa"/>
                  <w:vAlign w:val="center"/>
                </w:tcPr>
                <w:p>
                  <w:pPr>
                    <w:adjustRightInd w:val="0"/>
                    <w:snapToGrid w:val="0"/>
                    <w:jc w:val="center"/>
                    <w:rPr>
                      <w:color w:val="auto"/>
                      <w:sz w:val="21"/>
                      <w:szCs w:val="21"/>
                    </w:rPr>
                  </w:pPr>
                  <w:r>
                    <w:rPr>
                      <w:color w:val="auto"/>
                      <w:sz w:val="21"/>
                      <w:szCs w:val="21"/>
                    </w:rPr>
                    <w:t>夜间</w:t>
                  </w:r>
                </w:p>
              </w:tc>
              <w:tc>
                <w:tcPr>
                  <w:tcW w:w="2285" w:type="dxa"/>
                  <w:vAlign w:val="center"/>
                </w:tcPr>
                <w:p>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47.84</w:t>
                  </w:r>
                </w:p>
              </w:tc>
              <w:tc>
                <w:tcPr>
                  <w:tcW w:w="2308" w:type="dxa"/>
                </w:tcPr>
                <w:p>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55</w:t>
                  </w:r>
                </w:p>
              </w:tc>
              <w:tc>
                <w:tcPr>
                  <w:tcW w:w="2242" w:type="dxa"/>
                </w:tcPr>
                <w:p>
                  <w:pPr>
                    <w:adjustRightInd w:val="0"/>
                    <w:snapToGrid w:val="0"/>
                    <w:jc w:val="center"/>
                    <w:rPr>
                      <w:color w:val="auto"/>
                      <w:sz w:val="21"/>
                      <w:szCs w:val="21"/>
                    </w:rPr>
                  </w:pPr>
                  <w:r>
                    <w:rPr>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0" w:type="dxa"/>
                  <w:vMerge w:val="restart"/>
                  <w:vAlign w:val="center"/>
                </w:tcPr>
                <w:p>
                  <w:pPr>
                    <w:adjustRightInd w:val="0"/>
                    <w:snapToGrid w:val="0"/>
                    <w:jc w:val="center"/>
                    <w:rPr>
                      <w:color w:val="auto"/>
                      <w:sz w:val="21"/>
                      <w:szCs w:val="21"/>
                    </w:rPr>
                  </w:pPr>
                  <w:r>
                    <w:rPr>
                      <w:color w:val="auto"/>
                      <w:sz w:val="21"/>
                      <w:szCs w:val="21"/>
                    </w:rPr>
                    <w:t>北厂界</w:t>
                  </w:r>
                </w:p>
              </w:tc>
              <w:tc>
                <w:tcPr>
                  <w:tcW w:w="1120" w:type="dxa"/>
                  <w:vAlign w:val="center"/>
                </w:tcPr>
                <w:p>
                  <w:pPr>
                    <w:adjustRightInd w:val="0"/>
                    <w:snapToGrid w:val="0"/>
                    <w:jc w:val="center"/>
                    <w:rPr>
                      <w:color w:val="auto"/>
                      <w:sz w:val="21"/>
                      <w:szCs w:val="21"/>
                    </w:rPr>
                  </w:pPr>
                  <w:r>
                    <w:rPr>
                      <w:color w:val="auto"/>
                      <w:sz w:val="21"/>
                      <w:szCs w:val="21"/>
                    </w:rPr>
                    <w:t>昼间</w:t>
                  </w:r>
                </w:p>
              </w:tc>
              <w:tc>
                <w:tcPr>
                  <w:tcW w:w="2285" w:type="dxa"/>
                  <w:vAlign w:val="center"/>
                </w:tcPr>
                <w:p>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52.54</w:t>
                  </w:r>
                </w:p>
              </w:tc>
              <w:tc>
                <w:tcPr>
                  <w:tcW w:w="2308" w:type="dxa"/>
                  <w:vAlign w:val="top"/>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70</w:t>
                  </w:r>
                </w:p>
              </w:tc>
              <w:tc>
                <w:tcPr>
                  <w:tcW w:w="2242" w:type="dxa"/>
                </w:tcPr>
                <w:p>
                  <w:pPr>
                    <w:adjustRightInd w:val="0"/>
                    <w:snapToGrid w:val="0"/>
                    <w:jc w:val="center"/>
                    <w:rPr>
                      <w:color w:val="auto"/>
                      <w:sz w:val="21"/>
                      <w:szCs w:val="21"/>
                    </w:rPr>
                  </w:pPr>
                  <w:r>
                    <w:rPr>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20" w:type="dxa"/>
                  <w:vMerge w:val="continue"/>
                  <w:vAlign w:val="center"/>
                </w:tcPr>
                <w:p>
                  <w:pPr>
                    <w:adjustRightInd w:val="0"/>
                    <w:snapToGrid w:val="0"/>
                    <w:jc w:val="center"/>
                    <w:rPr>
                      <w:color w:val="auto"/>
                      <w:sz w:val="21"/>
                      <w:szCs w:val="21"/>
                    </w:rPr>
                  </w:pPr>
                </w:p>
              </w:tc>
              <w:tc>
                <w:tcPr>
                  <w:tcW w:w="1120" w:type="dxa"/>
                  <w:vAlign w:val="center"/>
                </w:tcPr>
                <w:p>
                  <w:pPr>
                    <w:adjustRightInd w:val="0"/>
                    <w:snapToGrid w:val="0"/>
                    <w:jc w:val="center"/>
                    <w:rPr>
                      <w:color w:val="auto"/>
                      <w:sz w:val="21"/>
                      <w:szCs w:val="21"/>
                    </w:rPr>
                  </w:pPr>
                  <w:r>
                    <w:rPr>
                      <w:color w:val="auto"/>
                      <w:sz w:val="21"/>
                      <w:szCs w:val="21"/>
                    </w:rPr>
                    <w:t>夜间</w:t>
                  </w:r>
                </w:p>
              </w:tc>
              <w:tc>
                <w:tcPr>
                  <w:tcW w:w="2285" w:type="dxa"/>
                  <w:vAlign w:val="center"/>
                </w:tcPr>
                <w:p>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52.54</w:t>
                  </w:r>
                </w:p>
              </w:tc>
              <w:tc>
                <w:tcPr>
                  <w:tcW w:w="2308" w:type="dxa"/>
                  <w:vAlign w:val="top"/>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55</w:t>
                  </w:r>
                </w:p>
              </w:tc>
              <w:tc>
                <w:tcPr>
                  <w:tcW w:w="2242" w:type="dxa"/>
                </w:tcPr>
                <w:p>
                  <w:pPr>
                    <w:adjustRightInd w:val="0"/>
                    <w:snapToGrid w:val="0"/>
                    <w:jc w:val="center"/>
                    <w:rPr>
                      <w:color w:val="auto"/>
                      <w:sz w:val="21"/>
                      <w:szCs w:val="21"/>
                    </w:rPr>
                  </w:pPr>
                  <w:r>
                    <w:rPr>
                      <w:color w:val="auto"/>
                      <w:sz w:val="21"/>
                      <w:szCs w:val="21"/>
                    </w:rPr>
                    <w:t>达标</w:t>
                  </w:r>
                </w:p>
              </w:tc>
            </w:tr>
          </w:tbl>
          <w:p>
            <w:pPr>
              <w:pStyle w:val="7"/>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20"/>
              <w:textAlignment w:val="auto"/>
              <w:rPr>
                <w:rFonts w:ascii="Times New Roman" w:hAnsi="Times New Roman" w:eastAsia="宋体" w:cs="Times New Roman"/>
                <w:snapToGrid w:val="0"/>
                <w:color w:val="auto"/>
                <w:sz w:val="24"/>
                <w:szCs w:val="24"/>
              </w:rPr>
            </w:pPr>
            <w:r>
              <w:rPr>
                <w:rFonts w:ascii="Times New Roman" w:hAnsi="Times New Roman" w:eastAsia="宋体" w:cs="Times New Roman"/>
                <w:snapToGrid w:val="0"/>
                <w:color w:val="auto"/>
                <w:sz w:val="24"/>
                <w:szCs w:val="24"/>
              </w:rPr>
              <w:t>建设项目建成后，高噪声设备经厂房隔声和距离衰减后，对东、南、西、北厂界的噪声贡献值分别为</w:t>
            </w:r>
            <w:r>
              <w:rPr>
                <w:rFonts w:hint="eastAsia" w:cs="Times New Roman"/>
                <w:snapToGrid w:val="0"/>
                <w:color w:val="auto"/>
                <w:sz w:val="24"/>
                <w:szCs w:val="24"/>
                <w:lang w:val="en-US" w:eastAsia="zh-CN"/>
              </w:rPr>
              <w:t>47.34</w:t>
            </w:r>
            <w:r>
              <w:rPr>
                <w:rFonts w:ascii="Times New Roman" w:hAnsi="Times New Roman" w:eastAsia="宋体" w:cs="Times New Roman"/>
                <w:snapToGrid w:val="0"/>
                <w:color w:val="auto"/>
                <w:sz w:val="24"/>
                <w:szCs w:val="24"/>
              </w:rPr>
              <w:t>dB(A)、</w:t>
            </w:r>
            <w:r>
              <w:rPr>
                <w:rFonts w:hint="eastAsia" w:cs="Times New Roman"/>
                <w:snapToGrid w:val="0"/>
                <w:color w:val="auto"/>
                <w:sz w:val="24"/>
                <w:szCs w:val="24"/>
                <w:lang w:val="en-US" w:eastAsia="zh-CN"/>
              </w:rPr>
              <w:t>48.21</w:t>
            </w:r>
            <w:r>
              <w:rPr>
                <w:rFonts w:ascii="Times New Roman" w:hAnsi="Times New Roman" w:eastAsia="宋体" w:cs="Times New Roman"/>
                <w:snapToGrid w:val="0"/>
                <w:color w:val="auto"/>
                <w:sz w:val="24"/>
                <w:szCs w:val="24"/>
              </w:rPr>
              <w:t>dB(A)、</w:t>
            </w:r>
            <w:r>
              <w:rPr>
                <w:rFonts w:hint="eastAsia" w:cs="Times New Roman"/>
                <w:snapToGrid w:val="0"/>
                <w:color w:val="auto"/>
                <w:sz w:val="24"/>
                <w:szCs w:val="24"/>
                <w:lang w:val="en-US" w:eastAsia="zh-CN"/>
              </w:rPr>
              <w:t>47.84</w:t>
            </w:r>
            <w:r>
              <w:rPr>
                <w:rFonts w:ascii="Times New Roman" w:hAnsi="Times New Roman" w:eastAsia="宋体" w:cs="Times New Roman"/>
                <w:snapToGrid w:val="0"/>
                <w:color w:val="auto"/>
                <w:sz w:val="24"/>
                <w:szCs w:val="24"/>
              </w:rPr>
              <w:t>dB(A)、</w:t>
            </w:r>
            <w:r>
              <w:rPr>
                <w:rFonts w:hint="eastAsia" w:cs="Times New Roman"/>
                <w:snapToGrid w:val="0"/>
                <w:color w:val="auto"/>
                <w:sz w:val="24"/>
                <w:szCs w:val="24"/>
                <w:lang w:val="en-US" w:eastAsia="zh-CN"/>
              </w:rPr>
              <w:t>52.54</w:t>
            </w:r>
            <w:r>
              <w:rPr>
                <w:rFonts w:ascii="Times New Roman" w:hAnsi="Times New Roman" w:eastAsia="宋体" w:cs="Times New Roman"/>
                <w:snapToGrid w:val="0"/>
                <w:color w:val="auto"/>
                <w:sz w:val="24"/>
                <w:szCs w:val="24"/>
              </w:rPr>
              <w:t>dB(A)，</w:t>
            </w:r>
            <w:r>
              <w:rPr>
                <w:rFonts w:hint="eastAsia" w:cs="Times New Roman"/>
                <w:snapToGrid w:val="0"/>
                <w:color w:val="auto"/>
                <w:sz w:val="24"/>
                <w:szCs w:val="24"/>
                <w:lang w:eastAsia="zh-CN"/>
              </w:rPr>
              <w:t>东、南厂界贡献值</w:t>
            </w:r>
            <w:r>
              <w:rPr>
                <w:rFonts w:ascii="Times New Roman" w:hAnsi="Times New Roman" w:eastAsia="宋体" w:cs="Times New Roman"/>
                <w:snapToGrid w:val="0"/>
                <w:color w:val="auto"/>
                <w:sz w:val="24"/>
                <w:szCs w:val="24"/>
              </w:rPr>
              <w:t>满足《工业企业厂界环境噪声排放标准》（GB12348-2008）</w:t>
            </w:r>
            <w:r>
              <w:rPr>
                <w:rFonts w:hint="eastAsia" w:cs="Times New Roman"/>
                <w:snapToGrid w:val="0"/>
                <w:color w:val="auto"/>
                <w:sz w:val="24"/>
                <w:szCs w:val="24"/>
                <w:lang w:val="en-US" w:eastAsia="zh-CN"/>
              </w:rPr>
              <w:t>2</w:t>
            </w:r>
            <w:r>
              <w:rPr>
                <w:rFonts w:ascii="Times New Roman" w:hAnsi="Times New Roman" w:eastAsia="宋体" w:cs="Times New Roman"/>
                <w:snapToGrid w:val="0"/>
                <w:color w:val="auto"/>
                <w:sz w:val="24"/>
                <w:szCs w:val="24"/>
              </w:rPr>
              <w:t>类</w:t>
            </w:r>
            <w:r>
              <w:rPr>
                <w:rFonts w:hint="eastAsia" w:cs="Times New Roman"/>
                <w:snapToGrid w:val="0"/>
                <w:color w:val="auto"/>
                <w:sz w:val="24"/>
                <w:szCs w:val="24"/>
                <w:lang w:eastAsia="zh-CN"/>
              </w:rPr>
              <w:t>标准限值（昼间</w:t>
            </w:r>
            <w:r>
              <w:rPr>
                <w:rFonts w:ascii="Times New Roman" w:hAnsi="Times New Roman" w:eastAsia="宋体" w:cs="Times New Roman"/>
                <w:snapToGrid w:val="0"/>
                <w:color w:val="auto"/>
                <w:sz w:val="24"/>
                <w:szCs w:val="24"/>
              </w:rPr>
              <w:t>噪声值≤</w:t>
            </w:r>
            <w:r>
              <w:rPr>
                <w:rFonts w:hint="eastAsia" w:cs="Times New Roman"/>
                <w:snapToGrid w:val="0"/>
                <w:color w:val="auto"/>
                <w:sz w:val="24"/>
                <w:szCs w:val="24"/>
                <w:lang w:val="en-US" w:eastAsia="zh-CN"/>
              </w:rPr>
              <w:t>60</w:t>
            </w:r>
            <w:r>
              <w:rPr>
                <w:rFonts w:ascii="Times New Roman" w:hAnsi="Times New Roman" w:eastAsia="宋体" w:cs="Times New Roman"/>
                <w:snapToGrid w:val="0"/>
                <w:color w:val="auto"/>
                <w:sz w:val="24"/>
                <w:szCs w:val="24"/>
              </w:rPr>
              <w:t>dB(A)、夜间噪声值≤</w:t>
            </w:r>
            <w:r>
              <w:rPr>
                <w:rFonts w:hint="eastAsia" w:cs="Times New Roman"/>
                <w:snapToGrid w:val="0"/>
                <w:color w:val="auto"/>
                <w:sz w:val="24"/>
                <w:szCs w:val="24"/>
                <w:lang w:val="en-US" w:eastAsia="zh-CN"/>
              </w:rPr>
              <w:t>50</w:t>
            </w:r>
            <w:r>
              <w:rPr>
                <w:rFonts w:ascii="Times New Roman" w:hAnsi="Times New Roman" w:eastAsia="宋体" w:cs="Times New Roman"/>
                <w:snapToGrid w:val="0"/>
                <w:color w:val="auto"/>
                <w:sz w:val="24"/>
                <w:szCs w:val="24"/>
              </w:rPr>
              <w:t>dB(A)</w:t>
            </w:r>
            <w:r>
              <w:rPr>
                <w:rFonts w:hint="eastAsia" w:cs="Times New Roman"/>
                <w:snapToGrid w:val="0"/>
                <w:color w:val="auto"/>
                <w:sz w:val="24"/>
                <w:szCs w:val="24"/>
                <w:lang w:eastAsia="zh-CN"/>
              </w:rPr>
              <w:t>）</w:t>
            </w:r>
            <w:r>
              <w:rPr>
                <w:rFonts w:ascii="Times New Roman" w:hAnsi="Times New Roman" w:eastAsia="宋体" w:cs="Times New Roman"/>
                <w:snapToGrid w:val="0"/>
                <w:color w:val="auto"/>
                <w:sz w:val="24"/>
                <w:szCs w:val="24"/>
              </w:rPr>
              <w:t>要求</w:t>
            </w:r>
            <w:r>
              <w:rPr>
                <w:rFonts w:hint="eastAsia" w:cs="Times New Roman"/>
                <w:snapToGrid w:val="0"/>
                <w:color w:val="auto"/>
                <w:sz w:val="24"/>
                <w:szCs w:val="24"/>
                <w:lang w:eastAsia="zh-CN"/>
              </w:rPr>
              <w:t>，西、北厂界满足</w:t>
            </w:r>
            <w:r>
              <w:rPr>
                <w:rFonts w:hint="eastAsia" w:cs="Times New Roman"/>
                <w:snapToGrid w:val="0"/>
                <w:color w:val="auto"/>
                <w:sz w:val="24"/>
                <w:szCs w:val="24"/>
                <w:lang w:val="en-US" w:eastAsia="zh-CN"/>
              </w:rPr>
              <w:t>4a</w:t>
            </w:r>
            <w:r>
              <w:rPr>
                <w:rFonts w:ascii="Times New Roman" w:hAnsi="Times New Roman" w:eastAsia="宋体" w:cs="Times New Roman"/>
                <w:snapToGrid w:val="0"/>
                <w:color w:val="auto"/>
                <w:sz w:val="24"/>
                <w:szCs w:val="24"/>
              </w:rPr>
              <w:t>类</w:t>
            </w:r>
            <w:r>
              <w:rPr>
                <w:rFonts w:hint="eastAsia" w:cs="Times New Roman"/>
                <w:snapToGrid w:val="0"/>
                <w:color w:val="auto"/>
                <w:sz w:val="24"/>
                <w:szCs w:val="24"/>
                <w:lang w:eastAsia="zh-CN"/>
              </w:rPr>
              <w:t>标准限值（昼间</w:t>
            </w:r>
            <w:r>
              <w:rPr>
                <w:rFonts w:ascii="Times New Roman" w:hAnsi="Times New Roman" w:eastAsia="宋体" w:cs="Times New Roman"/>
                <w:snapToGrid w:val="0"/>
                <w:color w:val="auto"/>
                <w:sz w:val="24"/>
                <w:szCs w:val="24"/>
              </w:rPr>
              <w:t>噪声值≤</w:t>
            </w:r>
            <w:r>
              <w:rPr>
                <w:rFonts w:hint="eastAsia" w:cs="Times New Roman"/>
                <w:snapToGrid w:val="0"/>
                <w:color w:val="auto"/>
                <w:sz w:val="24"/>
                <w:szCs w:val="24"/>
                <w:lang w:val="en-US" w:eastAsia="zh-CN"/>
              </w:rPr>
              <w:t>70</w:t>
            </w:r>
            <w:r>
              <w:rPr>
                <w:rFonts w:ascii="Times New Roman" w:hAnsi="Times New Roman" w:eastAsia="宋体" w:cs="Times New Roman"/>
                <w:snapToGrid w:val="0"/>
                <w:color w:val="auto"/>
                <w:sz w:val="24"/>
                <w:szCs w:val="24"/>
              </w:rPr>
              <w:t>dB(A)、夜间噪声值≤5</w:t>
            </w:r>
            <w:r>
              <w:rPr>
                <w:rFonts w:hint="eastAsia" w:cs="Times New Roman"/>
                <w:snapToGrid w:val="0"/>
                <w:color w:val="auto"/>
                <w:sz w:val="24"/>
                <w:szCs w:val="24"/>
                <w:lang w:val="en-US" w:eastAsia="zh-CN"/>
              </w:rPr>
              <w:t>5</w:t>
            </w:r>
            <w:r>
              <w:rPr>
                <w:rFonts w:ascii="Times New Roman" w:hAnsi="Times New Roman" w:eastAsia="宋体" w:cs="Times New Roman"/>
                <w:snapToGrid w:val="0"/>
                <w:color w:val="auto"/>
                <w:sz w:val="24"/>
                <w:szCs w:val="24"/>
              </w:rPr>
              <w:t>dB(A)</w:t>
            </w:r>
            <w:r>
              <w:rPr>
                <w:rFonts w:hint="eastAsia" w:cs="Times New Roman"/>
                <w:snapToGrid w:val="0"/>
                <w:color w:val="auto"/>
                <w:sz w:val="24"/>
                <w:szCs w:val="24"/>
                <w:lang w:eastAsia="zh-CN"/>
              </w:rPr>
              <w:t>）</w:t>
            </w:r>
            <w:r>
              <w:rPr>
                <w:rFonts w:ascii="Times New Roman" w:hAnsi="Times New Roman" w:eastAsia="宋体" w:cs="Times New Roman"/>
                <w:snapToGrid w:val="0"/>
                <w:color w:val="auto"/>
                <w:sz w:val="24"/>
                <w:szCs w:val="24"/>
              </w:rPr>
              <w:t>。</w:t>
            </w:r>
          </w:p>
          <w:p>
            <w:pPr>
              <w:adjustRightInd w:val="0"/>
              <w:snapToGrid w:val="0"/>
              <w:spacing w:line="360" w:lineRule="auto"/>
              <w:ind w:firstLine="480" w:firstLineChars="200"/>
              <w:jc w:val="left"/>
              <w:rPr>
                <w:bCs/>
                <w:color w:val="auto"/>
                <w:kern w:val="0"/>
                <w:sz w:val="24"/>
                <w:szCs w:val="24"/>
              </w:rPr>
            </w:pPr>
            <w:r>
              <w:rPr>
                <w:bCs/>
                <w:color w:val="auto"/>
                <w:kern w:val="0"/>
                <w:sz w:val="24"/>
                <w:szCs w:val="24"/>
              </w:rPr>
              <w:t>（3）噪声监测计划</w:t>
            </w:r>
          </w:p>
          <w:p>
            <w:pPr>
              <w:adjustRightInd w:val="0"/>
              <w:snapToGrid w:val="0"/>
              <w:spacing w:line="360" w:lineRule="auto"/>
              <w:ind w:firstLine="480" w:firstLineChars="200"/>
              <w:jc w:val="left"/>
              <w:rPr>
                <w:bCs/>
                <w:color w:val="auto"/>
                <w:kern w:val="0"/>
                <w:sz w:val="24"/>
                <w:szCs w:val="24"/>
              </w:rPr>
            </w:pPr>
            <w:r>
              <w:rPr>
                <w:snapToGrid w:val="0"/>
                <w:color w:val="auto"/>
                <w:sz w:val="24"/>
                <w:szCs w:val="24"/>
              </w:rPr>
              <w:t>根据《排污单位自行监测技术指南 总则》（HJ819-2017），</w:t>
            </w:r>
            <w:r>
              <w:rPr>
                <w:bCs/>
                <w:color w:val="auto"/>
                <w:kern w:val="0"/>
                <w:sz w:val="24"/>
                <w:szCs w:val="24"/>
              </w:rPr>
              <w:t>厂界噪声最低监测频次为季度，厂界噪声每季度至少开展一次昼夜监测</w:t>
            </w:r>
            <w:r>
              <w:rPr>
                <w:rFonts w:hint="eastAsia"/>
                <w:bCs/>
                <w:color w:val="auto"/>
                <w:kern w:val="0"/>
                <w:sz w:val="24"/>
                <w:szCs w:val="24"/>
                <w:lang w:eastAsia="zh-CN"/>
              </w:rPr>
              <w:t>，本项目噪声监测频次设置为每季度一次</w:t>
            </w:r>
            <w:r>
              <w:rPr>
                <w:bCs/>
                <w:color w:val="auto"/>
                <w:kern w:val="0"/>
                <w:sz w:val="24"/>
                <w:szCs w:val="24"/>
              </w:rPr>
              <w:t>。</w:t>
            </w:r>
          </w:p>
          <w:p>
            <w:pPr>
              <w:pStyle w:val="67"/>
              <w:adjustRightInd w:val="0"/>
              <w:snapToGrid w:val="0"/>
              <w:ind w:firstLine="0" w:firstLineChars="0"/>
              <w:jc w:val="center"/>
              <w:rPr>
                <w:rFonts w:eastAsia="宋体" w:cs="Times New Roman"/>
                <w:snapToGrid w:val="0"/>
                <w:color w:val="auto"/>
                <w:kern w:val="0"/>
                <w:sz w:val="21"/>
                <w:szCs w:val="21"/>
              </w:rPr>
            </w:pPr>
            <w:r>
              <w:rPr>
                <w:rFonts w:eastAsia="宋体" w:cs="Times New Roman"/>
                <w:b/>
                <w:bCs/>
                <w:snapToGrid w:val="0"/>
                <w:color w:val="auto"/>
                <w:kern w:val="0"/>
                <w:sz w:val="21"/>
                <w:szCs w:val="21"/>
              </w:rPr>
              <w:t>表4-1</w:t>
            </w:r>
            <w:r>
              <w:rPr>
                <w:rFonts w:hint="eastAsia" w:eastAsia="宋体" w:cs="Times New Roman"/>
                <w:b/>
                <w:bCs/>
                <w:snapToGrid w:val="0"/>
                <w:color w:val="auto"/>
                <w:kern w:val="0"/>
                <w:sz w:val="21"/>
                <w:szCs w:val="21"/>
                <w:lang w:val="en-US" w:eastAsia="zh-CN"/>
              </w:rPr>
              <w:t>7</w:t>
            </w:r>
            <w:r>
              <w:rPr>
                <w:rFonts w:eastAsia="宋体" w:cs="Times New Roman"/>
                <w:b/>
                <w:bCs/>
                <w:snapToGrid w:val="0"/>
                <w:color w:val="auto"/>
                <w:kern w:val="0"/>
                <w:sz w:val="21"/>
                <w:szCs w:val="21"/>
              </w:rPr>
              <w:t xml:space="preserve">  噪声环境监测计划</w:t>
            </w:r>
          </w:p>
          <w:tbl>
            <w:tblPr>
              <w:tblStyle w:val="25"/>
              <w:tblpPr w:leftFromText="180" w:rightFromText="180" w:vertAnchor="text" w:tblpXSpec="center" w:tblpY="1"/>
              <w:tblOverlap w:val="never"/>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534"/>
              <w:gridCol w:w="2002"/>
              <w:gridCol w:w="1454"/>
              <w:gridCol w:w="1089"/>
              <w:gridCol w:w="3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94" w:type="pct"/>
                  <w:vAlign w:val="center"/>
                </w:tcPr>
                <w:p>
                  <w:pPr>
                    <w:pStyle w:val="67"/>
                    <w:adjustRightInd w:val="0"/>
                    <w:snapToGrid w:val="0"/>
                    <w:spacing w:before="24" w:after="24"/>
                    <w:ind w:firstLine="0" w:firstLineChars="0"/>
                    <w:jc w:val="center"/>
                    <w:rPr>
                      <w:rFonts w:eastAsia="宋体" w:cs="Times New Roman"/>
                      <w:b/>
                      <w:bCs/>
                      <w:snapToGrid w:val="0"/>
                      <w:color w:val="auto"/>
                      <w:kern w:val="0"/>
                      <w:sz w:val="21"/>
                      <w:szCs w:val="21"/>
                    </w:rPr>
                  </w:pPr>
                  <w:r>
                    <w:rPr>
                      <w:rFonts w:eastAsia="宋体" w:cs="Times New Roman"/>
                      <w:b/>
                      <w:bCs/>
                      <w:snapToGrid w:val="0"/>
                      <w:color w:val="auto"/>
                      <w:kern w:val="0"/>
                      <w:sz w:val="21"/>
                      <w:szCs w:val="21"/>
                    </w:rPr>
                    <w:t>类别</w:t>
                  </w:r>
                </w:p>
              </w:tc>
              <w:tc>
                <w:tcPr>
                  <w:tcW w:w="1103" w:type="pct"/>
                  <w:vAlign w:val="center"/>
                </w:tcPr>
                <w:p>
                  <w:pPr>
                    <w:pStyle w:val="67"/>
                    <w:adjustRightInd w:val="0"/>
                    <w:snapToGrid w:val="0"/>
                    <w:spacing w:before="24" w:after="24"/>
                    <w:ind w:firstLine="0" w:firstLineChars="0"/>
                    <w:jc w:val="center"/>
                    <w:rPr>
                      <w:rFonts w:eastAsia="宋体" w:cs="Times New Roman"/>
                      <w:b/>
                      <w:bCs/>
                      <w:snapToGrid w:val="0"/>
                      <w:color w:val="auto"/>
                      <w:kern w:val="0"/>
                      <w:sz w:val="21"/>
                      <w:szCs w:val="21"/>
                    </w:rPr>
                  </w:pPr>
                  <w:r>
                    <w:rPr>
                      <w:rFonts w:eastAsia="宋体" w:cs="Times New Roman"/>
                      <w:b/>
                      <w:bCs/>
                      <w:snapToGrid w:val="0"/>
                      <w:color w:val="auto"/>
                      <w:kern w:val="0"/>
                      <w:sz w:val="21"/>
                      <w:szCs w:val="21"/>
                    </w:rPr>
                    <w:t>监测位置</w:t>
                  </w:r>
                </w:p>
              </w:tc>
              <w:tc>
                <w:tcPr>
                  <w:tcW w:w="801" w:type="pct"/>
                  <w:vAlign w:val="center"/>
                </w:tcPr>
                <w:p>
                  <w:pPr>
                    <w:pStyle w:val="67"/>
                    <w:adjustRightInd w:val="0"/>
                    <w:snapToGrid w:val="0"/>
                    <w:spacing w:before="24" w:after="24"/>
                    <w:ind w:firstLine="0" w:firstLineChars="0"/>
                    <w:jc w:val="center"/>
                    <w:rPr>
                      <w:rFonts w:eastAsia="宋体" w:cs="Times New Roman"/>
                      <w:b/>
                      <w:bCs/>
                      <w:snapToGrid w:val="0"/>
                      <w:color w:val="auto"/>
                      <w:kern w:val="0"/>
                      <w:sz w:val="21"/>
                      <w:szCs w:val="21"/>
                    </w:rPr>
                  </w:pPr>
                  <w:r>
                    <w:rPr>
                      <w:rFonts w:eastAsia="宋体" w:cs="Times New Roman"/>
                      <w:b/>
                      <w:bCs/>
                      <w:snapToGrid w:val="0"/>
                      <w:color w:val="auto"/>
                      <w:kern w:val="0"/>
                      <w:sz w:val="21"/>
                      <w:szCs w:val="21"/>
                    </w:rPr>
                    <w:t>监测项目</w:t>
                  </w:r>
                </w:p>
              </w:tc>
              <w:tc>
                <w:tcPr>
                  <w:tcW w:w="600" w:type="pct"/>
                  <w:vAlign w:val="center"/>
                </w:tcPr>
                <w:p>
                  <w:pPr>
                    <w:pStyle w:val="67"/>
                    <w:adjustRightInd w:val="0"/>
                    <w:snapToGrid w:val="0"/>
                    <w:spacing w:before="24" w:after="24"/>
                    <w:ind w:firstLine="0" w:firstLineChars="0"/>
                    <w:jc w:val="center"/>
                    <w:rPr>
                      <w:rFonts w:eastAsia="宋体" w:cs="Times New Roman"/>
                      <w:b/>
                      <w:bCs/>
                      <w:snapToGrid w:val="0"/>
                      <w:color w:val="auto"/>
                      <w:kern w:val="0"/>
                      <w:sz w:val="21"/>
                      <w:szCs w:val="21"/>
                    </w:rPr>
                  </w:pPr>
                  <w:r>
                    <w:rPr>
                      <w:rFonts w:eastAsia="宋体" w:cs="Times New Roman"/>
                      <w:b/>
                      <w:bCs/>
                      <w:snapToGrid w:val="0"/>
                      <w:color w:val="auto"/>
                      <w:kern w:val="0"/>
                      <w:sz w:val="21"/>
                      <w:szCs w:val="21"/>
                    </w:rPr>
                    <w:t>监测频次</w:t>
                  </w:r>
                </w:p>
              </w:tc>
              <w:tc>
                <w:tcPr>
                  <w:tcW w:w="2201" w:type="pct"/>
                  <w:vAlign w:val="center"/>
                </w:tcPr>
                <w:p>
                  <w:pPr>
                    <w:pStyle w:val="67"/>
                    <w:adjustRightInd w:val="0"/>
                    <w:snapToGrid w:val="0"/>
                    <w:spacing w:before="24" w:after="24"/>
                    <w:ind w:firstLine="0" w:firstLineChars="0"/>
                    <w:jc w:val="center"/>
                    <w:rPr>
                      <w:rFonts w:eastAsia="宋体" w:cs="Times New Roman"/>
                      <w:b/>
                      <w:bCs/>
                      <w:snapToGrid w:val="0"/>
                      <w:color w:val="auto"/>
                      <w:kern w:val="0"/>
                      <w:sz w:val="21"/>
                      <w:szCs w:val="21"/>
                    </w:rPr>
                  </w:pPr>
                  <w:r>
                    <w:rPr>
                      <w:rFonts w:eastAsia="宋体" w:cs="Times New Roman"/>
                      <w:b/>
                      <w:bCs/>
                      <w:snapToGrid w:val="0"/>
                      <w:color w:val="auto"/>
                      <w:kern w:val="0"/>
                      <w:sz w:val="21"/>
                      <w:szCs w:val="21"/>
                    </w:rPr>
                    <w:t>执行排放标准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94" w:type="pct"/>
                  <w:vMerge w:val="restart"/>
                  <w:vAlign w:val="center"/>
                </w:tcPr>
                <w:p>
                  <w:pPr>
                    <w:pStyle w:val="67"/>
                    <w:adjustRightInd w:val="0"/>
                    <w:snapToGrid w:val="0"/>
                    <w:spacing w:before="24" w:after="24"/>
                    <w:ind w:firstLine="0" w:firstLineChars="0"/>
                    <w:jc w:val="center"/>
                    <w:rPr>
                      <w:rFonts w:eastAsia="宋体" w:cs="Times New Roman"/>
                      <w:snapToGrid w:val="0"/>
                      <w:color w:val="auto"/>
                      <w:kern w:val="0"/>
                      <w:sz w:val="21"/>
                      <w:szCs w:val="21"/>
                    </w:rPr>
                  </w:pPr>
                  <w:r>
                    <w:rPr>
                      <w:rFonts w:eastAsia="宋体" w:cs="Times New Roman"/>
                      <w:snapToGrid w:val="0"/>
                      <w:color w:val="auto"/>
                      <w:kern w:val="0"/>
                      <w:sz w:val="21"/>
                      <w:szCs w:val="21"/>
                    </w:rPr>
                    <w:t>噪声</w:t>
                  </w:r>
                </w:p>
              </w:tc>
              <w:tc>
                <w:tcPr>
                  <w:tcW w:w="1103" w:type="pct"/>
                  <w:vAlign w:val="center"/>
                </w:tcPr>
                <w:p>
                  <w:pPr>
                    <w:pStyle w:val="67"/>
                    <w:adjustRightInd w:val="0"/>
                    <w:snapToGrid w:val="0"/>
                    <w:spacing w:before="24" w:after="24"/>
                    <w:ind w:firstLine="0" w:firstLineChars="0"/>
                    <w:jc w:val="center"/>
                    <w:rPr>
                      <w:rFonts w:eastAsia="宋体" w:cs="Times New Roman"/>
                      <w:snapToGrid w:val="0"/>
                      <w:color w:val="auto"/>
                      <w:kern w:val="0"/>
                      <w:sz w:val="21"/>
                      <w:szCs w:val="21"/>
                    </w:rPr>
                  </w:pPr>
                  <w:r>
                    <w:rPr>
                      <w:rFonts w:hint="eastAsia" w:eastAsia="宋体" w:cs="Times New Roman"/>
                      <w:snapToGrid w:val="0"/>
                      <w:color w:val="auto"/>
                      <w:kern w:val="0"/>
                      <w:sz w:val="21"/>
                      <w:szCs w:val="21"/>
                      <w:lang w:eastAsia="zh-CN"/>
                    </w:rPr>
                    <w:t>东</w:t>
                  </w:r>
                  <w:r>
                    <w:rPr>
                      <w:rFonts w:eastAsia="宋体" w:cs="Times New Roman"/>
                      <w:snapToGrid w:val="0"/>
                      <w:color w:val="auto"/>
                      <w:kern w:val="0"/>
                      <w:sz w:val="21"/>
                      <w:szCs w:val="21"/>
                    </w:rPr>
                    <w:t>厂界外1m</w:t>
                  </w:r>
                </w:p>
              </w:tc>
              <w:tc>
                <w:tcPr>
                  <w:tcW w:w="801" w:type="pct"/>
                  <w:vMerge w:val="restart"/>
                  <w:vAlign w:val="center"/>
                </w:tcPr>
                <w:p>
                  <w:pPr>
                    <w:pStyle w:val="23"/>
                    <w:adjustRightInd w:val="0"/>
                    <w:snapToGrid w:val="0"/>
                    <w:spacing w:before="120"/>
                    <w:jc w:val="center"/>
                    <w:rPr>
                      <w:rFonts w:ascii="Times New Roman" w:hAnsi="Times New Roman" w:cs="Times New Roman"/>
                      <w:snapToGrid w:val="0"/>
                      <w:color w:val="auto"/>
                      <w:kern w:val="0"/>
                      <w:sz w:val="21"/>
                      <w:szCs w:val="21"/>
                    </w:rPr>
                  </w:pPr>
                  <w:r>
                    <w:rPr>
                      <w:rFonts w:ascii="Times New Roman" w:hAnsi="Times New Roman" w:cs="Times New Roman"/>
                      <w:snapToGrid w:val="0"/>
                      <w:color w:val="auto"/>
                      <w:sz w:val="21"/>
                      <w:szCs w:val="21"/>
                    </w:rPr>
                    <w:t>昼间以及夜间连续等效A声级</w:t>
                  </w:r>
                </w:p>
              </w:tc>
              <w:tc>
                <w:tcPr>
                  <w:tcW w:w="600" w:type="pct"/>
                  <w:vMerge w:val="restart"/>
                  <w:vAlign w:val="center"/>
                </w:tcPr>
                <w:p>
                  <w:pPr>
                    <w:pStyle w:val="67"/>
                    <w:adjustRightInd w:val="0"/>
                    <w:snapToGrid w:val="0"/>
                    <w:spacing w:before="24" w:after="24"/>
                    <w:ind w:firstLine="0" w:firstLineChars="0"/>
                    <w:jc w:val="center"/>
                    <w:rPr>
                      <w:rFonts w:eastAsia="宋体" w:cs="Times New Roman"/>
                      <w:snapToGrid w:val="0"/>
                      <w:color w:val="auto"/>
                      <w:kern w:val="0"/>
                      <w:sz w:val="21"/>
                      <w:szCs w:val="21"/>
                    </w:rPr>
                  </w:pPr>
                  <w:r>
                    <w:rPr>
                      <w:rFonts w:hint="eastAsia" w:eastAsia="宋体" w:cs="Times New Roman"/>
                      <w:snapToGrid w:val="0"/>
                      <w:color w:val="auto"/>
                      <w:kern w:val="0"/>
                      <w:sz w:val="21"/>
                      <w:szCs w:val="21"/>
                      <w:lang w:eastAsia="zh-CN"/>
                    </w:rPr>
                    <w:t>每季度</w:t>
                  </w:r>
                  <w:r>
                    <w:rPr>
                      <w:rFonts w:eastAsia="宋体" w:cs="Times New Roman"/>
                      <w:snapToGrid w:val="0"/>
                      <w:color w:val="auto"/>
                      <w:kern w:val="0"/>
                      <w:sz w:val="21"/>
                      <w:szCs w:val="21"/>
                    </w:rPr>
                    <w:t>一次</w:t>
                  </w:r>
                </w:p>
              </w:tc>
              <w:tc>
                <w:tcPr>
                  <w:tcW w:w="2201" w:type="pct"/>
                  <w:vMerge w:val="restart"/>
                  <w:vAlign w:val="center"/>
                </w:tcPr>
                <w:p>
                  <w:pPr>
                    <w:pStyle w:val="67"/>
                    <w:adjustRightInd w:val="0"/>
                    <w:snapToGrid w:val="0"/>
                    <w:spacing w:before="24" w:after="24"/>
                    <w:ind w:firstLine="0" w:firstLineChars="0"/>
                    <w:jc w:val="center"/>
                    <w:rPr>
                      <w:rFonts w:eastAsia="宋体" w:cs="Times New Roman"/>
                      <w:snapToGrid w:val="0"/>
                      <w:color w:val="auto"/>
                      <w:kern w:val="0"/>
                      <w:sz w:val="21"/>
                      <w:szCs w:val="21"/>
                    </w:rPr>
                  </w:pPr>
                  <w:r>
                    <w:rPr>
                      <w:rFonts w:eastAsia="宋体" w:cs="Times New Roman"/>
                      <w:snapToGrid w:val="0"/>
                      <w:color w:val="auto"/>
                      <w:kern w:val="0"/>
                      <w:sz w:val="21"/>
                      <w:szCs w:val="21"/>
                    </w:rPr>
                    <w:t>《工业企业厂界环境噪声排放标准》</w:t>
                  </w:r>
                </w:p>
                <w:p>
                  <w:pPr>
                    <w:pStyle w:val="67"/>
                    <w:adjustRightInd w:val="0"/>
                    <w:snapToGrid w:val="0"/>
                    <w:spacing w:before="24" w:after="24"/>
                    <w:ind w:firstLine="0" w:firstLineChars="0"/>
                    <w:jc w:val="center"/>
                    <w:rPr>
                      <w:rFonts w:eastAsia="宋体" w:cs="Times New Roman"/>
                      <w:snapToGrid w:val="0"/>
                      <w:color w:val="auto"/>
                      <w:kern w:val="0"/>
                      <w:sz w:val="21"/>
                      <w:szCs w:val="21"/>
                    </w:rPr>
                  </w:pPr>
                  <w:r>
                    <w:rPr>
                      <w:rFonts w:eastAsia="宋体" w:cs="Times New Roman"/>
                      <w:snapToGrid w:val="0"/>
                      <w:color w:val="auto"/>
                      <w:kern w:val="0"/>
                      <w:sz w:val="21"/>
                      <w:szCs w:val="21"/>
                    </w:rPr>
                    <w:t>（GB12348-2008）</w:t>
                  </w:r>
                  <w:r>
                    <w:rPr>
                      <w:rFonts w:hint="eastAsia" w:eastAsia="宋体" w:cs="Times New Roman"/>
                      <w:snapToGrid w:val="0"/>
                      <w:color w:val="auto"/>
                      <w:kern w:val="0"/>
                      <w:sz w:val="21"/>
                      <w:szCs w:val="21"/>
                      <w:lang w:val="en-US" w:eastAsia="zh-CN"/>
                    </w:rPr>
                    <w:t>2</w:t>
                  </w:r>
                  <w:r>
                    <w:rPr>
                      <w:rFonts w:eastAsia="宋体" w:cs="Times New Roman"/>
                      <w:snapToGrid w:val="0"/>
                      <w:color w:val="auto"/>
                      <w:kern w:val="0"/>
                      <w:sz w:val="21"/>
                      <w:szCs w:val="21"/>
                    </w:rPr>
                    <w:t>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4" w:type="pct"/>
                  <w:vMerge w:val="continue"/>
                  <w:vAlign w:val="center"/>
                </w:tcPr>
                <w:p>
                  <w:pPr>
                    <w:pStyle w:val="67"/>
                    <w:adjustRightInd w:val="0"/>
                    <w:snapToGrid w:val="0"/>
                    <w:spacing w:before="24" w:after="24"/>
                    <w:ind w:firstLine="0" w:firstLineChars="0"/>
                    <w:jc w:val="center"/>
                    <w:rPr>
                      <w:rFonts w:eastAsia="宋体" w:cs="Times New Roman"/>
                      <w:snapToGrid w:val="0"/>
                      <w:color w:val="auto"/>
                      <w:kern w:val="0"/>
                      <w:sz w:val="21"/>
                      <w:szCs w:val="21"/>
                    </w:rPr>
                  </w:pPr>
                </w:p>
              </w:tc>
              <w:tc>
                <w:tcPr>
                  <w:tcW w:w="1103" w:type="pct"/>
                  <w:vAlign w:val="center"/>
                </w:tcPr>
                <w:p>
                  <w:pPr>
                    <w:pStyle w:val="67"/>
                    <w:adjustRightInd w:val="0"/>
                    <w:snapToGrid w:val="0"/>
                    <w:spacing w:before="24" w:after="24"/>
                    <w:ind w:firstLine="0" w:firstLineChars="0"/>
                    <w:jc w:val="center"/>
                    <w:rPr>
                      <w:rFonts w:eastAsia="宋体" w:cs="Times New Roman"/>
                      <w:snapToGrid w:val="0"/>
                      <w:color w:val="auto"/>
                      <w:kern w:val="0"/>
                      <w:sz w:val="21"/>
                      <w:szCs w:val="21"/>
                    </w:rPr>
                  </w:pPr>
                  <w:r>
                    <w:rPr>
                      <w:rFonts w:hint="eastAsia" w:eastAsia="宋体" w:cs="Times New Roman"/>
                      <w:snapToGrid w:val="0"/>
                      <w:color w:val="auto"/>
                      <w:kern w:val="0"/>
                      <w:sz w:val="21"/>
                      <w:szCs w:val="21"/>
                      <w:lang w:eastAsia="zh-CN"/>
                    </w:rPr>
                    <w:t>南</w:t>
                  </w:r>
                  <w:r>
                    <w:rPr>
                      <w:rFonts w:eastAsia="宋体" w:cs="Times New Roman"/>
                      <w:snapToGrid w:val="0"/>
                      <w:color w:val="auto"/>
                      <w:kern w:val="0"/>
                      <w:sz w:val="21"/>
                      <w:szCs w:val="21"/>
                    </w:rPr>
                    <w:t>厂界外1m</w:t>
                  </w:r>
                </w:p>
              </w:tc>
              <w:tc>
                <w:tcPr>
                  <w:tcW w:w="801" w:type="pct"/>
                  <w:vMerge w:val="continue"/>
                  <w:vAlign w:val="center"/>
                </w:tcPr>
                <w:p>
                  <w:pPr>
                    <w:pStyle w:val="23"/>
                    <w:adjustRightInd w:val="0"/>
                    <w:snapToGrid w:val="0"/>
                    <w:spacing w:before="120"/>
                    <w:jc w:val="center"/>
                    <w:rPr>
                      <w:rFonts w:ascii="Times New Roman" w:hAnsi="Times New Roman" w:cs="Times New Roman"/>
                      <w:snapToGrid w:val="0"/>
                      <w:color w:val="auto"/>
                      <w:sz w:val="21"/>
                      <w:szCs w:val="21"/>
                    </w:rPr>
                  </w:pPr>
                </w:p>
              </w:tc>
              <w:tc>
                <w:tcPr>
                  <w:tcW w:w="600" w:type="pct"/>
                  <w:vMerge w:val="continue"/>
                  <w:vAlign w:val="center"/>
                </w:tcPr>
                <w:p>
                  <w:pPr>
                    <w:pStyle w:val="67"/>
                    <w:adjustRightInd w:val="0"/>
                    <w:snapToGrid w:val="0"/>
                    <w:spacing w:before="24" w:after="24"/>
                    <w:ind w:firstLine="0" w:firstLineChars="0"/>
                    <w:jc w:val="center"/>
                    <w:rPr>
                      <w:rFonts w:eastAsia="宋体" w:cs="Times New Roman"/>
                      <w:snapToGrid w:val="0"/>
                      <w:color w:val="auto"/>
                      <w:kern w:val="0"/>
                      <w:sz w:val="21"/>
                      <w:szCs w:val="21"/>
                    </w:rPr>
                  </w:pPr>
                </w:p>
              </w:tc>
              <w:tc>
                <w:tcPr>
                  <w:tcW w:w="2201" w:type="pct"/>
                  <w:vMerge w:val="continue"/>
                  <w:vAlign w:val="center"/>
                </w:tcPr>
                <w:p>
                  <w:pPr>
                    <w:pStyle w:val="67"/>
                    <w:adjustRightInd w:val="0"/>
                    <w:snapToGrid w:val="0"/>
                    <w:spacing w:before="24" w:after="24"/>
                    <w:ind w:firstLine="0" w:firstLineChars="0"/>
                    <w:jc w:val="center"/>
                    <w:rPr>
                      <w:rFonts w:eastAsia="宋体" w:cs="Times New Roman"/>
                      <w:snapToGrid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94" w:type="pct"/>
                  <w:vMerge w:val="continue"/>
                  <w:vAlign w:val="center"/>
                </w:tcPr>
                <w:p>
                  <w:pPr>
                    <w:pStyle w:val="67"/>
                    <w:adjustRightInd w:val="0"/>
                    <w:snapToGrid w:val="0"/>
                    <w:spacing w:before="24" w:after="24"/>
                    <w:ind w:firstLine="0" w:firstLineChars="0"/>
                    <w:jc w:val="center"/>
                    <w:rPr>
                      <w:rFonts w:eastAsia="宋体" w:cs="Times New Roman"/>
                      <w:snapToGrid w:val="0"/>
                      <w:color w:val="auto"/>
                      <w:kern w:val="0"/>
                      <w:sz w:val="21"/>
                      <w:szCs w:val="21"/>
                    </w:rPr>
                  </w:pPr>
                </w:p>
              </w:tc>
              <w:tc>
                <w:tcPr>
                  <w:tcW w:w="1103" w:type="pct"/>
                  <w:vAlign w:val="center"/>
                </w:tcPr>
                <w:p>
                  <w:pPr>
                    <w:pStyle w:val="67"/>
                    <w:adjustRightInd w:val="0"/>
                    <w:snapToGrid w:val="0"/>
                    <w:spacing w:before="24" w:after="24"/>
                    <w:ind w:firstLine="0" w:firstLineChars="0"/>
                    <w:jc w:val="center"/>
                    <w:rPr>
                      <w:rFonts w:eastAsia="宋体" w:cs="Times New Roman"/>
                      <w:snapToGrid w:val="0"/>
                      <w:color w:val="auto"/>
                      <w:kern w:val="0"/>
                      <w:sz w:val="21"/>
                      <w:szCs w:val="21"/>
                    </w:rPr>
                  </w:pPr>
                  <w:r>
                    <w:rPr>
                      <w:rFonts w:hint="eastAsia" w:eastAsia="宋体" w:cs="Times New Roman"/>
                      <w:snapToGrid w:val="0"/>
                      <w:color w:val="auto"/>
                      <w:kern w:val="0"/>
                      <w:sz w:val="21"/>
                      <w:szCs w:val="21"/>
                      <w:lang w:eastAsia="zh-CN"/>
                    </w:rPr>
                    <w:t>西</w:t>
                  </w:r>
                  <w:r>
                    <w:rPr>
                      <w:rFonts w:eastAsia="宋体" w:cs="Times New Roman"/>
                      <w:snapToGrid w:val="0"/>
                      <w:color w:val="auto"/>
                      <w:kern w:val="0"/>
                      <w:sz w:val="21"/>
                      <w:szCs w:val="21"/>
                    </w:rPr>
                    <w:t>厂界外1m</w:t>
                  </w:r>
                </w:p>
              </w:tc>
              <w:tc>
                <w:tcPr>
                  <w:tcW w:w="801" w:type="pct"/>
                  <w:vMerge w:val="continue"/>
                  <w:vAlign w:val="center"/>
                </w:tcPr>
                <w:p>
                  <w:pPr>
                    <w:pStyle w:val="23"/>
                    <w:adjustRightInd w:val="0"/>
                    <w:snapToGrid w:val="0"/>
                    <w:spacing w:before="120"/>
                    <w:jc w:val="center"/>
                    <w:rPr>
                      <w:rFonts w:ascii="Times New Roman" w:hAnsi="Times New Roman" w:cs="Times New Roman"/>
                      <w:snapToGrid w:val="0"/>
                      <w:color w:val="auto"/>
                      <w:sz w:val="21"/>
                      <w:szCs w:val="21"/>
                    </w:rPr>
                  </w:pPr>
                </w:p>
              </w:tc>
              <w:tc>
                <w:tcPr>
                  <w:tcW w:w="600" w:type="pct"/>
                  <w:vMerge w:val="continue"/>
                  <w:vAlign w:val="center"/>
                </w:tcPr>
                <w:p>
                  <w:pPr>
                    <w:pStyle w:val="67"/>
                    <w:adjustRightInd w:val="0"/>
                    <w:snapToGrid w:val="0"/>
                    <w:spacing w:before="24" w:after="24"/>
                    <w:ind w:firstLine="0" w:firstLineChars="0"/>
                    <w:jc w:val="center"/>
                    <w:rPr>
                      <w:rFonts w:eastAsia="宋体" w:cs="Times New Roman"/>
                      <w:snapToGrid w:val="0"/>
                      <w:color w:val="auto"/>
                      <w:kern w:val="0"/>
                      <w:sz w:val="21"/>
                      <w:szCs w:val="21"/>
                    </w:rPr>
                  </w:pPr>
                </w:p>
              </w:tc>
              <w:tc>
                <w:tcPr>
                  <w:tcW w:w="2201" w:type="pct"/>
                  <w:vMerge w:val="restart"/>
                  <w:vAlign w:val="center"/>
                </w:tcPr>
                <w:p>
                  <w:pPr>
                    <w:pStyle w:val="67"/>
                    <w:adjustRightInd w:val="0"/>
                    <w:snapToGrid w:val="0"/>
                    <w:spacing w:before="24" w:after="24"/>
                    <w:ind w:firstLine="0" w:firstLineChars="0"/>
                    <w:jc w:val="center"/>
                    <w:rPr>
                      <w:rFonts w:eastAsia="宋体" w:cs="Times New Roman"/>
                      <w:snapToGrid w:val="0"/>
                      <w:color w:val="auto"/>
                      <w:kern w:val="0"/>
                      <w:sz w:val="21"/>
                      <w:szCs w:val="21"/>
                    </w:rPr>
                  </w:pPr>
                  <w:r>
                    <w:rPr>
                      <w:rFonts w:eastAsia="宋体" w:cs="Times New Roman"/>
                      <w:snapToGrid w:val="0"/>
                      <w:color w:val="auto"/>
                      <w:kern w:val="0"/>
                      <w:sz w:val="21"/>
                      <w:szCs w:val="21"/>
                    </w:rPr>
                    <w:t>《工业企业厂界环境噪声排放标准》</w:t>
                  </w:r>
                </w:p>
                <w:p>
                  <w:pPr>
                    <w:pStyle w:val="67"/>
                    <w:adjustRightInd w:val="0"/>
                    <w:snapToGrid w:val="0"/>
                    <w:spacing w:before="24" w:after="24"/>
                    <w:ind w:firstLine="0" w:firstLineChars="0"/>
                    <w:jc w:val="center"/>
                    <w:rPr>
                      <w:rFonts w:eastAsia="宋体" w:cs="Times New Roman"/>
                      <w:snapToGrid w:val="0"/>
                      <w:color w:val="auto"/>
                      <w:kern w:val="0"/>
                      <w:sz w:val="21"/>
                      <w:szCs w:val="21"/>
                    </w:rPr>
                  </w:pPr>
                  <w:r>
                    <w:rPr>
                      <w:rFonts w:eastAsia="宋体" w:cs="Times New Roman"/>
                      <w:snapToGrid w:val="0"/>
                      <w:color w:val="auto"/>
                      <w:kern w:val="0"/>
                      <w:sz w:val="21"/>
                      <w:szCs w:val="21"/>
                    </w:rPr>
                    <w:t>（GB12348-2008）</w:t>
                  </w:r>
                  <w:r>
                    <w:rPr>
                      <w:rFonts w:hint="eastAsia" w:eastAsia="宋体" w:cs="Times New Roman"/>
                      <w:snapToGrid w:val="0"/>
                      <w:color w:val="auto"/>
                      <w:kern w:val="0"/>
                      <w:sz w:val="21"/>
                      <w:szCs w:val="21"/>
                      <w:lang w:val="en-US" w:eastAsia="zh-CN"/>
                    </w:rPr>
                    <w:t>4a</w:t>
                  </w:r>
                  <w:r>
                    <w:rPr>
                      <w:rFonts w:eastAsia="宋体" w:cs="Times New Roman"/>
                      <w:snapToGrid w:val="0"/>
                      <w:color w:val="auto"/>
                      <w:kern w:val="0"/>
                      <w:sz w:val="21"/>
                      <w:szCs w:val="21"/>
                    </w:rPr>
                    <w:t>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4" w:type="pct"/>
                  <w:vMerge w:val="continue"/>
                  <w:vAlign w:val="center"/>
                </w:tcPr>
                <w:p>
                  <w:pPr>
                    <w:pStyle w:val="67"/>
                    <w:adjustRightInd w:val="0"/>
                    <w:snapToGrid w:val="0"/>
                    <w:spacing w:before="24" w:after="24"/>
                    <w:ind w:firstLine="0" w:firstLineChars="0"/>
                    <w:jc w:val="center"/>
                    <w:rPr>
                      <w:rFonts w:eastAsia="宋体" w:cs="Times New Roman"/>
                      <w:snapToGrid w:val="0"/>
                      <w:color w:val="auto"/>
                      <w:kern w:val="0"/>
                      <w:sz w:val="21"/>
                      <w:szCs w:val="21"/>
                    </w:rPr>
                  </w:pPr>
                </w:p>
              </w:tc>
              <w:tc>
                <w:tcPr>
                  <w:tcW w:w="1103" w:type="pct"/>
                  <w:vAlign w:val="center"/>
                </w:tcPr>
                <w:p>
                  <w:pPr>
                    <w:pStyle w:val="67"/>
                    <w:adjustRightInd w:val="0"/>
                    <w:snapToGrid w:val="0"/>
                    <w:spacing w:before="24" w:after="24"/>
                    <w:ind w:firstLine="0" w:firstLineChars="0"/>
                    <w:jc w:val="center"/>
                    <w:rPr>
                      <w:rFonts w:eastAsia="宋体" w:cs="Times New Roman"/>
                      <w:snapToGrid w:val="0"/>
                      <w:color w:val="auto"/>
                      <w:kern w:val="0"/>
                      <w:sz w:val="21"/>
                      <w:szCs w:val="21"/>
                    </w:rPr>
                  </w:pPr>
                  <w:r>
                    <w:rPr>
                      <w:rFonts w:hint="eastAsia" w:eastAsia="宋体" w:cs="Times New Roman"/>
                      <w:snapToGrid w:val="0"/>
                      <w:color w:val="auto"/>
                      <w:kern w:val="0"/>
                      <w:sz w:val="21"/>
                      <w:szCs w:val="21"/>
                      <w:lang w:eastAsia="zh-CN"/>
                    </w:rPr>
                    <w:t>北</w:t>
                  </w:r>
                  <w:r>
                    <w:rPr>
                      <w:rFonts w:eastAsia="宋体" w:cs="Times New Roman"/>
                      <w:snapToGrid w:val="0"/>
                      <w:color w:val="auto"/>
                      <w:kern w:val="0"/>
                      <w:sz w:val="21"/>
                      <w:szCs w:val="21"/>
                    </w:rPr>
                    <w:t>厂界外1m</w:t>
                  </w:r>
                </w:p>
              </w:tc>
              <w:tc>
                <w:tcPr>
                  <w:tcW w:w="801" w:type="pct"/>
                  <w:vMerge w:val="continue"/>
                  <w:vAlign w:val="center"/>
                </w:tcPr>
                <w:p>
                  <w:pPr>
                    <w:pStyle w:val="23"/>
                    <w:adjustRightInd w:val="0"/>
                    <w:snapToGrid w:val="0"/>
                    <w:spacing w:before="120"/>
                    <w:jc w:val="center"/>
                    <w:rPr>
                      <w:rFonts w:ascii="Times New Roman" w:hAnsi="Times New Roman" w:cs="Times New Roman"/>
                      <w:snapToGrid w:val="0"/>
                      <w:color w:val="auto"/>
                      <w:sz w:val="21"/>
                      <w:szCs w:val="21"/>
                    </w:rPr>
                  </w:pPr>
                </w:p>
              </w:tc>
              <w:tc>
                <w:tcPr>
                  <w:tcW w:w="600" w:type="pct"/>
                  <w:vMerge w:val="continue"/>
                  <w:vAlign w:val="center"/>
                </w:tcPr>
                <w:p>
                  <w:pPr>
                    <w:pStyle w:val="67"/>
                    <w:adjustRightInd w:val="0"/>
                    <w:snapToGrid w:val="0"/>
                    <w:spacing w:before="24" w:after="24"/>
                    <w:ind w:firstLine="0" w:firstLineChars="0"/>
                    <w:jc w:val="center"/>
                    <w:rPr>
                      <w:rFonts w:eastAsia="宋体" w:cs="Times New Roman"/>
                      <w:snapToGrid w:val="0"/>
                      <w:color w:val="auto"/>
                      <w:kern w:val="0"/>
                      <w:sz w:val="21"/>
                      <w:szCs w:val="21"/>
                    </w:rPr>
                  </w:pPr>
                </w:p>
              </w:tc>
              <w:tc>
                <w:tcPr>
                  <w:tcW w:w="2201" w:type="pct"/>
                  <w:vMerge w:val="continue"/>
                  <w:vAlign w:val="center"/>
                </w:tcPr>
                <w:p>
                  <w:pPr>
                    <w:pStyle w:val="67"/>
                    <w:adjustRightInd w:val="0"/>
                    <w:snapToGrid w:val="0"/>
                    <w:spacing w:before="24" w:after="24"/>
                    <w:ind w:firstLine="0" w:firstLineChars="0"/>
                    <w:jc w:val="center"/>
                    <w:rPr>
                      <w:rFonts w:eastAsia="宋体" w:cs="Times New Roman"/>
                      <w:snapToGrid w:val="0"/>
                      <w:color w:val="auto"/>
                      <w:kern w:val="0"/>
                      <w:sz w:val="21"/>
                      <w:szCs w:val="21"/>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0" w:firstLineChars="0"/>
              <w:jc w:val="left"/>
              <w:textAlignment w:val="auto"/>
              <w:rPr>
                <w:b/>
                <w:bCs/>
                <w:color w:val="auto"/>
                <w:kern w:val="0"/>
                <w:sz w:val="24"/>
                <w:szCs w:val="24"/>
              </w:rPr>
            </w:pPr>
            <w:r>
              <w:rPr>
                <w:rFonts w:hint="eastAsia"/>
                <w:b/>
                <w:bCs/>
                <w:color w:val="auto"/>
                <w:kern w:val="0"/>
                <w:sz w:val="24"/>
                <w:szCs w:val="24"/>
                <w:lang w:val="en-US" w:eastAsia="zh-CN"/>
              </w:rPr>
              <w:t>4、</w:t>
            </w:r>
            <w:r>
              <w:rPr>
                <w:b/>
                <w:bCs/>
                <w:color w:val="auto"/>
                <w:kern w:val="0"/>
                <w:sz w:val="24"/>
                <w:szCs w:val="24"/>
              </w:rPr>
              <w:t>固体废物</w:t>
            </w:r>
          </w:p>
          <w:p>
            <w:pPr>
              <w:adjustRightInd w:val="0"/>
              <w:snapToGrid w:val="0"/>
              <w:spacing w:line="360" w:lineRule="auto"/>
              <w:ind w:firstLine="480" w:firstLineChars="200"/>
              <w:jc w:val="left"/>
              <w:rPr>
                <w:snapToGrid w:val="0"/>
                <w:color w:val="auto"/>
                <w:kern w:val="0"/>
                <w:sz w:val="24"/>
                <w:szCs w:val="24"/>
              </w:rPr>
            </w:pPr>
            <w:r>
              <w:rPr>
                <w:snapToGrid w:val="0"/>
                <w:color w:val="auto"/>
                <w:kern w:val="0"/>
                <w:sz w:val="24"/>
                <w:szCs w:val="24"/>
              </w:rPr>
              <w:t>（1）固体废物产生情况</w:t>
            </w:r>
          </w:p>
          <w:p>
            <w:pPr>
              <w:spacing w:line="360" w:lineRule="auto"/>
              <w:ind w:firstLine="480" w:firstLineChars="200"/>
              <w:jc w:val="left"/>
              <w:rPr>
                <w:color w:val="auto"/>
                <w:sz w:val="24"/>
                <w:szCs w:val="24"/>
              </w:rPr>
            </w:pPr>
            <w:r>
              <w:rPr>
                <w:color w:val="auto"/>
                <w:sz w:val="24"/>
                <w:szCs w:val="24"/>
              </w:rPr>
              <w:t>根据项目工程分析，本项目固废主要为：生活垃圾、医疗废物、污水处理站污泥等。</w:t>
            </w:r>
          </w:p>
          <w:p>
            <w:pPr>
              <w:spacing w:line="360" w:lineRule="auto"/>
              <w:ind w:firstLine="480" w:firstLineChars="200"/>
              <w:jc w:val="left"/>
              <w:rPr>
                <w:color w:val="auto"/>
                <w:sz w:val="24"/>
                <w:szCs w:val="24"/>
              </w:rPr>
            </w:pPr>
            <w:r>
              <w:rPr>
                <w:rFonts w:hint="eastAsia"/>
                <w:color w:val="auto"/>
                <w:sz w:val="24"/>
                <w:szCs w:val="24"/>
                <w:lang w:eastAsia="zh-CN"/>
              </w:rPr>
              <w:t>①</w:t>
            </w:r>
            <w:r>
              <w:rPr>
                <w:color w:val="auto"/>
                <w:sz w:val="24"/>
                <w:szCs w:val="24"/>
              </w:rPr>
              <w:t>生活垃圾：</w:t>
            </w:r>
          </w:p>
          <w:p>
            <w:pPr>
              <w:spacing w:line="360" w:lineRule="auto"/>
              <w:ind w:firstLine="480" w:firstLineChars="200"/>
              <w:jc w:val="left"/>
              <w:rPr>
                <w:color w:val="auto"/>
                <w:sz w:val="24"/>
                <w:szCs w:val="24"/>
              </w:rPr>
            </w:pPr>
            <w:r>
              <w:rPr>
                <w:color w:val="auto"/>
                <w:sz w:val="24"/>
                <w:szCs w:val="24"/>
              </w:rPr>
              <w:t>根据企业提供资料，本项目生活垃圾产生量见下表：</w:t>
            </w:r>
          </w:p>
          <w:p>
            <w:pPr>
              <w:pStyle w:val="67"/>
              <w:adjustRightInd w:val="0"/>
              <w:snapToGrid w:val="0"/>
              <w:ind w:firstLine="0" w:firstLineChars="0"/>
              <w:jc w:val="center"/>
              <w:rPr>
                <w:rFonts w:eastAsia="宋体" w:cs="Times New Roman"/>
                <w:snapToGrid w:val="0"/>
                <w:color w:val="auto"/>
                <w:kern w:val="0"/>
                <w:sz w:val="21"/>
                <w:szCs w:val="21"/>
              </w:rPr>
            </w:pPr>
            <w:r>
              <w:rPr>
                <w:rFonts w:eastAsia="宋体" w:cs="Times New Roman"/>
                <w:b/>
                <w:bCs/>
                <w:snapToGrid w:val="0"/>
                <w:color w:val="auto"/>
                <w:kern w:val="0"/>
                <w:sz w:val="21"/>
                <w:szCs w:val="21"/>
              </w:rPr>
              <w:t>表4-1</w:t>
            </w:r>
            <w:r>
              <w:rPr>
                <w:rFonts w:hint="eastAsia" w:eastAsia="宋体" w:cs="Times New Roman"/>
                <w:b/>
                <w:bCs/>
                <w:snapToGrid w:val="0"/>
                <w:color w:val="auto"/>
                <w:kern w:val="0"/>
                <w:sz w:val="21"/>
                <w:szCs w:val="21"/>
                <w:lang w:val="en-US" w:eastAsia="zh-CN"/>
              </w:rPr>
              <w:t>8</w:t>
            </w:r>
            <w:r>
              <w:rPr>
                <w:rFonts w:eastAsia="宋体" w:cs="Times New Roman"/>
                <w:b/>
                <w:bCs/>
                <w:snapToGrid w:val="0"/>
                <w:color w:val="auto"/>
                <w:kern w:val="0"/>
                <w:sz w:val="21"/>
                <w:szCs w:val="21"/>
              </w:rPr>
              <w:t xml:space="preserve">  生活垃圾产生量</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725"/>
              <w:gridCol w:w="2198"/>
              <w:gridCol w:w="1412"/>
              <w:gridCol w:w="2041"/>
              <w:gridCol w:w="1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950" w:type="pct"/>
                  <w:vAlign w:val="center"/>
                </w:tcPr>
                <w:p>
                  <w:pPr>
                    <w:pStyle w:val="68"/>
                    <w:spacing w:line="240" w:lineRule="auto"/>
                    <w:rPr>
                      <w:rFonts w:ascii="Times New Roman" w:hAnsi="Times New Roman" w:eastAsia="宋体" w:cs="Times New Roman"/>
                      <w:b/>
                      <w:bCs w:val="0"/>
                      <w:color w:val="auto"/>
                      <w:sz w:val="21"/>
                      <w:szCs w:val="21"/>
                    </w:rPr>
                  </w:pPr>
                  <w:r>
                    <w:rPr>
                      <w:rFonts w:ascii="Times New Roman" w:hAnsi="Times New Roman" w:eastAsia="宋体" w:cs="Times New Roman"/>
                      <w:b/>
                      <w:bCs w:val="0"/>
                      <w:color w:val="auto"/>
                      <w:sz w:val="21"/>
                      <w:szCs w:val="21"/>
                    </w:rPr>
                    <w:t>类别</w:t>
                  </w:r>
                </w:p>
              </w:tc>
              <w:tc>
                <w:tcPr>
                  <w:tcW w:w="1211" w:type="pct"/>
                  <w:vAlign w:val="center"/>
                </w:tcPr>
                <w:p>
                  <w:pPr>
                    <w:pStyle w:val="68"/>
                    <w:spacing w:line="240" w:lineRule="auto"/>
                    <w:rPr>
                      <w:rFonts w:ascii="Times New Roman" w:hAnsi="Times New Roman" w:eastAsia="宋体" w:cs="Times New Roman"/>
                      <w:b/>
                      <w:bCs w:val="0"/>
                      <w:color w:val="auto"/>
                      <w:sz w:val="21"/>
                      <w:szCs w:val="21"/>
                    </w:rPr>
                  </w:pPr>
                  <w:r>
                    <w:rPr>
                      <w:rFonts w:ascii="Times New Roman" w:hAnsi="Times New Roman" w:eastAsia="宋体" w:cs="Times New Roman"/>
                      <w:b/>
                      <w:bCs w:val="0"/>
                      <w:color w:val="auto"/>
                      <w:sz w:val="21"/>
                      <w:szCs w:val="21"/>
                    </w:rPr>
                    <w:t>产生率</w:t>
                  </w:r>
                </w:p>
              </w:tc>
              <w:tc>
                <w:tcPr>
                  <w:tcW w:w="778" w:type="pct"/>
                  <w:vAlign w:val="center"/>
                </w:tcPr>
                <w:p>
                  <w:pPr>
                    <w:pStyle w:val="68"/>
                    <w:spacing w:line="240" w:lineRule="auto"/>
                    <w:rPr>
                      <w:rFonts w:ascii="Times New Roman" w:hAnsi="Times New Roman" w:eastAsia="宋体" w:cs="Times New Roman"/>
                      <w:b/>
                      <w:bCs w:val="0"/>
                      <w:color w:val="auto"/>
                      <w:sz w:val="21"/>
                      <w:szCs w:val="21"/>
                    </w:rPr>
                  </w:pPr>
                  <w:r>
                    <w:rPr>
                      <w:rFonts w:ascii="Times New Roman" w:hAnsi="Times New Roman" w:eastAsia="宋体" w:cs="Times New Roman"/>
                      <w:b/>
                      <w:bCs w:val="0"/>
                      <w:color w:val="auto"/>
                      <w:sz w:val="21"/>
                      <w:szCs w:val="21"/>
                    </w:rPr>
                    <w:t>计算依据</w:t>
                  </w:r>
                </w:p>
              </w:tc>
              <w:tc>
                <w:tcPr>
                  <w:tcW w:w="1124" w:type="pct"/>
                  <w:vAlign w:val="center"/>
                </w:tcPr>
                <w:p>
                  <w:pPr>
                    <w:pStyle w:val="68"/>
                    <w:spacing w:line="240" w:lineRule="auto"/>
                    <w:rPr>
                      <w:rFonts w:ascii="Times New Roman" w:hAnsi="Times New Roman" w:eastAsia="宋体" w:cs="Times New Roman"/>
                      <w:b/>
                      <w:bCs w:val="0"/>
                      <w:color w:val="auto"/>
                      <w:sz w:val="21"/>
                      <w:szCs w:val="21"/>
                    </w:rPr>
                  </w:pPr>
                  <w:r>
                    <w:rPr>
                      <w:rFonts w:ascii="Times New Roman" w:hAnsi="Times New Roman" w:eastAsia="宋体" w:cs="Times New Roman"/>
                      <w:b/>
                      <w:bCs w:val="0"/>
                      <w:color w:val="auto"/>
                      <w:sz w:val="21"/>
                      <w:szCs w:val="21"/>
                    </w:rPr>
                    <w:t>日均产生量（kg/d）</w:t>
                  </w:r>
                </w:p>
              </w:tc>
              <w:tc>
                <w:tcPr>
                  <w:tcW w:w="936" w:type="pct"/>
                  <w:vAlign w:val="center"/>
                </w:tcPr>
                <w:p>
                  <w:pPr>
                    <w:pStyle w:val="68"/>
                    <w:spacing w:line="240" w:lineRule="auto"/>
                    <w:rPr>
                      <w:rFonts w:ascii="Times New Roman" w:hAnsi="Times New Roman" w:eastAsia="宋体" w:cs="Times New Roman"/>
                      <w:b/>
                      <w:bCs w:val="0"/>
                      <w:color w:val="auto"/>
                      <w:sz w:val="21"/>
                      <w:szCs w:val="21"/>
                    </w:rPr>
                  </w:pPr>
                  <w:r>
                    <w:rPr>
                      <w:rFonts w:ascii="Times New Roman" w:hAnsi="Times New Roman" w:eastAsia="宋体" w:cs="Times New Roman"/>
                      <w:b/>
                      <w:bCs w:val="0"/>
                      <w:color w:val="auto"/>
                      <w:sz w:val="21"/>
                      <w:szCs w:val="21"/>
                    </w:rPr>
                    <w:t>年产生量（t/a）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950" w:type="pct"/>
                  <w:vAlign w:val="center"/>
                </w:tcPr>
                <w:p>
                  <w:pPr>
                    <w:pStyle w:val="68"/>
                    <w:spacing w:line="240" w:lineRule="auto"/>
                    <w:rPr>
                      <w:rFonts w:hint="eastAsia" w:ascii="Times New Roman" w:hAnsi="Times New Roman" w:eastAsia="宋体" w:cs="Times New Roman"/>
                      <w:color w:val="auto"/>
                      <w:sz w:val="21"/>
                      <w:szCs w:val="21"/>
                      <w:lang w:eastAsia="zh-CN"/>
                    </w:rPr>
                  </w:pPr>
                  <w:r>
                    <w:rPr>
                      <w:rFonts w:ascii="Times New Roman" w:hAnsi="Times New Roman" w:eastAsia="宋体" w:cs="Times New Roman"/>
                      <w:color w:val="auto"/>
                      <w:sz w:val="21"/>
                      <w:szCs w:val="21"/>
                    </w:rPr>
                    <w:t>医护</w:t>
                  </w:r>
                  <w:r>
                    <w:rPr>
                      <w:rFonts w:hint="eastAsia" w:ascii="Times New Roman" w:hAnsi="Times New Roman" w:eastAsia="宋体" w:cs="Times New Roman"/>
                      <w:color w:val="auto"/>
                      <w:sz w:val="21"/>
                      <w:szCs w:val="21"/>
                      <w:lang w:eastAsia="zh-CN"/>
                    </w:rPr>
                    <w:t>人员及行政人员</w:t>
                  </w:r>
                </w:p>
              </w:tc>
              <w:tc>
                <w:tcPr>
                  <w:tcW w:w="1211" w:type="pc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0.5(Kg/人·d)</w:t>
                  </w:r>
                </w:p>
              </w:tc>
              <w:tc>
                <w:tcPr>
                  <w:tcW w:w="778" w:type="pct"/>
                  <w:vAlign w:val="center"/>
                </w:tcPr>
                <w:p>
                  <w:pPr>
                    <w:pStyle w:val="68"/>
                    <w:spacing w:line="240" w:lineRule="auto"/>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70</w:t>
                  </w:r>
                  <w:r>
                    <w:rPr>
                      <w:rFonts w:ascii="Times New Roman" w:hAnsi="Times New Roman" w:eastAsia="宋体" w:cs="Times New Roman"/>
                      <w:color w:val="auto"/>
                      <w:sz w:val="21"/>
                      <w:szCs w:val="21"/>
                    </w:rPr>
                    <w:t>（人/d）</w:t>
                  </w:r>
                </w:p>
              </w:tc>
              <w:tc>
                <w:tcPr>
                  <w:tcW w:w="1124" w:type="pct"/>
                  <w:vAlign w:val="center"/>
                </w:tcPr>
                <w:p>
                  <w:pPr>
                    <w:pStyle w:val="68"/>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35</w:t>
                  </w:r>
                </w:p>
              </w:tc>
              <w:tc>
                <w:tcPr>
                  <w:tcW w:w="936" w:type="pct"/>
                  <w:vAlign w:val="center"/>
                </w:tcPr>
                <w:p>
                  <w:pPr>
                    <w:pStyle w:val="68"/>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950" w:type="pc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病房</w:t>
                  </w:r>
                </w:p>
              </w:tc>
              <w:tc>
                <w:tcPr>
                  <w:tcW w:w="1211" w:type="pc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1(Kg/人·d)</w:t>
                  </w:r>
                </w:p>
              </w:tc>
              <w:tc>
                <w:tcPr>
                  <w:tcW w:w="778" w:type="pct"/>
                  <w:vAlign w:val="center"/>
                </w:tcPr>
                <w:p>
                  <w:pPr>
                    <w:pStyle w:val="68"/>
                    <w:spacing w:line="240" w:lineRule="auto"/>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60</w:t>
                  </w:r>
                  <w:r>
                    <w:rPr>
                      <w:rFonts w:ascii="Times New Roman" w:hAnsi="Times New Roman" w:eastAsia="宋体" w:cs="Times New Roman"/>
                      <w:color w:val="auto"/>
                      <w:sz w:val="21"/>
                      <w:szCs w:val="21"/>
                    </w:rPr>
                    <w:t>（人/d）</w:t>
                  </w:r>
                </w:p>
              </w:tc>
              <w:tc>
                <w:tcPr>
                  <w:tcW w:w="1124" w:type="pct"/>
                  <w:vAlign w:val="center"/>
                </w:tcPr>
                <w:p>
                  <w:pPr>
                    <w:pStyle w:val="68"/>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60</w:t>
                  </w:r>
                </w:p>
              </w:tc>
              <w:tc>
                <w:tcPr>
                  <w:tcW w:w="936" w:type="pct"/>
                  <w:vAlign w:val="center"/>
                </w:tcPr>
                <w:p>
                  <w:pPr>
                    <w:pStyle w:val="68"/>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950" w:type="pc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门诊生活垃圾</w:t>
                  </w:r>
                </w:p>
              </w:tc>
              <w:tc>
                <w:tcPr>
                  <w:tcW w:w="1211" w:type="pc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0.1(Kg/人·d)</w:t>
                  </w:r>
                </w:p>
              </w:tc>
              <w:tc>
                <w:tcPr>
                  <w:tcW w:w="778" w:type="pc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val="en-US" w:eastAsia="zh-CN"/>
                    </w:rPr>
                    <w:t>6</w:t>
                  </w:r>
                  <w:r>
                    <w:rPr>
                      <w:rFonts w:ascii="Times New Roman" w:hAnsi="Times New Roman" w:eastAsia="宋体" w:cs="Times New Roman"/>
                      <w:color w:val="auto"/>
                      <w:sz w:val="21"/>
                      <w:szCs w:val="21"/>
                    </w:rPr>
                    <w:t>0（人/d）</w:t>
                  </w:r>
                </w:p>
              </w:tc>
              <w:tc>
                <w:tcPr>
                  <w:tcW w:w="1124" w:type="pct"/>
                  <w:vAlign w:val="center"/>
                </w:tcPr>
                <w:p>
                  <w:pPr>
                    <w:pStyle w:val="68"/>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w:t>
                  </w:r>
                </w:p>
              </w:tc>
              <w:tc>
                <w:tcPr>
                  <w:tcW w:w="936" w:type="pct"/>
                  <w:vAlign w:val="center"/>
                </w:tcPr>
                <w:p>
                  <w:pPr>
                    <w:pStyle w:val="68"/>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950" w:type="pc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总计</w:t>
                  </w:r>
                </w:p>
              </w:tc>
              <w:tc>
                <w:tcPr>
                  <w:tcW w:w="1211" w:type="pct"/>
                  <w:vAlign w:val="center"/>
                </w:tcPr>
                <w:p>
                  <w:pPr>
                    <w:pStyle w:val="68"/>
                    <w:spacing w:line="240" w:lineRule="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w:t>
                  </w:r>
                </w:p>
              </w:tc>
              <w:tc>
                <w:tcPr>
                  <w:tcW w:w="778" w:type="pct"/>
                  <w:vAlign w:val="center"/>
                </w:tcPr>
                <w:p>
                  <w:pPr>
                    <w:pStyle w:val="68"/>
                    <w:spacing w:line="240" w:lineRule="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w:t>
                  </w:r>
                </w:p>
              </w:tc>
              <w:tc>
                <w:tcPr>
                  <w:tcW w:w="1124" w:type="pct"/>
                  <w:vAlign w:val="center"/>
                </w:tcPr>
                <w:p>
                  <w:pPr>
                    <w:pStyle w:val="68"/>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111</w:t>
                  </w:r>
                </w:p>
              </w:tc>
              <w:tc>
                <w:tcPr>
                  <w:tcW w:w="936" w:type="pct"/>
                  <w:vAlign w:val="center"/>
                </w:tcPr>
                <w:p>
                  <w:pPr>
                    <w:pStyle w:val="68"/>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40.52</w:t>
                  </w:r>
                </w:p>
              </w:tc>
            </w:tr>
          </w:tbl>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jc w:val="left"/>
              <w:textAlignment w:val="auto"/>
              <w:rPr>
                <w:color w:val="auto"/>
                <w:sz w:val="24"/>
                <w:szCs w:val="24"/>
              </w:rPr>
            </w:pPr>
            <w:r>
              <w:rPr>
                <w:color w:val="auto"/>
                <w:sz w:val="24"/>
                <w:szCs w:val="24"/>
              </w:rPr>
              <w:t>根据《医疗废物管理条例》第三条，医疗卫生机构收治的传染病病人或者疑似传染病病人产生的生活垃圾，按照医疗废物进行管理和处置</w:t>
            </w:r>
            <w:r>
              <w:rPr>
                <w:rFonts w:hint="eastAsia"/>
                <w:color w:val="auto"/>
                <w:sz w:val="24"/>
                <w:szCs w:val="24"/>
                <w:lang w:eastAsia="zh-CN"/>
              </w:rPr>
              <w:t>。</w:t>
            </w:r>
            <w:r>
              <w:rPr>
                <w:color w:val="auto"/>
                <w:sz w:val="24"/>
                <w:szCs w:val="24"/>
              </w:rPr>
              <w:t>本项目不设传染病科室</w:t>
            </w:r>
            <w:r>
              <w:rPr>
                <w:rFonts w:hint="eastAsia"/>
                <w:color w:val="auto"/>
                <w:sz w:val="24"/>
                <w:szCs w:val="24"/>
                <w:lang w:eastAsia="zh-CN"/>
              </w:rPr>
              <w:t>，</w:t>
            </w:r>
            <w:r>
              <w:rPr>
                <w:color w:val="auto"/>
                <w:sz w:val="24"/>
                <w:szCs w:val="24"/>
              </w:rPr>
              <w:t>因此本项目病房病人产生的生活垃圾与门诊生活垃圾、医护职员产生的生活垃圾集中存在放在垃圾</w:t>
            </w:r>
            <w:r>
              <w:rPr>
                <w:rFonts w:hint="eastAsia"/>
                <w:color w:val="auto"/>
                <w:sz w:val="24"/>
                <w:szCs w:val="24"/>
                <w:lang w:eastAsia="zh-CN"/>
              </w:rPr>
              <w:t>桶</w:t>
            </w:r>
            <w:r>
              <w:rPr>
                <w:color w:val="auto"/>
                <w:sz w:val="24"/>
                <w:szCs w:val="24"/>
              </w:rPr>
              <w:t>，并每日由环卫部门清理运走，对垃圾</w:t>
            </w:r>
            <w:r>
              <w:rPr>
                <w:rFonts w:hint="eastAsia"/>
                <w:color w:val="auto"/>
                <w:sz w:val="24"/>
                <w:szCs w:val="24"/>
                <w:lang w:eastAsia="zh-CN"/>
              </w:rPr>
              <w:t>桶</w:t>
            </w:r>
            <w:r>
              <w:rPr>
                <w:color w:val="auto"/>
                <w:sz w:val="24"/>
                <w:szCs w:val="24"/>
              </w:rPr>
              <w:t>进行定期的清洁消毒。</w:t>
            </w:r>
          </w:p>
          <w:p>
            <w:pPr>
              <w:pStyle w:val="24"/>
              <w:spacing w:after="0" w:line="360" w:lineRule="auto"/>
              <w:ind w:left="0" w:leftChars="0"/>
              <w:jc w:val="left"/>
              <w:rPr>
                <w:color w:val="auto"/>
                <w:sz w:val="24"/>
                <w:szCs w:val="24"/>
              </w:rPr>
            </w:pPr>
            <w:r>
              <w:rPr>
                <w:rFonts w:hint="eastAsia"/>
                <w:color w:val="auto"/>
                <w:sz w:val="24"/>
                <w:szCs w:val="24"/>
                <w:lang w:eastAsia="zh-CN"/>
              </w:rPr>
              <w:t>②</w:t>
            </w:r>
            <w:r>
              <w:rPr>
                <w:color w:val="auto"/>
                <w:sz w:val="24"/>
                <w:szCs w:val="24"/>
              </w:rPr>
              <w:t>医疗废物：医疗废物是指人们在医疗机构中进行疾病诊断、治疗、卫生保健、卫生防疫等过程中产生的医疗废物和从事医学研究过程中产生的对健康人群和环境具有潜在危害的废物，已被列入我国危险废物名录（编号HW01）。其成分复杂，包括金属、玻璃、塑料、纤维类、组织、纸类，往往还带有大量病毒、细菌，具有较高的感染性。根据《医疗废物分类目录》（2021年版），医疗废物可分为以下五类：感染性废物、病理性废物、损伤性废物、药物性废物、化学性废物。本项目具体废弃物产生情况如下：</w:t>
            </w:r>
          </w:p>
          <w:p>
            <w:pPr>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jc w:val="left"/>
              <w:textAlignment w:val="auto"/>
              <w:rPr>
                <w:color w:val="auto"/>
                <w:sz w:val="24"/>
                <w:szCs w:val="24"/>
              </w:rPr>
            </w:pPr>
            <w:r>
              <w:rPr>
                <w:color w:val="auto"/>
                <w:sz w:val="24"/>
                <w:szCs w:val="24"/>
              </w:rPr>
              <w:t>感染性废物：一次性医疗器械、棉球、棉签、纱布等；</w:t>
            </w:r>
          </w:p>
          <w:p>
            <w:pPr>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jc w:val="left"/>
              <w:textAlignment w:val="auto"/>
              <w:rPr>
                <w:color w:val="auto"/>
                <w:sz w:val="24"/>
                <w:szCs w:val="24"/>
              </w:rPr>
            </w:pPr>
            <w:r>
              <w:rPr>
                <w:color w:val="auto"/>
                <w:sz w:val="24"/>
                <w:szCs w:val="24"/>
              </w:rPr>
              <w:t>病理性废物：</w:t>
            </w:r>
            <w:r>
              <w:rPr>
                <w:rFonts w:hint="eastAsia"/>
                <w:color w:val="auto"/>
                <w:sz w:val="24"/>
                <w:szCs w:val="24"/>
              </w:rPr>
              <w:t>手术</w:t>
            </w:r>
            <w:r>
              <w:rPr>
                <w:color w:val="auto"/>
                <w:sz w:val="24"/>
                <w:szCs w:val="24"/>
              </w:rPr>
              <w:t>后废弃的</w:t>
            </w:r>
            <w:r>
              <w:rPr>
                <w:rFonts w:hint="eastAsia"/>
                <w:color w:val="auto"/>
                <w:sz w:val="24"/>
                <w:szCs w:val="24"/>
              </w:rPr>
              <w:t>眼部组织</w:t>
            </w:r>
            <w:r>
              <w:rPr>
                <w:color w:val="auto"/>
                <w:sz w:val="24"/>
                <w:szCs w:val="24"/>
              </w:rPr>
              <w:t>等；</w:t>
            </w:r>
          </w:p>
          <w:p>
            <w:pPr>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jc w:val="left"/>
              <w:textAlignment w:val="auto"/>
              <w:rPr>
                <w:color w:val="auto"/>
                <w:sz w:val="24"/>
                <w:szCs w:val="24"/>
              </w:rPr>
            </w:pPr>
            <w:r>
              <w:rPr>
                <w:color w:val="auto"/>
                <w:sz w:val="24"/>
                <w:szCs w:val="24"/>
              </w:rPr>
              <w:t>损伤性废物：针头、针筒、刀具、玻璃器具等；</w:t>
            </w:r>
          </w:p>
          <w:p>
            <w:pPr>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jc w:val="left"/>
              <w:textAlignment w:val="auto"/>
              <w:rPr>
                <w:color w:val="auto"/>
                <w:sz w:val="24"/>
                <w:szCs w:val="24"/>
              </w:rPr>
            </w:pPr>
            <w:r>
              <w:rPr>
                <w:color w:val="auto"/>
                <w:sz w:val="24"/>
                <w:szCs w:val="24"/>
              </w:rPr>
              <w:t>药物性废物：过期、淘汰、变质或被污染的废弃的药品等；</w:t>
            </w:r>
          </w:p>
          <w:p>
            <w:pPr>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jc w:val="left"/>
              <w:textAlignment w:val="auto"/>
              <w:rPr>
                <w:color w:val="auto"/>
                <w:sz w:val="24"/>
                <w:szCs w:val="24"/>
              </w:rPr>
            </w:pPr>
            <w:r>
              <w:rPr>
                <w:color w:val="auto"/>
                <w:sz w:val="24"/>
                <w:szCs w:val="24"/>
              </w:rPr>
              <w:t>化学性废物：</w:t>
            </w:r>
            <w:r>
              <w:rPr>
                <w:rFonts w:hint="eastAsia"/>
                <w:color w:val="auto"/>
                <w:sz w:val="24"/>
                <w:szCs w:val="24"/>
              </w:rPr>
              <w:t>废弃的化学试剂、化学试剂使用过程产生的包装物、药品使用过程产生的包装物等。</w:t>
            </w:r>
          </w:p>
          <w:p>
            <w:pPr>
              <w:snapToGrid w:val="0"/>
              <w:spacing w:line="360" w:lineRule="auto"/>
              <w:ind w:firstLine="480" w:firstLineChars="200"/>
              <w:jc w:val="left"/>
              <w:rPr>
                <w:color w:val="auto"/>
                <w:sz w:val="24"/>
                <w:szCs w:val="24"/>
              </w:rPr>
            </w:pPr>
            <w:r>
              <w:rPr>
                <w:color w:val="auto"/>
                <w:sz w:val="24"/>
                <w:szCs w:val="24"/>
              </w:rPr>
              <w:t>医疗废物产生量参考《第一次全国污染源普查城镇生活源产排污系数手册-第四分册：医院污染物产生、排放系数》：病房医疗废物按0.42kg/床·d计，门诊医疗废物产生量按0.08kg/人次·d计。本项目病房床位</w:t>
            </w:r>
            <w:r>
              <w:rPr>
                <w:rFonts w:hint="eastAsia"/>
                <w:color w:val="auto"/>
                <w:sz w:val="24"/>
                <w:szCs w:val="24"/>
                <w:lang w:val="en-US" w:eastAsia="zh-CN"/>
              </w:rPr>
              <w:t>60</w:t>
            </w:r>
            <w:r>
              <w:rPr>
                <w:color w:val="auto"/>
                <w:sz w:val="24"/>
                <w:szCs w:val="24"/>
              </w:rPr>
              <w:t>张，门诊人数1</w:t>
            </w:r>
            <w:r>
              <w:rPr>
                <w:rFonts w:hint="eastAsia"/>
                <w:color w:val="auto"/>
                <w:sz w:val="24"/>
                <w:szCs w:val="24"/>
                <w:lang w:val="en-US" w:eastAsia="zh-CN"/>
              </w:rPr>
              <w:t>6</w:t>
            </w:r>
            <w:r>
              <w:rPr>
                <w:color w:val="auto"/>
                <w:sz w:val="24"/>
                <w:szCs w:val="24"/>
              </w:rPr>
              <w:t>0人次/d，年工作365天，则医疗废物的产生量约</w:t>
            </w:r>
            <w:r>
              <w:rPr>
                <w:rFonts w:hint="eastAsia"/>
                <w:color w:val="auto"/>
                <w:sz w:val="24"/>
                <w:szCs w:val="24"/>
                <w:lang w:val="en-US" w:eastAsia="zh-CN"/>
              </w:rPr>
              <w:t>13.87</w:t>
            </w:r>
            <w:r>
              <w:rPr>
                <w:color w:val="auto"/>
                <w:sz w:val="24"/>
                <w:szCs w:val="24"/>
              </w:rPr>
              <w:t>t/a。</w:t>
            </w:r>
          </w:p>
          <w:p>
            <w:pPr>
              <w:snapToGrid w:val="0"/>
              <w:spacing w:line="360" w:lineRule="auto"/>
              <w:ind w:firstLine="470" w:firstLineChars="196"/>
              <w:jc w:val="left"/>
              <w:rPr>
                <w:color w:val="auto"/>
                <w:sz w:val="24"/>
                <w:szCs w:val="24"/>
              </w:rPr>
            </w:pPr>
            <w:r>
              <w:rPr>
                <w:rFonts w:hint="eastAsia"/>
                <w:color w:val="auto"/>
                <w:sz w:val="24"/>
                <w:szCs w:val="24"/>
                <w:lang w:eastAsia="zh-CN"/>
              </w:rPr>
              <w:t>③</w:t>
            </w:r>
            <w:r>
              <w:rPr>
                <w:color w:val="auto"/>
                <w:sz w:val="24"/>
                <w:szCs w:val="24"/>
              </w:rPr>
              <w:t>污水处理站污泥：在医院污水处理过程中，大量悬浮在水中的有机、无机污染物和致病菌、病毒、寄生虫卵等沉淀分离出来形成污泥，任意排放或弃置，同样会污染环境，造成疾病传播和流行。本项目污水处理站为物化工艺，根据前文计算，污水处理站对悬浮物的削减量为</w:t>
            </w:r>
            <w:r>
              <w:rPr>
                <w:rFonts w:hint="eastAsia"/>
                <w:color w:val="auto"/>
                <w:sz w:val="24"/>
                <w:szCs w:val="24"/>
                <w:lang w:val="en-US" w:eastAsia="zh-CN"/>
              </w:rPr>
              <w:t>0.484</w:t>
            </w:r>
            <w:r>
              <w:rPr>
                <w:color w:val="auto"/>
                <w:sz w:val="24"/>
                <w:szCs w:val="24"/>
              </w:rPr>
              <w:t>t/a，污泥含水量按80%计，则本项目产生污泥约</w:t>
            </w:r>
            <w:r>
              <w:rPr>
                <w:rFonts w:hint="eastAsia"/>
                <w:color w:val="auto"/>
                <w:sz w:val="24"/>
                <w:szCs w:val="24"/>
                <w:lang w:val="en-US" w:eastAsia="zh-CN"/>
              </w:rPr>
              <w:t>2.42</w:t>
            </w:r>
            <w:r>
              <w:rPr>
                <w:color w:val="auto"/>
                <w:sz w:val="24"/>
                <w:szCs w:val="24"/>
              </w:rPr>
              <w:t>t/a，定期清掏，属于危险废物，危废类别HW01。污泥清掏前应进行监测，满足《医疗机构水污染物排放标准》（GB18466-2005）中</w:t>
            </w:r>
            <w:r>
              <w:rPr>
                <w:rFonts w:hint="eastAsia"/>
                <w:color w:val="auto"/>
                <w:sz w:val="24"/>
                <w:szCs w:val="24"/>
                <w:lang w:eastAsia="zh-CN"/>
              </w:rPr>
              <w:t>“</w:t>
            </w:r>
            <w:r>
              <w:rPr>
                <w:color w:val="auto"/>
                <w:sz w:val="24"/>
                <w:szCs w:val="24"/>
              </w:rPr>
              <w:t>4.3污泥控制与处置</w:t>
            </w:r>
            <w:r>
              <w:rPr>
                <w:rFonts w:hint="eastAsia"/>
                <w:color w:val="auto"/>
                <w:sz w:val="24"/>
                <w:szCs w:val="24"/>
                <w:lang w:eastAsia="zh-CN"/>
              </w:rPr>
              <w:t>”</w:t>
            </w:r>
            <w:r>
              <w:rPr>
                <w:color w:val="auto"/>
                <w:sz w:val="24"/>
                <w:szCs w:val="24"/>
              </w:rPr>
              <w:t>要求，</w:t>
            </w:r>
            <w:r>
              <w:rPr>
                <w:rFonts w:hint="eastAsia"/>
                <w:color w:val="auto"/>
                <w:sz w:val="24"/>
                <w:szCs w:val="24"/>
                <w:lang w:eastAsia="zh-CN"/>
              </w:rPr>
              <w:t>污水处理站在运行过程中已经进行消毒，污泥在清掏后进行脱水，</w:t>
            </w:r>
            <w:r>
              <w:rPr>
                <w:color w:val="auto"/>
                <w:sz w:val="24"/>
                <w:szCs w:val="24"/>
              </w:rPr>
              <w:t>污泥具有恶臭气味，采取密封包装，即产即清，不在</w:t>
            </w:r>
            <w:r>
              <w:rPr>
                <w:rFonts w:hint="eastAsia"/>
                <w:color w:val="auto"/>
                <w:sz w:val="24"/>
                <w:szCs w:val="24"/>
                <w:lang w:eastAsia="zh-CN"/>
              </w:rPr>
              <w:t>危废间</w:t>
            </w:r>
            <w:r>
              <w:rPr>
                <w:color w:val="auto"/>
                <w:sz w:val="24"/>
                <w:szCs w:val="24"/>
              </w:rPr>
              <w:t>长时间存放，防止气味扩散。</w:t>
            </w:r>
          </w:p>
          <w:p>
            <w:pPr>
              <w:tabs>
                <w:tab w:val="left" w:pos="3781"/>
              </w:tabs>
              <w:adjustRightInd w:val="0"/>
              <w:snapToGrid w:val="0"/>
              <w:spacing w:line="360" w:lineRule="auto"/>
              <w:ind w:firstLine="480" w:firstLineChars="200"/>
              <w:jc w:val="left"/>
              <w:rPr>
                <w:bCs/>
                <w:color w:val="auto"/>
                <w:kern w:val="0"/>
                <w:sz w:val="24"/>
                <w:szCs w:val="24"/>
              </w:rPr>
            </w:pPr>
            <w:r>
              <w:rPr>
                <w:bCs/>
                <w:color w:val="auto"/>
                <w:kern w:val="0"/>
                <w:sz w:val="24"/>
                <w:szCs w:val="24"/>
              </w:rPr>
              <w:t>（2）固体废物处置利用情况</w:t>
            </w:r>
          </w:p>
          <w:p>
            <w:pPr>
              <w:adjustRightInd w:val="0"/>
              <w:snapToGrid w:val="0"/>
              <w:spacing w:line="360" w:lineRule="auto"/>
              <w:ind w:firstLine="480" w:firstLineChars="200"/>
              <w:jc w:val="left"/>
              <w:rPr>
                <w:snapToGrid w:val="0"/>
                <w:color w:val="auto"/>
                <w:kern w:val="0"/>
                <w:sz w:val="24"/>
                <w:szCs w:val="24"/>
              </w:rPr>
            </w:pPr>
            <w:r>
              <w:rPr>
                <w:snapToGrid w:val="0"/>
                <w:color w:val="auto"/>
                <w:kern w:val="0"/>
                <w:sz w:val="24"/>
                <w:szCs w:val="24"/>
              </w:rPr>
              <w:t>本项目固体废物利用处置方式见表4</w:t>
            </w:r>
            <w:r>
              <w:rPr>
                <w:rFonts w:hint="eastAsia"/>
                <w:snapToGrid w:val="0"/>
                <w:color w:val="auto"/>
                <w:kern w:val="0"/>
                <w:sz w:val="24"/>
                <w:szCs w:val="24"/>
                <w:lang w:val="en-US" w:eastAsia="zh-CN"/>
              </w:rPr>
              <w:t>-19</w:t>
            </w:r>
            <w:r>
              <w:rPr>
                <w:snapToGrid w:val="0"/>
                <w:color w:val="auto"/>
                <w:kern w:val="0"/>
                <w:sz w:val="24"/>
                <w:szCs w:val="24"/>
              </w:rPr>
              <w:t>。</w:t>
            </w:r>
          </w:p>
          <w:p>
            <w:pPr>
              <w:adjustRightInd w:val="0"/>
              <w:snapToGrid w:val="0"/>
              <w:jc w:val="center"/>
              <w:rPr>
                <w:b/>
                <w:snapToGrid w:val="0"/>
                <w:color w:val="auto"/>
                <w:kern w:val="0"/>
                <w:sz w:val="21"/>
                <w:szCs w:val="21"/>
              </w:rPr>
            </w:pPr>
            <w:r>
              <w:rPr>
                <w:b/>
                <w:snapToGrid w:val="0"/>
                <w:color w:val="auto"/>
                <w:kern w:val="0"/>
                <w:sz w:val="21"/>
                <w:szCs w:val="21"/>
              </w:rPr>
              <w:t>表4-</w:t>
            </w:r>
            <w:r>
              <w:rPr>
                <w:rFonts w:hint="eastAsia"/>
                <w:b/>
                <w:snapToGrid w:val="0"/>
                <w:color w:val="auto"/>
                <w:kern w:val="0"/>
                <w:sz w:val="21"/>
                <w:szCs w:val="21"/>
                <w:lang w:val="en-US" w:eastAsia="zh-CN"/>
              </w:rPr>
              <w:t>19</w:t>
            </w:r>
            <w:r>
              <w:rPr>
                <w:b/>
                <w:snapToGrid w:val="0"/>
                <w:color w:val="auto"/>
                <w:kern w:val="0"/>
                <w:sz w:val="21"/>
                <w:szCs w:val="21"/>
              </w:rPr>
              <w:t xml:space="preserve">  本项目固体废物利用处置方式一览表</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83"/>
              <w:gridCol w:w="1662"/>
              <w:gridCol w:w="957"/>
              <w:gridCol w:w="1426"/>
              <w:gridCol w:w="485"/>
              <w:gridCol w:w="957"/>
              <w:gridCol w:w="1112"/>
              <w:gridCol w:w="1044"/>
              <w:gridCol w:w="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66" w:type="pct"/>
                  <w:vAlign w:val="center"/>
                </w:tcPr>
                <w:p>
                  <w:pPr>
                    <w:pStyle w:val="68"/>
                    <w:spacing w:line="240" w:lineRule="auto"/>
                    <w:rPr>
                      <w:rFonts w:ascii="Times New Roman" w:hAnsi="Times New Roman" w:eastAsia="宋体" w:cs="Times New Roman"/>
                      <w:b/>
                      <w:bCs w:val="0"/>
                      <w:color w:val="auto"/>
                      <w:sz w:val="21"/>
                      <w:szCs w:val="21"/>
                    </w:rPr>
                  </w:pPr>
                  <w:r>
                    <w:rPr>
                      <w:rFonts w:ascii="Times New Roman" w:hAnsi="Times New Roman" w:eastAsia="宋体" w:cs="Times New Roman"/>
                      <w:b/>
                      <w:bCs w:val="0"/>
                      <w:color w:val="auto"/>
                      <w:sz w:val="21"/>
                      <w:szCs w:val="21"/>
                    </w:rPr>
                    <w:t>序号</w:t>
                  </w:r>
                </w:p>
              </w:tc>
              <w:tc>
                <w:tcPr>
                  <w:tcW w:w="915" w:type="pct"/>
                  <w:vAlign w:val="center"/>
                </w:tcPr>
                <w:p>
                  <w:pPr>
                    <w:pStyle w:val="68"/>
                    <w:spacing w:line="240" w:lineRule="auto"/>
                    <w:rPr>
                      <w:rFonts w:ascii="Times New Roman" w:hAnsi="Times New Roman" w:eastAsia="宋体" w:cs="Times New Roman"/>
                      <w:b/>
                      <w:bCs w:val="0"/>
                      <w:color w:val="auto"/>
                      <w:sz w:val="21"/>
                      <w:szCs w:val="21"/>
                    </w:rPr>
                  </w:pPr>
                  <w:r>
                    <w:rPr>
                      <w:rFonts w:ascii="Times New Roman" w:hAnsi="Times New Roman" w:eastAsia="宋体" w:cs="Times New Roman"/>
                      <w:b/>
                      <w:bCs w:val="0"/>
                      <w:color w:val="auto"/>
                      <w:sz w:val="21"/>
                      <w:szCs w:val="21"/>
                    </w:rPr>
                    <w:t>固废名称</w:t>
                  </w:r>
                </w:p>
              </w:tc>
              <w:tc>
                <w:tcPr>
                  <w:tcW w:w="527" w:type="pct"/>
                  <w:vAlign w:val="center"/>
                </w:tcPr>
                <w:p>
                  <w:pPr>
                    <w:pStyle w:val="68"/>
                    <w:spacing w:line="240" w:lineRule="auto"/>
                    <w:rPr>
                      <w:rFonts w:ascii="Times New Roman" w:hAnsi="Times New Roman" w:eastAsia="宋体" w:cs="Times New Roman"/>
                      <w:b/>
                      <w:bCs w:val="0"/>
                      <w:color w:val="auto"/>
                      <w:sz w:val="21"/>
                      <w:szCs w:val="21"/>
                    </w:rPr>
                  </w:pPr>
                  <w:r>
                    <w:rPr>
                      <w:rFonts w:ascii="Times New Roman" w:hAnsi="Times New Roman" w:eastAsia="宋体" w:cs="Times New Roman"/>
                      <w:b/>
                      <w:bCs w:val="0"/>
                      <w:color w:val="auto"/>
                      <w:sz w:val="21"/>
                      <w:szCs w:val="21"/>
                    </w:rPr>
                    <w:t>产生工序</w:t>
                  </w:r>
                </w:p>
              </w:tc>
              <w:tc>
                <w:tcPr>
                  <w:tcW w:w="785" w:type="pct"/>
                  <w:vAlign w:val="center"/>
                </w:tcPr>
                <w:p>
                  <w:pPr>
                    <w:pStyle w:val="68"/>
                    <w:spacing w:line="240" w:lineRule="auto"/>
                    <w:rPr>
                      <w:rFonts w:ascii="Times New Roman" w:hAnsi="Times New Roman" w:eastAsia="宋体" w:cs="Times New Roman"/>
                      <w:b/>
                      <w:bCs w:val="0"/>
                      <w:color w:val="auto"/>
                      <w:sz w:val="21"/>
                      <w:szCs w:val="21"/>
                    </w:rPr>
                  </w:pPr>
                  <w:r>
                    <w:rPr>
                      <w:rFonts w:ascii="Times New Roman" w:hAnsi="Times New Roman" w:eastAsia="宋体" w:cs="Times New Roman"/>
                      <w:b/>
                      <w:bCs w:val="0"/>
                      <w:color w:val="auto"/>
                      <w:sz w:val="21"/>
                      <w:szCs w:val="21"/>
                    </w:rPr>
                    <w:t>属性</w:t>
                  </w:r>
                </w:p>
              </w:tc>
              <w:tc>
                <w:tcPr>
                  <w:tcW w:w="267" w:type="pct"/>
                  <w:vAlign w:val="center"/>
                </w:tcPr>
                <w:p>
                  <w:pPr>
                    <w:pStyle w:val="68"/>
                    <w:spacing w:line="240" w:lineRule="auto"/>
                    <w:rPr>
                      <w:rFonts w:ascii="Times New Roman" w:hAnsi="Times New Roman" w:eastAsia="宋体" w:cs="Times New Roman"/>
                      <w:b/>
                      <w:bCs w:val="0"/>
                      <w:color w:val="auto"/>
                      <w:sz w:val="21"/>
                      <w:szCs w:val="21"/>
                    </w:rPr>
                  </w:pPr>
                  <w:r>
                    <w:rPr>
                      <w:rFonts w:ascii="Times New Roman" w:hAnsi="Times New Roman" w:eastAsia="宋体" w:cs="Times New Roman"/>
                      <w:b/>
                      <w:bCs w:val="0"/>
                      <w:color w:val="auto"/>
                      <w:sz w:val="21"/>
                      <w:szCs w:val="21"/>
                    </w:rPr>
                    <w:t>形态</w:t>
                  </w:r>
                </w:p>
              </w:tc>
              <w:tc>
                <w:tcPr>
                  <w:tcW w:w="527" w:type="pct"/>
                  <w:vAlign w:val="center"/>
                </w:tcPr>
                <w:p>
                  <w:pPr>
                    <w:pStyle w:val="68"/>
                    <w:spacing w:line="240" w:lineRule="auto"/>
                    <w:rPr>
                      <w:rFonts w:ascii="Times New Roman" w:hAnsi="Times New Roman" w:eastAsia="宋体" w:cs="Times New Roman"/>
                      <w:b/>
                      <w:bCs w:val="0"/>
                      <w:color w:val="auto"/>
                      <w:sz w:val="21"/>
                      <w:szCs w:val="21"/>
                    </w:rPr>
                  </w:pPr>
                  <w:r>
                    <w:rPr>
                      <w:rFonts w:ascii="Times New Roman" w:hAnsi="Times New Roman" w:eastAsia="宋体" w:cs="Times New Roman"/>
                      <w:b/>
                      <w:bCs w:val="0"/>
                      <w:color w:val="auto"/>
                      <w:sz w:val="21"/>
                      <w:szCs w:val="21"/>
                    </w:rPr>
                    <w:t>废物类别</w:t>
                  </w:r>
                </w:p>
              </w:tc>
              <w:tc>
                <w:tcPr>
                  <w:tcW w:w="612" w:type="pct"/>
                  <w:vAlign w:val="center"/>
                </w:tcPr>
                <w:p>
                  <w:pPr>
                    <w:pStyle w:val="68"/>
                    <w:spacing w:line="240" w:lineRule="auto"/>
                    <w:rPr>
                      <w:rFonts w:ascii="Times New Roman" w:hAnsi="Times New Roman" w:eastAsia="宋体" w:cs="Times New Roman"/>
                      <w:b/>
                      <w:bCs w:val="0"/>
                      <w:color w:val="auto"/>
                      <w:sz w:val="21"/>
                      <w:szCs w:val="21"/>
                    </w:rPr>
                  </w:pPr>
                  <w:r>
                    <w:rPr>
                      <w:rFonts w:ascii="Times New Roman" w:hAnsi="Times New Roman" w:eastAsia="宋体" w:cs="Times New Roman"/>
                      <w:b/>
                      <w:bCs w:val="0"/>
                      <w:color w:val="auto"/>
                      <w:sz w:val="21"/>
                      <w:szCs w:val="21"/>
                    </w:rPr>
                    <w:t>废物代码</w:t>
                  </w:r>
                </w:p>
              </w:tc>
              <w:tc>
                <w:tcPr>
                  <w:tcW w:w="575" w:type="pct"/>
                  <w:vAlign w:val="center"/>
                </w:tcPr>
                <w:p>
                  <w:pPr>
                    <w:pStyle w:val="68"/>
                    <w:spacing w:line="240" w:lineRule="auto"/>
                    <w:rPr>
                      <w:rFonts w:ascii="Times New Roman" w:hAnsi="Times New Roman" w:eastAsia="宋体" w:cs="Times New Roman"/>
                      <w:b/>
                      <w:bCs w:val="0"/>
                      <w:color w:val="auto"/>
                      <w:sz w:val="21"/>
                      <w:szCs w:val="21"/>
                    </w:rPr>
                  </w:pPr>
                  <w:r>
                    <w:rPr>
                      <w:rFonts w:ascii="Times New Roman" w:hAnsi="Times New Roman" w:eastAsia="宋体" w:cs="Times New Roman"/>
                      <w:b/>
                      <w:bCs w:val="0"/>
                      <w:color w:val="auto"/>
                      <w:sz w:val="21"/>
                      <w:szCs w:val="21"/>
                    </w:rPr>
                    <w:t>产生量t/a</w:t>
                  </w:r>
                </w:p>
              </w:tc>
              <w:tc>
                <w:tcPr>
                  <w:tcW w:w="522" w:type="pct"/>
                  <w:vAlign w:val="center"/>
                </w:tcPr>
                <w:p>
                  <w:pPr>
                    <w:pStyle w:val="68"/>
                    <w:spacing w:line="240" w:lineRule="auto"/>
                    <w:rPr>
                      <w:rFonts w:ascii="Times New Roman" w:hAnsi="Times New Roman" w:eastAsia="宋体" w:cs="Times New Roman"/>
                      <w:b/>
                      <w:bCs w:val="0"/>
                      <w:color w:val="auto"/>
                      <w:sz w:val="21"/>
                      <w:szCs w:val="21"/>
                    </w:rPr>
                  </w:pPr>
                  <w:r>
                    <w:rPr>
                      <w:rFonts w:ascii="Times New Roman" w:hAnsi="Times New Roman" w:eastAsia="宋体" w:cs="Times New Roman"/>
                      <w:b/>
                      <w:bCs w:val="0"/>
                      <w:color w:val="auto"/>
                      <w:sz w:val="21"/>
                      <w:szCs w:val="21"/>
                    </w:rPr>
                    <w:t>处置方式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66" w:type="pc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1</w:t>
                  </w:r>
                </w:p>
              </w:tc>
              <w:tc>
                <w:tcPr>
                  <w:tcW w:w="915" w:type="pc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生活垃圾</w:t>
                  </w:r>
                </w:p>
              </w:tc>
              <w:tc>
                <w:tcPr>
                  <w:tcW w:w="527" w:type="pc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生活办公</w:t>
                  </w:r>
                </w:p>
              </w:tc>
              <w:tc>
                <w:tcPr>
                  <w:tcW w:w="785" w:type="pc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一般固废</w:t>
                  </w:r>
                </w:p>
              </w:tc>
              <w:tc>
                <w:tcPr>
                  <w:tcW w:w="267" w:type="pc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固</w:t>
                  </w:r>
                </w:p>
              </w:tc>
              <w:tc>
                <w:tcPr>
                  <w:tcW w:w="527" w:type="pc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99</w:t>
                  </w:r>
                </w:p>
              </w:tc>
              <w:tc>
                <w:tcPr>
                  <w:tcW w:w="612" w:type="pc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900-999-99</w:t>
                  </w:r>
                </w:p>
              </w:tc>
              <w:tc>
                <w:tcPr>
                  <w:tcW w:w="575" w:type="pct"/>
                  <w:vAlign w:val="center"/>
                </w:tcPr>
                <w:p>
                  <w:pPr>
                    <w:pStyle w:val="68"/>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40.52</w:t>
                  </w:r>
                </w:p>
              </w:tc>
              <w:tc>
                <w:tcPr>
                  <w:tcW w:w="522" w:type="pc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环卫清运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66" w:type="pct"/>
                  <w:vAlign w:val="center"/>
                </w:tcPr>
                <w:p>
                  <w:pPr>
                    <w:pStyle w:val="68"/>
                    <w:spacing w:line="240" w:lineRule="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915" w:type="pc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医疗废物</w:t>
                  </w:r>
                </w:p>
              </w:tc>
              <w:tc>
                <w:tcPr>
                  <w:tcW w:w="527" w:type="pc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医疗</w:t>
                  </w:r>
                </w:p>
              </w:tc>
              <w:tc>
                <w:tcPr>
                  <w:tcW w:w="785" w:type="pct"/>
                  <w:vMerge w:val="restart"/>
                  <w:vAlign w:val="center"/>
                </w:tcPr>
                <w:p>
                  <w:pPr>
                    <w:pStyle w:val="68"/>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危险废物</w:t>
                  </w:r>
                </w:p>
              </w:tc>
              <w:tc>
                <w:tcPr>
                  <w:tcW w:w="267" w:type="pc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固</w:t>
                  </w:r>
                </w:p>
              </w:tc>
              <w:tc>
                <w:tcPr>
                  <w:tcW w:w="527" w:type="pc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HW01</w:t>
                  </w:r>
                </w:p>
              </w:tc>
              <w:tc>
                <w:tcPr>
                  <w:tcW w:w="612" w:type="pct"/>
                  <w:vAlign w:val="center"/>
                </w:tcPr>
                <w:p>
                  <w:pPr>
                    <w:adjustRightInd w:val="0"/>
                    <w:snapToGrid w:val="0"/>
                    <w:jc w:val="center"/>
                    <w:rPr>
                      <w:color w:val="auto"/>
                      <w:sz w:val="21"/>
                      <w:szCs w:val="21"/>
                    </w:rPr>
                  </w:pPr>
                  <w:r>
                    <w:rPr>
                      <w:color w:val="auto"/>
                      <w:sz w:val="21"/>
                      <w:szCs w:val="21"/>
                    </w:rPr>
                    <w:t>841-001-01</w:t>
                  </w:r>
                </w:p>
                <w:p>
                  <w:pPr>
                    <w:adjustRightInd w:val="0"/>
                    <w:snapToGrid w:val="0"/>
                    <w:jc w:val="center"/>
                    <w:rPr>
                      <w:color w:val="auto"/>
                      <w:sz w:val="21"/>
                      <w:szCs w:val="21"/>
                    </w:rPr>
                  </w:pPr>
                  <w:r>
                    <w:rPr>
                      <w:color w:val="auto"/>
                      <w:sz w:val="21"/>
                      <w:szCs w:val="21"/>
                    </w:rPr>
                    <w:t>841-002-01</w:t>
                  </w:r>
                </w:p>
                <w:p>
                  <w:pPr>
                    <w:adjustRightInd w:val="0"/>
                    <w:snapToGrid w:val="0"/>
                    <w:jc w:val="center"/>
                    <w:rPr>
                      <w:color w:val="auto"/>
                      <w:sz w:val="21"/>
                      <w:szCs w:val="21"/>
                    </w:rPr>
                  </w:pPr>
                  <w:r>
                    <w:rPr>
                      <w:color w:val="auto"/>
                      <w:sz w:val="21"/>
                      <w:szCs w:val="21"/>
                    </w:rPr>
                    <w:t>841-003-01</w:t>
                  </w:r>
                </w:p>
                <w:p>
                  <w:pPr>
                    <w:adjustRightInd w:val="0"/>
                    <w:snapToGrid w:val="0"/>
                    <w:jc w:val="center"/>
                    <w:rPr>
                      <w:color w:val="auto"/>
                      <w:sz w:val="21"/>
                      <w:szCs w:val="21"/>
                    </w:rPr>
                  </w:pPr>
                  <w:r>
                    <w:rPr>
                      <w:color w:val="auto"/>
                      <w:sz w:val="21"/>
                      <w:szCs w:val="21"/>
                    </w:rPr>
                    <w:t>841-004-01</w:t>
                  </w:r>
                </w:p>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841-005-01</w:t>
                  </w:r>
                </w:p>
              </w:tc>
              <w:tc>
                <w:tcPr>
                  <w:tcW w:w="575" w:type="pct"/>
                  <w:vAlign w:val="center"/>
                </w:tcPr>
                <w:p>
                  <w:pPr>
                    <w:pStyle w:val="68"/>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13.87</w:t>
                  </w:r>
                </w:p>
              </w:tc>
              <w:tc>
                <w:tcPr>
                  <w:tcW w:w="522" w:type="pct"/>
                  <w:vMerge w:val="restart"/>
                  <w:vAlign w:val="center"/>
                </w:tcPr>
                <w:p>
                  <w:pPr>
                    <w:pStyle w:val="68"/>
                    <w:spacing w:line="240" w:lineRule="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委托有资质单位处置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66" w:type="pct"/>
                  <w:vAlign w:val="center"/>
                </w:tcPr>
                <w:p>
                  <w:pPr>
                    <w:pStyle w:val="68"/>
                    <w:spacing w:line="240" w:lineRule="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w:t>
                  </w:r>
                </w:p>
              </w:tc>
              <w:tc>
                <w:tcPr>
                  <w:tcW w:w="915" w:type="pc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污水处理站污泥</w:t>
                  </w:r>
                </w:p>
              </w:tc>
              <w:tc>
                <w:tcPr>
                  <w:tcW w:w="527" w:type="pc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废水处理</w:t>
                  </w:r>
                </w:p>
              </w:tc>
              <w:tc>
                <w:tcPr>
                  <w:tcW w:w="785" w:type="pct"/>
                  <w:vMerge w:val="continue"/>
                  <w:vAlign w:val="center"/>
                </w:tcPr>
                <w:p>
                  <w:pPr>
                    <w:pStyle w:val="68"/>
                    <w:spacing w:line="240" w:lineRule="auto"/>
                    <w:rPr>
                      <w:rFonts w:ascii="Times New Roman" w:hAnsi="Times New Roman" w:eastAsia="宋体" w:cs="Times New Roman"/>
                      <w:color w:val="auto"/>
                      <w:sz w:val="21"/>
                      <w:szCs w:val="21"/>
                    </w:rPr>
                  </w:pPr>
                </w:p>
              </w:tc>
              <w:tc>
                <w:tcPr>
                  <w:tcW w:w="267" w:type="pc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固</w:t>
                  </w:r>
                </w:p>
              </w:tc>
              <w:tc>
                <w:tcPr>
                  <w:tcW w:w="527" w:type="pc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HW01</w:t>
                  </w:r>
                </w:p>
              </w:tc>
              <w:tc>
                <w:tcPr>
                  <w:tcW w:w="612" w:type="pc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841-001-01</w:t>
                  </w:r>
                </w:p>
              </w:tc>
              <w:tc>
                <w:tcPr>
                  <w:tcW w:w="575" w:type="pct"/>
                  <w:vAlign w:val="center"/>
                </w:tcPr>
                <w:p>
                  <w:pPr>
                    <w:pStyle w:val="68"/>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2.42</w:t>
                  </w:r>
                </w:p>
              </w:tc>
              <w:tc>
                <w:tcPr>
                  <w:tcW w:w="522" w:type="pct"/>
                  <w:vMerge w:val="continue"/>
                  <w:vAlign w:val="center"/>
                </w:tcPr>
                <w:p>
                  <w:pPr>
                    <w:pStyle w:val="68"/>
                    <w:spacing w:line="240" w:lineRule="auto"/>
                    <w:rPr>
                      <w:rFonts w:ascii="Times New Roman" w:hAnsi="Times New Roman" w:eastAsia="宋体" w:cs="Times New Roman"/>
                      <w:color w:val="auto"/>
                      <w:sz w:val="21"/>
                      <w:szCs w:val="21"/>
                    </w:rPr>
                  </w:pPr>
                </w:p>
              </w:tc>
            </w:tr>
          </w:tbl>
          <w:p>
            <w:pPr>
              <w:pStyle w:val="23"/>
              <w:keepNext w:val="0"/>
              <w:keepLines w:val="0"/>
              <w:pageBreakBefore w:val="0"/>
              <w:widowControl/>
              <w:kinsoku/>
              <w:wordWrap/>
              <w:overflowPunct/>
              <w:topLinePunct w:val="0"/>
              <w:autoSpaceDE/>
              <w:autoSpaceDN/>
              <w:bidi w:val="0"/>
              <w:adjustRightInd/>
              <w:snapToGrid/>
              <w:spacing w:before="157" w:beforeLines="50" w:beforeAutospacing="0" w:after="0" w:afterAutospacing="0" w:line="360" w:lineRule="auto"/>
              <w:ind w:firstLine="480" w:firstLineChars="200"/>
              <w:textAlignment w:val="auto"/>
              <w:rPr>
                <w:rFonts w:ascii="Times New Roman" w:hAnsi="Times New Roman" w:cs="Times New Roman"/>
                <w:snapToGrid w:val="0"/>
                <w:color w:val="auto"/>
                <w:sz w:val="24"/>
                <w:szCs w:val="24"/>
              </w:rPr>
            </w:pPr>
            <w:r>
              <w:rPr>
                <w:rFonts w:ascii="Times New Roman" w:hAnsi="Times New Roman" w:cs="Times New Roman"/>
                <w:snapToGrid w:val="0"/>
                <w:color w:val="auto"/>
                <w:sz w:val="24"/>
                <w:szCs w:val="24"/>
              </w:rPr>
              <w:t>从项目采用的固废利用及处置方式来分析，对产生的各类固废按其性质分类分区收集和暂存，并均能得到有效利用或妥善处置。在严格管理下，本项目的固体废物对周围环境不会产生二次污染。</w:t>
            </w:r>
          </w:p>
          <w:p>
            <w:pPr>
              <w:topLinePunct/>
              <w:spacing w:line="360" w:lineRule="auto"/>
              <w:ind w:firstLine="480" w:firstLineChars="200"/>
              <w:jc w:val="left"/>
              <w:outlineLvl w:val="2"/>
              <w:rPr>
                <w:snapToGrid w:val="0"/>
                <w:color w:val="auto"/>
                <w:kern w:val="0"/>
                <w:sz w:val="24"/>
                <w:szCs w:val="24"/>
              </w:rPr>
            </w:pPr>
            <w:r>
              <w:rPr>
                <w:bCs/>
                <w:color w:val="auto"/>
                <w:kern w:val="0"/>
                <w:sz w:val="24"/>
                <w:szCs w:val="24"/>
              </w:rPr>
              <w:t>（3）</w:t>
            </w:r>
            <w:r>
              <w:rPr>
                <w:snapToGrid w:val="0"/>
                <w:color w:val="auto"/>
                <w:kern w:val="0"/>
                <w:sz w:val="24"/>
                <w:szCs w:val="24"/>
              </w:rPr>
              <w:t>固体废物环境影响分析</w:t>
            </w:r>
          </w:p>
          <w:p>
            <w:pPr>
              <w:spacing w:line="360" w:lineRule="auto"/>
              <w:ind w:firstLine="480" w:firstLineChars="200"/>
              <w:jc w:val="left"/>
              <w:rPr>
                <w:color w:val="auto"/>
                <w:sz w:val="24"/>
                <w:szCs w:val="24"/>
              </w:rPr>
            </w:pPr>
            <w:r>
              <w:rPr>
                <w:rFonts w:hint="eastAsia"/>
                <w:color w:val="auto"/>
                <w:sz w:val="24"/>
                <w:szCs w:val="24"/>
                <w:lang w:eastAsia="zh-CN"/>
              </w:rPr>
              <w:t>①</w:t>
            </w:r>
            <w:r>
              <w:rPr>
                <w:color w:val="auto"/>
                <w:sz w:val="24"/>
                <w:szCs w:val="24"/>
              </w:rPr>
              <w:t>一般固废</w:t>
            </w:r>
          </w:p>
          <w:p>
            <w:pPr>
              <w:snapToGrid w:val="0"/>
              <w:spacing w:line="360" w:lineRule="auto"/>
              <w:ind w:firstLine="480" w:firstLineChars="200"/>
              <w:jc w:val="left"/>
              <w:rPr>
                <w:color w:val="auto"/>
                <w:sz w:val="24"/>
                <w:szCs w:val="24"/>
              </w:rPr>
            </w:pPr>
            <w:r>
              <w:rPr>
                <w:color w:val="auto"/>
                <w:sz w:val="24"/>
                <w:szCs w:val="24"/>
              </w:rPr>
              <w:t>医院在各楼层设置垃圾桶，用于收集生活垃圾。生活垃圾在收集、暂存、运输、处置过程中如发生泄露，则极易产生污水、恶臭，对周边环境造成影响。因此在收集过程中进行垃圾分类收集；垃圾收集容器定位设置、摆放整齐，每日收集，无残缺、破损、封闭性好、外体干净。分类垃圾箱的分类标志明显、易懂；生活垃圾收集时周围保持整洁，无散落、存留垃圾和污水；生活垃圾日产日清，定时对垃圾箱进行消毒。</w:t>
            </w:r>
          </w:p>
          <w:p>
            <w:pPr>
              <w:spacing w:line="360" w:lineRule="auto"/>
              <w:ind w:firstLine="480" w:firstLineChars="200"/>
              <w:jc w:val="left"/>
              <w:rPr>
                <w:rFonts w:hint="eastAsia" w:eastAsia="宋体"/>
                <w:color w:val="auto"/>
                <w:sz w:val="24"/>
                <w:szCs w:val="24"/>
                <w:lang w:eastAsia="zh-CN"/>
              </w:rPr>
            </w:pPr>
            <w:r>
              <w:rPr>
                <w:rFonts w:hint="eastAsia"/>
                <w:color w:val="auto"/>
                <w:sz w:val="24"/>
                <w:szCs w:val="24"/>
                <w:lang w:eastAsia="zh-CN"/>
              </w:rPr>
              <w:t>②</w:t>
            </w:r>
            <w:r>
              <w:rPr>
                <w:color w:val="auto"/>
                <w:sz w:val="24"/>
                <w:szCs w:val="24"/>
              </w:rPr>
              <w:t>危险</w:t>
            </w:r>
            <w:r>
              <w:rPr>
                <w:rFonts w:hint="eastAsia"/>
                <w:color w:val="auto"/>
                <w:sz w:val="24"/>
                <w:szCs w:val="24"/>
                <w:lang w:eastAsia="zh-CN"/>
              </w:rPr>
              <w:t>废物</w:t>
            </w:r>
          </w:p>
          <w:p>
            <w:pPr>
              <w:spacing w:line="360" w:lineRule="auto"/>
              <w:ind w:firstLine="480" w:firstLineChars="200"/>
              <w:jc w:val="left"/>
              <w:rPr>
                <w:color w:val="auto"/>
                <w:sz w:val="24"/>
                <w:szCs w:val="24"/>
              </w:rPr>
            </w:pPr>
            <w:r>
              <w:rPr>
                <w:color w:val="auto"/>
                <w:sz w:val="24"/>
                <w:szCs w:val="24"/>
              </w:rPr>
              <w:t>本项目拟在院区</w:t>
            </w:r>
            <w:r>
              <w:rPr>
                <w:rFonts w:hint="eastAsia"/>
                <w:color w:val="auto"/>
                <w:sz w:val="24"/>
                <w:szCs w:val="24"/>
                <w:lang w:eastAsia="zh-CN"/>
              </w:rPr>
              <w:t>一层北侧楼梯下</w:t>
            </w:r>
            <w:r>
              <w:rPr>
                <w:color w:val="auto"/>
                <w:sz w:val="24"/>
                <w:szCs w:val="24"/>
              </w:rPr>
              <w:t>建设</w:t>
            </w:r>
            <w:r>
              <w:rPr>
                <w:rFonts w:hint="eastAsia"/>
                <w:color w:val="auto"/>
                <w:sz w:val="24"/>
                <w:szCs w:val="24"/>
                <w:lang w:eastAsia="zh-CN"/>
              </w:rPr>
              <w:t>危废储存间</w:t>
            </w:r>
            <w:r>
              <w:rPr>
                <w:color w:val="auto"/>
                <w:sz w:val="24"/>
                <w:szCs w:val="24"/>
              </w:rPr>
              <w:t>，建筑面积</w:t>
            </w:r>
            <w:r>
              <w:rPr>
                <w:rFonts w:hint="eastAsia"/>
                <w:color w:val="auto"/>
                <w:sz w:val="24"/>
                <w:szCs w:val="24"/>
                <w:lang w:val="en-US" w:eastAsia="zh-CN"/>
              </w:rPr>
              <w:t>19</w:t>
            </w:r>
            <w:r>
              <w:rPr>
                <w:color w:val="auto"/>
                <w:sz w:val="24"/>
                <w:szCs w:val="24"/>
              </w:rPr>
              <w:t>m</w:t>
            </w:r>
            <w:r>
              <w:rPr>
                <w:color w:val="auto"/>
                <w:sz w:val="24"/>
                <w:szCs w:val="24"/>
                <w:vertAlign w:val="superscript"/>
              </w:rPr>
              <w:t>2</w:t>
            </w:r>
            <w:r>
              <w:rPr>
                <w:color w:val="auto"/>
                <w:sz w:val="24"/>
                <w:szCs w:val="24"/>
              </w:rPr>
              <w:t>，</w:t>
            </w:r>
            <w:r>
              <w:rPr>
                <w:rFonts w:hint="eastAsia"/>
                <w:color w:val="auto"/>
                <w:sz w:val="24"/>
                <w:szCs w:val="24"/>
                <w:lang w:eastAsia="zh-CN"/>
              </w:rPr>
              <w:t>本次环评要求企业</w:t>
            </w:r>
            <w:r>
              <w:rPr>
                <w:color w:val="auto"/>
                <w:sz w:val="24"/>
                <w:szCs w:val="24"/>
              </w:rPr>
              <w:t>按照《危险废物贮存污染控制标准》（GB18597-20</w:t>
            </w:r>
            <w:r>
              <w:rPr>
                <w:rFonts w:hint="eastAsia"/>
                <w:color w:val="auto"/>
                <w:sz w:val="24"/>
                <w:szCs w:val="24"/>
                <w:lang w:val="en-US" w:eastAsia="zh-CN"/>
              </w:rPr>
              <w:t>23</w:t>
            </w:r>
            <w:r>
              <w:rPr>
                <w:color w:val="auto"/>
                <w:sz w:val="24"/>
                <w:szCs w:val="24"/>
              </w:rPr>
              <w:t>）的相关要求建设，堆积高度约为1m，则危废储存容积为</w:t>
            </w:r>
            <w:r>
              <w:rPr>
                <w:rFonts w:hint="eastAsia"/>
                <w:color w:val="auto"/>
                <w:sz w:val="24"/>
                <w:szCs w:val="24"/>
                <w:lang w:val="en-US" w:eastAsia="zh-CN"/>
              </w:rPr>
              <w:t>19</w:t>
            </w:r>
            <w:r>
              <w:rPr>
                <w:color w:val="auto"/>
                <w:sz w:val="24"/>
                <w:szCs w:val="24"/>
              </w:rPr>
              <w:t>m</w:t>
            </w:r>
            <w:r>
              <w:rPr>
                <w:color w:val="auto"/>
                <w:sz w:val="24"/>
                <w:szCs w:val="24"/>
                <w:vertAlign w:val="superscript"/>
              </w:rPr>
              <w:t>3</w:t>
            </w:r>
            <w:r>
              <w:rPr>
                <w:color w:val="auto"/>
                <w:sz w:val="24"/>
                <w:szCs w:val="24"/>
              </w:rPr>
              <w:t>；产生的医疗废物、污水处理站污泥等危险废物分类密封、分区存放</w:t>
            </w:r>
            <w:r>
              <w:rPr>
                <w:rFonts w:hint="eastAsia"/>
                <w:color w:val="auto"/>
                <w:sz w:val="24"/>
                <w:szCs w:val="24"/>
                <w:lang w:eastAsia="zh-CN"/>
              </w:rPr>
              <w:t>，定期交由有资质单位处理</w:t>
            </w:r>
            <w:r>
              <w:rPr>
                <w:color w:val="auto"/>
                <w:sz w:val="24"/>
                <w:szCs w:val="24"/>
              </w:rPr>
              <w:t>。</w:t>
            </w:r>
          </w:p>
          <w:p>
            <w:pPr>
              <w:spacing w:line="360" w:lineRule="auto"/>
              <w:ind w:firstLine="480" w:firstLineChars="200"/>
              <w:rPr>
                <w:color w:val="auto"/>
                <w:sz w:val="24"/>
                <w:szCs w:val="24"/>
              </w:rPr>
            </w:pPr>
            <w:r>
              <w:rPr>
                <w:color w:val="auto"/>
                <w:sz w:val="24"/>
                <w:szCs w:val="24"/>
              </w:rPr>
              <w:t>医疗废物等固态危废采用袋装，贮存时间短，且均采用密闭储存，贮存过程中不会挥发出废气，不会对环境空气、地表水、地下水、土壤以及环境敏感目标造成影响</w:t>
            </w:r>
            <w:r>
              <w:rPr>
                <w:rFonts w:hint="eastAsia"/>
                <w:color w:val="auto"/>
                <w:sz w:val="24"/>
                <w:szCs w:val="24"/>
                <w:lang w:eastAsia="zh-CN"/>
              </w:rPr>
              <w:t>；污水处理站污泥每日产生量较少，定期清掏，脱水后直接委托有资质处置，不在院区储存</w:t>
            </w:r>
            <w:r>
              <w:rPr>
                <w:color w:val="auto"/>
                <w:sz w:val="24"/>
                <w:szCs w:val="24"/>
              </w:rPr>
              <w:t>。</w:t>
            </w:r>
          </w:p>
          <w:p>
            <w:pPr>
              <w:spacing w:line="360" w:lineRule="auto"/>
              <w:ind w:firstLine="480" w:firstLineChars="200"/>
              <w:jc w:val="left"/>
              <w:rPr>
                <w:color w:val="auto"/>
                <w:sz w:val="24"/>
                <w:szCs w:val="24"/>
              </w:rPr>
            </w:pPr>
            <w:r>
              <w:rPr>
                <w:color w:val="auto"/>
                <w:sz w:val="24"/>
                <w:szCs w:val="24"/>
              </w:rPr>
              <w:t>项目在医疗废物收集、储存、医疗废物的交接、运输过程中，严格按照《医疗废物管理条例（2011年修订）》（国务院令第588号）、《医疗卫生机构医疗废物管理办法》（卫生部[2003]第36号令）、《医疗废物集中处置技术规范（试行）》（环发[2003]206号）、《关于印发医疗机构废弃物综合治理工作方案的通知》（国卫医发[2020]3号）等规定执行。</w:t>
            </w:r>
          </w:p>
          <w:p>
            <w:pPr>
              <w:spacing w:line="360" w:lineRule="auto"/>
              <w:ind w:firstLine="480" w:firstLineChars="200"/>
              <w:jc w:val="left"/>
              <w:rPr>
                <w:color w:val="auto"/>
                <w:sz w:val="24"/>
                <w:szCs w:val="24"/>
              </w:rPr>
            </w:pPr>
            <w:r>
              <w:rPr>
                <w:color w:val="auto"/>
                <w:sz w:val="24"/>
                <w:szCs w:val="24"/>
              </w:rPr>
              <w:t>（4）委托处置的环境影响分析</w:t>
            </w:r>
          </w:p>
          <w:p>
            <w:pPr>
              <w:spacing w:line="360" w:lineRule="auto"/>
              <w:ind w:firstLine="480" w:firstLineChars="200"/>
              <w:jc w:val="left"/>
              <w:rPr>
                <w:color w:val="auto"/>
                <w:sz w:val="24"/>
                <w:szCs w:val="24"/>
              </w:rPr>
            </w:pPr>
            <w:r>
              <w:rPr>
                <w:color w:val="auto"/>
                <w:sz w:val="24"/>
                <w:szCs w:val="24"/>
              </w:rPr>
              <w:t>本项目运营过程产生的危废为HW01（医疗废物、污水处理站污泥），项目建成后，严格按照《危险废物贮存污染控制标准》（</w:t>
            </w:r>
            <w:r>
              <w:rPr>
                <w:rFonts w:hint="eastAsia"/>
                <w:color w:val="auto"/>
                <w:sz w:val="24"/>
                <w:szCs w:val="24"/>
                <w:lang w:eastAsia="zh-CN"/>
              </w:rPr>
              <w:t>GB18597-2023</w:t>
            </w:r>
            <w:r>
              <w:rPr>
                <w:color w:val="auto"/>
                <w:sz w:val="24"/>
                <w:szCs w:val="24"/>
              </w:rPr>
              <w:t>）要求设置暂存场所，将上述危险废物在</w:t>
            </w:r>
            <w:r>
              <w:rPr>
                <w:rFonts w:hint="eastAsia"/>
                <w:color w:val="auto"/>
                <w:sz w:val="24"/>
                <w:szCs w:val="24"/>
                <w:lang w:eastAsia="zh-CN"/>
              </w:rPr>
              <w:t>危废间</w:t>
            </w:r>
            <w:r>
              <w:rPr>
                <w:color w:val="auto"/>
                <w:sz w:val="24"/>
                <w:szCs w:val="24"/>
              </w:rPr>
              <w:t>内暂存，建立健全危险废物贮存、利用、处置台帐，并如实记录危险废物贮存、利用、处置情况，及时与有资质的处置单位签订危废处置合同。</w:t>
            </w:r>
          </w:p>
          <w:p>
            <w:pPr>
              <w:spacing w:line="360" w:lineRule="auto"/>
              <w:ind w:firstLine="480" w:firstLineChars="200"/>
              <w:jc w:val="left"/>
              <w:rPr>
                <w:color w:val="auto"/>
                <w:sz w:val="24"/>
                <w:szCs w:val="24"/>
              </w:rPr>
            </w:pPr>
            <w:r>
              <w:rPr>
                <w:color w:val="auto"/>
                <w:sz w:val="24"/>
                <w:szCs w:val="24"/>
              </w:rPr>
              <w:t>（5）污染防治措施及其经济、技术分析</w:t>
            </w:r>
          </w:p>
          <w:p>
            <w:pPr>
              <w:snapToGrid w:val="0"/>
              <w:spacing w:line="360" w:lineRule="auto"/>
              <w:ind w:firstLine="480" w:firstLineChars="200"/>
              <w:jc w:val="left"/>
              <w:rPr>
                <w:color w:val="auto"/>
                <w:sz w:val="24"/>
                <w:szCs w:val="24"/>
              </w:rPr>
            </w:pPr>
            <w:r>
              <w:rPr>
                <w:rFonts w:hint="eastAsia"/>
                <w:color w:val="auto"/>
                <w:sz w:val="24"/>
                <w:szCs w:val="24"/>
                <w:lang w:eastAsia="zh-CN"/>
              </w:rPr>
              <w:t>①</w:t>
            </w:r>
            <w:r>
              <w:rPr>
                <w:color w:val="auto"/>
                <w:sz w:val="24"/>
                <w:szCs w:val="24"/>
              </w:rPr>
              <w:t>贮存场所（设施）污染防治措施</w:t>
            </w:r>
          </w:p>
          <w:p>
            <w:pPr>
              <w:snapToGrid w:val="0"/>
              <w:spacing w:line="360" w:lineRule="auto"/>
              <w:ind w:firstLine="480" w:firstLineChars="200"/>
              <w:jc w:val="left"/>
              <w:rPr>
                <w:rFonts w:hint="eastAsia" w:eastAsia="宋体"/>
                <w:color w:val="auto"/>
                <w:sz w:val="24"/>
                <w:szCs w:val="24"/>
                <w:lang w:val="en-US" w:eastAsia="zh-CN"/>
              </w:rPr>
            </w:pPr>
            <w:r>
              <w:rPr>
                <w:color w:val="auto"/>
                <w:sz w:val="24"/>
                <w:szCs w:val="24"/>
              </w:rPr>
              <w:t>本项目拟在医院一层东南角建设</w:t>
            </w:r>
            <w:r>
              <w:rPr>
                <w:rFonts w:hint="eastAsia"/>
                <w:color w:val="auto"/>
                <w:sz w:val="24"/>
                <w:szCs w:val="24"/>
                <w:lang w:eastAsia="zh-CN"/>
              </w:rPr>
              <w:t>危废间</w:t>
            </w:r>
            <w:r>
              <w:rPr>
                <w:color w:val="auto"/>
                <w:sz w:val="24"/>
                <w:szCs w:val="24"/>
              </w:rPr>
              <w:t>，建筑面积</w:t>
            </w:r>
            <w:r>
              <w:rPr>
                <w:rFonts w:hint="eastAsia"/>
                <w:color w:val="auto"/>
                <w:sz w:val="24"/>
                <w:szCs w:val="24"/>
                <w:lang w:val="en-US" w:eastAsia="zh-CN"/>
              </w:rPr>
              <w:t>19</w:t>
            </w:r>
            <w:r>
              <w:rPr>
                <w:bCs/>
                <w:color w:val="auto"/>
                <w:sz w:val="24"/>
                <w:szCs w:val="24"/>
              </w:rPr>
              <w:t>m</w:t>
            </w:r>
            <w:r>
              <w:rPr>
                <w:bCs/>
                <w:color w:val="auto"/>
                <w:sz w:val="24"/>
                <w:szCs w:val="24"/>
                <w:vertAlign w:val="superscript"/>
              </w:rPr>
              <w:t>2</w:t>
            </w:r>
            <w:r>
              <w:rPr>
                <w:color w:val="auto"/>
                <w:sz w:val="24"/>
                <w:szCs w:val="24"/>
              </w:rPr>
              <w:t>，贮存能力满足要求，危险仓库贮存基本情况见表4-</w:t>
            </w:r>
            <w:r>
              <w:rPr>
                <w:rFonts w:hint="eastAsia"/>
                <w:color w:val="auto"/>
                <w:sz w:val="24"/>
                <w:szCs w:val="24"/>
                <w:lang w:val="en-US" w:eastAsia="zh-CN"/>
              </w:rPr>
              <w:t>20。</w:t>
            </w:r>
          </w:p>
          <w:p>
            <w:pPr>
              <w:jc w:val="center"/>
              <w:rPr>
                <w:b/>
                <w:color w:val="auto"/>
                <w:sz w:val="21"/>
                <w:szCs w:val="21"/>
              </w:rPr>
            </w:pPr>
          </w:p>
          <w:p>
            <w:pPr>
              <w:jc w:val="center"/>
              <w:rPr>
                <w:b/>
                <w:color w:val="auto"/>
                <w:sz w:val="21"/>
                <w:szCs w:val="21"/>
              </w:rPr>
            </w:pPr>
          </w:p>
          <w:p>
            <w:pPr>
              <w:jc w:val="center"/>
              <w:rPr>
                <w:b/>
                <w:color w:val="auto"/>
                <w:sz w:val="21"/>
                <w:szCs w:val="21"/>
              </w:rPr>
            </w:pPr>
          </w:p>
          <w:p>
            <w:pPr>
              <w:jc w:val="center"/>
              <w:rPr>
                <w:b/>
                <w:color w:val="auto"/>
                <w:sz w:val="21"/>
                <w:szCs w:val="21"/>
              </w:rPr>
            </w:pPr>
            <w:r>
              <w:rPr>
                <w:b/>
                <w:color w:val="auto"/>
                <w:sz w:val="21"/>
                <w:szCs w:val="21"/>
              </w:rPr>
              <w:t>表4-</w:t>
            </w:r>
            <w:r>
              <w:rPr>
                <w:rFonts w:hint="eastAsia"/>
                <w:b/>
                <w:color w:val="auto"/>
                <w:sz w:val="21"/>
                <w:szCs w:val="21"/>
                <w:lang w:val="en-US" w:eastAsia="zh-CN"/>
              </w:rPr>
              <w:t>20</w:t>
            </w:r>
            <w:r>
              <w:rPr>
                <w:b/>
                <w:color w:val="auto"/>
                <w:sz w:val="21"/>
                <w:szCs w:val="21"/>
              </w:rPr>
              <w:t xml:space="preserve">  危险废物贮存基本情况表</w:t>
            </w:r>
          </w:p>
          <w:tbl>
            <w:tblPr>
              <w:tblStyle w:val="2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1"/>
              <w:gridCol w:w="760"/>
              <w:gridCol w:w="1298"/>
              <w:gridCol w:w="952"/>
              <w:gridCol w:w="1427"/>
              <w:gridCol w:w="475"/>
              <w:gridCol w:w="836"/>
              <w:gridCol w:w="1134"/>
              <w:gridCol w:w="727"/>
              <w:gridCol w:w="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2" w:type="dxa"/>
                  <w:vAlign w:val="center"/>
                </w:tcPr>
                <w:p>
                  <w:pPr>
                    <w:jc w:val="center"/>
                    <w:rPr>
                      <w:b/>
                      <w:color w:val="auto"/>
                      <w:sz w:val="21"/>
                      <w:szCs w:val="21"/>
                    </w:rPr>
                  </w:pPr>
                  <w:r>
                    <w:rPr>
                      <w:b/>
                      <w:color w:val="auto"/>
                      <w:sz w:val="21"/>
                      <w:szCs w:val="21"/>
                    </w:rPr>
                    <w:t>序号</w:t>
                  </w:r>
                </w:p>
              </w:tc>
              <w:tc>
                <w:tcPr>
                  <w:tcW w:w="760" w:type="dxa"/>
                  <w:vAlign w:val="center"/>
                </w:tcPr>
                <w:p>
                  <w:pPr>
                    <w:jc w:val="center"/>
                    <w:rPr>
                      <w:b/>
                      <w:color w:val="auto"/>
                      <w:sz w:val="21"/>
                      <w:szCs w:val="21"/>
                    </w:rPr>
                  </w:pPr>
                  <w:r>
                    <w:rPr>
                      <w:b/>
                      <w:color w:val="auto"/>
                      <w:sz w:val="21"/>
                      <w:szCs w:val="21"/>
                    </w:rPr>
                    <w:t>贮存场所名称</w:t>
                  </w:r>
                </w:p>
              </w:tc>
              <w:tc>
                <w:tcPr>
                  <w:tcW w:w="1299" w:type="dxa"/>
                  <w:vAlign w:val="center"/>
                </w:tcPr>
                <w:p>
                  <w:pPr>
                    <w:jc w:val="center"/>
                    <w:rPr>
                      <w:b/>
                      <w:color w:val="auto"/>
                      <w:sz w:val="21"/>
                      <w:szCs w:val="21"/>
                    </w:rPr>
                  </w:pPr>
                  <w:r>
                    <w:rPr>
                      <w:b/>
                      <w:color w:val="auto"/>
                      <w:sz w:val="21"/>
                      <w:szCs w:val="21"/>
                    </w:rPr>
                    <w:t>危险废物名称</w:t>
                  </w:r>
                </w:p>
              </w:tc>
              <w:tc>
                <w:tcPr>
                  <w:tcW w:w="952" w:type="dxa"/>
                  <w:vAlign w:val="center"/>
                </w:tcPr>
                <w:p>
                  <w:pPr>
                    <w:jc w:val="center"/>
                    <w:rPr>
                      <w:b/>
                      <w:color w:val="auto"/>
                      <w:sz w:val="21"/>
                      <w:szCs w:val="21"/>
                    </w:rPr>
                  </w:pPr>
                  <w:r>
                    <w:rPr>
                      <w:b/>
                      <w:color w:val="auto"/>
                      <w:sz w:val="21"/>
                      <w:szCs w:val="21"/>
                    </w:rPr>
                    <w:t>危险废物类别</w:t>
                  </w:r>
                </w:p>
              </w:tc>
              <w:tc>
                <w:tcPr>
                  <w:tcW w:w="1427" w:type="dxa"/>
                  <w:vAlign w:val="center"/>
                </w:tcPr>
                <w:p>
                  <w:pPr>
                    <w:jc w:val="center"/>
                    <w:rPr>
                      <w:b/>
                      <w:color w:val="auto"/>
                      <w:sz w:val="21"/>
                      <w:szCs w:val="21"/>
                    </w:rPr>
                  </w:pPr>
                  <w:r>
                    <w:rPr>
                      <w:b/>
                      <w:color w:val="auto"/>
                      <w:sz w:val="21"/>
                      <w:szCs w:val="21"/>
                    </w:rPr>
                    <w:t>危险废物</w:t>
                  </w:r>
                </w:p>
                <w:p>
                  <w:pPr>
                    <w:jc w:val="center"/>
                    <w:rPr>
                      <w:b/>
                      <w:color w:val="auto"/>
                      <w:sz w:val="21"/>
                      <w:szCs w:val="21"/>
                    </w:rPr>
                  </w:pPr>
                  <w:r>
                    <w:rPr>
                      <w:b/>
                      <w:color w:val="auto"/>
                      <w:sz w:val="21"/>
                      <w:szCs w:val="21"/>
                    </w:rPr>
                    <w:t>代码</w:t>
                  </w:r>
                </w:p>
              </w:tc>
              <w:tc>
                <w:tcPr>
                  <w:tcW w:w="475" w:type="dxa"/>
                  <w:vAlign w:val="center"/>
                </w:tcPr>
                <w:p>
                  <w:pPr>
                    <w:jc w:val="center"/>
                    <w:rPr>
                      <w:b/>
                      <w:color w:val="auto"/>
                      <w:sz w:val="21"/>
                      <w:szCs w:val="21"/>
                    </w:rPr>
                  </w:pPr>
                  <w:r>
                    <w:rPr>
                      <w:b/>
                      <w:color w:val="auto"/>
                      <w:sz w:val="21"/>
                      <w:szCs w:val="21"/>
                    </w:rPr>
                    <w:t>位置</w:t>
                  </w:r>
                </w:p>
              </w:tc>
              <w:tc>
                <w:tcPr>
                  <w:tcW w:w="836" w:type="dxa"/>
                  <w:vAlign w:val="center"/>
                </w:tcPr>
                <w:p>
                  <w:pPr>
                    <w:jc w:val="center"/>
                    <w:rPr>
                      <w:b/>
                      <w:color w:val="auto"/>
                      <w:sz w:val="21"/>
                      <w:szCs w:val="21"/>
                    </w:rPr>
                  </w:pPr>
                  <w:r>
                    <w:rPr>
                      <w:b/>
                      <w:color w:val="auto"/>
                      <w:sz w:val="21"/>
                      <w:szCs w:val="21"/>
                    </w:rPr>
                    <w:t>占地面积</w:t>
                  </w:r>
                </w:p>
              </w:tc>
              <w:tc>
                <w:tcPr>
                  <w:tcW w:w="1134" w:type="dxa"/>
                  <w:vAlign w:val="center"/>
                </w:tcPr>
                <w:p>
                  <w:pPr>
                    <w:jc w:val="center"/>
                    <w:rPr>
                      <w:b/>
                      <w:color w:val="auto"/>
                      <w:sz w:val="21"/>
                      <w:szCs w:val="21"/>
                    </w:rPr>
                  </w:pPr>
                  <w:r>
                    <w:rPr>
                      <w:b/>
                      <w:color w:val="auto"/>
                      <w:sz w:val="21"/>
                      <w:szCs w:val="21"/>
                    </w:rPr>
                    <w:t>贮存方式</w:t>
                  </w:r>
                </w:p>
              </w:tc>
              <w:tc>
                <w:tcPr>
                  <w:tcW w:w="727" w:type="dxa"/>
                  <w:vAlign w:val="center"/>
                </w:tcPr>
                <w:p>
                  <w:pPr>
                    <w:jc w:val="center"/>
                    <w:rPr>
                      <w:b/>
                      <w:color w:val="auto"/>
                      <w:sz w:val="21"/>
                      <w:szCs w:val="21"/>
                    </w:rPr>
                  </w:pPr>
                  <w:r>
                    <w:rPr>
                      <w:b/>
                      <w:color w:val="auto"/>
                      <w:sz w:val="21"/>
                      <w:szCs w:val="21"/>
                    </w:rPr>
                    <w:t>贮存</w:t>
                  </w:r>
                </w:p>
                <w:p>
                  <w:pPr>
                    <w:jc w:val="center"/>
                    <w:rPr>
                      <w:b/>
                      <w:color w:val="auto"/>
                      <w:sz w:val="21"/>
                      <w:szCs w:val="21"/>
                    </w:rPr>
                  </w:pPr>
                  <w:r>
                    <w:rPr>
                      <w:b/>
                      <w:color w:val="auto"/>
                      <w:sz w:val="21"/>
                      <w:szCs w:val="21"/>
                    </w:rPr>
                    <w:t>能力</w:t>
                  </w:r>
                </w:p>
              </w:tc>
              <w:tc>
                <w:tcPr>
                  <w:tcW w:w="951" w:type="dxa"/>
                  <w:vAlign w:val="center"/>
                </w:tcPr>
                <w:p>
                  <w:pPr>
                    <w:jc w:val="center"/>
                    <w:rPr>
                      <w:b/>
                      <w:color w:val="auto"/>
                      <w:sz w:val="21"/>
                      <w:szCs w:val="21"/>
                    </w:rPr>
                  </w:pPr>
                  <w:r>
                    <w:rPr>
                      <w:b/>
                      <w:color w:val="auto"/>
                      <w:sz w:val="21"/>
                      <w:szCs w:val="21"/>
                    </w:rPr>
                    <w:t>贮存</w:t>
                  </w:r>
                </w:p>
                <w:p>
                  <w:pPr>
                    <w:jc w:val="center"/>
                    <w:rPr>
                      <w:b/>
                      <w:color w:val="auto"/>
                      <w:sz w:val="21"/>
                      <w:szCs w:val="21"/>
                    </w:rPr>
                  </w:pPr>
                  <w:r>
                    <w:rPr>
                      <w:b/>
                      <w:color w:val="auto"/>
                      <w:sz w:val="21"/>
                      <w:szCs w:val="21"/>
                    </w:rPr>
                    <w:t>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2" w:type="dxa"/>
                  <w:vMerge w:val="restart"/>
                  <w:vAlign w:val="center"/>
                </w:tcPr>
                <w:p>
                  <w:pPr>
                    <w:jc w:val="center"/>
                    <w:rPr>
                      <w:bCs/>
                      <w:color w:val="auto"/>
                      <w:sz w:val="21"/>
                      <w:szCs w:val="21"/>
                    </w:rPr>
                  </w:pPr>
                  <w:r>
                    <w:rPr>
                      <w:bCs/>
                      <w:color w:val="auto"/>
                      <w:sz w:val="21"/>
                      <w:szCs w:val="21"/>
                    </w:rPr>
                    <w:t>1</w:t>
                  </w:r>
                </w:p>
              </w:tc>
              <w:tc>
                <w:tcPr>
                  <w:tcW w:w="760" w:type="dxa"/>
                  <w:vMerge w:val="restart"/>
                  <w:vAlign w:val="center"/>
                </w:tcPr>
                <w:p>
                  <w:pPr>
                    <w:jc w:val="center"/>
                    <w:rPr>
                      <w:rFonts w:hint="eastAsia" w:eastAsia="宋体"/>
                      <w:bCs/>
                      <w:color w:val="auto"/>
                      <w:sz w:val="21"/>
                      <w:szCs w:val="21"/>
                      <w:lang w:eastAsia="zh-CN"/>
                    </w:rPr>
                  </w:pPr>
                  <w:r>
                    <w:rPr>
                      <w:rFonts w:hint="eastAsia"/>
                      <w:bCs/>
                      <w:color w:val="auto"/>
                      <w:sz w:val="21"/>
                      <w:szCs w:val="21"/>
                      <w:lang w:eastAsia="zh-CN"/>
                    </w:rPr>
                    <w:t>危废储存间</w:t>
                  </w:r>
                </w:p>
              </w:tc>
              <w:tc>
                <w:tcPr>
                  <w:tcW w:w="1299" w:type="dxa"/>
                  <w:vMerge w:val="restar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医疗废物</w:t>
                  </w:r>
                </w:p>
              </w:tc>
              <w:tc>
                <w:tcPr>
                  <w:tcW w:w="952" w:type="dxa"/>
                  <w:vMerge w:val="restar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HW01</w:t>
                  </w:r>
                </w:p>
              </w:tc>
              <w:tc>
                <w:tcPr>
                  <w:tcW w:w="1427" w:type="dxa"/>
                  <w:vAlign w:val="center"/>
                </w:tcPr>
                <w:p>
                  <w:pPr>
                    <w:adjustRightInd w:val="0"/>
                    <w:snapToGrid w:val="0"/>
                    <w:jc w:val="center"/>
                    <w:rPr>
                      <w:color w:val="auto"/>
                      <w:sz w:val="21"/>
                      <w:szCs w:val="21"/>
                    </w:rPr>
                  </w:pPr>
                  <w:r>
                    <w:rPr>
                      <w:color w:val="auto"/>
                      <w:sz w:val="21"/>
                      <w:szCs w:val="21"/>
                    </w:rPr>
                    <w:t>841-001-01</w:t>
                  </w:r>
                </w:p>
              </w:tc>
              <w:tc>
                <w:tcPr>
                  <w:tcW w:w="475" w:type="dxa"/>
                  <w:vMerge w:val="restart"/>
                  <w:vAlign w:val="center"/>
                </w:tcPr>
                <w:p>
                  <w:pPr>
                    <w:jc w:val="center"/>
                    <w:rPr>
                      <w:rFonts w:hint="eastAsia" w:eastAsia="宋体"/>
                      <w:bCs/>
                      <w:color w:val="auto"/>
                      <w:sz w:val="21"/>
                      <w:szCs w:val="21"/>
                      <w:lang w:eastAsia="zh-CN"/>
                    </w:rPr>
                  </w:pPr>
                  <w:r>
                    <w:rPr>
                      <w:bCs/>
                      <w:color w:val="auto"/>
                      <w:sz w:val="21"/>
                      <w:szCs w:val="21"/>
                    </w:rPr>
                    <w:t>院内一层</w:t>
                  </w:r>
                  <w:r>
                    <w:rPr>
                      <w:rFonts w:hint="eastAsia"/>
                      <w:bCs/>
                      <w:color w:val="auto"/>
                      <w:sz w:val="21"/>
                      <w:szCs w:val="21"/>
                      <w:lang w:eastAsia="zh-CN"/>
                    </w:rPr>
                    <w:t>北侧楼梯下</w:t>
                  </w:r>
                </w:p>
              </w:tc>
              <w:tc>
                <w:tcPr>
                  <w:tcW w:w="836" w:type="dxa"/>
                  <w:vMerge w:val="restart"/>
                  <w:vAlign w:val="center"/>
                </w:tcPr>
                <w:p>
                  <w:pPr>
                    <w:jc w:val="center"/>
                    <w:rPr>
                      <w:bCs/>
                      <w:color w:val="auto"/>
                      <w:sz w:val="21"/>
                      <w:szCs w:val="21"/>
                    </w:rPr>
                  </w:pPr>
                  <w:r>
                    <w:rPr>
                      <w:rFonts w:hint="eastAsia"/>
                      <w:bCs/>
                      <w:color w:val="auto"/>
                      <w:sz w:val="21"/>
                      <w:szCs w:val="21"/>
                      <w:lang w:val="en-US" w:eastAsia="zh-CN"/>
                    </w:rPr>
                    <w:t>19</w:t>
                  </w:r>
                  <w:r>
                    <w:rPr>
                      <w:bCs/>
                      <w:color w:val="auto"/>
                      <w:sz w:val="21"/>
                      <w:szCs w:val="21"/>
                    </w:rPr>
                    <w:t>m</w:t>
                  </w:r>
                  <w:r>
                    <w:rPr>
                      <w:bCs/>
                      <w:color w:val="auto"/>
                      <w:sz w:val="21"/>
                      <w:szCs w:val="21"/>
                      <w:vertAlign w:val="superscript"/>
                    </w:rPr>
                    <w:t>2</w:t>
                  </w:r>
                </w:p>
              </w:tc>
              <w:tc>
                <w:tcPr>
                  <w:tcW w:w="1134" w:type="dxa"/>
                  <w:vMerge w:val="restart"/>
                  <w:vAlign w:val="center"/>
                </w:tcPr>
                <w:p>
                  <w:pPr>
                    <w:jc w:val="center"/>
                    <w:rPr>
                      <w:bCs/>
                      <w:color w:val="auto"/>
                      <w:sz w:val="21"/>
                      <w:szCs w:val="21"/>
                    </w:rPr>
                  </w:pPr>
                  <w:r>
                    <w:rPr>
                      <w:bCs/>
                      <w:color w:val="auto"/>
                      <w:sz w:val="21"/>
                      <w:szCs w:val="21"/>
                    </w:rPr>
                    <w:t>袋装/盒装、密封</w:t>
                  </w:r>
                </w:p>
              </w:tc>
              <w:tc>
                <w:tcPr>
                  <w:tcW w:w="727" w:type="dxa"/>
                  <w:vMerge w:val="restart"/>
                  <w:vAlign w:val="center"/>
                </w:tcPr>
                <w:p>
                  <w:pPr>
                    <w:jc w:val="center"/>
                    <w:rPr>
                      <w:rFonts w:hint="eastAsia" w:eastAsia="宋体"/>
                      <w:bCs/>
                      <w:color w:val="auto"/>
                      <w:sz w:val="21"/>
                      <w:szCs w:val="21"/>
                      <w:lang w:eastAsia="zh-CN"/>
                    </w:rPr>
                  </w:pPr>
                  <w:r>
                    <w:rPr>
                      <w:rFonts w:hint="eastAsia"/>
                      <w:bCs/>
                      <w:color w:val="auto"/>
                      <w:sz w:val="21"/>
                      <w:szCs w:val="21"/>
                      <w:lang w:val="en-US" w:eastAsia="zh-CN"/>
                    </w:rPr>
                    <w:t>19</w:t>
                  </w:r>
                  <w:r>
                    <w:rPr>
                      <w:bCs/>
                      <w:color w:val="auto"/>
                      <w:sz w:val="21"/>
                      <w:szCs w:val="21"/>
                    </w:rPr>
                    <w:t>m</w:t>
                  </w:r>
                  <w:r>
                    <w:rPr>
                      <w:rFonts w:hint="eastAsia"/>
                      <w:bCs/>
                      <w:color w:val="auto"/>
                      <w:sz w:val="21"/>
                      <w:szCs w:val="21"/>
                      <w:vertAlign w:val="superscript"/>
                      <w:lang w:val="en-US" w:eastAsia="zh-CN"/>
                    </w:rPr>
                    <w:t>3</w:t>
                  </w:r>
                </w:p>
              </w:tc>
              <w:tc>
                <w:tcPr>
                  <w:tcW w:w="951" w:type="dxa"/>
                  <w:vMerge w:val="restart"/>
                  <w:vAlign w:val="center"/>
                </w:tcPr>
                <w:p>
                  <w:pPr>
                    <w:jc w:val="center"/>
                    <w:rPr>
                      <w:rFonts w:hint="eastAsia" w:eastAsia="宋体"/>
                      <w:bCs/>
                      <w:color w:val="auto"/>
                      <w:sz w:val="21"/>
                      <w:szCs w:val="21"/>
                      <w:lang w:val="en-US" w:eastAsia="zh-CN"/>
                    </w:rPr>
                  </w:pPr>
                  <w:r>
                    <w:rPr>
                      <w:rFonts w:hint="eastAsia"/>
                      <w:bCs/>
                      <w:color w:val="auto"/>
                      <w:sz w:val="21"/>
                      <w:szCs w:val="21"/>
                      <w:lang w:val="en-US" w:eastAsia="zh-CN"/>
                    </w:rPr>
                    <w:t>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2" w:type="dxa"/>
                  <w:vMerge w:val="continue"/>
                  <w:vAlign w:val="center"/>
                </w:tcPr>
                <w:p>
                  <w:pPr>
                    <w:jc w:val="center"/>
                    <w:rPr>
                      <w:bCs/>
                      <w:color w:val="auto"/>
                      <w:sz w:val="21"/>
                      <w:szCs w:val="21"/>
                    </w:rPr>
                  </w:pPr>
                </w:p>
              </w:tc>
              <w:tc>
                <w:tcPr>
                  <w:tcW w:w="760" w:type="dxa"/>
                  <w:vMerge w:val="continue"/>
                  <w:vAlign w:val="center"/>
                </w:tcPr>
                <w:p>
                  <w:pPr>
                    <w:jc w:val="center"/>
                    <w:rPr>
                      <w:bCs/>
                      <w:color w:val="auto"/>
                      <w:sz w:val="21"/>
                      <w:szCs w:val="21"/>
                    </w:rPr>
                  </w:pPr>
                </w:p>
              </w:tc>
              <w:tc>
                <w:tcPr>
                  <w:tcW w:w="1299" w:type="dxa"/>
                  <w:vMerge w:val="continue"/>
                  <w:vAlign w:val="center"/>
                </w:tcPr>
                <w:p>
                  <w:pPr>
                    <w:pStyle w:val="68"/>
                    <w:spacing w:line="240" w:lineRule="auto"/>
                    <w:rPr>
                      <w:rFonts w:ascii="Times New Roman" w:hAnsi="Times New Roman" w:eastAsia="宋体" w:cs="Times New Roman"/>
                      <w:color w:val="auto"/>
                      <w:sz w:val="21"/>
                      <w:szCs w:val="21"/>
                    </w:rPr>
                  </w:pPr>
                </w:p>
              </w:tc>
              <w:tc>
                <w:tcPr>
                  <w:tcW w:w="952" w:type="dxa"/>
                  <w:vMerge w:val="continue"/>
                  <w:vAlign w:val="center"/>
                </w:tcPr>
                <w:p>
                  <w:pPr>
                    <w:pStyle w:val="68"/>
                    <w:spacing w:line="240" w:lineRule="auto"/>
                    <w:rPr>
                      <w:rFonts w:ascii="Times New Roman" w:hAnsi="Times New Roman" w:eastAsia="宋体" w:cs="Times New Roman"/>
                      <w:color w:val="auto"/>
                      <w:sz w:val="21"/>
                      <w:szCs w:val="21"/>
                    </w:rPr>
                  </w:pPr>
                </w:p>
              </w:tc>
              <w:tc>
                <w:tcPr>
                  <w:tcW w:w="1427" w:type="dxa"/>
                  <w:vAlign w:val="center"/>
                </w:tcPr>
                <w:p>
                  <w:pPr>
                    <w:adjustRightInd w:val="0"/>
                    <w:snapToGrid w:val="0"/>
                    <w:jc w:val="center"/>
                    <w:rPr>
                      <w:color w:val="auto"/>
                      <w:sz w:val="21"/>
                      <w:szCs w:val="21"/>
                    </w:rPr>
                  </w:pPr>
                  <w:r>
                    <w:rPr>
                      <w:color w:val="auto"/>
                      <w:sz w:val="21"/>
                      <w:szCs w:val="21"/>
                    </w:rPr>
                    <w:t>841-002-01</w:t>
                  </w:r>
                </w:p>
              </w:tc>
              <w:tc>
                <w:tcPr>
                  <w:tcW w:w="475" w:type="dxa"/>
                  <w:vMerge w:val="continue"/>
                  <w:vAlign w:val="center"/>
                </w:tcPr>
                <w:p>
                  <w:pPr>
                    <w:jc w:val="center"/>
                    <w:rPr>
                      <w:bCs/>
                      <w:color w:val="auto"/>
                      <w:sz w:val="21"/>
                      <w:szCs w:val="21"/>
                    </w:rPr>
                  </w:pPr>
                </w:p>
              </w:tc>
              <w:tc>
                <w:tcPr>
                  <w:tcW w:w="836" w:type="dxa"/>
                  <w:vMerge w:val="continue"/>
                  <w:vAlign w:val="center"/>
                </w:tcPr>
                <w:p>
                  <w:pPr>
                    <w:jc w:val="center"/>
                    <w:rPr>
                      <w:bCs/>
                      <w:color w:val="auto"/>
                      <w:sz w:val="21"/>
                      <w:szCs w:val="21"/>
                    </w:rPr>
                  </w:pPr>
                </w:p>
              </w:tc>
              <w:tc>
                <w:tcPr>
                  <w:tcW w:w="1134" w:type="dxa"/>
                  <w:vMerge w:val="continue"/>
                  <w:vAlign w:val="center"/>
                </w:tcPr>
                <w:p>
                  <w:pPr>
                    <w:jc w:val="center"/>
                    <w:rPr>
                      <w:bCs/>
                      <w:color w:val="auto"/>
                      <w:sz w:val="21"/>
                      <w:szCs w:val="21"/>
                    </w:rPr>
                  </w:pPr>
                </w:p>
              </w:tc>
              <w:tc>
                <w:tcPr>
                  <w:tcW w:w="727" w:type="dxa"/>
                  <w:vMerge w:val="continue"/>
                  <w:vAlign w:val="center"/>
                </w:tcPr>
                <w:p>
                  <w:pPr>
                    <w:jc w:val="center"/>
                    <w:rPr>
                      <w:bCs/>
                      <w:color w:val="auto"/>
                      <w:sz w:val="21"/>
                      <w:szCs w:val="21"/>
                    </w:rPr>
                  </w:pPr>
                </w:p>
              </w:tc>
              <w:tc>
                <w:tcPr>
                  <w:tcW w:w="951" w:type="dxa"/>
                  <w:vMerge w:val="continue"/>
                  <w:vAlign w:val="center"/>
                </w:tcPr>
                <w:p>
                  <w:pPr>
                    <w:jc w:val="center"/>
                    <w:rPr>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2" w:type="dxa"/>
                  <w:vMerge w:val="continue"/>
                  <w:vAlign w:val="center"/>
                </w:tcPr>
                <w:p>
                  <w:pPr>
                    <w:jc w:val="center"/>
                    <w:rPr>
                      <w:bCs/>
                      <w:color w:val="auto"/>
                      <w:sz w:val="21"/>
                      <w:szCs w:val="21"/>
                    </w:rPr>
                  </w:pPr>
                </w:p>
              </w:tc>
              <w:tc>
                <w:tcPr>
                  <w:tcW w:w="760" w:type="dxa"/>
                  <w:vMerge w:val="continue"/>
                  <w:vAlign w:val="center"/>
                </w:tcPr>
                <w:p>
                  <w:pPr>
                    <w:jc w:val="center"/>
                    <w:rPr>
                      <w:bCs/>
                      <w:color w:val="auto"/>
                      <w:sz w:val="21"/>
                      <w:szCs w:val="21"/>
                    </w:rPr>
                  </w:pPr>
                </w:p>
              </w:tc>
              <w:tc>
                <w:tcPr>
                  <w:tcW w:w="1299" w:type="dxa"/>
                  <w:vMerge w:val="continue"/>
                  <w:vAlign w:val="center"/>
                </w:tcPr>
                <w:p>
                  <w:pPr>
                    <w:pStyle w:val="68"/>
                    <w:spacing w:line="240" w:lineRule="auto"/>
                    <w:rPr>
                      <w:rFonts w:ascii="Times New Roman" w:hAnsi="Times New Roman" w:eastAsia="宋体" w:cs="Times New Roman"/>
                      <w:color w:val="auto"/>
                      <w:sz w:val="21"/>
                      <w:szCs w:val="21"/>
                    </w:rPr>
                  </w:pPr>
                </w:p>
              </w:tc>
              <w:tc>
                <w:tcPr>
                  <w:tcW w:w="952" w:type="dxa"/>
                  <w:vMerge w:val="continue"/>
                  <w:vAlign w:val="center"/>
                </w:tcPr>
                <w:p>
                  <w:pPr>
                    <w:pStyle w:val="68"/>
                    <w:spacing w:line="240" w:lineRule="auto"/>
                    <w:rPr>
                      <w:rFonts w:ascii="Times New Roman" w:hAnsi="Times New Roman" w:eastAsia="宋体" w:cs="Times New Roman"/>
                      <w:color w:val="auto"/>
                      <w:sz w:val="21"/>
                      <w:szCs w:val="21"/>
                    </w:rPr>
                  </w:pPr>
                </w:p>
              </w:tc>
              <w:tc>
                <w:tcPr>
                  <w:tcW w:w="1427" w:type="dxa"/>
                  <w:vAlign w:val="center"/>
                </w:tcPr>
                <w:p>
                  <w:pPr>
                    <w:adjustRightInd w:val="0"/>
                    <w:snapToGrid w:val="0"/>
                    <w:jc w:val="center"/>
                    <w:rPr>
                      <w:color w:val="auto"/>
                      <w:sz w:val="21"/>
                      <w:szCs w:val="21"/>
                    </w:rPr>
                  </w:pPr>
                  <w:r>
                    <w:rPr>
                      <w:color w:val="auto"/>
                      <w:sz w:val="21"/>
                      <w:szCs w:val="21"/>
                    </w:rPr>
                    <w:t>841-003-01</w:t>
                  </w:r>
                </w:p>
              </w:tc>
              <w:tc>
                <w:tcPr>
                  <w:tcW w:w="475" w:type="dxa"/>
                  <w:vMerge w:val="continue"/>
                  <w:vAlign w:val="center"/>
                </w:tcPr>
                <w:p>
                  <w:pPr>
                    <w:jc w:val="center"/>
                    <w:rPr>
                      <w:bCs/>
                      <w:color w:val="auto"/>
                      <w:sz w:val="21"/>
                      <w:szCs w:val="21"/>
                    </w:rPr>
                  </w:pPr>
                </w:p>
              </w:tc>
              <w:tc>
                <w:tcPr>
                  <w:tcW w:w="836" w:type="dxa"/>
                  <w:vMerge w:val="continue"/>
                  <w:vAlign w:val="center"/>
                </w:tcPr>
                <w:p>
                  <w:pPr>
                    <w:jc w:val="center"/>
                    <w:rPr>
                      <w:bCs/>
                      <w:color w:val="auto"/>
                      <w:sz w:val="21"/>
                      <w:szCs w:val="21"/>
                    </w:rPr>
                  </w:pPr>
                </w:p>
              </w:tc>
              <w:tc>
                <w:tcPr>
                  <w:tcW w:w="1134" w:type="dxa"/>
                  <w:vMerge w:val="continue"/>
                  <w:vAlign w:val="center"/>
                </w:tcPr>
                <w:p>
                  <w:pPr>
                    <w:jc w:val="center"/>
                    <w:rPr>
                      <w:bCs/>
                      <w:color w:val="auto"/>
                      <w:sz w:val="21"/>
                      <w:szCs w:val="21"/>
                    </w:rPr>
                  </w:pPr>
                </w:p>
              </w:tc>
              <w:tc>
                <w:tcPr>
                  <w:tcW w:w="727" w:type="dxa"/>
                  <w:vMerge w:val="continue"/>
                  <w:vAlign w:val="center"/>
                </w:tcPr>
                <w:p>
                  <w:pPr>
                    <w:jc w:val="center"/>
                    <w:rPr>
                      <w:bCs/>
                      <w:color w:val="auto"/>
                      <w:sz w:val="21"/>
                      <w:szCs w:val="21"/>
                    </w:rPr>
                  </w:pPr>
                </w:p>
              </w:tc>
              <w:tc>
                <w:tcPr>
                  <w:tcW w:w="951" w:type="dxa"/>
                  <w:vMerge w:val="continue"/>
                  <w:vAlign w:val="center"/>
                </w:tcPr>
                <w:p>
                  <w:pPr>
                    <w:jc w:val="center"/>
                    <w:rPr>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2" w:type="dxa"/>
                  <w:vMerge w:val="continue"/>
                  <w:vAlign w:val="center"/>
                </w:tcPr>
                <w:p>
                  <w:pPr>
                    <w:jc w:val="center"/>
                    <w:rPr>
                      <w:bCs/>
                      <w:color w:val="auto"/>
                      <w:sz w:val="21"/>
                      <w:szCs w:val="21"/>
                    </w:rPr>
                  </w:pPr>
                </w:p>
              </w:tc>
              <w:tc>
                <w:tcPr>
                  <w:tcW w:w="760" w:type="dxa"/>
                  <w:vMerge w:val="continue"/>
                  <w:vAlign w:val="center"/>
                </w:tcPr>
                <w:p>
                  <w:pPr>
                    <w:jc w:val="center"/>
                    <w:rPr>
                      <w:bCs/>
                      <w:color w:val="auto"/>
                      <w:sz w:val="21"/>
                      <w:szCs w:val="21"/>
                    </w:rPr>
                  </w:pPr>
                </w:p>
              </w:tc>
              <w:tc>
                <w:tcPr>
                  <w:tcW w:w="1299" w:type="dxa"/>
                  <w:vMerge w:val="continue"/>
                  <w:vAlign w:val="center"/>
                </w:tcPr>
                <w:p>
                  <w:pPr>
                    <w:pStyle w:val="68"/>
                    <w:spacing w:line="240" w:lineRule="auto"/>
                    <w:rPr>
                      <w:rFonts w:ascii="Times New Roman" w:hAnsi="Times New Roman" w:eastAsia="宋体" w:cs="Times New Roman"/>
                      <w:color w:val="auto"/>
                      <w:sz w:val="21"/>
                      <w:szCs w:val="21"/>
                    </w:rPr>
                  </w:pPr>
                </w:p>
              </w:tc>
              <w:tc>
                <w:tcPr>
                  <w:tcW w:w="952" w:type="dxa"/>
                  <w:vMerge w:val="continue"/>
                  <w:vAlign w:val="center"/>
                </w:tcPr>
                <w:p>
                  <w:pPr>
                    <w:pStyle w:val="68"/>
                    <w:spacing w:line="240" w:lineRule="auto"/>
                    <w:rPr>
                      <w:rFonts w:ascii="Times New Roman" w:hAnsi="Times New Roman" w:eastAsia="宋体" w:cs="Times New Roman"/>
                      <w:color w:val="auto"/>
                      <w:sz w:val="21"/>
                      <w:szCs w:val="21"/>
                    </w:rPr>
                  </w:pPr>
                </w:p>
              </w:tc>
              <w:tc>
                <w:tcPr>
                  <w:tcW w:w="1427" w:type="dxa"/>
                  <w:vAlign w:val="center"/>
                </w:tcPr>
                <w:p>
                  <w:pPr>
                    <w:adjustRightInd w:val="0"/>
                    <w:snapToGrid w:val="0"/>
                    <w:jc w:val="center"/>
                    <w:rPr>
                      <w:color w:val="auto"/>
                      <w:sz w:val="21"/>
                      <w:szCs w:val="21"/>
                    </w:rPr>
                  </w:pPr>
                  <w:r>
                    <w:rPr>
                      <w:color w:val="auto"/>
                      <w:sz w:val="21"/>
                      <w:szCs w:val="21"/>
                    </w:rPr>
                    <w:t>841-004-01</w:t>
                  </w:r>
                </w:p>
              </w:tc>
              <w:tc>
                <w:tcPr>
                  <w:tcW w:w="475" w:type="dxa"/>
                  <w:vMerge w:val="continue"/>
                  <w:vAlign w:val="center"/>
                </w:tcPr>
                <w:p>
                  <w:pPr>
                    <w:jc w:val="center"/>
                    <w:rPr>
                      <w:bCs/>
                      <w:color w:val="auto"/>
                      <w:sz w:val="21"/>
                      <w:szCs w:val="21"/>
                    </w:rPr>
                  </w:pPr>
                </w:p>
              </w:tc>
              <w:tc>
                <w:tcPr>
                  <w:tcW w:w="836" w:type="dxa"/>
                  <w:vMerge w:val="continue"/>
                  <w:vAlign w:val="center"/>
                </w:tcPr>
                <w:p>
                  <w:pPr>
                    <w:jc w:val="center"/>
                    <w:rPr>
                      <w:bCs/>
                      <w:color w:val="auto"/>
                      <w:sz w:val="21"/>
                      <w:szCs w:val="21"/>
                    </w:rPr>
                  </w:pPr>
                </w:p>
              </w:tc>
              <w:tc>
                <w:tcPr>
                  <w:tcW w:w="1134" w:type="dxa"/>
                  <w:vMerge w:val="continue"/>
                  <w:vAlign w:val="center"/>
                </w:tcPr>
                <w:p>
                  <w:pPr>
                    <w:jc w:val="center"/>
                    <w:rPr>
                      <w:bCs/>
                      <w:color w:val="auto"/>
                      <w:sz w:val="21"/>
                      <w:szCs w:val="21"/>
                    </w:rPr>
                  </w:pPr>
                </w:p>
              </w:tc>
              <w:tc>
                <w:tcPr>
                  <w:tcW w:w="727" w:type="dxa"/>
                  <w:vMerge w:val="continue"/>
                  <w:vAlign w:val="center"/>
                </w:tcPr>
                <w:p>
                  <w:pPr>
                    <w:jc w:val="center"/>
                    <w:rPr>
                      <w:bCs/>
                      <w:color w:val="auto"/>
                      <w:sz w:val="21"/>
                      <w:szCs w:val="21"/>
                    </w:rPr>
                  </w:pPr>
                </w:p>
              </w:tc>
              <w:tc>
                <w:tcPr>
                  <w:tcW w:w="951" w:type="dxa"/>
                  <w:vMerge w:val="continue"/>
                  <w:vAlign w:val="center"/>
                </w:tcPr>
                <w:p>
                  <w:pPr>
                    <w:jc w:val="center"/>
                    <w:rPr>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2" w:type="dxa"/>
                  <w:vMerge w:val="continue"/>
                  <w:vAlign w:val="center"/>
                </w:tcPr>
                <w:p>
                  <w:pPr>
                    <w:jc w:val="center"/>
                    <w:rPr>
                      <w:bCs/>
                      <w:color w:val="auto"/>
                      <w:sz w:val="21"/>
                      <w:szCs w:val="21"/>
                    </w:rPr>
                  </w:pPr>
                </w:p>
              </w:tc>
              <w:tc>
                <w:tcPr>
                  <w:tcW w:w="760" w:type="dxa"/>
                  <w:vMerge w:val="continue"/>
                  <w:vAlign w:val="center"/>
                </w:tcPr>
                <w:p>
                  <w:pPr>
                    <w:jc w:val="center"/>
                    <w:rPr>
                      <w:bCs/>
                      <w:color w:val="auto"/>
                      <w:sz w:val="21"/>
                      <w:szCs w:val="21"/>
                    </w:rPr>
                  </w:pPr>
                </w:p>
              </w:tc>
              <w:tc>
                <w:tcPr>
                  <w:tcW w:w="1299" w:type="dxa"/>
                  <w:vMerge w:val="continue"/>
                  <w:vAlign w:val="center"/>
                </w:tcPr>
                <w:p>
                  <w:pPr>
                    <w:pStyle w:val="68"/>
                    <w:spacing w:line="240" w:lineRule="auto"/>
                    <w:rPr>
                      <w:rFonts w:ascii="Times New Roman" w:hAnsi="Times New Roman" w:eastAsia="宋体" w:cs="Times New Roman"/>
                      <w:color w:val="auto"/>
                      <w:sz w:val="21"/>
                      <w:szCs w:val="21"/>
                    </w:rPr>
                  </w:pPr>
                </w:p>
              </w:tc>
              <w:tc>
                <w:tcPr>
                  <w:tcW w:w="952" w:type="dxa"/>
                  <w:vMerge w:val="continue"/>
                  <w:vAlign w:val="center"/>
                </w:tcPr>
                <w:p>
                  <w:pPr>
                    <w:pStyle w:val="68"/>
                    <w:spacing w:line="240" w:lineRule="auto"/>
                    <w:rPr>
                      <w:rFonts w:ascii="Times New Roman" w:hAnsi="Times New Roman" w:eastAsia="宋体" w:cs="Times New Roman"/>
                      <w:color w:val="auto"/>
                      <w:sz w:val="21"/>
                      <w:szCs w:val="21"/>
                    </w:rPr>
                  </w:pPr>
                </w:p>
              </w:tc>
              <w:tc>
                <w:tcPr>
                  <w:tcW w:w="1427" w:type="dxa"/>
                  <w:vAlign w:val="center"/>
                </w:tcPr>
                <w:p>
                  <w:pPr>
                    <w:adjustRightInd w:val="0"/>
                    <w:snapToGrid w:val="0"/>
                    <w:jc w:val="center"/>
                    <w:rPr>
                      <w:color w:val="auto"/>
                      <w:sz w:val="21"/>
                      <w:szCs w:val="21"/>
                    </w:rPr>
                  </w:pPr>
                  <w:r>
                    <w:rPr>
                      <w:color w:val="auto"/>
                      <w:sz w:val="21"/>
                      <w:szCs w:val="21"/>
                    </w:rPr>
                    <w:t>841-005-01</w:t>
                  </w:r>
                </w:p>
              </w:tc>
              <w:tc>
                <w:tcPr>
                  <w:tcW w:w="475" w:type="dxa"/>
                  <w:vMerge w:val="continue"/>
                  <w:vAlign w:val="center"/>
                </w:tcPr>
                <w:p>
                  <w:pPr>
                    <w:jc w:val="center"/>
                    <w:rPr>
                      <w:bCs/>
                      <w:color w:val="auto"/>
                      <w:sz w:val="21"/>
                      <w:szCs w:val="21"/>
                    </w:rPr>
                  </w:pPr>
                </w:p>
              </w:tc>
              <w:tc>
                <w:tcPr>
                  <w:tcW w:w="836" w:type="dxa"/>
                  <w:vMerge w:val="continue"/>
                  <w:vAlign w:val="center"/>
                </w:tcPr>
                <w:p>
                  <w:pPr>
                    <w:jc w:val="center"/>
                    <w:rPr>
                      <w:bCs/>
                      <w:color w:val="auto"/>
                      <w:sz w:val="21"/>
                      <w:szCs w:val="21"/>
                    </w:rPr>
                  </w:pPr>
                </w:p>
              </w:tc>
              <w:tc>
                <w:tcPr>
                  <w:tcW w:w="1134" w:type="dxa"/>
                  <w:vMerge w:val="continue"/>
                  <w:vAlign w:val="center"/>
                </w:tcPr>
                <w:p>
                  <w:pPr>
                    <w:jc w:val="center"/>
                    <w:rPr>
                      <w:bCs/>
                      <w:color w:val="auto"/>
                      <w:sz w:val="21"/>
                      <w:szCs w:val="21"/>
                    </w:rPr>
                  </w:pPr>
                </w:p>
              </w:tc>
              <w:tc>
                <w:tcPr>
                  <w:tcW w:w="727" w:type="dxa"/>
                  <w:vMerge w:val="continue"/>
                  <w:vAlign w:val="center"/>
                </w:tcPr>
                <w:p>
                  <w:pPr>
                    <w:jc w:val="center"/>
                    <w:rPr>
                      <w:bCs/>
                      <w:color w:val="auto"/>
                      <w:sz w:val="21"/>
                      <w:szCs w:val="21"/>
                    </w:rPr>
                  </w:pPr>
                </w:p>
              </w:tc>
              <w:tc>
                <w:tcPr>
                  <w:tcW w:w="951" w:type="dxa"/>
                  <w:vMerge w:val="continue"/>
                  <w:vAlign w:val="center"/>
                </w:tcPr>
                <w:p>
                  <w:pPr>
                    <w:jc w:val="center"/>
                    <w:rPr>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2" w:type="dxa"/>
                  <w:vAlign w:val="center"/>
                </w:tcPr>
                <w:p>
                  <w:pPr>
                    <w:jc w:val="center"/>
                    <w:rPr>
                      <w:bCs/>
                      <w:color w:val="auto"/>
                      <w:sz w:val="21"/>
                      <w:szCs w:val="21"/>
                    </w:rPr>
                  </w:pPr>
                  <w:r>
                    <w:rPr>
                      <w:bCs/>
                      <w:color w:val="auto"/>
                      <w:sz w:val="21"/>
                      <w:szCs w:val="21"/>
                    </w:rPr>
                    <w:t>2</w:t>
                  </w:r>
                </w:p>
              </w:tc>
              <w:tc>
                <w:tcPr>
                  <w:tcW w:w="760" w:type="dxa"/>
                  <w:vMerge w:val="continue"/>
                  <w:vAlign w:val="center"/>
                </w:tcPr>
                <w:p>
                  <w:pPr>
                    <w:jc w:val="center"/>
                    <w:rPr>
                      <w:bCs/>
                      <w:color w:val="auto"/>
                      <w:sz w:val="21"/>
                      <w:szCs w:val="21"/>
                    </w:rPr>
                  </w:pPr>
                </w:p>
              </w:tc>
              <w:tc>
                <w:tcPr>
                  <w:tcW w:w="1299" w:type="dxa"/>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污水处理站污泥</w:t>
                  </w:r>
                </w:p>
              </w:tc>
              <w:tc>
                <w:tcPr>
                  <w:tcW w:w="952" w:type="dxa"/>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kern w:val="0"/>
                      <w:sz w:val="21"/>
                      <w:szCs w:val="21"/>
                    </w:rPr>
                    <w:t>HW01</w:t>
                  </w:r>
                </w:p>
              </w:tc>
              <w:tc>
                <w:tcPr>
                  <w:tcW w:w="1427" w:type="dxa"/>
                  <w:vAlign w:val="center"/>
                </w:tcPr>
                <w:p>
                  <w:pPr>
                    <w:pStyle w:val="68"/>
                    <w:spacing w:line="240" w:lineRule="auto"/>
                    <w:rPr>
                      <w:rFonts w:ascii="Times New Roman" w:hAnsi="Times New Roman" w:eastAsia="宋体" w:cs="Times New Roman"/>
                      <w:color w:val="auto"/>
                      <w:sz w:val="21"/>
                      <w:szCs w:val="21"/>
                    </w:rPr>
                  </w:pPr>
                  <w:bookmarkStart w:id="6" w:name="_GoBack"/>
                  <w:bookmarkEnd w:id="6"/>
                  <w:r>
                    <w:rPr>
                      <w:rFonts w:ascii="Times New Roman" w:hAnsi="Times New Roman" w:eastAsia="宋体" w:cs="Times New Roman"/>
                      <w:color w:val="auto"/>
                      <w:sz w:val="21"/>
                      <w:szCs w:val="21"/>
                    </w:rPr>
                    <w:t>841-001-01</w:t>
                  </w:r>
                </w:p>
              </w:tc>
              <w:tc>
                <w:tcPr>
                  <w:tcW w:w="475" w:type="dxa"/>
                  <w:vMerge w:val="continue"/>
                  <w:vAlign w:val="center"/>
                </w:tcPr>
                <w:p>
                  <w:pPr>
                    <w:jc w:val="center"/>
                    <w:rPr>
                      <w:bCs/>
                      <w:color w:val="auto"/>
                      <w:sz w:val="21"/>
                      <w:szCs w:val="21"/>
                    </w:rPr>
                  </w:pPr>
                </w:p>
              </w:tc>
              <w:tc>
                <w:tcPr>
                  <w:tcW w:w="836" w:type="dxa"/>
                  <w:vMerge w:val="continue"/>
                  <w:vAlign w:val="center"/>
                </w:tcPr>
                <w:p>
                  <w:pPr>
                    <w:jc w:val="center"/>
                    <w:rPr>
                      <w:bCs/>
                      <w:color w:val="auto"/>
                      <w:sz w:val="21"/>
                      <w:szCs w:val="21"/>
                    </w:rPr>
                  </w:pPr>
                </w:p>
              </w:tc>
              <w:tc>
                <w:tcPr>
                  <w:tcW w:w="1134" w:type="dxa"/>
                  <w:vAlign w:val="center"/>
                </w:tcPr>
                <w:p>
                  <w:pPr>
                    <w:jc w:val="center"/>
                    <w:rPr>
                      <w:bCs/>
                      <w:color w:val="auto"/>
                      <w:sz w:val="21"/>
                      <w:szCs w:val="21"/>
                    </w:rPr>
                  </w:pPr>
                  <w:r>
                    <w:rPr>
                      <w:bCs/>
                      <w:color w:val="auto"/>
                      <w:sz w:val="21"/>
                      <w:szCs w:val="21"/>
                    </w:rPr>
                    <w:t>桶装、密封</w:t>
                  </w:r>
                </w:p>
              </w:tc>
              <w:tc>
                <w:tcPr>
                  <w:tcW w:w="727" w:type="dxa"/>
                  <w:vMerge w:val="continue"/>
                  <w:vAlign w:val="center"/>
                </w:tcPr>
                <w:p>
                  <w:pPr>
                    <w:jc w:val="center"/>
                    <w:rPr>
                      <w:bCs/>
                      <w:color w:val="auto"/>
                      <w:sz w:val="21"/>
                      <w:szCs w:val="21"/>
                    </w:rPr>
                  </w:pPr>
                </w:p>
              </w:tc>
              <w:tc>
                <w:tcPr>
                  <w:tcW w:w="951" w:type="dxa"/>
                  <w:vAlign w:val="center"/>
                </w:tcPr>
                <w:p>
                  <w:pPr>
                    <w:jc w:val="center"/>
                    <w:rPr>
                      <w:rFonts w:hint="eastAsia" w:eastAsia="宋体"/>
                      <w:bCs/>
                      <w:color w:val="auto"/>
                      <w:sz w:val="21"/>
                      <w:szCs w:val="21"/>
                      <w:lang w:eastAsia="zh-CN"/>
                    </w:rPr>
                  </w:pPr>
                  <w:r>
                    <w:rPr>
                      <w:color w:val="auto"/>
                      <w:sz w:val="21"/>
                      <w:szCs w:val="21"/>
                    </w:rPr>
                    <w:t>即产即清</w:t>
                  </w:r>
                </w:p>
              </w:tc>
            </w:tr>
          </w:tbl>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jc w:val="lef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本项目设置的</w:t>
            </w:r>
            <w:r>
              <w:rPr>
                <w:rFonts w:hint="eastAsia" w:cs="Times New Roman"/>
                <w:color w:val="auto"/>
                <w:sz w:val="24"/>
                <w:szCs w:val="24"/>
                <w:lang w:eastAsia="zh-CN"/>
              </w:rPr>
              <w:t>危废间</w:t>
            </w:r>
            <w:r>
              <w:rPr>
                <w:rFonts w:hint="default" w:ascii="Times New Roman" w:hAnsi="Times New Roman" w:cs="Times New Roman"/>
                <w:color w:val="auto"/>
                <w:sz w:val="24"/>
                <w:szCs w:val="24"/>
              </w:rPr>
              <w:t>所应满足如下要求：</w:t>
            </w:r>
          </w:p>
          <w:p>
            <w:pPr>
              <w:spacing w:line="360" w:lineRule="auto"/>
              <w:ind w:firstLine="480" w:firstLineChars="200"/>
              <w:jc w:val="both"/>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A</w:t>
            </w:r>
            <w:r>
              <w:rPr>
                <w:rFonts w:hint="default" w:ascii="Times New Roman" w:hAnsi="Times New Roman" w:cs="Times New Roman"/>
                <w:color w:val="auto"/>
                <w:sz w:val="24"/>
                <w:szCs w:val="24"/>
              </w:rPr>
              <w:t>贮存物质相容性要求：在常温常压下不水解、不挥发的固体危险废物可在贮存场所内分别堆放，除此之外的其他危险废物必须存放于容器中，存放用容器也需符合（</w:t>
            </w:r>
            <w:r>
              <w:rPr>
                <w:rFonts w:hint="eastAsia" w:cs="Times New Roman"/>
                <w:color w:val="auto"/>
                <w:sz w:val="24"/>
                <w:szCs w:val="24"/>
                <w:lang w:eastAsia="zh-CN"/>
              </w:rPr>
              <w:t>GB18597-2023</w:t>
            </w:r>
            <w:r>
              <w:rPr>
                <w:rFonts w:hint="default" w:ascii="Times New Roman" w:hAnsi="Times New Roman" w:cs="Times New Roman"/>
                <w:color w:val="auto"/>
                <w:sz w:val="24"/>
                <w:szCs w:val="24"/>
              </w:rPr>
              <w:t>）标准的相关规定；禁止将不相容（相互反应）的危险废物在同一容器中存放；无法装入常用容器的危险废物可用防漏胶袋等盛装。</w:t>
            </w:r>
          </w:p>
          <w:p>
            <w:pPr>
              <w:spacing w:line="360" w:lineRule="auto"/>
              <w:ind w:firstLine="480" w:firstLineChars="20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B</w:t>
            </w:r>
            <w:r>
              <w:rPr>
                <w:rFonts w:hint="default" w:ascii="Times New Roman" w:hAnsi="Times New Roman" w:cs="Times New Roman"/>
                <w:color w:val="auto"/>
                <w:sz w:val="24"/>
                <w:szCs w:val="24"/>
              </w:rPr>
              <w:t>包装容器要求：危险废物贮存容器应当使用符合标准的容器盛装危险废物，装载危险废物的容器及材质要满足相应的强度要求，完好无损，盛装危险废物的容器材质和衬里要与危险废物相容。</w:t>
            </w:r>
          </w:p>
          <w:p>
            <w:pPr>
              <w:spacing w:line="360" w:lineRule="auto"/>
              <w:ind w:firstLine="480" w:firstLineChars="20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C</w:t>
            </w:r>
            <w:r>
              <w:rPr>
                <w:rFonts w:hint="default" w:ascii="Times New Roman" w:hAnsi="Times New Roman" w:cs="Times New Roman"/>
                <w:color w:val="auto"/>
                <w:sz w:val="24"/>
                <w:szCs w:val="24"/>
              </w:rPr>
              <w:t>危险废物贮存场所要求：建设项目</w:t>
            </w:r>
            <w:r>
              <w:rPr>
                <w:rFonts w:hint="eastAsia" w:cs="Times New Roman"/>
                <w:color w:val="auto"/>
                <w:sz w:val="24"/>
                <w:szCs w:val="24"/>
                <w:lang w:eastAsia="zh-CN"/>
              </w:rPr>
              <w:t>危废间</w:t>
            </w:r>
            <w:r>
              <w:rPr>
                <w:rFonts w:hint="default" w:ascii="Times New Roman" w:hAnsi="Times New Roman" w:cs="Times New Roman"/>
                <w:color w:val="auto"/>
                <w:sz w:val="24"/>
                <w:szCs w:val="24"/>
              </w:rPr>
              <w:t>拟按照《危险废物贮存污染控制标准》（</w:t>
            </w:r>
            <w:r>
              <w:rPr>
                <w:rFonts w:hint="eastAsia" w:cs="Times New Roman"/>
                <w:color w:val="auto"/>
                <w:sz w:val="24"/>
                <w:szCs w:val="24"/>
                <w:lang w:eastAsia="zh-CN"/>
              </w:rPr>
              <w:t>GB18597-2023</w:t>
            </w:r>
            <w:r>
              <w:rPr>
                <w:rFonts w:hint="default" w:ascii="Times New Roman" w:hAnsi="Times New Roman" w:cs="Times New Roman"/>
                <w:color w:val="auto"/>
                <w:sz w:val="24"/>
                <w:szCs w:val="24"/>
              </w:rPr>
              <w:t>）的相关要求建设：地面设置防渗层，</w:t>
            </w:r>
            <w:r>
              <w:rPr>
                <w:rFonts w:hint="default" w:ascii="Times New Roman" w:hAnsi="Times New Roman" w:cs="Times New Roman"/>
                <w:color w:val="auto"/>
                <w:sz w:val="24"/>
                <w:szCs w:val="24"/>
                <w:lang w:eastAsia="zh-CN"/>
              </w:rPr>
              <w:t>应建有堵截泄露的裙脚，地面和裙脚要用坚固防漏的材料</w:t>
            </w:r>
            <w:r>
              <w:rPr>
                <w:rFonts w:hint="default" w:ascii="Times New Roman" w:hAnsi="Times New Roman" w:cs="Times New Roman"/>
                <w:color w:val="auto"/>
                <w:sz w:val="24"/>
                <w:szCs w:val="24"/>
              </w:rPr>
              <w:t>，配备通讯设备、照明设施、安全防护服装及工具，并设有应急防护设施；在危险废物仓库出入口、设施内部、危险废物运输车辆通道等关键位置按照危险废物贮存设施视频监控布设要求设置视频监控，并与中控室联网。对危险废物的容器和包装物以及收集、贮存、运输、处置危险废物的设施、场所，拟设置危险废物识别标志。</w:t>
            </w:r>
          </w:p>
          <w:p>
            <w:pPr>
              <w:spacing w:line="360" w:lineRule="auto"/>
              <w:ind w:firstLine="480" w:firstLineChars="20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危废贮存过程必须分类存放、贮存，并必须要做到防雨、防渗、防漏、防扬散、防流失及其他防止污染环境的措施，不得随意露天堆放，地面进行耐腐蚀硬化处理，地基须防渗，地面表面无裂缝；不相容的危险废物需分类存放，并设置隔离间隔断；具备警示标识等方面内容。由于医疗废物含大量细菌、病毒，具有传染性，还需定期对</w:t>
            </w:r>
            <w:r>
              <w:rPr>
                <w:rFonts w:hint="eastAsia" w:cs="Times New Roman"/>
                <w:color w:val="auto"/>
                <w:sz w:val="24"/>
                <w:szCs w:val="24"/>
                <w:lang w:eastAsia="zh-CN"/>
              </w:rPr>
              <w:t>危废间</w:t>
            </w:r>
            <w:r>
              <w:rPr>
                <w:rFonts w:hint="default" w:ascii="Times New Roman" w:hAnsi="Times New Roman" w:cs="Times New Roman"/>
                <w:color w:val="auto"/>
                <w:sz w:val="24"/>
                <w:szCs w:val="24"/>
              </w:rPr>
              <w:t>内部进行消毒。</w:t>
            </w:r>
          </w:p>
          <w:p>
            <w:pPr>
              <w:keepNext w:val="0"/>
              <w:keepLines w:val="0"/>
              <w:pageBreakBefore w:val="0"/>
              <w:widowControl w:val="0"/>
              <w:kinsoku/>
              <w:wordWrap/>
              <w:overflowPunct/>
              <w:topLinePunct w:val="0"/>
              <w:bidi w:val="0"/>
              <w:spacing w:line="360" w:lineRule="auto"/>
              <w:ind w:firstLine="480" w:firstLineChars="200"/>
              <w:jc w:val="lef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D</w:t>
            </w:r>
            <w:r>
              <w:rPr>
                <w:rFonts w:hint="default" w:ascii="Times New Roman" w:hAnsi="Times New Roman" w:cs="Times New Roman"/>
                <w:color w:val="auto"/>
                <w:sz w:val="24"/>
                <w:szCs w:val="24"/>
              </w:rPr>
              <w:t>危险废物暂存管理要求：</w:t>
            </w:r>
            <w:r>
              <w:rPr>
                <w:rFonts w:hint="eastAsia" w:cs="Times New Roman"/>
                <w:color w:val="auto"/>
                <w:sz w:val="24"/>
                <w:szCs w:val="24"/>
                <w:lang w:eastAsia="zh-CN"/>
              </w:rPr>
              <w:t>危废间</w:t>
            </w:r>
            <w:r>
              <w:rPr>
                <w:rFonts w:hint="default" w:ascii="Times New Roman" w:hAnsi="Times New Roman" w:cs="Times New Roman"/>
                <w:color w:val="auto"/>
                <w:sz w:val="24"/>
                <w:szCs w:val="24"/>
              </w:rPr>
              <w:t>设立危险废物进出入台账登记管理制度，记录每次运送流程和处置去向，严格执行危险废物电子联单制度，实行对危险废物从源头到终端处理的全过程监管，确保危险废物100%得到安全处置。</w:t>
            </w:r>
          </w:p>
          <w:p>
            <w:pPr>
              <w:pStyle w:val="31"/>
              <w:keepNext w:val="0"/>
              <w:keepLines w:val="0"/>
              <w:pageBreakBefore w:val="0"/>
              <w:widowControl w:val="0"/>
              <w:kinsoku/>
              <w:wordWrap/>
              <w:overflowPunct/>
              <w:topLinePunct w:val="0"/>
              <w:bidi w:val="0"/>
              <w:spacing w:line="360" w:lineRule="auto"/>
              <w:ind w:firstLine="480" w:firstLineChars="200"/>
              <w:textAlignment w:val="auto"/>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E医疗废物贮存时间要求：根据《</w:t>
            </w:r>
            <w:r>
              <w:rPr>
                <w:rFonts w:hint="default" w:ascii="Times New Roman" w:hAnsi="Times New Roman" w:eastAsia="宋体" w:cs="Times New Roman"/>
                <w:color w:val="auto"/>
                <w:kern w:val="2"/>
                <w:sz w:val="24"/>
                <w:szCs w:val="24"/>
                <w:lang w:val="en-US" w:eastAsia="zh-CN" w:bidi="ar-SA"/>
              </w:rPr>
              <w:t>医疗废物管理条例</w:t>
            </w:r>
            <w:r>
              <w:rPr>
                <w:rFonts w:hint="eastAsia" w:ascii="Times New Roman" w:hAnsi="Times New Roman" w:eastAsia="宋体" w:cs="Times New Roman"/>
                <w:color w:val="auto"/>
                <w:kern w:val="2"/>
                <w:sz w:val="24"/>
                <w:szCs w:val="24"/>
                <w:lang w:val="en-US" w:eastAsia="zh-CN" w:bidi="ar-SA"/>
              </w:rPr>
              <w:t>》，医疗废物暂时贮存的时间不得超过2天。</w:t>
            </w:r>
          </w:p>
          <w:p>
            <w:pPr>
              <w:keepNext w:val="0"/>
              <w:keepLines w:val="0"/>
              <w:pageBreakBefore w:val="0"/>
              <w:widowControl w:val="0"/>
              <w:kinsoku/>
              <w:wordWrap/>
              <w:overflowPunct/>
              <w:topLinePunct w:val="0"/>
              <w:bidi w:val="0"/>
              <w:snapToGrid w:val="0"/>
              <w:spacing w:line="360" w:lineRule="auto"/>
              <w:ind w:firstLine="480" w:firstLineChars="200"/>
              <w:jc w:val="left"/>
              <w:textAlignment w:val="auto"/>
              <w:rPr>
                <w:color w:val="auto"/>
                <w:sz w:val="24"/>
                <w:szCs w:val="24"/>
              </w:rPr>
            </w:pPr>
            <w:r>
              <w:rPr>
                <w:color w:val="auto"/>
                <w:sz w:val="24"/>
                <w:szCs w:val="24"/>
              </w:rPr>
              <w:t>（</w:t>
            </w:r>
            <w:r>
              <w:rPr>
                <w:rFonts w:hint="eastAsia"/>
                <w:color w:val="auto"/>
                <w:sz w:val="24"/>
                <w:szCs w:val="24"/>
                <w:lang w:val="en-US" w:eastAsia="zh-CN"/>
              </w:rPr>
              <w:t>7</w:t>
            </w:r>
            <w:r>
              <w:rPr>
                <w:color w:val="auto"/>
                <w:sz w:val="24"/>
                <w:szCs w:val="24"/>
              </w:rPr>
              <w:t>）对环境敏感保护目标的影响：</w:t>
            </w:r>
          </w:p>
          <w:p>
            <w:pPr>
              <w:spacing w:line="360" w:lineRule="auto"/>
              <w:ind w:firstLine="480" w:firstLineChars="200"/>
              <w:jc w:val="left"/>
              <w:rPr>
                <w:color w:val="auto"/>
                <w:sz w:val="24"/>
                <w:szCs w:val="24"/>
              </w:rPr>
            </w:pPr>
            <w:r>
              <w:rPr>
                <w:color w:val="auto"/>
                <w:sz w:val="24"/>
                <w:szCs w:val="24"/>
              </w:rPr>
              <w:t>本项目暂存的危险废物都按要求妥善保管，暂存场地地面按控制标准的要求做了防渗漏处理，一旦发生泄漏事故及时采取控制措施，环境风险水平在可控制范围内。</w:t>
            </w:r>
          </w:p>
          <w:p>
            <w:pPr>
              <w:pStyle w:val="24"/>
              <w:spacing w:after="0" w:line="360" w:lineRule="auto"/>
              <w:ind w:left="-17" w:leftChars="-8"/>
              <w:jc w:val="left"/>
              <w:rPr>
                <w:color w:val="auto"/>
                <w:sz w:val="24"/>
                <w:szCs w:val="24"/>
              </w:rPr>
            </w:pPr>
            <w:r>
              <w:rPr>
                <w:color w:val="auto"/>
                <w:sz w:val="24"/>
                <w:szCs w:val="24"/>
              </w:rPr>
              <w:t>综上，本项目危废发生少量泄漏事件，可及时收集，能及时处置，影响不会扩散，能够控制场区内，环境风险可接受。</w:t>
            </w:r>
          </w:p>
          <w:p>
            <w:pPr>
              <w:spacing w:line="360" w:lineRule="auto"/>
              <w:ind w:firstLine="480" w:firstLineChars="200"/>
              <w:jc w:val="left"/>
              <w:rPr>
                <w:color w:val="auto"/>
                <w:sz w:val="24"/>
                <w:szCs w:val="24"/>
              </w:rPr>
            </w:pPr>
            <w:r>
              <w:rPr>
                <w:bCs/>
                <w:color w:val="auto"/>
                <w:sz w:val="24"/>
                <w:szCs w:val="24"/>
              </w:rPr>
              <w:t>（</w:t>
            </w:r>
            <w:r>
              <w:rPr>
                <w:rFonts w:hint="eastAsia"/>
                <w:bCs/>
                <w:color w:val="auto"/>
                <w:sz w:val="24"/>
                <w:szCs w:val="24"/>
                <w:lang w:val="en-US" w:eastAsia="zh-CN"/>
              </w:rPr>
              <w:t>8</w:t>
            </w:r>
            <w:r>
              <w:rPr>
                <w:bCs/>
                <w:color w:val="auto"/>
                <w:sz w:val="24"/>
                <w:szCs w:val="24"/>
              </w:rPr>
              <w:t>）环境管理</w:t>
            </w:r>
          </w:p>
          <w:p>
            <w:pPr>
              <w:spacing w:line="360" w:lineRule="auto"/>
              <w:ind w:firstLine="480" w:firstLineChars="200"/>
              <w:jc w:val="left"/>
              <w:rPr>
                <w:color w:val="auto"/>
                <w:sz w:val="24"/>
                <w:szCs w:val="24"/>
              </w:rPr>
            </w:pPr>
            <w:r>
              <w:rPr>
                <w:color w:val="auto"/>
                <w:sz w:val="24"/>
                <w:szCs w:val="24"/>
              </w:rPr>
              <w:t>针对本项目正常运行阶段所产生的危险废物的日常管理提出要求：</w:t>
            </w:r>
          </w:p>
          <w:p>
            <w:pPr>
              <w:spacing w:line="360" w:lineRule="auto"/>
              <w:ind w:firstLine="480" w:firstLineChars="200"/>
              <w:jc w:val="left"/>
              <w:rPr>
                <w:color w:val="auto"/>
                <w:sz w:val="24"/>
                <w:szCs w:val="24"/>
              </w:rPr>
            </w:pPr>
            <w:r>
              <w:rPr>
                <w:rFonts w:hint="eastAsia"/>
                <w:color w:val="auto"/>
                <w:sz w:val="24"/>
                <w:szCs w:val="24"/>
                <w:lang w:eastAsia="zh-CN"/>
              </w:rPr>
              <w:t>①</w:t>
            </w:r>
            <w:r>
              <w:rPr>
                <w:color w:val="auto"/>
                <w:sz w:val="24"/>
                <w:szCs w:val="24"/>
              </w:rPr>
              <w:t>履行申报登记制度；</w:t>
            </w:r>
          </w:p>
          <w:p>
            <w:pPr>
              <w:spacing w:line="360" w:lineRule="auto"/>
              <w:ind w:firstLine="480" w:firstLineChars="200"/>
              <w:jc w:val="left"/>
              <w:rPr>
                <w:color w:val="auto"/>
                <w:sz w:val="24"/>
                <w:szCs w:val="24"/>
              </w:rPr>
            </w:pPr>
            <w:r>
              <w:rPr>
                <w:rFonts w:hint="eastAsia"/>
                <w:color w:val="auto"/>
                <w:sz w:val="24"/>
                <w:szCs w:val="24"/>
                <w:lang w:eastAsia="zh-CN"/>
              </w:rPr>
              <w:t>②</w:t>
            </w:r>
            <w:r>
              <w:rPr>
                <w:color w:val="auto"/>
                <w:sz w:val="24"/>
                <w:szCs w:val="24"/>
              </w:rPr>
              <w:t>建立台账管理制度，企业须做好危险废物情况的记录，记录上需注明危险废物的名称、来源、数量、特性和包装容器的类别；</w:t>
            </w:r>
          </w:p>
          <w:p>
            <w:pPr>
              <w:spacing w:line="360" w:lineRule="auto"/>
              <w:ind w:firstLine="480" w:firstLineChars="200"/>
              <w:jc w:val="left"/>
              <w:rPr>
                <w:color w:val="auto"/>
                <w:sz w:val="24"/>
                <w:szCs w:val="24"/>
              </w:rPr>
            </w:pPr>
            <w:r>
              <w:rPr>
                <w:rFonts w:hint="eastAsia"/>
                <w:color w:val="auto"/>
                <w:sz w:val="24"/>
                <w:szCs w:val="24"/>
                <w:lang w:eastAsia="zh-CN"/>
              </w:rPr>
              <w:t>③</w:t>
            </w:r>
            <w:r>
              <w:rPr>
                <w:color w:val="auto"/>
                <w:sz w:val="24"/>
                <w:szCs w:val="24"/>
              </w:rPr>
              <w:t>委托处置应执行报批和转移联单等制度；</w:t>
            </w:r>
          </w:p>
          <w:p>
            <w:pPr>
              <w:spacing w:line="360" w:lineRule="auto"/>
              <w:ind w:firstLine="480" w:firstLineChars="200"/>
              <w:jc w:val="left"/>
              <w:rPr>
                <w:color w:val="auto"/>
                <w:sz w:val="24"/>
                <w:szCs w:val="24"/>
              </w:rPr>
            </w:pPr>
            <w:r>
              <w:rPr>
                <w:rFonts w:hint="eastAsia"/>
                <w:color w:val="auto"/>
                <w:sz w:val="24"/>
                <w:szCs w:val="24"/>
                <w:lang w:eastAsia="zh-CN"/>
              </w:rPr>
              <w:t>④</w:t>
            </w:r>
            <w:r>
              <w:rPr>
                <w:color w:val="auto"/>
                <w:sz w:val="24"/>
                <w:szCs w:val="24"/>
              </w:rPr>
              <w:t>定期对暂存的危险废物包装容器及贮存设施进行检查，及早发现破损，及时采取措施清理更换；</w:t>
            </w:r>
          </w:p>
          <w:p>
            <w:pPr>
              <w:spacing w:line="360" w:lineRule="auto"/>
              <w:ind w:firstLine="480" w:firstLineChars="200"/>
              <w:jc w:val="left"/>
              <w:rPr>
                <w:color w:val="auto"/>
                <w:sz w:val="24"/>
                <w:szCs w:val="24"/>
              </w:rPr>
            </w:pPr>
            <w:r>
              <w:rPr>
                <w:rFonts w:hint="eastAsia"/>
                <w:color w:val="auto"/>
                <w:sz w:val="24"/>
                <w:szCs w:val="24"/>
                <w:lang w:eastAsia="zh-CN"/>
              </w:rPr>
              <w:t>⑤</w:t>
            </w:r>
            <w:r>
              <w:rPr>
                <w:color w:val="auto"/>
                <w:sz w:val="24"/>
                <w:szCs w:val="24"/>
              </w:rPr>
              <w:t>直接从事收集、贮存、运输、利用、处置危险废物的人员，应当接受专业培训，经考核合格，方可从事该项工作。</w:t>
            </w:r>
          </w:p>
          <w:p>
            <w:pPr>
              <w:spacing w:line="360" w:lineRule="auto"/>
              <w:ind w:firstLine="480" w:firstLineChars="200"/>
              <w:jc w:val="left"/>
              <w:rPr>
                <w:color w:val="auto"/>
                <w:sz w:val="24"/>
                <w:szCs w:val="24"/>
              </w:rPr>
            </w:pPr>
            <w:r>
              <w:rPr>
                <w:rFonts w:hint="eastAsia"/>
                <w:color w:val="auto"/>
                <w:sz w:val="24"/>
                <w:szCs w:val="24"/>
                <w:lang w:eastAsia="zh-CN"/>
              </w:rPr>
              <w:t>⑥</w:t>
            </w:r>
            <w:r>
              <w:rPr>
                <w:color w:val="auto"/>
                <w:sz w:val="24"/>
                <w:szCs w:val="24"/>
              </w:rPr>
              <w:t>固废贮存（处置）场所规范化设置，固体废物贮存（处置）场所应在醒目处设置标志牌。</w:t>
            </w:r>
          </w:p>
          <w:p>
            <w:pPr>
              <w:spacing w:line="360" w:lineRule="auto"/>
              <w:ind w:firstLine="480" w:firstLineChars="200"/>
              <w:jc w:val="left"/>
              <w:rPr>
                <w:color w:val="auto"/>
                <w:sz w:val="24"/>
                <w:szCs w:val="24"/>
              </w:rPr>
            </w:pPr>
            <w:r>
              <w:rPr>
                <w:rFonts w:hint="eastAsia"/>
                <w:color w:val="auto"/>
                <w:sz w:val="24"/>
                <w:szCs w:val="24"/>
                <w:lang w:eastAsia="zh-CN"/>
              </w:rPr>
              <w:t>⑦</w:t>
            </w:r>
            <w:r>
              <w:rPr>
                <w:color w:val="auto"/>
                <w:sz w:val="24"/>
                <w:szCs w:val="24"/>
              </w:rPr>
              <w:t>危废应根据其化学特性选择合适的容器和存放地点，通过密闭容器存放，不可混合贮存，容器标签必须标明废物种类、贮存时间，定期处理。</w:t>
            </w:r>
          </w:p>
          <w:p>
            <w:pPr>
              <w:spacing w:line="360" w:lineRule="auto"/>
              <w:ind w:firstLine="480" w:firstLineChars="200"/>
              <w:jc w:val="left"/>
              <w:rPr>
                <w:color w:val="auto"/>
                <w:sz w:val="24"/>
                <w:szCs w:val="24"/>
              </w:rPr>
            </w:pPr>
            <w:r>
              <w:rPr>
                <w:rFonts w:hint="eastAsia"/>
                <w:color w:val="auto"/>
                <w:sz w:val="24"/>
                <w:szCs w:val="24"/>
                <w:lang w:eastAsia="zh-CN"/>
              </w:rPr>
              <w:t>⑧</w:t>
            </w:r>
            <w:r>
              <w:rPr>
                <w:color w:val="auto"/>
                <w:sz w:val="24"/>
                <w:szCs w:val="24"/>
              </w:rPr>
              <w:t>危险废物产生单位在关键位置设置在线视频监控，企业应指定专人专职维护视频监控设施运行，定期巡视并做好相应的监控运行、维修、使用记录，保持摄像头表面整洁干净、监控拍摄位置正确、监控设施完好无损，确保视频传输图像清晰、监控设备正常稳定运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cs="Times New Roman"/>
                <w:color w:val="auto"/>
                <w:sz w:val="24"/>
                <w:szCs w:val="24"/>
                <w:lang w:eastAsia="zh-CN"/>
              </w:rPr>
            </w:pPr>
            <w:r>
              <w:rPr>
                <w:rFonts w:hint="eastAsia" w:cs="Times New Roman"/>
                <w:color w:val="auto"/>
                <w:sz w:val="24"/>
                <w:szCs w:val="24"/>
                <w:lang w:eastAsia="zh-CN"/>
              </w:rPr>
              <w:t>（</w:t>
            </w:r>
            <w:r>
              <w:rPr>
                <w:rFonts w:hint="eastAsia" w:cs="Times New Roman"/>
                <w:color w:val="auto"/>
                <w:sz w:val="24"/>
                <w:szCs w:val="24"/>
                <w:lang w:val="en-US" w:eastAsia="zh-CN"/>
              </w:rPr>
              <w:t>9</w:t>
            </w:r>
            <w:r>
              <w:rPr>
                <w:rFonts w:hint="eastAsia" w:cs="Times New Roman"/>
                <w:color w:val="auto"/>
                <w:sz w:val="24"/>
                <w:szCs w:val="24"/>
                <w:lang w:eastAsia="zh-CN"/>
              </w:rPr>
              <w:t>）监测要求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lang w:eastAsia="zh-CN"/>
              </w:rPr>
              <w:t>根据</w:t>
            </w:r>
            <w:r>
              <w:rPr>
                <w:rFonts w:hint="default" w:ascii="Times New Roman" w:hAnsi="Times New Roman" w:eastAsia="宋体" w:cs="Times New Roman"/>
                <w:color w:val="auto"/>
                <w:sz w:val="24"/>
                <w:szCs w:val="24"/>
              </w:rPr>
              <w:t>《医疗机构水污染物排放标准》（GB18466-2005）</w:t>
            </w:r>
            <w:r>
              <w:rPr>
                <w:rFonts w:hint="default" w:ascii="Times New Roman" w:hAnsi="Times New Roman" w:cs="Times New Roman"/>
                <w:color w:val="auto"/>
                <w:sz w:val="24"/>
                <w:szCs w:val="24"/>
                <w:lang w:eastAsia="zh-CN"/>
              </w:rPr>
              <w:t>中对污泥控制与处置的要求，栅渣、化粪池和污水处理站污泥属于危险废物，应按危险废物进行处理和处置；污泥清掏前应进行监测，达到下表要求。</w:t>
            </w:r>
          </w:p>
          <w:p>
            <w:pPr>
              <w:pStyle w:val="41"/>
              <w:keepNext w:val="0"/>
              <w:keepLines w:val="0"/>
              <w:pageBreakBefore w:val="0"/>
              <w:widowControl/>
              <w:kinsoku/>
              <w:wordWrap/>
              <w:overflowPunct/>
              <w:topLinePunct w:val="0"/>
              <w:autoSpaceDE/>
              <w:autoSpaceDN/>
              <w:bidi w:val="0"/>
              <w:adjustRightInd/>
              <w:snapToGrid/>
              <w:spacing w:beforeLines="0" w:afterLines="0" w:line="240" w:lineRule="auto"/>
              <w:ind w:left="198" w:hanging="198"/>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表</w:t>
            </w:r>
            <w:r>
              <w:rPr>
                <w:rFonts w:hint="eastAsia" w:ascii="Times New Roman" w:cs="Times New Roman"/>
                <w:b/>
                <w:bCs/>
                <w:color w:val="auto"/>
                <w:sz w:val="21"/>
                <w:szCs w:val="21"/>
                <w:lang w:val="en-US" w:eastAsia="zh-CN"/>
              </w:rPr>
              <w:t>4-21</w:t>
            </w:r>
            <w:r>
              <w:rPr>
                <w:rFonts w:hint="default" w:ascii="Times New Roman" w:hAnsi="Times New Roman" w:cs="Times New Roman"/>
                <w:b/>
                <w:bCs/>
                <w:color w:val="auto"/>
                <w:sz w:val="21"/>
                <w:szCs w:val="21"/>
                <w:lang w:val="en-US" w:eastAsia="zh-CN"/>
              </w:rPr>
              <w:t xml:space="preserve">  </w:t>
            </w:r>
            <w:r>
              <w:rPr>
                <w:rFonts w:hint="eastAsia" w:ascii="Times New Roman" w:hAnsi="Times New Roman" w:cs="Times New Roman"/>
                <w:b/>
                <w:bCs/>
                <w:color w:val="auto"/>
                <w:sz w:val="21"/>
                <w:szCs w:val="21"/>
                <w:lang w:val="en-US" w:eastAsia="zh-CN"/>
              </w:rPr>
              <w:t>医疗机构污泥控制</w:t>
            </w:r>
            <w:r>
              <w:rPr>
                <w:rFonts w:hint="default" w:ascii="Times New Roman" w:hAnsi="Times New Roman" w:eastAsia="宋体" w:cs="Times New Roman"/>
                <w:b/>
                <w:bCs/>
                <w:color w:val="auto"/>
                <w:sz w:val="21"/>
                <w:szCs w:val="21"/>
              </w:rPr>
              <w:t>标准</w:t>
            </w:r>
          </w:p>
          <w:tbl>
            <w:tblPr>
              <w:tblStyle w:val="2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675"/>
              <w:gridCol w:w="1793"/>
              <w:gridCol w:w="1592"/>
              <w:gridCol w:w="1303"/>
              <w:gridCol w:w="1254"/>
              <w:gridCol w:w="1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jc w:val="center"/>
              </w:trPr>
              <w:tc>
                <w:tcPr>
                  <w:tcW w:w="923" w:type="pct"/>
                  <w:vAlign w:val="center"/>
                </w:tcPr>
                <w:p>
                  <w:pPr>
                    <w:jc w:val="center"/>
                    <w:rPr>
                      <w:rFonts w:hint="eastAsia" w:ascii="Times New Roman" w:hAnsi="Times New Roman" w:eastAsia="宋体" w:cs="Times New Roman"/>
                      <w:b/>
                      <w:color w:val="auto"/>
                      <w:sz w:val="21"/>
                      <w:szCs w:val="21"/>
                      <w:lang w:eastAsia="zh-CN"/>
                    </w:rPr>
                  </w:pPr>
                  <w:r>
                    <w:rPr>
                      <w:rFonts w:hint="eastAsia" w:ascii="Times New Roman" w:hAnsi="Times New Roman" w:cs="Times New Roman"/>
                      <w:b/>
                      <w:color w:val="auto"/>
                      <w:sz w:val="21"/>
                      <w:szCs w:val="21"/>
                      <w:lang w:eastAsia="zh-CN"/>
                    </w:rPr>
                    <w:t>医疗机构类别</w:t>
                  </w:r>
                </w:p>
              </w:tc>
              <w:tc>
                <w:tcPr>
                  <w:tcW w:w="988" w:type="pct"/>
                  <w:vAlign w:val="center"/>
                </w:tcPr>
                <w:p>
                  <w:pPr>
                    <w:jc w:val="center"/>
                    <w:rPr>
                      <w:rFonts w:hint="default" w:ascii="Times New Roman" w:hAnsi="Times New Roman" w:eastAsia="宋体" w:cs="Times New Roman"/>
                      <w:b/>
                      <w:color w:val="auto"/>
                      <w:sz w:val="21"/>
                      <w:szCs w:val="21"/>
                      <w:lang w:val="en-US" w:eastAsia="zh-CN"/>
                    </w:rPr>
                  </w:pPr>
                  <w:r>
                    <w:rPr>
                      <w:rFonts w:hint="eastAsia" w:ascii="Times New Roman" w:hAnsi="Times New Roman" w:cs="Times New Roman"/>
                      <w:b/>
                      <w:color w:val="auto"/>
                      <w:sz w:val="21"/>
                      <w:szCs w:val="21"/>
                      <w:lang w:eastAsia="zh-CN"/>
                    </w:rPr>
                    <w:t>粪大肠菌群数</w:t>
                  </w:r>
                  <w:r>
                    <w:rPr>
                      <w:rFonts w:hint="eastAsia" w:ascii="Times New Roman" w:hAnsi="Times New Roman" w:cs="Times New Roman"/>
                      <w:b/>
                      <w:color w:val="auto"/>
                      <w:sz w:val="21"/>
                      <w:szCs w:val="21"/>
                      <w:lang w:val="en-US" w:eastAsia="zh-CN"/>
                    </w:rPr>
                    <w:t>/（MPN/g）</w:t>
                  </w:r>
                </w:p>
              </w:tc>
              <w:tc>
                <w:tcPr>
                  <w:tcW w:w="877" w:type="pct"/>
                  <w:vAlign w:val="center"/>
                </w:tcPr>
                <w:p>
                  <w:pPr>
                    <w:jc w:val="center"/>
                    <w:rPr>
                      <w:rFonts w:hint="eastAsia" w:ascii="Times New Roman" w:hAnsi="Times New Roman" w:eastAsia="宋体" w:cs="Times New Roman"/>
                      <w:b/>
                      <w:color w:val="auto"/>
                      <w:sz w:val="21"/>
                      <w:szCs w:val="21"/>
                      <w:lang w:eastAsia="zh-CN"/>
                    </w:rPr>
                  </w:pPr>
                  <w:r>
                    <w:rPr>
                      <w:rFonts w:hint="eastAsia" w:ascii="Times New Roman" w:hAnsi="Times New Roman" w:cs="Times New Roman"/>
                      <w:b/>
                      <w:color w:val="auto"/>
                      <w:sz w:val="21"/>
                      <w:szCs w:val="21"/>
                      <w:lang w:eastAsia="zh-CN"/>
                    </w:rPr>
                    <w:t>肠道致病菌</w:t>
                  </w:r>
                </w:p>
              </w:tc>
              <w:tc>
                <w:tcPr>
                  <w:tcW w:w="718" w:type="pct"/>
                  <w:vAlign w:val="center"/>
                </w:tcPr>
                <w:p>
                  <w:pPr>
                    <w:jc w:val="center"/>
                    <w:rPr>
                      <w:rFonts w:hint="eastAsia" w:ascii="Times New Roman" w:hAnsi="Times New Roman" w:eastAsia="宋体" w:cs="Times New Roman"/>
                      <w:b/>
                      <w:color w:val="auto"/>
                      <w:sz w:val="21"/>
                      <w:szCs w:val="21"/>
                      <w:lang w:eastAsia="zh-CN"/>
                    </w:rPr>
                  </w:pPr>
                  <w:r>
                    <w:rPr>
                      <w:rFonts w:hint="eastAsia" w:ascii="Times New Roman" w:hAnsi="Times New Roman" w:cs="Times New Roman"/>
                      <w:b/>
                      <w:color w:val="auto"/>
                      <w:sz w:val="21"/>
                      <w:szCs w:val="21"/>
                      <w:lang w:eastAsia="zh-CN"/>
                    </w:rPr>
                    <w:t>肠道病毒</w:t>
                  </w:r>
                </w:p>
              </w:tc>
              <w:tc>
                <w:tcPr>
                  <w:tcW w:w="691" w:type="pct"/>
                  <w:vAlign w:val="center"/>
                </w:tcPr>
                <w:p>
                  <w:pPr>
                    <w:jc w:val="center"/>
                    <w:rPr>
                      <w:rFonts w:hint="eastAsia" w:ascii="Times New Roman" w:hAnsi="Times New Roman" w:eastAsia="宋体" w:cs="Times New Roman"/>
                      <w:b/>
                      <w:color w:val="auto"/>
                      <w:sz w:val="21"/>
                      <w:szCs w:val="21"/>
                      <w:lang w:eastAsia="zh-CN"/>
                    </w:rPr>
                  </w:pPr>
                  <w:r>
                    <w:rPr>
                      <w:rFonts w:hint="eastAsia" w:ascii="Times New Roman" w:hAnsi="Times New Roman" w:cs="Times New Roman"/>
                      <w:b/>
                      <w:color w:val="auto"/>
                      <w:sz w:val="21"/>
                      <w:szCs w:val="21"/>
                      <w:lang w:eastAsia="zh-CN"/>
                    </w:rPr>
                    <w:t>结核杆菌</w:t>
                  </w:r>
                </w:p>
              </w:tc>
              <w:tc>
                <w:tcPr>
                  <w:tcW w:w="800" w:type="pct"/>
                  <w:vAlign w:val="center"/>
                </w:tcPr>
                <w:p>
                  <w:pPr>
                    <w:jc w:val="center"/>
                    <w:rPr>
                      <w:rFonts w:hint="eastAsia" w:ascii="Times New Roman" w:hAnsi="Times New Roman" w:eastAsia="宋体" w:cs="Times New Roman"/>
                      <w:b/>
                      <w:color w:val="auto"/>
                      <w:sz w:val="21"/>
                      <w:szCs w:val="21"/>
                      <w:lang w:eastAsia="zh-CN"/>
                    </w:rPr>
                  </w:pPr>
                  <w:r>
                    <w:rPr>
                      <w:rFonts w:hint="eastAsia" w:ascii="Times New Roman" w:hAnsi="Times New Roman" w:cs="Times New Roman"/>
                      <w:b/>
                      <w:color w:val="auto"/>
                      <w:sz w:val="21"/>
                      <w:szCs w:val="21"/>
                      <w:lang w:eastAsia="zh-CN"/>
                    </w:rPr>
                    <w:t>蛔虫卵死亡率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jc w:val="center"/>
              </w:trPr>
              <w:tc>
                <w:tcPr>
                  <w:tcW w:w="923" w:type="pct"/>
                  <w:vAlign w:val="center"/>
                </w:tcPr>
                <w:p>
                  <w:pPr>
                    <w:jc w:val="center"/>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综合医疗机构和其他医疗机构</w:t>
                  </w:r>
                </w:p>
              </w:tc>
              <w:tc>
                <w:tcPr>
                  <w:tcW w:w="988" w:type="pct"/>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100</w:t>
                  </w:r>
                </w:p>
              </w:tc>
              <w:tc>
                <w:tcPr>
                  <w:tcW w:w="877" w:type="pct"/>
                  <w:vAlign w:val="center"/>
                </w:tcPr>
                <w:p>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w:t>
                  </w:r>
                </w:p>
              </w:tc>
              <w:tc>
                <w:tcPr>
                  <w:tcW w:w="718" w:type="pct"/>
                  <w:vAlign w:val="center"/>
                </w:tcPr>
                <w:p>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w:t>
                  </w:r>
                </w:p>
              </w:tc>
              <w:tc>
                <w:tcPr>
                  <w:tcW w:w="691" w:type="pct"/>
                  <w:vAlign w:val="center"/>
                </w:tcPr>
                <w:p>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w:t>
                  </w:r>
                </w:p>
              </w:tc>
              <w:tc>
                <w:tcPr>
                  <w:tcW w:w="800" w:type="pct"/>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95</w:t>
                  </w:r>
                </w:p>
              </w:tc>
            </w:tr>
          </w:tbl>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jc w:val="left"/>
              <w:textAlignment w:val="auto"/>
              <w:rPr>
                <w:color w:val="auto"/>
                <w:sz w:val="24"/>
                <w:szCs w:val="24"/>
              </w:rPr>
            </w:pPr>
            <w:r>
              <w:rPr>
                <w:color w:val="auto"/>
                <w:sz w:val="24"/>
                <w:szCs w:val="24"/>
              </w:rPr>
              <w:t>综上所述，本项目固废采取上述治理措施后，各类固废均能得到合理处置，不产生二次污染，不会对周围环境产生影响。</w:t>
            </w:r>
          </w:p>
          <w:p>
            <w:pPr>
              <w:adjustRightInd w:val="0"/>
              <w:snapToGrid w:val="0"/>
              <w:spacing w:line="360" w:lineRule="auto"/>
              <w:jc w:val="left"/>
              <w:rPr>
                <w:b/>
                <w:bCs/>
                <w:color w:val="auto"/>
                <w:kern w:val="0"/>
                <w:sz w:val="24"/>
                <w:szCs w:val="24"/>
              </w:rPr>
            </w:pPr>
            <w:r>
              <w:rPr>
                <w:b/>
                <w:bCs/>
                <w:color w:val="auto"/>
                <w:kern w:val="0"/>
                <w:sz w:val="24"/>
                <w:szCs w:val="24"/>
              </w:rPr>
              <w:t>5、</w:t>
            </w:r>
            <w:r>
              <w:rPr>
                <w:b/>
                <w:bCs/>
                <w:color w:val="auto"/>
                <w:sz w:val="24"/>
                <w:szCs w:val="24"/>
              </w:rPr>
              <w:t>土壤、地下水污染防治措施</w:t>
            </w:r>
          </w:p>
          <w:p>
            <w:pPr>
              <w:snapToGrid w:val="0"/>
              <w:spacing w:line="360" w:lineRule="auto"/>
              <w:ind w:firstLine="480" w:firstLineChars="200"/>
              <w:rPr>
                <w:color w:val="auto"/>
                <w:sz w:val="24"/>
                <w:szCs w:val="24"/>
              </w:rPr>
            </w:pPr>
            <w:r>
              <w:rPr>
                <w:color w:val="auto"/>
                <w:sz w:val="24"/>
                <w:szCs w:val="24"/>
              </w:rPr>
              <w:t>本项目租赁</w:t>
            </w:r>
            <w:r>
              <w:rPr>
                <w:rFonts w:hint="default" w:ascii="Times New Roman" w:hAnsi="Times New Roman" w:cs="Times New Roman"/>
                <w:color w:val="auto"/>
                <w:sz w:val="24"/>
                <w:szCs w:val="24"/>
                <w:lang w:eastAsia="zh-CN"/>
              </w:rPr>
              <w:t>西安市莲湖区环城西路玉祥门盘道东南角</w:t>
            </w:r>
            <w:r>
              <w:rPr>
                <w:rFonts w:hint="default" w:ascii="Times New Roman" w:hAnsi="Times New Roman" w:cs="Times New Roman"/>
                <w:color w:val="auto"/>
                <w:sz w:val="24"/>
                <w:szCs w:val="24"/>
                <w:lang w:val="en-US" w:eastAsia="zh-CN"/>
              </w:rPr>
              <w:t>1幢已建成的四层楼</w:t>
            </w:r>
            <w:r>
              <w:rPr>
                <w:rFonts w:hint="eastAsia" w:cs="Times New Roman"/>
                <w:color w:val="auto"/>
                <w:sz w:val="24"/>
                <w:szCs w:val="24"/>
                <w:lang w:val="en-US" w:eastAsia="zh-CN"/>
              </w:rPr>
              <w:t>建设眼科医院</w:t>
            </w:r>
            <w:r>
              <w:rPr>
                <w:color w:val="auto"/>
                <w:sz w:val="24"/>
                <w:szCs w:val="24"/>
              </w:rPr>
              <w:t>，</w:t>
            </w:r>
            <w:r>
              <w:rPr>
                <w:rFonts w:hint="eastAsia"/>
                <w:color w:val="auto"/>
                <w:sz w:val="24"/>
                <w:szCs w:val="24"/>
                <w:lang w:eastAsia="zh-CN"/>
              </w:rPr>
              <w:t>危废储存间位于一楼北侧楼梯下</w:t>
            </w:r>
            <w:r>
              <w:rPr>
                <w:color w:val="auto"/>
                <w:sz w:val="24"/>
                <w:szCs w:val="24"/>
              </w:rPr>
              <w:t>、污水处理站位于一楼</w:t>
            </w:r>
            <w:r>
              <w:rPr>
                <w:rFonts w:hint="eastAsia"/>
                <w:color w:val="auto"/>
                <w:sz w:val="24"/>
                <w:szCs w:val="24"/>
                <w:lang w:eastAsia="zh-CN"/>
              </w:rPr>
              <w:t>东南角</w:t>
            </w:r>
            <w:r>
              <w:rPr>
                <w:color w:val="auto"/>
                <w:sz w:val="24"/>
                <w:szCs w:val="24"/>
              </w:rPr>
              <w:t>；本项目环境影响类型为</w:t>
            </w:r>
            <w:r>
              <w:rPr>
                <w:rFonts w:hint="eastAsia"/>
                <w:color w:val="auto"/>
                <w:sz w:val="24"/>
                <w:szCs w:val="24"/>
                <w:lang w:eastAsia="zh-CN"/>
              </w:rPr>
              <w:t>“</w:t>
            </w:r>
            <w:r>
              <w:rPr>
                <w:color w:val="auto"/>
                <w:sz w:val="24"/>
                <w:szCs w:val="24"/>
              </w:rPr>
              <w:t>污染影响型</w:t>
            </w:r>
            <w:r>
              <w:rPr>
                <w:rFonts w:hint="eastAsia"/>
                <w:color w:val="auto"/>
                <w:sz w:val="24"/>
                <w:szCs w:val="24"/>
                <w:lang w:eastAsia="zh-CN"/>
              </w:rPr>
              <w:t>”</w:t>
            </w:r>
            <w:r>
              <w:rPr>
                <w:color w:val="auto"/>
                <w:sz w:val="24"/>
                <w:szCs w:val="24"/>
              </w:rPr>
              <w:t>，项目废气污染物主要为</w:t>
            </w:r>
            <w:r>
              <w:rPr>
                <w:rFonts w:hint="eastAsia"/>
                <w:color w:val="auto"/>
                <w:sz w:val="24"/>
                <w:szCs w:val="24"/>
                <w:lang w:eastAsia="zh-CN"/>
              </w:rPr>
              <w:t>恶臭气体</w:t>
            </w:r>
            <w:r>
              <w:rPr>
                <w:color w:val="auto"/>
                <w:sz w:val="24"/>
                <w:szCs w:val="24"/>
              </w:rPr>
              <w:t>，无重金属，不涉及大气沉降影响；项目污水经院区污水处理站处理后，排入</w:t>
            </w:r>
            <w:r>
              <w:rPr>
                <w:rFonts w:hint="eastAsia"/>
                <w:color w:val="auto"/>
                <w:sz w:val="24"/>
                <w:szCs w:val="24"/>
                <w:lang w:eastAsia="zh-CN"/>
              </w:rPr>
              <w:t>西安市第一污水处理厂一期</w:t>
            </w:r>
            <w:r>
              <w:rPr>
                <w:color w:val="auto"/>
                <w:sz w:val="24"/>
                <w:szCs w:val="24"/>
              </w:rPr>
              <w:t>，不直接外排，不涉及地面漫流影响。因此，项目影响途径主要为</w:t>
            </w:r>
            <w:r>
              <w:rPr>
                <w:rFonts w:hint="eastAsia"/>
                <w:color w:val="auto"/>
                <w:sz w:val="24"/>
                <w:szCs w:val="24"/>
                <w:lang w:eastAsia="zh-CN"/>
              </w:rPr>
              <w:t>污水处理站</w:t>
            </w:r>
            <w:r>
              <w:rPr>
                <w:color w:val="auto"/>
                <w:sz w:val="24"/>
                <w:szCs w:val="24"/>
              </w:rPr>
              <w:t>及</w:t>
            </w:r>
            <w:r>
              <w:rPr>
                <w:rFonts w:hint="eastAsia"/>
                <w:color w:val="auto"/>
                <w:sz w:val="24"/>
                <w:szCs w:val="24"/>
                <w:lang w:eastAsia="zh-CN"/>
              </w:rPr>
              <w:t>危废储存间</w:t>
            </w:r>
            <w:r>
              <w:rPr>
                <w:color w:val="auto"/>
                <w:sz w:val="24"/>
                <w:szCs w:val="24"/>
              </w:rPr>
              <w:t>等的污染物以垂直入渗方式污染地下水和土壤环境。</w:t>
            </w:r>
          </w:p>
          <w:p>
            <w:pPr>
              <w:spacing w:line="360" w:lineRule="auto"/>
              <w:ind w:firstLine="480" w:firstLineChars="200"/>
              <w:rPr>
                <w:color w:val="auto"/>
                <w:kern w:val="0"/>
                <w:sz w:val="24"/>
                <w:szCs w:val="24"/>
              </w:rPr>
            </w:pPr>
            <w:r>
              <w:rPr>
                <w:color w:val="auto"/>
                <w:sz w:val="24"/>
                <w:szCs w:val="24"/>
              </w:rPr>
              <w:t>为避免项目对地下水及土壤环境造成污染影响，提</w:t>
            </w:r>
            <w:r>
              <w:rPr>
                <w:color w:val="auto"/>
                <w:kern w:val="0"/>
                <w:sz w:val="24"/>
                <w:szCs w:val="24"/>
              </w:rPr>
              <w:t>出如下污染防治措施及防渗要求：本项目院区</w:t>
            </w:r>
            <w:r>
              <w:rPr>
                <w:rFonts w:hint="eastAsia"/>
                <w:color w:val="auto"/>
                <w:kern w:val="0"/>
                <w:sz w:val="24"/>
                <w:szCs w:val="24"/>
              </w:rPr>
              <w:t>拟</w:t>
            </w:r>
            <w:r>
              <w:rPr>
                <w:color w:val="auto"/>
                <w:kern w:val="0"/>
                <w:sz w:val="24"/>
                <w:szCs w:val="24"/>
              </w:rPr>
              <w:t>划分为重点防渗区和一般防渗区，不同的污染物区，采取不同等级的防渗措施，并确保其可靠性和有效性。一般污染区的防渗设计应满足一般防渗要求，</w:t>
            </w:r>
            <w:r>
              <w:rPr>
                <w:rFonts w:hint="eastAsia"/>
                <w:color w:val="auto"/>
                <w:kern w:val="0"/>
                <w:sz w:val="24"/>
                <w:szCs w:val="24"/>
                <w:lang w:eastAsia="zh-CN"/>
              </w:rPr>
              <w:t>危废储存间</w:t>
            </w:r>
            <w:r>
              <w:rPr>
                <w:color w:val="auto"/>
                <w:kern w:val="0"/>
                <w:sz w:val="24"/>
                <w:szCs w:val="24"/>
              </w:rPr>
              <w:t>的防渗设计应满足</w:t>
            </w:r>
            <w:r>
              <w:rPr>
                <w:color w:val="auto"/>
                <w:sz w:val="24"/>
                <w:szCs w:val="24"/>
              </w:rPr>
              <w:t>《危险废物贮存污染控制标准》（</w:t>
            </w:r>
            <w:r>
              <w:rPr>
                <w:rFonts w:hint="eastAsia"/>
                <w:color w:val="auto"/>
                <w:sz w:val="24"/>
                <w:szCs w:val="24"/>
                <w:lang w:eastAsia="zh-CN"/>
              </w:rPr>
              <w:t>GB18597-2023</w:t>
            </w:r>
            <w:r>
              <w:rPr>
                <w:color w:val="auto"/>
                <w:sz w:val="24"/>
                <w:szCs w:val="24"/>
              </w:rPr>
              <w:t>）</w:t>
            </w:r>
            <w:r>
              <w:rPr>
                <w:rFonts w:hint="eastAsia"/>
                <w:color w:val="auto"/>
                <w:sz w:val="24"/>
                <w:szCs w:val="24"/>
                <w:lang w:eastAsia="zh-CN"/>
              </w:rPr>
              <w:t>要求</w:t>
            </w:r>
            <w:r>
              <w:rPr>
                <w:color w:val="auto"/>
                <w:kern w:val="0"/>
                <w:sz w:val="24"/>
                <w:szCs w:val="24"/>
              </w:rPr>
              <w:t>。</w:t>
            </w:r>
          </w:p>
          <w:p>
            <w:pPr>
              <w:autoSpaceDE w:val="0"/>
              <w:autoSpaceDN w:val="0"/>
              <w:adjustRightInd w:val="0"/>
              <w:snapToGrid w:val="0"/>
              <w:spacing w:line="360" w:lineRule="auto"/>
              <w:ind w:firstLine="480" w:firstLineChars="200"/>
              <w:jc w:val="left"/>
              <w:rPr>
                <w:color w:val="auto"/>
                <w:kern w:val="0"/>
                <w:sz w:val="24"/>
                <w:szCs w:val="24"/>
              </w:rPr>
            </w:pPr>
            <w:r>
              <w:rPr>
                <w:rFonts w:hint="eastAsia"/>
                <w:color w:val="auto"/>
                <w:kern w:val="0"/>
                <w:sz w:val="24"/>
                <w:szCs w:val="24"/>
                <w:lang w:eastAsia="zh-CN"/>
              </w:rPr>
              <w:t>由于本项目污水处理站所有水池均为地上水箱，因此，污水处理站仅进行一般防渗。根据《环境影响评价技术导则</w:t>
            </w:r>
            <w:r>
              <w:rPr>
                <w:rFonts w:hint="eastAsia"/>
                <w:color w:val="auto"/>
                <w:kern w:val="0"/>
                <w:sz w:val="24"/>
                <w:szCs w:val="24"/>
                <w:lang w:val="en-US" w:eastAsia="zh-CN"/>
              </w:rPr>
              <w:t xml:space="preserve"> 地下水环境</w:t>
            </w:r>
            <w:r>
              <w:rPr>
                <w:rFonts w:hint="eastAsia"/>
                <w:color w:val="auto"/>
                <w:kern w:val="0"/>
                <w:sz w:val="24"/>
                <w:szCs w:val="24"/>
                <w:lang w:eastAsia="zh-CN"/>
              </w:rPr>
              <w:t>》（</w:t>
            </w:r>
            <w:r>
              <w:rPr>
                <w:rFonts w:hint="eastAsia"/>
                <w:color w:val="auto"/>
                <w:kern w:val="0"/>
                <w:sz w:val="24"/>
                <w:szCs w:val="24"/>
                <w:lang w:val="en-US" w:eastAsia="zh-CN"/>
              </w:rPr>
              <w:t>HJ610-2016</w:t>
            </w:r>
            <w:r>
              <w:rPr>
                <w:rFonts w:hint="eastAsia"/>
                <w:color w:val="auto"/>
                <w:kern w:val="0"/>
                <w:sz w:val="24"/>
                <w:szCs w:val="24"/>
                <w:lang w:eastAsia="zh-CN"/>
              </w:rPr>
              <w:t>）要求，</w:t>
            </w:r>
            <w:r>
              <w:rPr>
                <w:color w:val="auto"/>
                <w:kern w:val="0"/>
                <w:sz w:val="24"/>
                <w:szCs w:val="24"/>
              </w:rPr>
              <w:t>本项目防渗分区划分及防渗技术要求见表4-</w:t>
            </w:r>
            <w:r>
              <w:rPr>
                <w:rFonts w:hint="eastAsia"/>
                <w:color w:val="auto"/>
                <w:kern w:val="0"/>
                <w:sz w:val="24"/>
                <w:szCs w:val="24"/>
                <w:lang w:val="en-US" w:eastAsia="zh-CN"/>
              </w:rPr>
              <w:t>22</w:t>
            </w:r>
            <w:r>
              <w:rPr>
                <w:color w:val="auto"/>
                <w:kern w:val="0"/>
                <w:sz w:val="24"/>
                <w:szCs w:val="24"/>
              </w:rPr>
              <w:t>，设计采取的各项防渗措施具体见表4-2</w:t>
            </w:r>
            <w:r>
              <w:rPr>
                <w:rFonts w:hint="eastAsia"/>
                <w:color w:val="auto"/>
                <w:kern w:val="0"/>
                <w:sz w:val="24"/>
                <w:szCs w:val="24"/>
                <w:lang w:val="en-US" w:eastAsia="zh-CN"/>
              </w:rPr>
              <w:t>3</w:t>
            </w:r>
            <w:r>
              <w:rPr>
                <w:color w:val="auto"/>
                <w:kern w:val="0"/>
                <w:sz w:val="24"/>
                <w:szCs w:val="24"/>
              </w:rPr>
              <w:t>。</w:t>
            </w:r>
          </w:p>
          <w:p>
            <w:pPr>
              <w:adjustRightInd w:val="0"/>
              <w:snapToGrid w:val="0"/>
              <w:jc w:val="center"/>
              <w:rPr>
                <w:b/>
                <w:snapToGrid w:val="0"/>
                <w:color w:val="auto"/>
                <w:kern w:val="0"/>
                <w:sz w:val="21"/>
                <w:szCs w:val="21"/>
              </w:rPr>
            </w:pPr>
            <w:r>
              <w:rPr>
                <w:b/>
                <w:snapToGrid w:val="0"/>
                <w:color w:val="auto"/>
                <w:kern w:val="0"/>
                <w:sz w:val="21"/>
                <w:szCs w:val="21"/>
              </w:rPr>
              <w:t>表4-</w:t>
            </w:r>
            <w:r>
              <w:rPr>
                <w:rFonts w:hint="eastAsia"/>
                <w:b/>
                <w:snapToGrid w:val="0"/>
                <w:color w:val="auto"/>
                <w:kern w:val="0"/>
                <w:sz w:val="21"/>
                <w:szCs w:val="21"/>
                <w:lang w:val="en-US" w:eastAsia="zh-CN"/>
              </w:rPr>
              <w:t>22</w:t>
            </w:r>
            <w:r>
              <w:rPr>
                <w:b/>
                <w:snapToGrid w:val="0"/>
                <w:color w:val="auto"/>
                <w:kern w:val="0"/>
                <w:sz w:val="21"/>
                <w:szCs w:val="21"/>
              </w:rPr>
              <w:t xml:space="preserve">  项目污染区划分及防渗要求</w:t>
            </w:r>
          </w:p>
          <w:tbl>
            <w:tblPr>
              <w:tblStyle w:val="2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0"/>
              <w:gridCol w:w="2097"/>
              <w:gridCol w:w="993"/>
              <w:gridCol w:w="1053"/>
              <w:gridCol w:w="1387"/>
              <w:gridCol w:w="2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pct"/>
                  <w:vAlign w:val="center"/>
                </w:tcPr>
                <w:p>
                  <w:pPr>
                    <w:adjustRightInd w:val="0"/>
                    <w:snapToGrid w:val="0"/>
                    <w:jc w:val="center"/>
                    <w:rPr>
                      <w:b/>
                      <w:bCs/>
                      <w:color w:val="auto"/>
                      <w:sz w:val="21"/>
                      <w:szCs w:val="21"/>
                    </w:rPr>
                  </w:pPr>
                  <w:r>
                    <w:rPr>
                      <w:b/>
                      <w:bCs/>
                      <w:color w:val="auto"/>
                      <w:sz w:val="21"/>
                      <w:szCs w:val="21"/>
                    </w:rPr>
                    <w:t>防渗</w:t>
                  </w:r>
                </w:p>
                <w:p>
                  <w:pPr>
                    <w:adjustRightInd w:val="0"/>
                    <w:snapToGrid w:val="0"/>
                    <w:jc w:val="center"/>
                    <w:rPr>
                      <w:b/>
                      <w:bCs/>
                      <w:color w:val="auto"/>
                      <w:sz w:val="21"/>
                      <w:szCs w:val="21"/>
                    </w:rPr>
                  </w:pPr>
                  <w:r>
                    <w:rPr>
                      <w:b/>
                      <w:bCs/>
                      <w:color w:val="auto"/>
                      <w:sz w:val="21"/>
                      <w:szCs w:val="21"/>
                    </w:rPr>
                    <w:t>分区</w:t>
                  </w:r>
                </w:p>
              </w:tc>
              <w:tc>
                <w:tcPr>
                  <w:tcW w:w="1156" w:type="pct"/>
                  <w:vAlign w:val="center"/>
                </w:tcPr>
                <w:p>
                  <w:pPr>
                    <w:adjustRightInd w:val="0"/>
                    <w:snapToGrid w:val="0"/>
                    <w:jc w:val="center"/>
                    <w:rPr>
                      <w:b/>
                      <w:bCs/>
                      <w:color w:val="auto"/>
                      <w:sz w:val="21"/>
                      <w:szCs w:val="21"/>
                    </w:rPr>
                  </w:pPr>
                  <w:r>
                    <w:rPr>
                      <w:b/>
                      <w:bCs/>
                      <w:color w:val="auto"/>
                      <w:sz w:val="21"/>
                      <w:szCs w:val="21"/>
                    </w:rPr>
                    <w:t>定义</w:t>
                  </w:r>
                </w:p>
              </w:tc>
              <w:tc>
                <w:tcPr>
                  <w:tcW w:w="547" w:type="pct"/>
                  <w:vAlign w:val="center"/>
                </w:tcPr>
                <w:p>
                  <w:pPr>
                    <w:adjustRightInd w:val="0"/>
                    <w:snapToGrid w:val="0"/>
                    <w:jc w:val="center"/>
                    <w:rPr>
                      <w:b/>
                      <w:bCs/>
                      <w:color w:val="auto"/>
                      <w:sz w:val="21"/>
                      <w:szCs w:val="21"/>
                    </w:rPr>
                  </w:pPr>
                  <w:r>
                    <w:rPr>
                      <w:b/>
                      <w:bCs/>
                      <w:color w:val="auto"/>
                      <w:sz w:val="21"/>
                      <w:szCs w:val="21"/>
                    </w:rPr>
                    <w:t>污染控制难易程度</w:t>
                  </w:r>
                </w:p>
              </w:tc>
              <w:tc>
                <w:tcPr>
                  <w:tcW w:w="580" w:type="pct"/>
                  <w:vAlign w:val="center"/>
                </w:tcPr>
                <w:p>
                  <w:pPr>
                    <w:adjustRightInd w:val="0"/>
                    <w:snapToGrid w:val="0"/>
                    <w:jc w:val="center"/>
                    <w:rPr>
                      <w:b/>
                      <w:bCs/>
                      <w:color w:val="auto"/>
                      <w:sz w:val="21"/>
                      <w:szCs w:val="21"/>
                    </w:rPr>
                  </w:pPr>
                  <w:r>
                    <w:rPr>
                      <w:b/>
                      <w:bCs/>
                      <w:color w:val="auto"/>
                      <w:sz w:val="21"/>
                      <w:szCs w:val="21"/>
                    </w:rPr>
                    <w:t>污染物类型</w:t>
                  </w:r>
                </w:p>
              </w:tc>
              <w:tc>
                <w:tcPr>
                  <w:tcW w:w="764" w:type="pct"/>
                  <w:vAlign w:val="center"/>
                </w:tcPr>
                <w:p>
                  <w:pPr>
                    <w:adjustRightInd w:val="0"/>
                    <w:snapToGrid w:val="0"/>
                    <w:jc w:val="center"/>
                    <w:rPr>
                      <w:b/>
                      <w:bCs/>
                      <w:color w:val="auto"/>
                      <w:sz w:val="21"/>
                      <w:szCs w:val="21"/>
                    </w:rPr>
                  </w:pPr>
                  <w:r>
                    <w:rPr>
                      <w:b/>
                      <w:bCs/>
                      <w:color w:val="auto"/>
                      <w:sz w:val="21"/>
                      <w:szCs w:val="21"/>
                    </w:rPr>
                    <w:t>场内分区</w:t>
                  </w:r>
                </w:p>
              </w:tc>
              <w:tc>
                <w:tcPr>
                  <w:tcW w:w="1449" w:type="pct"/>
                  <w:vAlign w:val="center"/>
                </w:tcPr>
                <w:p>
                  <w:pPr>
                    <w:adjustRightInd w:val="0"/>
                    <w:snapToGrid w:val="0"/>
                    <w:jc w:val="center"/>
                    <w:rPr>
                      <w:b/>
                      <w:bCs/>
                      <w:color w:val="auto"/>
                      <w:sz w:val="21"/>
                      <w:szCs w:val="21"/>
                    </w:rPr>
                  </w:pPr>
                  <w:r>
                    <w:rPr>
                      <w:b/>
                      <w:bCs/>
                      <w:color w:val="auto"/>
                      <w:sz w:val="21"/>
                      <w:szCs w:val="21"/>
                    </w:rPr>
                    <w:t>防渗技术要求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pct"/>
                  <w:vAlign w:val="center"/>
                </w:tcPr>
                <w:p>
                  <w:pPr>
                    <w:adjustRightInd w:val="0"/>
                    <w:snapToGrid w:val="0"/>
                    <w:jc w:val="center"/>
                    <w:rPr>
                      <w:color w:val="auto"/>
                      <w:sz w:val="21"/>
                      <w:szCs w:val="21"/>
                    </w:rPr>
                  </w:pPr>
                  <w:r>
                    <w:rPr>
                      <w:color w:val="auto"/>
                      <w:sz w:val="21"/>
                      <w:szCs w:val="21"/>
                    </w:rPr>
                    <w:t>重点防渗区</w:t>
                  </w:r>
                </w:p>
              </w:tc>
              <w:tc>
                <w:tcPr>
                  <w:tcW w:w="1156" w:type="pct"/>
                  <w:vAlign w:val="center"/>
                </w:tcPr>
                <w:p>
                  <w:pPr>
                    <w:adjustRightInd w:val="0"/>
                    <w:snapToGrid w:val="0"/>
                    <w:jc w:val="center"/>
                    <w:rPr>
                      <w:color w:val="auto"/>
                      <w:sz w:val="21"/>
                      <w:szCs w:val="21"/>
                    </w:rPr>
                  </w:pPr>
                  <w:r>
                    <w:rPr>
                      <w:color w:val="auto"/>
                      <w:sz w:val="21"/>
                      <w:szCs w:val="21"/>
                    </w:rPr>
                    <w:t>危害性大、毒性较大的生产装置区、物料仓库等</w:t>
                  </w:r>
                </w:p>
              </w:tc>
              <w:tc>
                <w:tcPr>
                  <w:tcW w:w="547" w:type="pct"/>
                  <w:vAlign w:val="center"/>
                </w:tcPr>
                <w:p>
                  <w:pPr>
                    <w:adjustRightInd w:val="0"/>
                    <w:snapToGrid w:val="0"/>
                    <w:jc w:val="center"/>
                    <w:rPr>
                      <w:color w:val="auto"/>
                      <w:sz w:val="21"/>
                      <w:szCs w:val="21"/>
                    </w:rPr>
                  </w:pPr>
                  <w:r>
                    <w:rPr>
                      <w:color w:val="auto"/>
                      <w:sz w:val="21"/>
                      <w:szCs w:val="21"/>
                    </w:rPr>
                    <w:t>难</w:t>
                  </w:r>
                </w:p>
              </w:tc>
              <w:tc>
                <w:tcPr>
                  <w:tcW w:w="580" w:type="pct"/>
                  <w:vAlign w:val="center"/>
                </w:tcPr>
                <w:p>
                  <w:pPr>
                    <w:adjustRightInd w:val="0"/>
                    <w:snapToGrid w:val="0"/>
                    <w:jc w:val="center"/>
                    <w:rPr>
                      <w:color w:val="auto"/>
                      <w:sz w:val="21"/>
                      <w:szCs w:val="21"/>
                    </w:rPr>
                  </w:pPr>
                  <w:r>
                    <w:rPr>
                      <w:color w:val="auto"/>
                      <w:sz w:val="21"/>
                      <w:szCs w:val="21"/>
                    </w:rPr>
                    <w:t>持久性有机物污染物</w:t>
                  </w:r>
                </w:p>
              </w:tc>
              <w:tc>
                <w:tcPr>
                  <w:tcW w:w="764" w:type="pct"/>
                  <w:vAlign w:val="center"/>
                </w:tcPr>
                <w:p>
                  <w:pPr>
                    <w:adjustRightInd w:val="0"/>
                    <w:snapToGrid w:val="0"/>
                    <w:jc w:val="center"/>
                    <w:rPr>
                      <w:rFonts w:hint="eastAsia" w:eastAsia="宋体"/>
                      <w:color w:val="auto"/>
                      <w:sz w:val="21"/>
                      <w:szCs w:val="21"/>
                      <w:lang w:eastAsia="zh-CN"/>
                    </w:rPr>
                  </w:pPr>
                  <w:r>
                    <w:rPr>
                      <w:rFonts w:hint="eastAsia"/>
                      <w:color w:val="auto"/>
                      <w:sz w:val="21"/>
                      <w:szCs w:val="21"/>
                      <w:lang w:eastAsia="zh-CN"/>
                    </w:rPr>
                    <w:t>危废间</w:t>
                  </w:r>
                </w:p>
              </w:tc>
              <w:tc>
                <w:tcPr>
                  <w:tcW w:w="1449" w:type="pct"/>
                  <w:vAlign w:val="center"/>
                </w:tcPr>
                <w:p>
                  <w:pPr>
                    <w:spacing w:beforeLines="0" w:afterLines="0"/>
                    <w:jc w:val="left"/>
                    <w:rPr>
                      <w:color w:val="auto"/>
                      <w:sz w:val="21"/>
                      <w:szCs w:val="21"/>
                    </w:rPr>
                  </w:pPr>
                  <w:r>
                    <w:rPr>
                      <w:rFonts w:hint="eastAsia" w:ascii="宋体" w:hAnsi="宋体" w:eastAsia="宋体"/>
                      <w:color w:val="auto"/>
                      <w:sz w:val="21"/>
                      <w:szCs w:val="24"/>
                    </w:rPr>
                    <w:t>防渗层为至少</w:t>
                  </w:r>
                  <w:r>
                    <w:rPr>
                      <w:rFonts w:hint="eastAsia" w:ascii="TimesNewRomanPSMT" w:hAnsi="TimesNewRomanPSMT" w:eastAsia="TimesNewRomanPSMT"/>
                      <w:color w:val="auto"/>
                      <w:sz w:val="21"/>
                      <w:szCs w:val="24"/>
                    </w:rPr>
                    <w:t xml:space="preserve">1 m </w:t>
                  </w:r>
                  <w:r>
                    <w:rPr>
                      <w:rFonts w:hint="eastAsia" w:ascii="宋体" w:hAnsi="宋体" w:eastAsia="宋体"/>
                      <w:color w:val="auto"/>
                      <w:sz w:val="21"/>
                      <w:szCs w:val="24"/>
                    </w:rPr>
                    <w:t>厚黏土层（渗透系数不大于</w:t>
                  </w:r>
                  <w:r>
                    <w:rPr>
                      <w:rFonts w:hint="eastAsia" w:ascii="TimesNewRomanPSMT" w:hAnsi="TimesNewRomanPSMT" w:eastAsia="TimesNewRomanPSMT"/>
                      <w:color w:val="auto"/>
                      <w:sz w:val="21"/>
                      <w:szCs w:val="24"/>
                    </w:rPr>
                    <w:t>10</w:t>
                  </w:r>
                  <w:r>
                    <w:rPr>
                      <w:rFonts w:hint="eastAsia" w:ascii="TimesNewRomanPSMT" w:hAnsi="TimesNewRomanPSMT" w:eastAsia="TimesNewRomanPSMT"/>
                      <w:color w:val="auto"/>
                      <w:sz w:val="21"/>
                      <w:szCs w:val="21"/>
                      <w:vertAlign w:val="superscript"/>
                    </w:rPr>
                    <w:t xml:space="preserve">-7 </w:t>
                  </w:r>
                  <w:r>
                    <w:rPr>
                      <w:rFonts w:hint="eastAsia" w:ascii="TimesNewRomanPSMT" w:hAnsi="TimesNewRomanPSMT" w:eastAsia="TimesNewRomanPSMT"/>
                      <w:color w:val="auto"/>
                      <w:sz w:val="21"/>
                      <w:szCs w:val="24"/>
                    </w:rPr>
                    <w:t>cm/s</w:t>
                  </w:r>
                  <w:r>
                    <w:rPr>
                      <w:rFonts w:hint="eastAsia" w:ascii="宋体" w:hAnsi="宋体" w:eastAsia="宋体"/>
                      <w:color w:val="auto"/>
                      <w:sz w:val="21"/>
                      <w:szCs w:val="24"/>
                    </w:rPr>
                    <w:t>），或至少</w:t>
                  </w:r>
                  <w:r>
                    <w:rPr>
                      <w:rFonts w:hint="eastAsia" w:ascii="TimesNewRomanPSMT" w:hAnsi="TimesNewRomanPSMT" w:eastAsia="TimesNewRomanPSMT"/>
                      <w:color w:val="auto"/>
                      <w:sz w:val="21"/>
                      <w:szCs w:val="24"/>
                    </w:rPr>
                    <w:t xml:space="preserve">2 mm </w:t>
                  </w:r>
                  <w:r>
                    <w:rPr>
                      <w:rFonts w:hint="eastAsia" w:ascii="宋体" w:hAnsi="宋体" w:eastAsia="宋体"/>
                      <w:color w:val="auto"/>
                      <w:sz w:val="21"/>
                      <w:szCs w:val="24"/>
                    </w:rPr>
                    <w:t>厚高密度聚乙烯膜等人工防渗材料（渗透系数不大于</w:t>
                  </w:r>
                  <w:r>
                    <w:rPr>
                      <w:rFonts w:hint="eastAsia" w:ascii="TimesNewRomanPSMT" w:hAnsi="TimesNewRomanPSMT" w:eastAsia="TimesNewRomanPSMT"/>
                      <w:color w:val="auto"/>
                      <w:sz w:val="21"/>
                      <w:szCs w:val="24"/>
                    </w:rPr>
                    <w:t>10</w:t>
                  </w:r>
                  <w:r>
                    <w:rPr>
                      <w:rFonts w:hint="eastAsia" w:ascii="TimesNewRomanPSMT" w:hAnsi="TimesNewRomanPSMT" w:eastAsia="TimesNewRomanPSMT"/>
                      <w:color w:val="auto"/>
                      <w:sz w:val="21"/>
                      <w:szCs w:val="21"/>
                      <w:vertAlign w:val="superscript"/>
                    </w:rPr>
                    <w:t xml:space="preserve">-10 </w:t>
                  </w:r>
                  <w:r>
                    <w:rPr>
                      <w:rFonts w:hint="eastAsia" w:ascii="TimesNewRomanPSMT" w:hAnsi="TimesNewRomanPSMT" w:eastAsia="TimesNewRomanPSMT"/>
                      <w:color w:val="auto"/>
                      <w:sz w:val="21"/>
                      <w:szCs w:val="24"/>
                    </w:rPr>
                    <w:t>cm/s</w:t>
                  </w:r>
                  <w:r>
                    <w:rPr>
                      <w:rFonts w:hint="eastAsia" w:ascii="宋体" w:hAnsi="宋体" w:eastAsia="宋体"/>
                      <w:color w:val="auto"/>
                      <w:sz w:val="21"/>
                      <w:szCs w:val="24"/>
                    </w:rPr>
                    <w:t>），或其他防渗性能等效的材料。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pct"/>
                  <w:vAlign w:val="center"/>
                </w:tcPr>
                <w:p>
                  <w:pPr>
                    <w:adjustRightInd w:val="0"/>
                    <w:snapToGrid w:val="0"/>
                    <w:jc w:val="center"/>
                    <w:rPr>
                      <w:color w:val="auto"/>
                      <w:sz w:val="21"/>
                      <w:szCs w:val="21"/>
                    </w:rPr>
                  </w:pPr>
                  <w:r>
                    <w:rPr>
                      <w:color w:val="auto"/>
                      <w:sz w:val="21"/>
                      <w:szCs w:val="21"/>
                    </w:rPr>
                    <w:t>一般防渗区</w:t>
                  </w:r>
                </w:p>
              </w:tc>
              <w:tc>
                <w:tcPr>
                  <w:tcW w:w="1156" w:type="pct"/>
                  <w:vAlign w:val="center"/>
                </w:tcPr>
                <w:p>
                  <w:pPr>
                    <w:adjustRightInd w:val="0"/>
                    <w:snapToGrid w:val="0"/>
                    <w:jc w:val="center"/>
                    <w:rPr>
                      <w:color w:val="auto"/>
                      <w:sz w:val="21"/>
                      <w:szCs w:val="21"/>
                    </w:rPr>
                  </w:pPr>
                  <w:r>
                    <w:rPr>
                      <w:color w:val="auto"/>
                      <w:sz w:val="21"/>
                      <w:szCs w:val="21"/>
                    </w:rPr>
                    <w:t>无毒性或毒性小的生产装置区、装置区外管廊区</w:t>
                  </w:r>
                </w:p>
              </w:tc>
              <w:tc>
                <w:tcPr>
                  <w:tcW w:w="547" w:type="pct"/>
                  <w:vAlign w:val="center"/>
                </w:tcPr>
                <w:p>
                  <w:pPr>
                    <w:adjustRightInd w:val="0"/>
                    <w:snapToGrid w:val="0"/>
                    <w:jc w:val="center"/>
                    <w:rPr>
                      <w:color w:val="auto"/>
                      <w:sz w:val="21"/>
                      <w:szCs w:val="21"/>
                    </w:rPr>
                  </w:pPr>
                  <w:r>
                    <w:rPr>
                      <w:color w:val="auto"/>
                      <w:sz w:val="21"/>
                      <w:szCs w:val="21"/>
                    </w:rPr>
                    <w:t>易</w:t>
                  </w:r>
                </w:p>
              </w:tc>
              <w:tc>
                <w:tcPr>
                  <w:tcW w:w="580" w:type="pct"/>
                  <w:vAlign w:val="center"/>
                </w:tcPr>
                <w:p>
                  <w:pPr>
                    <w:adjustRightInd w:val="0"/>
                    <w:snapToGrid w:val="0"/>
                    <w:jc w:val="center"/>
                    <w:rPr>
                      <w:color w:val="auto"/>
                      <w:sz w:val="21"/>
                      <w:szCs w:val="21"/>
                    </w:rPr>
                  </w:pPr>
                  <w:r>
                    <w:rPr>
                      <w:color w:val="auto"/>
                      <w:sz w:val="21"/>
                      <w:szCs w:val="21"/>
                    </w:rPr>
                    <w:t>其它</w:t>
                  </w:r>
                </w:p>
                <w:p>
                  <w:pPr>
                    <w:adjustRightInd w:val="0"/>
                    <w:snapToGrid w:val="0"/>
                    <w:jc w:val="center"/>
                    <w:rPr>
                      <w:color w:val="auto"/>
                      <w:sz w:val="21"/>
                      <w:szCs w:val="21"/>
                    </w:rPr>
                  </w:pPr>
                  <w:r>
                    <w:rPr>
                      <w:color w:val="auto"/>
                      <w:sz w:val="21"/>
                      <w:szCs w:val="21"/>
                    </w:rPr>
                    <w:t>类型</w:t>
                  </w:r>
                </w:p>
              </w:tc>
              <w:tc>
                <w:tcPr>
                  <w:tcW w:w="764" w:type="pct"/>
                  <w:vAlign w:val="center"/>
                </w:tcPr>
                <w:p>
                  <w:pPr>
                    <w:adjustRightInd w:val="0"/>
                    <w:snapToGrid w:val="0"/>
                    <w:jc w:val="center"/>
                    <w:rPr>
                      <w:color w:val="auto"/>
                      <w:sz w:val="21"/>
                      <w:szCs w:val="21"/>
                    </w:rPr>
                  </w:pPr>
                  <w:r>
                    <w:rPr>
                      <w:rFonts w:hint="eastAsia"/>
                      <w:color w:val="auto"/>
                      <w:sz w:val="21"/>
                      <w:szCs w:val="21"/>
                      <w:lang w:eastAsia="zh-CN"/>
                    </w:rPr>
                    <w:t>污水处理站及</w:t>
                  </w:r>
                  <w:r>
                    <w:rPr>
                      <w:color w:val="auto"/>
                      <w:sz w:val="21"/>
                      <w:szCs w:val="21"/>
                    </w:rPr>
                    <w:t>医院内其他区域</w:t>
                  </w:r>
                </w:p>
              </w:tc>
              <w:tc>
                <w:tcPr>
                  <w:tcW w:w="1449" w:type="pct"/>
                  <w:vAlign w:val="center"/>
                </w:tcPr>
                <w:p>
                  <w:pPr>
                    <w:adjustRightInd w:val="0"/>
                    <w:snapToGrid w:val="0"/>
                    <w:jc w:val="center"/>
                    <w:rPr>
                      <w:color w:val="auto"/>
                      <w:sz w:val="21"/>
                      <w:szCs w:val="21"/>
                    </w:rPr>
                  </w:pPr>
                  <w:r>
                    <w:rPr>
                      <w:color w:val="auto"/>
                      <w:sz w:val="21"/>
                      <w:szCs w:val="21"/>
                    </w:rPr>
                    <w:t>等效黏土防渗层Mb≥1.5m，K≤1×10</w:t>
                  </w:r>
                  <w:r>
                    <w:rPr>
                      <w:color w:val="auto"/>
                      <w:sz w:val="21"/>
                      <w:szCs w:val="21"/>
                      <w:vertAlign w:val="superscript"/>
                    </w:rPr>
                    <w:t>-10</w:t>
                  </w:r>
                  <w:r>
                    <w:rPr>
                      <w:color w:val="auto"/>
                      <w:sz w:val="21"/>
                      <w:szCs w:val="21"/>
                    </w:rPr>
                    <w:t>cm/s；或参照GB16889执行</w:t>
                  </w:r>
                </w:p>
              </w:tc>
            </w:tr>
          </w:tbl>
          <w:p>
            <w:pPr>
              <w:adjustRightInd w:val="0"/>
              <w:snapToGrid w:val="0"/>
              <w:jc w:val="center"/>
              <w:rPr>
                <w:b/>
                <w:bCs/>
                <w:color w:val="auto"/>
                <w:sz w:val="21"/>
                <w:szCs w:val="21"/>
              </w:rPr>
            </w:pPr>
            <w:r>
              <w:rPr>
                <w:b/>
                <w:snapToGrid w:val="0"/>
                <w:color w:val="auto"/>
                <w:kern w:val="0"/>
                <w:sz w:val="21"/>
                <w:szCs w:val="21"/>
              </w:rPr>
              <w:t>表4-2</w:t>
            </w:r>
            <w:r>
              <w:rPr>
                <w:rFonts w:hint="eastAsia"/>
                <w:b/>
                <w:snapToGrid w:val="0"/>
                <w:color w:val="auto"/>
                <w:kern w:val="0"/>
                <w:sz w:val="21"/>
                <w:szCs w:val="21"/>
                <w:lang w:val="en-US" w:eastAsia="zh-CN"/>
              </w:rPr>
              <w:t>3</w:t>
            </w:r>
            <w:r>
              <w:rPr>
                <w:b/>
                <w:snapToGrid w:val="0"/>
                <w:color w:val="auto"/>
                <w:kern w:val="0"/>
                <w:sz w:val="21"/>
                <w:szCs w:val="21"/>
              </w:rPr>
              <w:t xml:space="preserve">  项目设计采取的防渗处理措施一览表</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9"/>
              <w:gridCol w:w="1917"/>
              <w:gridCol w:w="63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468" w:type="pct"/>
                  <w:vAlign w:val="center"/>
                </w:tcPr>
                <w:p>
                  <w:pPr>
                    <w:adjustRightInd w:val="0"/>
                    <w:snapToGrid w:val="0"/>
                    <w:jc w:val="center"/>
                    <w:rPr>
                      <w:b/>
                      <w:bCs/>
                      <w:color w:val="auto"/>
                      <w:sz w:val="21"/>
                      <w:szCs w:val="21"/>
                    </w:rPr>
                  </w:pPr>
                  <w:r>
                    <w:rPr>
                      <w:b/>
                      <w:bCs/>
                      <w:color w:val="auto"/>
                      <w:sz w:val="21"/>
                      <w:szCs w:val="21"/>
                    </w:rPr>
                    <w:t>序号</w:t>
                  </w:r>
                </w:p>
              </w:tc>
              <w:tc>
                <w:tcPr>
                  <w:tcW w:w="1056" w:type="pct"/>
                  <w:vAlign w:val="center"/>
                </w:tcPr>
                <w:p>
                  <w:pPr>
                    <w:adjustRightInd w:val="0"/>
                    <w:snapToGrid w:val="0"/>
                    <w:jc w:val="center"/>
                    <w:rPr>
                      <w:b/>
                      <w:bCs/>
                      <w:color w:val="auto"/>
                      <w:sz w:val="21"/>
                      <w:szCs w:val="21"/>
                    </w:rPr>
                  </w:pPr>
                  <w:r>
                    <w:rPr>
                      <w:b/>
                      <w:bCs/>
                      <w:color w:val="auto"/>
                      <w:sz w:val="21"/>
                      <w:szCs w:val="21"/>
                    </w:rPr>
                    <w:t>名称</w:t>
                  </w:r>
                </w:p>
              </w:tc>
              <w:tc>
                <w:tcPr>
                  <w:tcW w:w="3476" w:type="pct"/>
                  <w:vAlign w:val="center"/>
                </w:tcPr>
                <w:p>
                  <w:pPr>
                    <w:adjustRightInd w:val="0"/>
                    <w:snapToGrid w:val="0"/>
                    <w:jc w:val="center"/>
                    <w:rPr>
                      <w:b/>
                      <w:bCs/>
                      <w:color w:val="auto"/>
                      <w:sz w:val="21"/>
                      <w:szCs w:val="21"/>
                    </w:rPr>
                  </w:pPr>
                  <w:r>
                    <w:rPr>
                      <w:b/>
                      <w:bCs/>
                      <w:color w:val="auto"/>
                      <w:sz w:val="21"/>
                      <w:szCs w:val="21"/>
                    </w:rPr>
                    <w:t>防腐、防渗措施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8" w:type="pct"/>
                  <w:vAlign w:val="center"/>
                </w:tcPr>
                <w:p>
                  <w:pPr>
                    <w:adjustRightInd w:val="0"/>
                    <w:snapToGrid w:val="0"/>
                    <w:jc w:val="center"/>
                    <w:rPr>
                      <w:color w:val="auto"/>
                      <w:sz w:val="21"/>
                      <w:szCs w:val="21"/>
                    </w:rPr>
                  </w:pPr>
                  <w:r>
                    <w:rPr>
                      <w:color w:val="auto"/>
                      <w:sz w:val="21"/>
                      <w:szCs w:val="21"/>
                    </w:rPr>
                    <w:t>1</w:t>
                  </w:r>
                </w:p>
              </w:tc>
              <w:tc>
                <w:tcPr>
                  <w:tcW w:w="1056" w:type="pct"/>
                  <w:vAlign w:val="center"/>
                </w:tcPr>
                <w:p>
                  <w:pPr>
                    <w:adjustRightInd w:val="0"/>
                    <w:snapToGrid w:val="0"/>
                    <w:jc w:val="center"/>
                    <w:rPr>
                      <w:rFonts w:hint="eastAsia" w:eastAsia="宋体"/>
                      <w:color w:val="auto"/>
                      <w:sz w:val="21"/>
                      <w:szCs w:val="21"/>
                      <w:lang w:eastAsia="zh-CN"/>
                    </w:rPr>
                  </w:pPr>
                  <w:r>
                    <w:rPr>
                      <w:rFonts w:hint="eastAsia"/>
                      <w:color w:val="auto"/>
                      <w:sz w:val="21"/>
                      <w:szCs w:val="21"/>
                      <w:lang w:eastAsia="zh-CN"/>
                    </w:rPr>
                    <w:t>危废间</w:t>
                  </w:r>
                </w:p>
              </w:tc>
              <w:tc>
                <w:tcPr>
                  <w:tcW w:w="3476" w:type="pct"/>
                  <w:vAlign w:val="center"/>
                </w:tcPr>
                <w:p>
                  <w:pPr>
                    <w:spacing w:beforeLines="0" w:afterLines="0"/>
                    <w:jc w:val="left"/>
                    <w:rPr>
                      <w:rFonts w:hint="eastAsia" w:ascii="宋体" w:hAnsi="宋体" w:eastAsia="宋体"/>
                      <w:color w:val="auto"/>
                      <w:sz w:val="21"/>
                      <w:szCs w:val="24"/>
                    </w:rPr>
                  </w:pPr>
                  <w:r>
                    <w:rPr>
                      <w:rFonts w:hint="eastAsia" w:ascii="宋体" w:hAnsi="宋体" w:cs="宋体"/>
                      <w:color w:val="auto"/>
                      <w:sz w:val="21"/>
                      <w:szCs w:val="21"/>
                    </w:rPr>
                    <w:t>①</w:t>
                  </w:r>
                  <w:r>
                    <w:rPr>
                      <w:rFonts w:hint="eastAsia" w:ascii="宋体" w:hAnsi="宋体" w:eastAsia="宋体"/>
                      <w:color w:val="auto"/>
                      <w:sz w:val="21"/>
                      <w:szCs w:val="24"/>
                    </w:rPr>
                    <w:t>贮存设施地面与裙脚应采取表面防渗措施；表面防渗材料应与所接触的物料或污染物相容，可采用抗渗混凝土、高密度聚乙烯膜、钠基膨润土防水毯或其他防渗性能等效的材料。贮存的危险废物直</w:t>
                  </w:r>
                </w:p>
                <w:p>
                  <w:pPr>
                    <w:spacing w:beforeLines="0" w:afterLines="0"/>
                    <w:jc w:val="left"/>
                    <w:rPr>
                      <w:color w:val="auto"/>
                      <w:sz w:val="21"/>
                      <w:szCs w:val="21"/>
                    </w:rPr>
                  </w:pPr>
                  <w:r>
                    <w:rPr>
                      <w:rFonts w:hint="eastAsia" w:ascii="宋体" w:hAnsi="宋体" w:eastAsia="宋体"/>
                      <w:color w:val="auto"/>
                      <w:sz w:val="21"/>
                      <w:szCs w:val="24"/>
                    </w:rPr>
                    <w:t>接接触地面的，还应进行基础防渗，防渗层为至少</w:t>
                  </w:r>
                  <w:r>
                    <w:rPr>
                      <w:rFonts w:hint="eastAsia" w:ascii="TimesNewRomanPSMT" w:hAnsi="TimesNewRomanPSMT" w:eastAsia="TimesNewRomanPSMT"/>
                      <w:color w:val="auto"/>
                      <w:sz w:val="21"/>
                      <w:szCs w:val="24"/>
                    </w:rPr>
                    <w:t xml:space="preserve">1 m </w:t>
                  </w:r>
                  <w:r>
                    <w:rPr>
                      <w:rFonts w:hint="eastAsia" w:ascii="宋体" w:hAnsi="宋体" w:eastAsia="宋体"/>
                      <w:color w:val="auto"/>
                      <w:sz w:val="21"/>
                      <w:szCs w:val="24"/>
                    </w:rPr>
                    <w:t>厚黏土层（渗透系数不大于</w:t>
                  </w:r>
                  <w:r>
                    <w:rPr>
                      <w:rFonts w:hint="eastAsia" w:ascii="TimesNewRomanPSMT" w:hAnsi="TimesNewRomanPSMT" w:eastAsia="TimesNewRomanPSMT"/>
                      <w:color w:val="auto"/>
                      <w:sz w:val="21"/>
                      <w:szCs w:val="24"/>
                    </w:rPr>
                    <w:t>10</w:t>
                  </w:r>
                  <w:r>
                    <w:rPr>
                      <w:rFonts w:hint="eastAsia" w:ascii="TimesNewRomanPSMT" w:hAnsi="TimesNewRomanPSMT" w:eastAsia="TimesNewRomanPSMT"/>
                      <w:color w:val="auto"/>
                      <w:sz w:val="21"/>
                      <w:szCs w:val="21"/>
                      <w:vertAlign w:val="superscript"/>
                    </w:rPr>
                    <w:t xml:space="preserve">-7 </w:t>
                  </w:r>
                  <w:r>
                    <w:rPr>
                      <w:rFonts w:hint="eastAsia" w:ascii="TimesNewRomanPSMT" w:hAnsi="TimesNewRomanPSMT" w:eastAsia="TimesNewRomanPSMT"/>
                      <w:color w:val="auto"/>
                      <w:sz w:val="21"/>
                      <w:szCs w:val="24"/>
                    </w:rPr>
                    <w:t>cm/s</w:t>
                  </w:r>
                  <w:r>
                    <w:rPr>
                      <w:rFonts w:hint="eastAsia" w:ascii="宋体" w:hAnsi="宋体" w:eastAsia="宋体"/>
                      <w:color w:val="auto"/>
                      <w:sz w:val="21"/>
                      <w:szCs w:val="24"/>
                    </w:rPr>
                    <w:t>），或至少</w:t>
                  </w:r>
                  <w:r>
                    <w:rPr>
                      <w:rFonts w:hint="eastAsia" w:ascii="TimesNewRomanPSMT" w:hAnsi="TimesNewRomanPSMT" w:eastAsia="TimesNewRomanPSMT"/>
                      <w:color w:val="auto"/>
                      <w:sz w:val="21"/>
                      <w:szCs w:val="24"/>
                    </w:rPr>
                    <w:t xml:space="preserve">2 mm </w:t>
                  </w:r>
                  <w:r>
                    <w:rPr>
                      <w:rFonts w:hint="eastAsia" w:ascii="宋体" w:hAnsi="宋体" w:eastAsia="宋体"/>
                      <w:color w:val="auto"/>
                      <w:sz w:val="21"/>
                      <w:szCs w:val="24"/>
                    </w:rPr>
                    <w:t>厚高密度聚乙烯膜等人工防渗材料（渗透系数不大于</w:t>
                  </w:r>
                  <w:r>
                    <w:rPr>
                      <w:rFonts w:hint="eastAsia" w:ascii="TimesNewRomanPSMT" w:hAnsi="TimesNewRomanPSMT" w:eastAsia="TimesNewRomanPSMT"/>
                      <w:color w:val="auto"/>
                      <w:sz w:val="21"/>
                      <w:szCs w:val="24"/>
                    </w:rPr>
                    <w:t>10</w:t>
                  </w:r>
                  <w:r>
                    <w:rPr>
                      <w:rFonts w:hint="eastAsia" w:ascii="TimesNewRomanPSMT" w:hAnsi="TimesNewRomanPSMT" w:eastAsia="TimesNewRomanPSMT"/>
                      <w:color w:val="auto"/>
                      <w:sz w:val="21"/>
                      <w:szCs w:val="21"/>
                      <w:vertAlign w:val="superscript"/>
                    </w:rPr>
                    <w:t>-10</w:t>
                  </w:r>
                  <w:r>
                    <w:rPr>
                      <w:rFonts w:hint="eastAsia" w:ascii="TimesNewRomanPSMT" w:hAnsi="TimesNewRomanPSMT" w:eastAsia="TimesNewRomanPSMT"/>
                      <w:color w:val="auto"/>
                      <w:sz w:val="14"/>
                      <w:szCs w:val="24"/>
                    </w:rPr>
                    <w:t xml:space="preserve"> </w:t>
                  </w:r>
                  <w:r>
                    <w:rPr>
                      <w:rFonts w:hint="eastAsia" w:ascii="TimesNewRomanPSMT" w:hAnsi="TimesNewRomanPSMT" w:eastAsia="TimesNewRomanPSMT"/>
                      <w:color w:val="auto"/>
                      <w:sz w:val="21"/>
                      <w:szCs w:val="24"/>
                    </w:rPr>
                    <w:t>cm/s</w:t>
                  </w:r>
                  <w:r>
                    <w:rPr>
                      <w:rFonts w:hint="eastAsia" w:ascii="宋体" w:hAnsi="宋体" w:eastAsia="宋体"/>
                      <w:color w:val="auto"/>
                      <w:sz w:val="21"/>
                      <w:szCs w:val="24"/>
                    </w:rPr>
                    <w:t>），或其他防渗性能等效的材料。</w:t>
                  </w:r>
                  <w:r>
                    <w:rPr>
                      <w:rFonts w:hint="eastAsia" w:ascii="宋体" w:hAnsi="宋体" w:cs="宋体"/>
                      <w:color w:val="auto"/>
                      <w:sz w:val="21"/>
                      <w:szCs w:val="21"/>
                    </w:rPr>
                    <w:t>②</w:t>
                  </w:r>
                  <w:r>
                    <w:rPr>
                      <w:color w:val="auto"/>
                      <w:sz w:val="21"/>
                      <w:szCs w:val="21"/>
                    </w:rPr>
                    <w:t>严格按照施工规范施工，保证施工质量，保证无废水渗漏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8" w:type="pct"/>
                  <w:vAlign w:val="center"/>
                </w:tcPr>
                <w:p>
                  <w:pPr>
                    <w:adjustRightInd w:val="0"/>
                    <w:snapToGrid w:val="0"/>
                    <w:jc w:val="center"/>
                    <w:rPr>
                      <w:color w:val="auto"/>
                      <w:sz w:val="21"/>
                      <w:szCs w:val="21"/>
                    </w:rPr>
                  </w:pPr>
                  <w:r>
                    <w:rPr>
                      <w:color w:val="auto"/>
                      <w:sz w:val="21"/>
                      <w:szCs w:val="21"/>
                    </w:rPr>
                    <w:t>2</w:t>
                  </w:r>
                </w:p>
              </w:tc>
              <w:tc>
                <w:tcPr>
                  <w:tcW w:w="1056" w:type="pct"/>
                  <w:vAlign w:val="center"/>
                </w:tcPr>
                <w:p>
                  <w:pPr>
                    <w:adjustRightInd w:val="0"/>
                    <w:snapToGrid w:val="0"/>
                    <w:jc w:val="center"/>
                    <w:rPr>
                      <w:color w:val="auto"/>
                      <w:sz w:val="21"/>
                      <w:szCs w:val="21"/>
                    </w:rPr>
                  </w:pPr>
                  <w:r>
                    <w:rPr>
                      <w:color w:val="auto"/>
                      <w:sz w:val="21"/>
                      <w:szCs w:val="21"/>
                    </w:rPr>
                    <w:t>污水处理站</w:t>
                  </w:r>
                  <w:r>
                    <w:rPr>
                      <w:rFonts w:hint="eastAsia"/>
                      <w:color w:val="auto"/>
                      <w:sz w:val="21"/>
                      <w:szCs w:val="21"/>
                      <w:lang w:eastAsia="zh-CN"/>
                    </w:rPr>
                    <w:t>及</w:t>
                  </w:r>
                  <w:r>
                    <w:rPr>
                      <w:color w:val="auto"/>
                      <w:sz w:val="21"/>
                      <w:szCs w:val="21"/>
                    </w:rPr>
                    <w:t>其他区域</w:t>
                  </w:r>
                </w:p>
              </w:tc>
              <w:tc>
                <w:tcPr>
                  <w:tcW w:w="3476" w:type="pct"/>
                  <w:vAlign w:val="center"/>
                </w:tcPr>
                <w:p>
                  <w:pPr>
                    <w:adjustRightInd w:val="0"/>
                    <w:snapToGrid w:val="0"/>
                    <w:jc w:val="center"/>
                    <w:rPr>
                      <w:color w:val="auto"/>
                      <w:sz w:val="21"/>
                      <w:szCs w:val="21"/>
                    </w:rPr>
                  </w:pPr>
                  <w:r>
                    <w:rPr>
                      <w:color w:val="auto"/>
                      <w:sz w:val="21"/>
                      <w:szCs w:val="21"/>
                    </w:rPr>
                    <w:t>采用水泥防渗结构，路面全部进行粘土夯实、混凝硬化；应严格按照建筑防渗设计规范，采高标号的防水混凝土，做防渗地坪等</w:t>
                  </w:r>
                </w:p>
              </w:tc>
            </w:tr>
          </w:tbl>
          <w:p>
            <w:pPr>
              <w:keepNext w:val="0"/>
              <w:keepLines w:val="0"/>
              <w:pageBreakBefore w:val="0"/>
              <w:widowControl w:val="0"/>
              <w:kinsoku/>
              <w:wordWrap/>
              <w:overflowPunct/>
              <w:topLinePunct w:val="0"/>
              <w:autoSpaceDE w:val="0"/>
              <w:autoSpaceDN w:val="0"/>
              <w:bidi w:val="0"/>
              <w:adjustRightInd w:val="0"/>
              <w:snapToGrid w:val="0"/>
              <w:spacing w:before="157" w:beforeLines="50" w:line="360" w:lineRule="auto"/>
              <w:ind w:firstLine="480" w:firstLineChars="200"/>
              <w:jc w:val="left"/>
              <w:textAlignment w:val="auto"/>
              <w:rPr>
                <w:color w:val="auto"/>
                <w:kern w:val="0"/>
                <w:sz w:val="24"/>
                <w:szCs w:val="24"/>
              </w:rPr>
            </w:pPr>
            <w:r>
              <w:rPr>
                <w:color w:val="auto"/>
                <w:kern w:val="0"/>
                <w:sz w:val="24"/>
                <w:szCs w:val="24"/>
              </w:rPr>
              <w:t>企业拟加强生产管理，避免事故发生，必要时对地下水质及土壤进行监测，以便及时发现并采取有效的补救措施。</w:t>
            </w:r>
          </w:p>
          <w:p>
            <w:pPr>
              <w:spacing w:line="360" w:lineRule="auto"/>
              <w:jc w:val="left"/>
              <w:rPr>
                <w:b/>
                <w:bCs/>
                <w:color w:val="auto"/>
                <w:kern w:val="0"/>
                <w:sz w:val="24"/>
                <w:szCs w:val="24"/>
              </w:rPr>
            </w:pPr>
            <w:r>
              <w:rPr>
                <w:b/>
                <w:bCs/>
                <w:color w:val="auto"/>
                <w:kern w:val="0"/>
                <w:sz w:val="24"/>
                <w:szCs w:val="24"/>
              </w:rPr>
              <w:t>6、环境风险</w:t>
            </w:r>
          </w:p>
          <w:p>
            <w:pPr>
              <w:adjustRightInd w:val="0"/>
              <w:snapToGrid w:val="0"/>
              <w:spacing w:line="360" w:lineRule="auto"/>
              <w:ind w:firstLine="480" w:firstLineChars="200"/>
              <w:jc w:val="left"/>
              <w:rPr>
                <w:color w:val="auto"/>
                <w:sz w:val="24"/>
                <w:szCs w:val="24"/>
              </w:rPr>
            </w:pPr>
            <w:r>
              <w:rPr>
                <w:color w:val="auto"/>
                <w:sz w:val="24"/>
                <w:szCs w:val="24"/>
              </w:rPr>
              <w:t>（1）危险物质</w:t>
            </w:r>
          </w:p>
          <w:p>
            <w:pPr>
              <w:adjustRightInd w:val="0"/>
              <w:snapToGrid w:val="0"/>
              <w:spacing w:line="360" w:lineRule="auto"/>
              <w:ind w:firstLine="480" w:firstLineChars="200"/>
              <w:jc w:val="left"/>
              <w:rPr>
                <w:color w:val="auto"/>
                <w:sz w:val="24"/>
                <w:szCs w:val="24"/>
              </w:rPr>
            </w:pPr>
            <w:r>
              <w:rPr>
                <w:color w:val="auto"/>
                <w:sz w:val="24"/>
                <w:szCs w:val="24"/>
              </w:rPr>
              <w:t>根据《建设项目环境风险评价技术导则》（HJ169-2018）附录B、《危险化学品重大危险源辨识》（GB18218-2018）、《企业突发环境事件风险分级方法》（HJ941-2018）附录A，本项目涉及</w:t>
            </w:r>
            <w:r>
              <w:rPr>
                <w:rFonts w:hint="eastAsia"/>
                <w:color w:val="auto"/>
                <w:sz w:val="24"/>
                <w:szCs w:val="24"/>
                <w:lang w:eastAsia="zh-CN"/>
              </w:rPr>
              <w:t>风险</w:t>
            </w:r>
            <w:r>
              <w:rPr>
                <w:color w:val="auto"/>
                <w:sz w:val="24"/>
                <w:szCs w:val="24"/>
              </w:rPr>
              <w:t>物质及数量见表4-2</w:t>
            </w:r>
            <w:r>
              <w:rPr>
                <w:rFonts w:hint="eastAsia"/>
                <w:color w:val="auto"/>
                <w:sz w:val="24"/>
                <w:szCs w:val="24"/>
                <w:lang w:val="en-US" w:eastAsia="zh-CN"/>
              </w:rPr>
              <w:t>4</w:t>
            </w:r>
            <w:r>
              <w:rPr>
                <w:color w:val="auto"/>
                <w:sz w:val="24"/>
                <w:szCs w:val="24"/>
              </w:rPr>
              <w:t>。</w:t>
            </w:r>
          </w:p>
          <w:p>
            <w:pPr>
              <w:adjustRightInd w:val="0"/>
              <w:snapToGrid w:val="0"/>
              <w:jc w:val="center"/>
              <w:rPr>
                <w:b/>
                <w:color w:val="auto"/>
                <w:sz w:val="21"/>
                <w:szCs w:val="21"/>
              </w:rPr>
            </w:pPr>
            <w:r>
              <w:rPr>
                <w:b/>
                <w:color w:val="auto"/>
                <w:sz w:val="21"/>
                <w:szCs w:val="21"/>
              </w:rPr>
              <w:t>表4-</w:t>
            </w:r>
            <w:r>
              <w:rPr>
                <w:rFonts w:hint="eastAsia"/>
                <w:b/>
                <w:color w:val="auto"/>
                <w:sz w:val="21"/>
                <w:szCs w:val="21"/>
                <w:lang w:val="en-US" w:eastAsia="zh-CN"/>
              </w:rPr>
              <w:t>24</w:t>
            </w:r>
            <w:r>
              <w:rPr>
                <w:b/>
                <w:color w:val="auto"/>
                <w:sz w:val="21"/>
                <w:szCs w:val="21"/>
              </w:rPr>
              <w:t xml:space="preserve">  本项目涉及危险物质及数量</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25"/>
              <w:gridCol w:w="1389"/>
              <w:gridCol w:w="2515"/>
              <w:gridCol w:w="1905"/>
              <w:gridCol w:w="1709"/>
              <w:gridCol w:w="1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89" w:type="pct"/>
                  <w:vAlign w:val="center"/>
                </w:tcPr>
                <w:p>
                  <w:pPr>
                    <w:spacing w:line="240" w:lineRule="atLeast"/>
                    <w:jc w:val="center"/>
                    <w:rPr>
                      <w:b/>
                      <w:color w:val="auto"/>
                      <w:sz w:val="21"/>
                      <w:szCs w:val="21"/>
                    </w:rPr>
                  </w:pPr>
                  <w:r>
                    <w:rPr>
                      <w:b/>
                      <w:color w:val="auto"/>
                      <w:sz w:val="21"/>
                      <w:szCs w:val="21"/>
                    </w:rPr>
                    <w:t>序号</w:t>
                  </w:r>
                </w:p>
              </w:tc>
              <w:tc>
                <w:tcPr>
                  <w:tcW w:w="765" w:type="pct"/>
                  <w:vAlign w:val="center"/>
                </w:tcPr>
                <w:p>
                  <w:pPr>
                    <w:spacing w:line="240" w:lineRule="atLeast"/>
                    <w:jc w:val="center"/>
                    <w:rPr>
                      <w:b/>
                      <w:color w:val="auto"/>
                      <w:sz w:val="21"/>
                      <w:szCs w:val="21"/>
                    </w:rPr>
                  </w:pPr>
                  <w:r>
                    <w:rPr>
                      <w:b/>
                      <w:color w:val="auto"/>
                      <w:sz w:val="21"/>
                      <w:szCs w:val="21"/>
                    </w:rPr>
                    <w:t>名称</w:t>
                  </w:r>
                </w:p>
              </w:tc>
              <w:tc>
                <w:tcPr>
                  <w:tcW w:w="1385" w:type="pct"/>
                  <w:vAlign w:val="center"/>
                </w:tcPr>
                <w:p>
                  <w:pPr>
                    <w:spacing w:line="240" w:lineRule="atLeast"/>
                    <w:jc w:val="center"/>
                    <w:rPr>
                      <w:b/>
                      <w:color w:val="auto"/>
                      <w:sz w:val="21"/>
                      <w:szCs w:val="21"/>
                    </w:rPr>
                  </w:pPr>
                  <w:r>
                    <w:rPr>
                      <w:b/>
                      <w:color w:val="auto"/>
                      <w:sz w:val="21"/>
                      <w:szCs w:val="21"/>
                    </w:rPr>
                    <w:t>年用量/年产生量（t）</w:t>
                  </w:r>
                </w:p>
              </w:tc>
              <w:tc>
                <w:tcPr>
                  <w:tcW w:w="1049" w:type="pct"/>
                  <w:vAlign w:val="center"/>
                </w:tcPr>
                <w:p>
                  <w:pPr>
                    <w:spacing w:line="240" w:lineRule="atLeast"/>
                    <w:jc w:val="center"/>
                    <w:rPr>
                      <w:b/>
                      <w:color w:val="auto"/>
                      <w:sz w:val="21"/>
                      <w:szCs w:val="21"/>
                    </w:rPr>
                  </w:pPr>
                  <w:r>
                    <w:rPr>
                      <w:b/>
                      <w:color w:val="auto"/>
                      <w:sz w:val="21"/>
                      <w:szCs w:val="21"/>
                    </w:rPr>
                    <w:t>储存方式</w:t>
                  </w:r>
                </w:p>
              </w:tc>
              <w:tc>
                <w:tcPr>
                  <w:tcW w:w="941" w:type="pct"/>
                  <w:vAlign w:val="center"/>
                </w:tcPr>
                <w:p>
                  <w:pPr>
                    <w:spacing w:line="240" w:lineRule="atLeast"/>
                    <w:jc w:val="center"/>
                    <w:rPr>
                      <w:b/>
                      <w:color w:val="auto"/>
                      <w:sz w:val="21"/>
                      <w:szCs w:val="21"/>
                    </w:rPr>
                  </w:pPr>
                  <w:r>
                    <w:rPr>
                      <w:b/>
                      <w:color w:val="auto"/>
                      <w:sz w:val="21"/>
                      <w:szCs w:val="21"/>
                    </w:rPr>
                    <w:t>最大储存量（t）</w:t>
                  </w:r>
                </w:p>
              </w:tc>
              <w:tc>
                <w:tcPr>
                  <w:tcW w:w="568" w:type="pct"/>
                  <w:vAlign w:val="center"/>
                </w:tcPr>
                <w:p>
                  <w:pPr>
                    <w:spacing w:line="240" w:lineRule="atLeast"/>
                    <w:jc w:val="center"/>
                    <w:rPr>
                      <w:b/>
                      <w:color w:val="auto"/>
                      <w:sz w:val="21"/>
                      <w:szCs w:val="21"/>
                    </w:rPr>
                  </w:pPr>
                  <w:r>
                    <w:rPr>
                      <w:b/>
                      <w:color w:val="auto"/>
                      <w:sz w:val="21"/>
                      <w:szCs w:val="21"/>
                    </w:rPr>
                    <w:t>存储位置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89" w:type="pct"/>
                  <w:vAlign w:val="center"/>
                </w:tcPr>
                <w:p>
                  <w:pPr>
                    <w:spacing w:line="240" w:lineRule="atLeast"/>
                    <w:jc w:val="center"/>
                    <w:rPr>
                      <w:bCs/>
                      <w:color w:val="auto"/>
                      <w:sz w:val="21"/>
                      <w:szCs w:val="21"/>
                    </w:rPr>
                  </w:pPr>
                  <w:r>
                    <w:rPr>
                      <w:bCs/>
                      <w:color w:val="auto"/>
                      <w:sz w:val="21"/>
                      <w:szCs w:val="21"/>
                    </w:rPr>
                    <w:t>1</w:t>
                  </w:r>
                </w:p>
              </w:tc>
              <w:tc>
                <w:tcPr>
                  <w:tcW w:w="765" w:type="pc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75%酒精</w:t>
                  </w:r>
                </w:p>
              </w:tc>
              <w:tc>
                <w:tcPr>
                  <w:tcW w:w="1385" w:type="pct"/>
                  <w:vAlign w:val="center"/>
                </w:tcPr>
                <w:p>
                  <w:pPr>
                    <w:spacing w:line="240" w:lineRule="atLeast"/>
                    <w:jc w:val="center"/>
                    <w:rPr>
                      <w:color w:val="auto"/>
                      <w:kern w:val="0"/>
                      <w:sz w:val="21"/>
                      <w:szCs w:val="21"/>
                    </w:rPr>
                  </w:pPr>
                  <w:r>
                    <w:rPr>
                      <w:color w:val="auto"/>
                      <w:kern w:val="0"/>
                      <w:sz w:val="21"/>
                      <w:szCs w:val="21"/>
                    </w:rPr>
                    <w:t>0.</w:t>
                  </w:r>
                  <w:r>
                    <w:rPr>
                      <w:rFonts w:hint="eastAsia"/>
                      <w:color w:val="auto"/>
                      <w:kern w:val="0"/>
                      <w:sz w:val="21"/>
                      <w:szCs w:val="21"/>
                      <w:lang w:val="en-US" w:eastAsia="zh-CN"/>
                    </w:rPr>
                    <w:t>056</w:t>
                  </w:r>
                </w:p>
              </w:tc>
              <w:tc>
                <w:tcPr>
                  <w:tcW w:w="1049" w:type="pct"/>
                  <w:vAlign w:val="center"/>
                </w:tcPr>
                <w:p>
                  <w:pPr>
                    <w:spacing w:line="240" w:lineRule="atLeast"/>
                    <w:jc w:val="center"/>
                    <w:rPr>
                      <w:bCs/>
                      <w:color w:val="auto"/>
                      <w:sz w:val="21"/>
                      <w:szCs w:val="21"/>
                    </w:rPr>
                  </w:pPr>
                  <w:r>
                    <w:rPr>
                      <w:bCs/>
                      <w:color w:val="auto"/>
                      <w:sz w:val="21"/>
                      <w:szCs w:val="21"/>
                    </w:rPr>
                    <w:t>瓶装、密封</w:t>
                  </w:r>
                </w:p>
              </w:tc>
              <w:tc>
                <w:tcPr>
                  <w:tcW w:w="941" w:type="pct"/>
                  <w:vAlign w:val="center"/>
                </w:tcPr>
                <w:p>
                  <w:pPr>
                    <w:spacing w:line="240" w:lineRule="atLeast"/>
                    <w:jc w:val="center"/>
                    <w:rPr>
                      <w:bCs/>
                      <w:color w:val="auto"/>
                      <w:sz w:val="21"/>
                      <w:szCs w:val="21"/>
                    </w:rPr>
                  </w:pPr>
                  <w:r>
                    <w:rPr>
                      <w:rFonts w:hint="eastAsia"/>
                      <w:color w:val="auto"/>
                      <w:kern w:val="0"/>
                      <w:sz w:val="21"/>
                      <w:szCs w:val="21"/>
                      <w:lang w:val="en-US" w:eastAsia="zh-CN"/>
                    </w:rPr>
                    <w:t>0.056</w:t>
                  </w:r>
                </w:p>
              </w:tc>
              <w:tc>
                <w:tcPr>
                  <w:tcW w:w="568" w:type="pct"/>
                  <w:vAlign w:val="center"/>
                </w:tcPr>
                <w:p>
                  <w:pPr>
                    <w:spacing w:line="240" w:lineRule="atLeast"/>
                    <w:jc w:val="center"/>
                    <w:rPr>
                      <w:bCs/>
                      <w:color w:val="auto"/>
                      <w:sz w:val="21"/>
                      <w:szCs w:val="21"/>
                    </w:rPr>
                  </w:pPr>
                  <w:r>
                    <w:rPr>
                      <w:bCs/>
                      <w:color w:val="auto"/>
                      <w:sz w:val="21"/>
                      <w:szCs w:val="21"/>
                    </w:rPr>
                    <w:t>储物间</w:t>
                  </w:r>
                </w:p>
              </w:tc>
            </w:tr>
          </w:tbl>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jc w:val="left"/>
              <w:textAlignment w:val="auto"/>
              <w:rPr>
                <w:color w:val="auto"/>
                <w:sz w:val="24"/>
                <w:szCs w:val="24"/>
              </w:rPr>
            </w:pPr>
            <w:r>
              <w:rPr>
                <w:color w:val="auto"/>
                <w:sz w:val="24"/>
                <w:szCs w:val="24"/>
              </w:rPr>
              <w:t>（2）风险潜势初判</w:t>
            </w:r>
          </w:p>
          <w:p>
            <w:pPr>
              <w:spacing w:line="360" w:lineRule="auto"/>
              <w:ind w:firstLine="480" w:firstLineChars="200"/>
              <w:jc w:val="left"/>
              <w:rPr>
                <w:color w:val="auto"/>
                <w:sz w:val="24"/>
                <w:szCs w:val="24"/>
              </w:rPr>
            </w:pPr>
            <w:r>
              <w:rPr>
                <w:color w:val="auto"/>
                <w:sz w:val="24"/>
                <w:szCs w:val="24"/>
              </w:rPr>
              <w:t>根据《建设项目环境风险评价技术导则》（HJ169-2018），计算本项目所涉及的每种危险物质在场界内的最大存在总量与其在附录B中对应临界量的比值Q。当只涉及一种危险物质时，计算该物质的总量与其临界量比值，即为Q；当存在多种危险物质时，则按式（C.1）计算物质总量与其临界量比值（Q）；</w:t>
            </w:r>
          </w:p>
          <w:p>
            <w:pPr>
              <w:adjustRightInd w:val="0"/>
              <w:snapToGrid w:val="0"/>
              <w:spacing w:line="360" w:lineRule="auto"/>
              <w:jc w:val="center"/>
              <w:rPr>
                <w:color w:val="auto"/>
                <w:sz w:val="24"/>
                <w:szCs w:val="24"/>
              </w:rPr>
            </w:pPr>
            <w:r>
              <w:rPr>
                <w:color w:val="auto"/>
                <w:sz w:val="24"/>
                <w:szCs w:val="24"/>
              </w:rPr>
              <w:drawing>
                <wp:inline distT="0" distB="0" distL="0" distR="0">
                  <wp:extent cx="1440815" cy="490220"/>
                  <wp:effectExtent l="0" t="0" r="6985" b="508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1440815" cy="490220"/>
                          </a:xfrm>
                          <a:prstGeom prst="rect">
                            <a:avLst/>
                          </a:prstGeom>
                          <a:noFill/>
                          <a:ln>
                            <a:noFill/>
                          </a:ln>
                        </pic:spPr>
                      </pic:pic>
                    </a:graphicData>
                  </a:graphic>
                </wp:inline>
              </w:drawing>
            </w:r>
          </w:p>
          <w:p>
            <w:pPr>
              <w:spacing w:line="360" w:lineRule="auto"/>
              <w:ind w:firstLine="480" w:firstLineChars="200"/>
              <w:jc w:val="left"/>
              <w:rPr>
                <w:color w:val="auto"/>
                <w:sz w:val="24"/>
                <w:szCs w:val="24"/>
              </w:rPr>
            </w:pPr>
            <w:r>
              <w:rPr>
                <w:color w:val="auto"/>
                <w:sz w:val="24"/>
                <w:szCs w:val="24"/>
              </w:rPr>
              <w:t>式中：q</w:t>
            </w:r>
            <w:r>
              <w:rPr>
                <w:color w:val="auto"/>
                <w:sz w:val="24"/>
                <w:szCs w:val="24"/>
                <w:vertAlign w:val="subscript"/>
              </w:rPr>
              <w:t>1</w:t>
            </w:r>
            <w:r>
              <w:rPr>
                <w:color w:val="auto"/>
                <w:sz w:val="24"/>
                <w:szCs w:val="24"/>
              </w:rPr>
              <w:t>，q</w:t>
            </w:r>
            <w:r>
              <w:rPr>
                <w:color w:val="auto"/>
                <w:sz w:val="24"/>
                <w:szCs w:val="24"/>
                <w:vertAlign w:val="subscript"/>
              </w:rPr>
              <w:t>2</w:t>
            </w:r>
            <w:r>
              <w:rPr>
                <w:color w:val="auto"/>
                <w:sz w:val="24"/>
                <w:szCs w:val="24"/>
              </w:rPr>
              <w:t>，...，q</w:t>
            </w:r>
            <w:r>
              <w:rPr>
                <w:color w:val="auto"/>
                <w:sz w:val="24"/>
                <w:szCs w:val="24"/>
                <w:vertAlign w:val="subscript"/>
              </w:rPr>
              <w:t>n</w:t>
            </w:r>
            <w:r>
              <w:rPr>
                <w:color w:val="auto"/>
                <w:sz w:val="24"/>
                <w:szCs w:val="24"/>
              </w:rPr>
              <w:t>——每种危险物质的最大存在总量，t；</w:t>
            </w:r>
          </w:p>
          <w:p>
            <w:pPr>
              <w:spacing w:line="360" w:lineRule="auto"/>
              <w:ind w:firstLine="1200" w:firstLineChars="500"/>
              <w:jc w:val="left"/>
              <w:rPr>
                <w:color w:val="auto"/>
                <w:sz w:val="24"/>
                <w:szCs w:val="24"/>
              </w:rPr>
            </w:pPr>
            <w:r>
              <w:rPr>
                <w:color w:val="auto"/>
                <w:sz w:val="24"/>
                <w:szCs w:val="24"/>
              </w:rPr>
              <w:t>Q</w:t>
            </w:r>
            <w:r>
              <w:rPr>
                <w:color w:val="auto"/>
                <w:sz w:val="24"/>
                <w:szCs w:val="24"/>
                <w:vertAlign w:val="subscript"/>
              </w:rPr>
              <w:t>1</w:t>
            </w:r>
            <w:r>
              <w:rPr>
                <w:color w:val="auto"/>
                <w:sz w:val="24"/>
                <w:szCs w:val="24"/>
              </w:rPr>
              <w:t>，Q</w:t>
            </w:r>
            <w:r>
              <w:rPr>
                <w:color w:val="auto"/>
                <w:sz w:val="24"/>
                <w:szCs w:val="24"/>
                <w:vertAlign w:val="subscript"/>
              </w:rPr>
              <w:t>2</w:t>
            </w:r>
            <w:r>
              <w:rPr>
                <w:color w:val="auto"/>
                <w:sz w:val="24"/>
                <w:szCs w:val="24"/>
              </w:rPr>
              <w:t>，...，Q</w:t>
            </w:r>
            <w:r>
              <w:rPr>
                <w:color w:val="auto"/>
                <w:sz w:val="24"/>
                <w:szCs w:val="24"/>
                <w:vertAlign w:val="subscript"/>
              </w:rPr>
              <w:t>n</w:t>
            </w:r>
            <w:r>
              <w:rPr>
                <w:color w:val="auto"/>
                <w:sz w:val="24"/>
                <w:szCs w:val="24"/>
              </w:rPr>
              <w:t>——每种危险物质的临界量，t。</w:t>
            </w:r>
          </w:p>
          <w:p>
            <w:pPr>
              <w:spacing w:line="360" w:lineRule="auto"/>
              <w:ind w:firstLine="1200" w:firstLineChars="500"/>
              <w:jc w:val="left"/>
              <w:rPr>
                <w:color w:val="auto"/>
                <w:sz w:val="24"/>
                <w:szCs w:val="24"/>
              </w:rPr>
            </w:pPr>
            <w:r>
              <w:rPr>
                <w:color w:val="auto"/>
                <w:sz w:val="24"/>
                <w:szCs w:val="24"/>
              </w:rPr>
              <w:t>当Q＜1时，该项目环境风险潜势为1。</w:t>
            </w:r>
          </w:p>
          <w:p>
            <w:pPr>
              <w:spacing w:line="360" w:lineRule="auto"/>
              <w:ind w:firstLine="1200" w:firstLineChars="500"/>
              <w:jc w:val="left"/>
              <w:rPr>
                <w:color w:val="auto"/>
                <w:sz w:val="24"/>
                <w:szCs w:val="24"/>
              </w:rPr>
            </w:pPr>
            <w:r>
              <w:rPr>
                <w:color w:val="auto"/>
                <w:sz w:val="24"/>
                <w:szCs w:val="24"/>
              </w:rPr>
              <w:t>当Q≥1时，将Q值划分为：（1）1≤Q＜10；（2）10≤Q＜100；（3）Q≥100。</w:t>
            </w:r>
          </w:p>
          <w:p>
            <w:pPr>
              <w:spacing w:line="360" w:lineRule="auto"/>
              <w:ind w:firstLine="480" w:firstLineChars="200"/>
              <w:jc w:val="left"/>
              <w:rPr>
                <w:color w:val="auto"/>
                <w:sz w:val="24"/>
                <w:szCs w:val="24"/>
              </w:rPr>
            </w:pPr>
            <w:r>
              <w:rPr>
                <w:color w:val="auto"/>
                <w:sz w:val="24"/>
                <w:szCs w:val="24"/>
              </w:rPr>
              <w:t>根据《建设项目环境风险评价技术导则》（HJ169-2018）附录B、《危险化学品重大危险源辨识》（GB18218-2018）、《企业突发环境事件风险分级方法》（HJ941-2018）附录A，本项目各物质的临界量计算如下表4-2</w:t>
            </w:r>
            <w:r>
              <w:rPr>
                <w:rFonts w:hint="eastAsia"/>
                <w:color w:val="auto"/>
                <w:sz w:val="24"/>
                <w:szCs w:val="24"/>
                <w:lang w:val="en-US" w:eastAsia="zh-CN"/>
              </w:rPr>
              <w:t>5</w:t>
            </w:r>
            <w:r>
              <w:rPr>
                <w:color w:val="auto"/>
                <w:sz w:val="24"/>
                <w:szCs w:val="24"/>
              </w:rPr>
              <w:t>：</w:t>
            </w:r>
          </w:p>
          <w:p>
            <w:pPr>
              <w:jc w:val="center"/>
              <w:rPr>
                <w:b/>
                <w:color w:val="auto"/>
                <w:sz w:val="21"/>
                <w:szCs w:val="21"/>
              </w:rPr>
            </w:pPr>
            <w:r>
              <w:rPr>
                <w:b/>
                <w:color w:val="auto"/>
                <w:sz w:val="21"/>
                <w:szCs w:val="21"/>
              </w:rPr>
              <w:t>表4-2</w:t>
            </w:r>
            <w:r>
              <w:rPr>
                <w:rFonts w:hint="eastAsia"/>
                <w:b/>
                <w:color w:val="auto"/>
                <w:sz w:val="21"/>
                <w:szCs w:val="21"/>
                <w:lang w:val="en-US" w:eastAsia="zh-CN"/>
              </w:rPr>
              <w:t>5</w:t>
            </w:r>
            <w:r>
              <w:rPr>
                <w:b/>
                <w:color w:val="auto"/>
                <w:sz w:val="21"/>
                <w:szCs w:val="21"/>
              </w:rPr>
              <w:t xml:space="preserve">  涉及的主要物质的最大储存量和辨识情况</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8"/>
              <w:gridCol w:w="2006"/>
              <w:gridCol w:w="2680"/>
              <w:gridCol w:w="2048"/>
              <w:gridCol w:w="1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2" w:type="pct"/>
                  <w:vAlign w:val="center"/>
                </w:tcPr>
                <w:p>
                  <w:pPr>
                    <w:adjustRightInd w:val="0"/>
                    <w:snapToGrid w:val="0"/>
                    <w:spacing w:line="240" w:lineRule="atLeast"/>
                    <w:jc w:val="center"/>
                    <w:rPr>
                      <w:b/>
                      <w:color w:val="auto"/>
                      <w:sz w:val="21"/>
                      <w:szCs w:val="21"/>
                    </w:rPr>
                  </w:pPr>
                  <w:r>
                    <w:rPr>
                      <w:b/>
                      <w:color w:val="auto"/>
                      <w:sz w:val="21"/>
                      <w:szCs w:val="21"/>
                    </w:rPr>
                    <w:t>编号</w:t>
                  </w:r>
                </w:p>
              </w:tc>
              <w:tc>
                <w:tcPr>
                  <w:tcW w:w="1105" w:type="pct"/>
                  <w:vAlign w:val="center"/>
                </w:tcPr>
                <w:p>
                  <w:pPr>
                    <w:adjustRightInd w:val="0"/>
                    <w:snapToGrid w:val="0"/>
                    <w:spacing w:line="240" w:lineRule="atLeast"/>
                    <w:jc w:val="center"/>
                    <w:rPr>
                      <w:b/>
                      <w:color w:val="auto"/>
                      <w:sz w:val="21"/>
                      <w:szCs w:val="21"/>
                    </w:rPr>
                  </w:pPr>
                  <w:r>
                    <w:rPr>
                      <w:b/>
                      <w:color w:val="auto"/>
                      <w:sz w:val="21"/>
                      <w:szCs w:val="21"/>
                    </w:rPr>
                    <w:t>名称</w:t>
                  </w:r>
                </w:p>
              </w:tc>
              <w:tc>
                <w:tcPr>
                  <w:tcW w:w="1476" w:type="pct"/>
                  <w:vAlign w:val="center"/>
                </w:tcPr>
                <w:p>
                  <w:pPr>
                    <w:adjustRightInd w:val="0"/>
                    <w:snapToGrid w:val="0"/>
                    <w:spacing w:line="240" w:lineRule="atLeast"/>
                    <w:jc w:val="center"/>
                    <w:rPr>
                      <w:b/>
                      <w:color w:val="auto"/>
                      <w:sz w:val="21"/>
                      <w:szCs w:val="21"/>
                    </w:rPr>
                  </w:pPr>
                  <w:r>
                    <w:rPr>
                      <w:b/>
                      <w:color w:val="auto"/>
                      <w:sz w:val="21"/>
                      <w:szCs w:val="21"/>
                    </w:rPr>
                    <w:t>单元最大储存量（t）q</w:t>
                  </w:r>
                  <w:r>
                    <w:rPr>
                      <w:b/>
                      <w:color w:val="auto"/>
                      <w:sz w:val="21"/>
                      <w:szCs w:val="21"/>
                      <w:vertAlign w:val="subscript"/>
                    </w:rPr>
                    <w:t>n</w:t>
                  </w:r>
                </w:p>
              </w:tc>
              <w:tc>
                <w:tcPr>
                  <w:tcW w:w="1127" w:type="pct"/>
                  <w:vAlign w:val="center"/>
                </w:tcPr>
                <w:p>
                  <w:pPr>
                    <w:adjustRightInd w:val="0"/>
                    <w:snapToGrid w:val="0"/>
                    <w:spacing w:line="240" w:lineRule="atLeast"/>
                    <w:jc w:val="center"/>
                    <w:rPr>
                      <w:b/>
                      <w:color w:val="auto"/>
                      <w:sz w:val="21"/>
                      <w:szCs w:val="21"/>
                    </w:rPr>
                  </w:pPr>
                  <w:r>
                    <w:rPr>
                      <w:b/>
                      <w:color w:val="auto"/>
                      <w:sz w:val="21"/>
                      <w:szCs w:val="21"/>
                    </w:rPr>
                    <w:t>临界量*（t）Q</w:t>
                  </w:r>
                  <w:r>
                    <w:rPr>
                      <w:b/>
                      <w:color w:val="auto"/>
                      <w:sz w:val="21"/>
                      <w:szCs w:val="21"/>
                      <w:vertAlign w:val="subscript"/>
                    </w:rPr>
                    <w:t>n</w:t>
                  </w:r>
                </w:p>
              </w:tc>
              <w:tc>
                <w:tcPr>
                  <w:tcW w:w="828" w:type="pct"/>
                  <w:vAlign w:val="center"/>
                </w:tcPr>
                <w:p>
                  <w:pPr>
                    <w:adjustRightInd w:val="0"/>
                    <w:snapToGrid w:val="0"/>
                    <w:spacing w:line="240" w:lineRule="atLeast"/>
                    <w:jc w:val="center"/>
                    <w:rPr>
                      <w:b/>
                      <w:color w:val="auto"/>
                      <w:sz w:val="21"/>
                      <w:szCs w:val="21"/>
                    </w:rPr>
                  </w:pPr>
                  <w:r>
                    <w:rPr>
                      <w:b/>
                      <w:color w:val="auto"/>
                      <w:sz w:val="21"/>
                      <w:szCs w:val="21"/>
                    </w:rPr>
                    <w:t>q</w:t>
                  </w:r>
                  <w:r>
                    <w:rPr>
                      <w:b/>
                      <w:color w:val="auto"/>
                      <w:sz w:val="21"/>
                      <w:szCs w:val="21"/>
                      <w:vertAlign w:val="subscript"/>
                    </w:rPr>
                    <w:t>n</w:t>
                  </w:r>
                  <w:r>
                    <w:rPr>
                      <w:b/>
                      <w:color w:val="auto"/>
                      <w:sz w:val="21"/>
                      <w:szCs w:val="21"/>
                    </w:rPr>
                    <w:t>/Q</w:t>
                  </w:r>
                  <w:r>
                    <w:rPr>
                      <w:b/>
                      <w:color w:val="auto"/>
                      <w:sz w:val="21"/>
                      <w:szCs w:val="21"/>
                      <w:vertAlign w:val="subscript"/>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2" w:type="pct"/>
                  <w:vAlign w:val="center"/>
                </w:tcPr>
                <w:p>
                  <w:pPr>
                    <w:adjustRightInd w:val="0"/>
                    <w:snapToGrid w:val="0"/>
                    <w:spacing w:line="240" w:lineRule="atLeast"/>
                    <w:jc w:val="center"/>
                    <w:rPr>
                      <w:rFonts w:hint="eastAsia" w:eastAsia="宋体"/>
                      <w:bCs/>
                      <w:color w:val="auto"/>
                      <w:sz w:val="21"/>
                      <w:szCs w:val="21"/>
                      <w:lang w:val="en-US" w:eastAsia="zh-CN"/>
                    </w:rPr>
                  </w:pPr>
                  <w:r>
                    <w:rPr>
                      <w:rFonts w:hint="eastAsia"/>
                      <w:bCs/>
                      <w:color w:val="auto"/>
                      <w:sz w:val="21"/>
                      <w:szCs w:val="21"/>
                      <w:lang w:val="en-US" w:eastAsia="zh-CN"/>
                    </w:rPr>
                    <w:t>1</w:t>
                  </w:r>
                </w:p>
              </w:tc>
              <w:tc>
                <w:tcPr>
                  <w:tcW w:w="1105" w:type="pc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乙醇</w:t>
                  </w:r>
                </w:p>
                <w:p>
                  <w:pPr>
                    <w:pStyle w:val="68"/>
                    <w:spacing w:line="240" w:lineRule="auto"/>
                    <w:rPr>
                      <w:rFonts w:ascii="Times New Roman" w:hAnsi="Times New Roman" w:eastAsia="宋体" w:cs="Times New Roman"/>
                      <w:bCs/>
                      <w:color w:val="auto"/>
                      <w:kern w:val="2"/>
                      <w:sz w:val="21"/>
                      <w:szCs w:val="21"/>
                      <w:lang w:val="en-US" w:eastAsia="zh-CN" w:bidi="ar-SA"/>
                    </w:rPr>
                  </w:pPr>
                  <w:r>
                    <w:rPr>
                      <w:rFonts w:ascii="Times New Roman" w:hAnsi="Times New Roman" w:eastAsia="宋体" w:cs="Times New Roman"/>
                      <w:color w:val="auto"/>
                      <w:sz w:val="21"/>
                      <w:szCs w:val="21"/>
                    </w:rPr>
                    <w:t>（酒精中成分）</w:t>
                  </w:r>
                </w:p>
              </w:tc>
              <w:tc>
                <w:tcPr>
                  <w:tcW w:w="1476" w:type="pct"/>
                  <w:vAlign w:val="center"/>
                </w:tcPr>
                <w:p>
                  <w:pPr>
                    <w:spacing w:line="240" w:lineRule="atLeast"/>
                    <w:jc w:val="center"/>
                    <w:rPr>
                      <w:rFonts w:hint="default" w:ascii="Times New Roman" w:hAnsi="Times New Roman" w:eastAsia="宋体" w:cs="Times New Roman"/>
                      <w:color w:val="auto"/>
                      <w:kern w:val="0"/>
                      <w:sz w:val="21"/>
                      <w:szCs w:val="21"/>
                      <w:lang w:val="en-US" w:eastAsia="zh-CN" w:bidi="ar-SA"/>
                    </w:rPr>
                  </w:pPr>
                  <w:r>
                    <w:rPr>
                      <w:color w:val="auto"/>
                      <w:kern w:val="0"/>
                      <w:sz w:val="21"/>
                      <w:szCs w:val="21"/>
                    </w:rPr>
                    <w:t>0.</w:t>
                  </w:r>
                  <w:r>
                    <w:rPr>
                      <w:rFonts w:hint="eastAsia"/>
                      <w:color w:val="auto"/>
                      <w:kern w:val="0"/>
                      <w:sz w:val="21"/>
                      <w:szCs w:val="21"/>
                      <w:lang w:val="en-US" w:eastAsia="zh-CN"/>
                    </w:rPr>
                    <w:t>056</w:t>
                  </w:r>
                </w:p>
              </w:tc>
              <w:tc>
                <w:tcPr>
                  <w:tcW w:w="1127" w:type="pct"/>
                  <w:vAlign w:val="center"/>
                </w:tcPr>
                <w:p>
                  <w:pPr>
                    <w:spacing w:line="240" w:lineRule="atLeast"/>
                    <w:jc w:val="center"/>
                    <w:rPr>
                      <w:rFonts w:ascii="Times New Roman" w:hAnsi="Times New Roman" w:eastAsia="宋体" w:cs="Times New Roman"/>
                      <w:bCs/>
                      <w:color w:val="auto"/>
                      <w:kern w:val="2"/>
                      <w:sz w:val="21"/>
                      <w:szCs w:val="21"/>
                      <w:lang w:val="en-US" w:eastAsia="zh-CN" w:bidi="ar-SA"/>
                    </w:rPr>
                  </w:pPr>
                  <w:r>
                    <w:rPr>
                      <w:bCs/>
                      <w:color w:val="auto"/>
                      <w:sz w:val="21"/>
                      <w:szCs w:val="21"/>
                    </w:rPr>
                    <w:t>500</w:t>
                  </w:r>
                </w:p>
              </w:tc>
              <w:tc>
                <w:tcPr>
                  <w:tcW w:w="828" w:type="pct"/>
                  <w:vAlign w:val="center"/>
                </w:tcPr>
                <w:p>
                  <w:pPr>
                    <w:spacing w:line="240" w:lineRule="atLeast"/>
                    <w:jc w:val="center"/>
                    <w:rPr>
                      <w:rFonts w:hint="eastAsia" w:ascii="Times New Roman" w:hAnsi="Times New Roman" w:eastAsia="宋体" w:cs="Times New Roman"/>
                      <w:bCs/>
                      <w:color w:val="auto"/>
                      <w:kern w:val="2"/>
                      <w:sz w:val="21"/>
                      <w:szCs w:val="21"/>
                      <w:lang w:val="en-US" w:eastAsia="zh-CN" w:bidi="ar-SA"/>
                    </w:rPr>
                  </w:pPr>
                  <w:r>
                    <w:rPr>
                      <w:color w:val="auto"/>
                      <w:sz w:val="21"/>
                      <w:szCs w:val="21"/>
                    </w:rPr>
                    <w:t>0.000</w:t>
                  </w:r>
                  <w:r>
                    <w:rPr>
                      <w:rFonts w:hint="eastAsia"/>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71" w:type="pct"/>
                  <w:gridSpan w:val="4"/>
                  <w:vAlign w:val="center"/>
                </w:tcPr>
                <w:p>
                  <w:pPr>
                    <w:spacing w:line="240" w:lineRule="atLeast"/>
                    <w:jc w:val="center"/>
                    <w:rPr>
                      <w:bCs/>
                      <w:color w:val="auto"/>
                      <w:sz w:val="21"/>
                      <w:szCs w:val="21"/>
                    </w:rPr>
                  </w:pPr>
                  <w:r>
                    <w:rPr>
                      <w:bCs/>
                      <w:color w:val="auto"/>
                      <w:sz w:val="21"/>
                      <w:szCs w:val="21"/>
                    </w:rPr>
                    <w:t>Q=∑q</w:t>
                  </w:r>
                  <w:r>
                    <w:rPr>
                      <w:bCs/>
                      <w:color w:val="auto"/>
                      <w:sz w:val="21"/>
                      <w:szCs w:val="21"/>
                      <w:vertAlign w:val="subscript"/>
                    </w:rPr>
                    <w:t>n</w:t>
                  </w:r>
                  <w:r>
                    <w:rPr>
                      <w:bCs/>
                      <w:color w:val="auto"/>
                      <w:sz w:val="21"/>
                      <w:szCs w:val="21"/>
                    </w:rPr>
                    <w:t>/Q</w:t>
                  </w:r>
                  <w:r>
                    <w:rPr>
                      <w:bCs/>
                      <w:color w:val="auto"/>
                      <w:sz w:val="21"/>
                      <w:szCs w:val="21"/>
                      <w:vertAlign w:val="subscript"/>
                    </w:rPr>
                    <w:t>n</w:t>
                  </w:r>
                </w:p>
              </w:tc>
              <w:tc>
                <w:tcPr>
                  <w:tcW w:w="828" w:type="pct"/>
                  <w:vAlign w:val="center"/>
                </w:tcPr>
                <w:p>
                  <w:pPr>
                    <w:widowControl/>
                    <w:jc w:val="center"/>
                    <w:rPr>
                      <w:rFonts w:hint="default" w:eastAsia="宋体"/>
                      <w:color w:val="auto"/>
                      <w:sz w:val="21"/>
                      <w:szCs w:val="21"/>
                      <w:lang w:val="en-US" w:eastAsia="zh-CN"/>
                    </w:rPr>
                  </w:pPr>
                  <w:r>
                    <w:rPr>
                      <w:color w:val="auto"/>
                      <w:sz w:val="21"/>
                      <w:szCs w:val="21"/>
                    </w:rPr>
                    <w:t>0.0</w:t>
                  </w:r>
                  <w:r>
                    <w:rPr>
                      <w:rFonts w:hint="eastAsia"/>
                      <w:color w:val="auto"/>
                      <w:sz w:val="21"/>
                      <w:szCs w:val="21"/>
                      <w:lang w:val="en-US" w:eastAsia="zh-CN"/>
                    </w:rPr>
                    <w:t>001</w:t>
                  </w:r>
                </w:p>
              </w:tc>
            </w:tr>
          </w:tbl>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jc w:val="left"/>
              <w:textAlignment w:val="auto"/>
              <w:rPr>
                <w:color w:val="auto"/>
                <w:sz w:val="24"/>
                <w:szCs w:val="24"/>
              </w:rPr>
            </w:pPr>
            <w:r>
              <w:rPr>
                <w:color w:val="auto"/>
                <w:sz w:val="24"/>
                <w:szCs w:val="24"/>
              </w:rPr>
              <w:t>由上表可知，本项目危险物质总量与其临界量比值Q＜1，因此可直接判断环境风险潜势为I。</w:t>
            </w:r>
          </w:p>
          <w:p>
            <w:pPr>
              <w:adjustRightInd w:val="0"/>
              <w:snapToGrid w:val="0"/>
              <w:spacing w:line="360" w:lineRule="auto"/>
              <w:ind w:firstLine="480" w:firstLineChars="200"/>
              <w:jc w:val="left"/>
              <w:rPr>
                <w:color w:val="auto"/>
                <w:sz w:val="24"/>
                <w:szCs w:val="24"/>
              </w:rPr>
            </w:pPr>
            <w:r>
              <w:rPr>
                <w:color w:val="auto"/>
                <w:sz w:val="24"/>
                <w:szCs w:val="24"/>
              </w:rPr>
              <w:t>（3）环境风险识别</w:t>
            </w:r>
          </w:p>
          <w:p>
            <w:pPr>
              <w:snapToGrid w:val="0"/>
              <w:spacing w:line="360" w:lineRule="auto"/>
              <w:ind w:firstLine="480" w:firstLineChars="200"/>
              <w:jc w:val="left"/>
              <w:rPr>
                <w:color w:val="auto"/>
                <w:sz w:val="24"/>
                <w:szCs w:val="24"/>
              </w:rPr>
            </w:pPr>
            <w:r>
              <w:rPr>
                <w:color w:val="auto"/>
                <w:sz w:val="24"/>
                <w:szCs w:val="24"/>
              </w:rPr>
              <w:t>本项目主要环境风险识别见下表4-</w:t>
            </w:r>
            <w:r>
              <w:rPr>
                <w:rFonts w:hint="eastAsia"/>
                <w:color w:val="auto"/>
                <w:sz w:val="24"/>
                <w:szCs w:val="24"/>
                <w:lang w:val="en-US" w:eastAsia="zh-CN"/>
              </w:rPr>
              <w:t>26</w:t>
            </w:r>
            <w:r>
              <w:rPr>
                <w:color w:val="auto"/>
                <w:sz w:val="24"/>
                <w:szCs w:val="24"/>
              </w:rPr>
              <w:t>：</w:t>
            </w:r>
          </w:p>
          <w:p>
            <w:pPr>
              <w:adjustRightInd w:val="0"/>
              <w:snapToGrid w:val="0"/>
              <w:jc w:val="center"/>
              <w:rPr>
                <w:b/>
                <w:color w:val="auto"/>
                <w:sz w:val="21"/>
                <w:szCs w:val="21"/>
              </w:rPr>
            </w:pPr>
            <w:r>
              <w:rPr>
                <w:b/>
                <w:color w:val="auto"/>
                <w:sz w:val="21"/>
                <w:szCs w:val="21"/>
              </w:rPr>
              <w:t>表4-</w:t>
            </w:r>
            <w:r>
              <w:rPr>
                <w:rFonts w:hint="eastAsia"/>
                <w:b/>
                <w:color w:val="auto"/>
                <w:sz w:val="21"/>
                <w:szCs w:val="21"/>
                <w:lang w:val="en-US" w:eastAsia="zh-CN"/>
              </w:rPr>
              <w:t>26</w:t>
            </w:r>
            <w:r>
              <w:rPr>
                <w:b/>
                <w:color w:val="auto"/>
                <w:sz w:val="21"/>
                <w:szCs w:val="21"/>
              </w:rPr>
              <w:t xml:space="preserve">  本项目涉及的主要危险物质环境风险识别</w:t>
            </w:r>
          </w:p>
          <w:tbl>
            <w:tblPr>
              <w:tblStyle w:val="25"/>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4"/>
              <w:gridCol w:w="1463"/>
              <w:gridCol w:w="4401"/>
              <w:gridCol w:w="2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321" w:type="pct"/>
                  <w:gridSpan w:val="2"/>
                  <w:vAlign w:val="center"/>
                </w:tcPr>
                <w:p>
                  <w:pPr>
                    <w:adjustRightInd w:val="0"/>
                    <w:snapToGrid w:val="0"/>
                    <w:spacing w:line="240" w:lineRule="atLeast"/>
                    <w:jc w:val="center"/>
                    <w:rPr>
                      <w:b/>
                      <w:color w:val="auto"/>
                      <w:sz w:val="21"/>
                      <w:szCs w:val="21"/>
                    </w:rPr>
                  </w:pPr>
                  <w:r>
                    <w:rPr>
                      <w:b/>
                      <w:color w:val="auto"/>
                      <w:sz w:val="21"/>
                      <w:szCs w:val="21"/>
                    </w:rPr>
                    <w:t>风险单元</w:t>
                  </w:r>
                </w:p>
              </w:tc>
              <w:tc>
                <w:tcPr>
                  <w:tcW w:w="2424" w:type="pct"/>
                  <w:vAlign w:val="center"/>
                </w:tcPr>
                <w:p>
                  <w:pPr>
                    <w:adjustRightInd w:val="0"/>
                    <w:snapToGrid w:val="0"/>
                    <w:spacing w:line="240" w:lineRule="atLeast"/>
                    <w:jc w:val="center"/>
                    <w:rPr>
                      <w:b/>
                      <w:color w:val="auto"/>
                      <w:sz w:val="21"/>
                      <w:szCs w:val="21"/>
                    </w:rPr>
                  </w:pPr>
                  <w:r>
                    <w:rPr>
                      <w:b/>
                      <w:color w:val="auto"/>
                      <w:sz w:val="21"/>
                      <w:szCs w:val="21"/>
                    </w:rPr>
                    <w:t>涉及风险物质</w:t>
                  </w:r>
                </w:p>
              </w:tc>
              <w:tc>
                <w:tcPr>
                  <w:tcW w:w="1254" w:type="pct"/>
                  <w:vAlign w:val="center"/>
                </w:tcPr>
                <w:p>
                  <w:pPr>
                    <w:adjustRightInd w:val="0"/>
                    <w:snapToGrid w:val="0"/>
                    <w:spacing w:line="240" w:lineRule="atLeast"/>
                    <w:jc w:val="center"/>
                    <w:rPr>
                      <w:b/>
                      <w:color w:val="auto"/>
                      <w:sz w:val="21"/>
                      <w:szCs w:val="21"/>
                    </w:rPr>
                  </w:pPr>
                  <w:r>
                    <w:rPr>
                      <w:b/>
                      <w:color w:val="auto"/>
                      <w:sz w:val="21"/>
                      <w:szCs w:val="21"/>
                    </w:rPr>
                    <w:t>可能影响的环境途径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515" w:type="pct"/>
                  <w:vAlign w:val="center"/>
                </w:tcPr>
                <w:p>
                  <w:pPr>
                    <w:adjustRightInd w:val="0"/>
                    <w:snapToGrid w:val="0"/>
                    <w:spacing w:line="240" w:lineRule="atLeast"/>
                    <w:jc w:val="center"/>
                    <w:rPr>
                      <w:bCs/>
                      <w:color w:val="auto"/>
                      <w:sz w:val="21"/>
                      <w:szCs w:val="21"/>
                    </w:rPr>
                  </w:pPr>
                  <w:r>
                    <w:rPr>
                      <w:bCs/>
                      <w:color w:val="auto"/>
                      <w:sz w:val="21"/>
                      <w:szCs w:val="21"/>
                    </w:rPr>
                    <w:t>医院</w:t>
                  </w:r>
                </w:p>
              </w:tc>
              <w:tc>
                <w:tcPr>
                  <w:tcW w:w="805" w:type="pct"/>
                  <w:vAlign w:val="center"/>
                </w:tcPr>
                <w:p>
                  <w:pPr>
                    <w:adjustRightInd w:val="0"/>
                    <w:snapToGrid w:val="0"/>
                    <w:spacing w:line="240" w:lineRule="atLeast"/>
                    <w:jc w:val="center"/>
                    <w:rPr>
                      <w:color w:val="auto"/>
                      <w:sz w:val="21"/>
                      <w:szCs w:val="21"/>
                    </w:rPr>
                  </w:pPr>
                  <w:r>
                    <w:rPr>
                      <w:color w:val="auto"/>
                      <w:sz w:val="21"/>
                      <w:szCs w:val="21"/>
                    </w:rPr>
                    <w:t>储物间</w:t>
                  </w:r>
                </w:p>
              </w:tc>
              <w:tc>
                <w:tcPr>
                  <w:tcW w:w="2424" w:type="pct"/>
                  <w:vAlign w:val="center"/>
                </w:tcPr>
                <w:p>
                  <w:pPr>
                    <w:pStyle w:val="68"/>
                    <w:spacing w:line="24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乙醇（酒精中成分）</w:t>
                  </w:r>
                </w:p>
              </w:tc>
              <w:tc>
                <w:tcPr>
                  <w:tcW w:w="1254" w:type="pct"/>
                  <w:vAlign w:val="center"/>
                </w:tcPr>
                <w:p>
                  <w:pPr>
                    <w:adjustRightInd w:val="0"/>
                    <w:snapToGrid w:val="0"/>
                    <w:spacing w:line="240" w:lineRule="atLeast"/>
                    <w:jc w:val="center"/>
                    <w:rPr>
                      <w:bCs/>
                      <w:color w:val="auto"/>
                      <w:sz w:val="21"/>
                      <w:szCs w:val="21"/>
                    </w:rPr>
                  </w:pPr>
                  <w:r>
                    <w:rPr>
                      <w:bCs/>
                      <w:color w:val="auto"/>
                      <w:sz w:val="21"/>
                      <w:szCs w:val="21"/>
                    </w:rPr>
                    <w:t>泄漏、火灾</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0" w:firstLineChars="200"/>
              <w:jc w:val="left"/>
              <w:textAlignment w:val="auto"/>
              <w:rPr>
                <w:color w:val="auto"/>
                <w:sz w:val="24"/>
                <w:szCs w:val="24"/>
              </w:rPr>
            </w:pPr>
            <w:r>
              <w:rPr>
                <w:color w:val="auto"/>
                <w:sz w:val="24"/>
                <w:szCs w:val="24"/>
              </w:rPr>
              <w:t>（4）环境风险分析</w:t>
            </w:r>
          </w:p>
          <w:p>
            <w:pPr>
              <w:adjustRightInd w:val="0"/>
              <w:snapToGrid w:val="0"/>
              <w:spacing w:line="360" w:lineRule="auto"/>
              <w:ind w:firstLine="480" w:firstLineChars="200"/>
              <w:jc w:val="left"/>
              <w:rPr>
                <w:color w:val="auto"/>
                <w:sz w:val="24"/>
                <w:szCs w:val="24"/>
              </w:rPr>
            </w:pPr>
            <w:r>
              <w:rPr>
                <w:color w:val="auto"/>
                <w:sz w:val="24"/>
                <w:szCs w:val="24"/>
              </w:rPr>
              <w:t>经识别，本项目涉及的主要风险物质为乙醇（酒精中成分）</w:t>
            </w:r>
            <w:r>
              <w:rPr>
                <w:rFonts w:hint="eastAsia"/>
                <w:color w:val="auto"/>
                <w:sz w:val="24"/>
                <w:szCs w:val="24"/>
              </w:rPr>
              <w:t>、</w:t>
            </w:r>
            <w:r>
              <w:rPr>
                <w:bCs/>
                <w:color w:val="auto"/>
                <w:sz w:val="24"/>
                <w:szCs w:val="24"/>
              </w:rPr>
              <w:t>医疗</w:t>
            </w:r>
            <w:r>
              <w:rPr>
                <w:rFonts w:hint="eastAsia"/>
                <w:bCs/>
                <w:color w:val="auto"/>
                <w:sz w:val="24"/>
                <w:szCs w:val="24"/>
                <w:lang w:eastAsia="zh-CN"/>
              </w:rPr>
              <w:t>废物</w:t>
            </w:r>
            <w:r>
              <w:rPr>
                <w:bCs/>
                <w:color w:val="auto"/>
                <w:sz w:val="24"/>
                <w:szCs w:val="24"/>
              </w:rPr>
              <w:t>、污泥</w:t>
            </w:r>
            <w:r>
              <w:rPr>
                <w:color w:val="auto"/>
                <w:sz w:val="24"/>
                <w:szCs w:val="24"/>
              </w:rPr>
              <w:t>，如遇泄漏拦截不当则可能会进入附近水环境中，会导致受纳水体环境中相应污染物浓度增高，造成水环境质量污染；医疗废水处理过程中的事故因素为操作不当或处理设施失灵，项目废水不能达标排放，通过市政污水管网排入</w:t>
            </w:r>
            <w:r>
              <w:rPr>
                <w:rFonts w:hint="eastAsia"/>
                <w:color w:val="auto"/>
                <w:sz w:val="24"/>
                <w:szCs w:val="24"/>
                <w:lang w:eastAsia="zh-CN"/>
              </w:rPr>
              <w:t>西安市第一污水处理厂一期</w:t>
            </w:r>
            <w:r>
              <w:rPr>
                <w:color w:val="auto"/>
                <w:sz w:val="24"/>
                <w:szCs w:val="24"/>
              </w:rPr>
              <w:t>，将会对污水处理厂负荷造成冲击。若医院废水进入附近地表水，将对项目周围水体及地下水构成风险。</w:t>
            </w:r>
          </w:p>
          <w:p>
            <w:pPr>
              <w:adjustRightInd w:val="0"/>
              <w:snapToGrid w:val="0"/>
              <w:spacing w:line="360" w:lineRule="auto"/>
              <w:ind w:firstLine="480" w:firstLineChars="200"/>
              <w:jc w:val="left"/>
              <w:rPr>
                <w:color w:val="auto"/>
                <w:sz w:val="24"/>
                <w:szCs w:val="24"/>
              </w:rPr>
            </w:pPr>
            <w:r>
              <w:rPr>
                <w:color w:val="auto"/>
                <w:sz w:val="24"/>
                <w:szCs w:val="24"/>
              </w:rPr>
              <w:t>医院应采取防渗措施，对项目地下水、土壤环境风险影响较小。</w:t>
            </w:r>
          </w:p>
          <w:p>
            <w:pPr>
              <w:adjustRightInd w:val="0"/>
              <w:snapToGrid w:val="0"/>
              <w:spacing w:line="360" w:lineRule="auto"/>
              <w:ind w:firstLine="480" w:firstLineChars="200"/>
              <w:jc w:val="left"/>
              <w:rPr>
                <w:color w:val="auto"/>
                <w:sz w:val="24"/>
                <w:szCs w:val="24"/>
              </w:rPr>
            </w:pPr>
            <w:r>
              <w:rPr>
                <w:color w:val="auto"/>
                <w:sz w:val="24"/>
                <w:szCs w:val="24"/>
              </w:rPr>
              <w:t>（5）环境风险防控措</w:t>
            </w:r>
          </w:p>
          <w:p>
            <w:pPr>
              <w:adjustRightInd w:val="0"/>
              <w:snapToGrid w:val="0"/>
              <w:spacing w:line="360" w:lineRule="auto"/>
              <w:ind w:firstLine="480" w:firstLineChars="200"/>
              <w:jc w:val="left"/>
              <w:rPr>
                <w:color w:val="auto"/>
                <w:sz w:val="24"/>
                <w:szCs w:val="24"/>
              </w:rPr>
            </w:pPr>
            <w:r>
              <w:rPr>
                <w:color w:val="auto"/>
                <w:sz w:val="24"/>
                <w:szCs w:val="24"/>
              </w:rPr>
              <w:t>为确保建设项目不对土壤、地下水造成污染，建设单位拟采取以下源头措施：</w:t>
            </w:r>
          </w:p>
          <w:p>
            <w:pPr>
              <w:pStyle w:val="55"/>
              <w:numPr>
                <w:ilvl w:val="0"/>
                <w:numId w:val="0"/>
              </w:numPr>
              <w:adjustRightInd w:val="0"/>
              <w:snapToGrid w:val="0"/>
              <w:spacing w:line="360" w:lineRule="auto"/>
              <w:ind w:left="420" w:leftChars="0"/>
              <w:jc w:val="left"/>
              <w:rPr>
                <w:color w:val="auto"/>
                <w:sz w:val="24"/>
                <w:szCs w:val="24"/>
              </w:rPr>
            </w:pPr>
            <w:r>
              <w:rPr>
                <w:rFonts w:hint="eastAsia"/>
                <w:color w:val="auto"/>
                <w:sz w:val="24"/>
                <w:szCs w:val="24"/>
                <w:lang w:eastAsia="zh-CN"/>
              </w:rPr>
              <w:t>①</w:t>
            </w:r>
            <w:r>
              <w:rPr>
                <w:color w:val="auto"/>
                <w:sz w:val="24"/>
                <w:szCs w:val="24"/>
              </w:rPr>
              <w:t>污水处理设施事故防范措施</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color w:val="auto"/>
                <w:sz w:val="24"/>
                <w:szCs w:val="24"/>
              </w:rPr>
            </w:pPr>
            <w:r>
              <w:rPr>
                <w:color w:val="auto"/>
                <w:sz w:val="24"/>
                <w:szCs w:val="24"/>
              </w:rPr>
              <w:t>为了保证污水处理设施正常运行，防止环境风险的发生，需要对污水处理站提供应急电源，保证污水处理站用电，并备有应急的消毒剂，避免在污水处理设备出现事故的时候所排放的污水不经过消毒处理就排放情况的发生。并配套建设完善的排水系统管网和切换系统，以应对因管道破裂、泵设备损坏或失效、人为操作失误等事故。</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eastAsia" w:eastAsia="宋体"/>
                <w:color w:val="auto"/>
                <w:sz w:val="24"/>
                <w:szCs w:val="24"/>
                <w:lang w:val="en-US" w:eastAsia="zh-CN"/>
              </w:rPr>
            </w:pPr>
            <w:r>
              <w:rPr>
                <w:rFonts w:hint="eastAsia"/>
                <w:color w:val="auto"/>
                <w:sz w:val="24"/>
                <w:szCs w:val="24"/>
                <w:lang w:eastAsia="zh-CN"/>
              </w:rPr>
              <w:t>根据《医院污水处理工程技术规范》（</w:t>
            </w:r>
            <w:r>
              <w:rPr>
                <w:rFonts w:hint="eastAsia"/>
                <w:color w:val="auto"/>
                <w:sz w:val="24"/>
                <w:szCs w:val="24"/>
                <w:lang w:val="en-US" w:eastAsia="zh-CN"/>
              </w:rPr>
              <w:t>HJ2029-2013</w:t>
            </w:r>
            <w:r>
              <w:rPr>
                <w:rFonts w:hint="eastAsia"/>
                <w:color w:val="auto"/>
                <w:sz w:val="24"/>
                <w:szCs w:val="24"/>
                <w:lang w:eastAsia="zh-CN"/>
              </w:rPr>
              <w:t>）要求，医院污水处理工程应设置应急事故池</w:t>
            </w:r>
            <w:r>
              <w:rPr>
                <w:rFonts w:hint="eastAsia" w:ascii="宋体" w:hAnsi="宋体" w:eastAsia="宋体"/>
                <w:color w:val="auto"/>
                <w:sz w:val="24"/>
                <w:szCs w:val="24"/>
              </w:rPr>
              <w:t>以贮存处理系统事故或其它突发事件时医院污水</w:t>
            </w:r>
            <w:r>
              <w:rPr>
                <w:rFonts w:hint="eastAsia" w:ascii="宋体" w:hAnsi="宋体" w:eastAsia="宋体"/>
                <w:color w:val="auto"/>
                <w:sz w:val="24"/>
                <w:szCs w:val="24"/>
                <w:lang w:eastAsia="zh-CN"/>
              </w:rPr>
              <w:t>，</w:t>
            </w:r>
            <w:r>
              <w:rPr>
                <w:rFonts w:hint="eastAsia" w:ascii="宋体" w:hAnsi="宋体" w:eastAsia="宋体"/>
                <w:color w:val="auto"/>
                <w:sz w:val="24"/>
                <w:szCs w:val="24"/>
              </w:rPr>
              <w:t>非传染病医院污水处理工程应急事故池容积不小于日排放量的</w:t>
            </w:r>
            <w:r>
              <w:rPr>
                <w:rFonts w:hint="default" w:ascii="Times New Roman" w:hAnsi="Times New Roman" w:eastAsia="Times New Roman"/>
                <w:color w:val="auto"/>
                <w:sz w:val="24"/>
                <w:szCs w:val="24"/>
              </w:rPr>
              <w:t>30%</w:t>
            </w:r>
            <w:r>
              <w:rPr>
                <w:rFonts w:hint="eastAsia" w:ascii="Times New Roman" w:hAnsi="Times New Roman" w:eastAsia="宋体"/>
                <w:color w:val="auto"/>
                <w:sz w:val="24"/>
                <w:szCs w:val="24"/>
                <w:lang w:eastAsia="zh-CN"/>
              </w:rPr>
              <w:t>，本项目日排放废水量为</w:t>
            </w:r>
            <w:r>
              <w:rPr>
                <w:rFonts w:hint="eastAsia" w:ascii="Times New Roman" w:hAnsi="Times New Roman" w:eastAsia="宋体"/>
                <w:color w:val="auto"/>
                <w:sz w:val="24"/>
                <w:szCs w:val="24"/>
                <w:lang w:val="en-US" w:eastAsia="zh-CN"/>
              </w:rPr>
              <w:t>11.35t/d，本项目要求企业设置一个3.5m</w:t>
            </w:r>
            <w:r>
              <w:rPr>
                <w:rFonts w:hint="eastAsia" w:ascii="Times New Roman" w:hAnsi="Times New Roman" w:eastAsia="宋体"/>
                <w:color w:val="auto"/>
                <w:sz w:val="24"/>
                <w:szCs w:val="24"/>
                <w:vertAlign w:val="superscript"/>
                <w:lang w:val="en-US" w:eastAsia="zh-CN"/>
              </w:rPr>
              <w:t>3</w:t>
            </w:r>
            <w:r>
              <w:rPr>
                <w:rFonts w:hint="eastAsia" w:ascii="Times New Roman" w:hAnsi="Times New Roman" w:eastAsia="宋体"/>
                <w:color w:val="auto"/>
                <w:sz w:val="24"/>
                <w:szCs w:val="24"/>
                <w:lang w:val="en-US" w:eastAsia="zh-CN"/>
              </w:rPr>
              <w:t>的应急事故池以</w:t>
            </w:r>
            <w:r>
              <w:rPr>
                <w:rFonts w:hint="eastAsia" w:ascii="宋体" w:hAnsi="宋体" w:eastAsia="宋体"/>
                <w:color w:val="auto"/>
                <w:sz w:val="24"/>
                <w:szCs w:val="24"/>
              </w:rPr>
              <w:t>贮存突发事件时医院污水</w:t>
            </w:r>
            <w:r>
              <w:rPr>
                <w:rFonts w:hint="eastAsia" w:ascii="宋体" w:hAnsi="宋体"/>
                <w:color w:val="auto"/>
                <w:sz w:val="24"/>
                <w:szCs w:val="24"/>
                <w:lang w:eastAsia="zh-CN"/>
              </w:rPr>
              <w:t>。</w:t>
            </w:r>
          </w:p>
          <w:p>
            <w:pPr>
              <w:pStyle w:val="55"/>
              <w:numPr>
                <w:ilvl w:val="0"/>
                <w:numId w:val="0"/>
              </w:numPr>
              <w:adjustRightInd w:val="0"/>
              <w:snapToGrid w:val="0"/>
              <w:spacing w:line="360" w:lineRule="auto"/>
              <w:ind w:leftChars="200"/>
              <w:jc w:val="left"/>
              <w:rPr>
                <w:color w:val="auto"/>
                <w:sz w:val="24"/>
                <w:szCs w:val="24"/>
              </w:rPr>
            </w:pPr>
            <w:r>
              <w:rPr>
                <w:rFonts w:hint="eastAsia"/>
                <w:color w:val="auto"/>
                <w:sz w:val="24"/>
                <w:szCs w:val="24"/>
                <w:lang w:eastAsia="zh-CN"/>
              </w:rPr>
              <w:t>②</w:t>
            </w:r>
            <w:r>
              <w:rPr>
                <w:color w:val="auto"/>
                <w:sz w:val="24"/>
                <w:szCs w:val="24"/>
              </w:rPr>
              <w:t>医疗废物防范措施</w:t>
            </w:r>
          </w:p>
          <w:p>
            <w:pPr>
              <w:adjustRightInd w:val="0"/>
              <w:snapToGrid w:val="0"/>
              <w:spacing w:line="360" w:lineRule="auto"/>
              <w:ind w:firstLine="480" w:firstLineChars="200"/>
              <w:jc w:val="left"/>
              <w:rPr>
                <w:color w:val="auto"/>
                <w:sz w:val="24"/>
                <w:szCs w:val="24"/>
              </w:rPr>
            </w:pPr>
            <w:r>
              <w:rPr>
                <w:color w:val="auto"/>
                <w:sz w:val="24"/>
                <w:szCs w:val="24"/>
              </w:rPr>
              <w:t>医疗废物的极大危害性，该项目在收集、贮存、运送医疗废物的过程中存在着一定的风险。为保证项目产生的医疗废物得到安全处置，使其风险减少到最小程度，应严格执行《医疗废物管理条例》</w:t>
            </w:r>
            <w:r>
              <w:rPr>
                <w:rFonts w:hint="eastAsia"/>
                <w:color w:val="auto"/>
                <w:sz w:val="24"/>
                <w:szCs w:val="24"/>
                <w:lang w:eastAsia="zh-CN"/>
              </w:rPr>
              <w:t>（国务院</w:t>
            </w:r>
            <w:r>
              <w:rPr>
                <w:color w:val="auto"/>
                <w:sz w:val="24"/>
                <w:szCs w:val="24"/>
              </w:rPr>
              <w:t>[2003]第380号令</w:t>
            </w:r>
            <w:r>
              <w:rPr>
                <w:rFonts w:hint="eastAsia"/>
                <w:color w:val="auto"/>
                <w:sz w:val="24"/>
                <w:szCs w:val="24"/>
                <w:lang w:eastAsia="zh-CN"/>
              </w:rPr>
              <w:t>）</w:t>
            </w:r>
            <w:r>
              <w:rPr>
                <w:color w:val="auto"/>
                <w:sz w:val="24"/>
                <w:szCs w:val="24"/>
              </w:rPr>
              <w:t>，《医疗卫生机构医疗废物管理办法》</w:t>
            </w:r>
            <w:r>
              <w:rPr>
                <w:rFonts w:hint="eastAsia"/>
                <w:color w:val="auto"/>
                <w:sz w:val="24"/>
                <w:szCs w:val="24"/>
                <w:lang w:eastAsia="zh-CN"/>
              </w:rPr>
              <w:t>（</w:t>
            </w:r>
            <w:r>
              <w:rPr>
                <w:color w:val="auto"/>
                <w:sz w:val="24"/>
                <w:szCs w:val="24"/>
              </w:rPr>
              <w:t>卫生部[2003]第36号令</w:t>
            </w:r>
            <w:r>
              <w:rPr>
                <w:rFonts w:hint="eastAsia"/>
                <w:color w:val="auto"/>
                <w:sz w:val="24"/>
                <w:szCs w:val="24"/>
                <w:lang w:eastAsia="zh-CN"/>
              </w:rPr>
              <w:t>）</w:t>
            </w:r>
            <w:r>
              <w:rPr>
                <w:color w:val="auto"/>
                <w:sz w:val="24"/>
                <w:szCs w:val="24"/>
              </w:rPr>
              <w:t>等规定，应对项目产生的医疗废物进行科学的分类收集。医疗卫生机构应当建立医疗废物暂时贮存设施、设备，不得露天存放医疗废物；医疗废物暂时贮存的时间不得超过</w:t>
            </w:r>
            <w:r>
              <w:rPr>
                <w:rFonts w:hint="eastAsia"/>
                <w:color w:val="auto"/>
                <w:sz w:val="24"/>
                <w:szCs w:val="24"/>
                <w:lang w:val="en-US" w:eastAsia="zh-CN"/>
              </w:rPr>
              <w:t>2天</w:t>
            </w:r>
            <w:r>
              <w:rPr>
                <w:color w:val="auto"/>
                <w:sz w:val="24"/>
                <w:szCs w:val="24"/>
              </w:rPr>
              <w:t>。</w:t>
            </w:r>
          </w:p>
          <w:p>
            <w:pPr>
              <w:adjustRightInd w:val="0"/>
              <w:snapToGrid w:val="0"/>
              <w:spacing w:line="360" w:lineRule="auto"/>
              <w:ind w:firstLine="480" w:firstLineChars="200"/>
              <w:jc w:val="left"/>
              <w:rPr>
                <w:color w:val="auto"/>
                <w:sz w:val="24"/>
                <w:szCs w:val="24"/>
              </w:rPr>
            </w:pPr>
            <w:r>
              <w:rPr>
                <w:rFonts w:hint="eastAsia"/>
                <w:color w:val="auto"/>
                <w:sz w:val="24"/>
                <w:szCs w:val="24"/>
              </w:rPr>
              <w:t>③医用酒精</w:t>
            </w:r>
            <w:r>
              <w:rPr>
                <w:rFonts w:hint="eastAsia"/>
                <w:color w:val="auto"/>
                <w:sz w:val="24"/>
                <w:szCs w:val="24"/>
                <w:lang w:eastAsia="zh-CN"/>
              </w:rPr>
              <w:t>泄漏</w:t>
            </w:r>
            <w:r>
              <w:rPr>
                <w:rFonts w:hint="eastAsia"/>
                <w:color w:val="auto"/>
                <w:sz w:val="24"/>
                <w:szCs w:val="24"/>
              </w:rPr>
              <w:t>风险防范措施</w:t>
            </w:r>
          </w:p>
          <w:p>
            <w:pPr>
              <w:adjustRightInd w:val="0"/>
              <w:snapToGrid w:val="0"/>
              <w:spacing w:line="360" w:lineRule="auto"/>
              <w:ind w:firstLine="480" w:firstLineChars="200"/>
              <w:jc w:val="left"/>
              <w:rPr>
                <w:rFonts w:hint="eastAsia" w:eastAsia="宋体"/>
                <w:color w:val="auto"/>
                <w:sz w:val="24"/>
                <w:szCs w:val="24"/>
                <w:lang w:eastAsia="zh-CN"/>
              </w:rPr>
            </w:pPr>
            <w:r>
              <w:rPr>
                <w:rFonts w:hint="eastAsia"/>
                <w:color w:val="auto"/>
                <w:sz w:val="24"/>
                <w:szCs w:val="24"/>
                <w:lang w:eastAsia="zh-CN"/>
              </w:rPr>
              <w:t>本项目医用酒精使用量较少，且为小瓶装，酒精泄漏最大风险为泄漏遇火源引发火灾。若发生火灾，应</w:t>
            </w:r>
            <w:r>
              <w:rPr>
                <w:rFonts w:hint="eastAsia"/>
                <w:color w:val="auto"/>
                <w:sz w:val="24"/>
                <w:szCs w:val="24"/>
              </w:rPr>
              <w:t>迅速撤离泄漏污染区人员至安全区，并进行隔离，严格限制出入</w:t>
            </w:r>
            <w:r>
              <w:rPr>
                <w:rFonts w:hint="eastAsia"/>
                <w:color w:val="auto"/>
                <w:sz w:val="24"/>
                <w:szCs w:val="24"/>
                <w:lang w:eastAsia="zh-CN"/>
              </w:rPr>
              <w:t>，</w:t>
            </w:r>
            <w:r>
              <w:rPr>
                <w:rFonts w:hint="eastAsia"/>
                <w:color w:val="auto"/>
                <w:sz w:val="24"/>
                <w:szCs w:val="24"/>
              </w:rPr>
              <w:t>切断火源。</w:t>
            </w:r>
          </w:p>
          <w:p>
            <w:pPr>
              <w:adjustRightInd w:val="0"/>
              <w:snapToGrid w:val="0"/>
              <w:spacing w:line="360" w:lineRule="auto"/>
              <w:ind w:firstLine="480" w:firstLineChars="200"/>
              <w:jc w:val="left"/>
              <w:rPr>
                <w:color w:val="auto"/>
                <w:sz w:val="24"/>
                <w:szCs w:val="24"/>
              </w:rPr>
            </w:pPr>
            <w:r>
              <w:rPr>
                <w:color w:val="auto"/>
                <w:sz w:val="24"/>
                <w:szCs w:val="24"/>
              </w:rPr>
              <w:t>（6）风险结论</w:t>
            </w:r>
          </w:p>
          <w:p>
            <w:pPr>
              <w:spacing w:line="360" w:lineRule="auto"/>
              <w:ind w:firstLine="480" w:firstLineChars="200"/>
              <w:jc w:val="left"/>
              <w:rPr>
                <w:color w:val="auto"/>
                <w:sz w:val="24"/>
                <w:szCs w:val="24"/>
              </w:rPr>
            </w:pPr>
            <w:r>
              <w:rPr>
                <w:color w:val="auto"/>
                <w:sz w:val="24"/>
                <w:szCs w:val="24"/>
              </w:rPr>
              <w:t>在各环境风险防范措施落实到位的情况下，可降低建设项目的环境风险，最大程度减少对环境可能造成的危害，项目对环境的风险影响可接受。</w:t>
            </w:r>
          </w:p>
          <w:p>
            <w:pPr>
              <w:spacing w:line="360" w:lineRule="auto"/>
              <w:jc w:val="left"/>
              <w:rPr>
                <w:b/>
                <w:bCs/>
                <w:color w:val="auto"/>
                <w:kern w:val="0"/>
                <w:sz w:val="24"/>
                <w:szCs w:val="24"/>
              </w:rPr>
            </w:pPr>
            <w:r>
              <w:rPr>
                <w:b/>
                <w:bCs/>
                <w:color w:val="auto"/>
                <w:kern w:val="0"/>
                <w:sz w:val="24"/>
                <w:szCs w:val="24"/>
              </w:rPr>
              <w:t>7、电磁辐射</w:t>
            </w:r>
          </w:p>
          <w:p>
            <w:pPr>
              <w:adjustRightInd w:val="0"/>
              <w:snapToGrid w:val="0"/>
              <w:spacing w:line="360" w:lineRule="auto"/>
              <w:ind w:firstLine="480" w:firstLineChars="200"/>
              <w:jc w:val="left"/>
              <w:rPr>
                <w:color w:val="auto"/>
                <w:sz w:val="24"/>
                <w:szCs w:val="24"/>
              </w:rPr>
            </w:pPr>
            <w:r>
              <w:rPr>
                <w:color w:val="auto"/>
                <w:sz w:val="24"/>
                <w:szCs w:val="24"/>
              </w:rPr>
              <w:t>本项目无辐射设备。本次环评不涉及电磁辐射相关内容。</w:t>
            </w:r>
          </w:p>
          <w:p>
            <w:pPr>
              <w:adjustRightInd w:val="0"/>
              <w:snapToGrid w:val="0"/>
              <w:spacing w:line="360" w:lineRule="auto"/>
              <w:ind w:firstLine="480" w:firstLineChars="200"/>
              <w:jc w:val="left"/>
              <w:rPr>
                <w:color w:val="auto"/>
                <w:sz w:val="24"/>
                <w:szCs w:val="24"/>
              </w:rPr>
            </w:pPr>
          </w:p>
          <w:p>
            <w:pPr>
              <w:adjustRightInd w:val="0"/>
              <w:snapToGrid w:val="0"/>
              <w:spacing w:line="360" w:lineRule="auto"/>
              <w:ind w:firstLine="480" w:firstLineChars="200"/>
              <w:jc w:val="left"/>
              <w:rPr>
                <w:color w:val="auto"/>
                <w:sz w:val="24"/>
                <w:szCs w:val="24"/>
              </w:rPr>
            </w:pPr>
          </w:p>
          <w:p>
            <w:pPr>
              <w:adjustRightInd w:val="0"/>
              <w:snapToGrid w:val="0"/>
              <w:spacing w:line="360" w:lineRule="auto"/>
              <w:ind w:firstLine="480" w:firstLineChars="200"/>
              <w:jc w:val="left"/>
              <w:rPr>
                <w:color w:val="auto"/>
                <w:sz w:val="24"/>
                <w:szCs w:val="24"/>
              </w:rPr>
            </w:pPr>
          </w:p>
          <w:p>
            <w:pPr>
              <w:adjustRightInd w:val="0"/>
              <w:snapToGrid w:val="0"/>
              <w:spacing w:line="360" w:lineRule="auto"/>
              <w:ind w:firstLine="480" w:firstLineChars="200"/>
              <w:jc w:val="left"/>
              <w:rPr>
                <w:color w:val="auto"/>
                <w:sz w:val="24"/>
                <w:szCs w:val="24"/>
              </w:rPr>
            </w:pPr>
          </w:p>
          <w:p>
            <w:pPr>
              <w:adjustRightInd w:val="0"/>
              <w:snapToGrid w:val="0"/>
              <w:spacing w:line="360" w:lineRule="auto"/>
              <w:ind w:firstLine="480" w:firstLineChars="200"/>
              <w:jc w:val="left"/>
              <w:rPr>
                <w:color w:val="auto"/>
                <w:sz w:val="24"/>
                <w:szCs w:val="24"/>
              </w:rPr>
            </w:pPr>
          </w:p>
          <w:p>
            <w:pPr>
              <w:adjustRightInd w:val="0"/>
              <w:snapToGrid w:val="0"/>
              <w:spacing w:line="360" w:lineRule="auto"/>
              <w:ind w:firstLine="480" w:firstLineChars="200"/>
              <w:jc w:val="left"/>
              <w:rPr>
                <w:color w:val="auto"/>
                <w:sz w:val="24"/>
                <w:szCs w:val="24"/>
              </w:rPr>
            </w:pPr>
          </w:p>
          <w:p>
            <w:pPr>
              <w:adjustRightInd w:val="0"/>
              <w:snapToGrid w:val="0"/>
              <w:spacing w:line="360" w:lineRule="auto"/>
              <w:ind w:firstLine="480" w:firstLineChars="200"/>
              <w:jc w:val="left"/>
              <w:rPr>
                <w:color w:val="auto"/>
                <w:sz w:val="24"/>
                <w:szCs w:val="24"/>
              </w:rPr>
            </w:pPr>
          </w:p>
          <w:p>
            <w:pPr>
              <w:adjustRightInd w:val="0"/>
              <w:snapToGrid w:val="0"/>
              <w:spacing w:line="360" w:lineRule="auto"/>
              <w:ind w:firstLine="480" w:firstLineChars="200"/>
              <w:jc w:val="left"/>
              <w:rPr>
                <w:color w:val="auto"/>
                <w:sz w:val="24"/>
                <w:szCs w:val="24"/>
              </w:rPr>
            </w:pPr>
          </w:p>
          <w:p>
            <w:pPr>
              <w:adjustRightInd w:val="0"/>
              <w:snapToGrid w:val="0"/>
              <w:spacing w:line="360" w:lineRule="auto"/>
              <w:ind w:firstLine="480" w:firstLineChars="200"/>
              <w:jc w:val="left"/>
              <w:rPr>
                <w:color w:val="auto"/>
                <w:sz w:val="24"/>
                <w:szCs w:val="24"/>
              </w:rPr>
            </w:pPr>
          </w:p>
          <w:p>
            <w:pPr>
              <w:adjustRightInd w:val="0"/>
              <w:snapToGrid w:val="0"/>
              <w:spacing w:line="360" w:lineRule="auto"/>
              <w:ind w:firstLine="480" w:firstLineChars="200"/>
              <w:jc w:val="left"/>
              <w:rPr>
                <w:color w:val="auto"/>
                <w:sz w:val="24"/>
                <w:szCs w:val="24"/>
              </w:rPr>
            </w:pPr>
          </w:p>
          <w:p>
            <w:pPr>
              <w:adjustRightInd w:val="0"/>
              <w:snapToGrid w:val="0"/>
              <w:spacing w:line="360" w:lineRule="auto"/>
              <w:jc w:val="left"/>
              <w:rPr>
                <w:color w:val="auto"/>
                <w:sz w:val="24"/>
                <w:szCs w:val="24"/>
              </w:rPr>
            </w:pPr>
          </w:p>
          <w:p>
            <w:pPr>
              <w:adjustRightInd w:val="0"/>
              <w:snapToGrid w:val="0"/>
              <w:spacing w:line="360" w:lineRule="auto"/>
              <w:ind w:firstLine="480" w:firstLineChars="200"/>
              <w:jc w:val="left"/>
              <w:rPr>
                <w:color w:val="auto"/>
                <w:sz w:val="24"/>
                <w:szCs w:val="24"/>
              </w:rPr>
            </w:pPr>
          </w:p>
          <w:p>
            <w:pPr>
              <w:adjustRightInd w:val="0"/>
              <w:snapToGrid w:val="0"/>
              <w:spacing w:line="360" w:lineRule="auto"/>
              <w:ind w:firstLine="480" w:firstLineChars="200"/>
              <w:jc w:val="left"/>
              <w:rPr>
                <w:color w:val="auto"/>
                <w:sz w:val="24"/>
                <w:szCs w:val="24"/>
              </w:rPr>
            </w:pPr>
          </w:p>
          <w:p>
            <w:pPr>
              <w:adjustRightInd w:val="0"/>
              <w:snapToGrid w:val="0"/>
              <w:spacing w:line="360" w:lineRule="auto"/>
              <w:ind w:firstLine="480" w:firstLineChars="200"/>
              <w:jc w:val="left"/>
              <w:rPr>
                <w:color w:val="auto"/>
                <w:sz w:val="24"/>
                <w:szCs w:val="24"/>
              </w:rPr>
            </w:pPr>
          </w:p>
          <w:p>
            <w:pPr>
              <w:adjustRightInd w:val="0"/>
              <w:snapToGrid w:val="0"/>
              <w:spacing w:line="360" w:lineRule="auto"/>
              <w:rPr>
                <w:color w:val="auto"/>
                <w:sz w:val="24"/>
                <w:szCs w:val="24"/>
              </w:rPr>
            </w:pPr>
          </w:p>
        </w:tc>
      </w:tr>
    </w:tbl>
    <w:p>
      <w:pPr>
        <w:pStyle w:val="23"/>
        <w:jc w:val="center"/>
        <w:outlineLvl w:val="0"/>
        <w:rPr>
          <w:rFonts w:ascii="Times New Roman" w:hAnsi="Times New Roman"/>
          <w:snapToGrid w:val="0"/>
          <w:color w:val="auto"/>
          <w:kern w:val="21"/>
          <w:sz w:val="30"/>
          <w:szCs w:val="30"/>
        </w:rPr>
        <w:sectPr>
          <w:pgSz w:w="11906" w:h="16838"/>
          <w:pgMar w:top="1440" w:right="1080" w:bottom="1440" w:left="1080" w:header="851" w:footer="851" w:gutter="0"/>
          <w:pgNumType w:fmt="decimal"/>
          <w:cols w:space="720" w:num="1"/>
          <w:docGrid w:linePitch="312" w:charSpace="0"/>
        </w:sectPr>
      </w:pPr>
    </w:p>
    <w:p>
      <w:pPr>
        <w:pStyle w:val="23"/>
        <w:jc w:val="center"/>
        <w:outlineLvl w:val="0"/>
        <w:rPr>
          <w:rFonts w:ascii="Times New Roman" w:hAnsi="Times New Roman"/>
          <w:snapToGrid w:val="0"/>
          <w:color w:val="auto"/>
          <w:kern w:val="21"/>
          <w:sz w:val="30"/>
          <w:szCs w:val="30"/>
        </w:rPr>
      </w:pPr>
      <w:r>
        <w:rPr>
          <w:rFonts w:ascii="Times New Roman" w:hAnsi="Times New Roman"/>
          <w:snapToGrid w:val="0"/>
          <w:color w:val="auto"/>
          <w:kern w:val="21"/>
          <w:sz w:val="30"/>
          <w:szCs w:val="30"/>
        </w:rPr>
        <w:t>五、</w:t>
      </w:r>
      <w:bookmarkStart w:id="5" w:name="_Hlk54167917"/>
      <w:r>
        <w:rPr>
          <w:rFonts w:ascii="Times New Roman" w:hAnsi="Times New Roman"/>
          <w:snapToGrid w:val="0"/>
          <w:color w:val="auto"/>
          <w:kern w:val="21"/>
          <w:sz w:val="30"/>
          <w:szCs w:val="30"/>
        </w:rPr>
        <w:t>环境保护措施监督检查清单</w:t>
      </w:r>
      <w:bookmarkEnd w:id="5"/>
    </w:p>
    <w:tbl>
      <w:tblPr>
        <w:tblStyle w:val="25"/>
        <w:tblW w:w="497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575"/>
        <w:gridCol w:w="1640"/>
        <w:gridCol w:w="2091"/>
        <w:gridCol w:w="1426"/>
        <w:gridCol w:w="318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4" w:type="pct"/>
            <w:tcBorders>
              <w:tl2br w:val="single" w:color="auto" w:sz="4" w:space="0"/>
            </w:tcBorders>
          </w:tcPr>
          <w:p>
            <w:pPr>
              <w:keepNext w:val="0"/>
              <w:keepLines w:val="0"/>
              <w:pageBreakBefore w:val="0"/>
              <w:widowControl w:val="0"/>
              <w:kinsoku/>
              <w:wordWrap/>
              <w:overflowPunct/>
              <w:topLinePunct w:val="0"/>
              <w:autoSpaceDE/>
              <w:autoSpaceDN/>
              <w:bidi w:val="0"/>
              <w:adjustRightInd/>
              <w:snapToGrid/>
              <w:spacing w:line="300" w:lineRule="auto"/>
              <w:ind w:firstLine="840"/>
              <w:textAlignment w:val="auto"/>
              <w:rPr>
                <w:b/>
                <w:bCs/>
                <w:color w:val="auto"/>
                <w:kern w:val="21"/>
                <w:sz w:val="21"/>
                <w:szCs w:val="21"/>
              </w:rPr>
            </w:pPr>
            <w:r>
              <w:rPr>
                <w:b/>
                <w:bCs/>
                <w:color w:val="auto"/>
                <w:kern w:val="21"/>
                <w:sz w:val="21"/>
                <w:szCs w:val="21"/>
              </w:rPr>
              <w:t>内容</w:t>
            </w:r>
          </w:p>
          <w:p>
            <w:pPr>
              <w:keepNext w:val="0"/>
              <w:keepLines w:val="0"/>
              <w:pageBreakBefore w:val="0"/>
              <w:widowControl w:val="0"/>
              <w:kinsoku/>
              <w:wordWrap/>
              <w:overflowPunct/>
              <w:topLinePunct w:val="0"/>
              <w:autoSpaceDE/>
              <w:autoSpaceDN/>
              <w:bidi w:val="0"/>
              <w:adjustRightInd/>
              <w:snapToGrid/>
              <w:spacing w:line="300" w:lineRule="auto"/>
              <w:textAlignment w:val="auto"/>
              <w:rPr>
                <w:b/>
                <w:bCs/>
                <w:color w:val="auto"/>
                <w:kern w:val="21"/>
                <w:sz w:val="21"/>
                <w:szCs w:val="21"/>
              </w:rPr>
            </w:pPr>
            <w:r>
              <w:rPr>
                <w:b/>
                <w:bCs/>
                <w:color w:val="auto"/>
                <w:kern w:val="21"/>
                <w:sz w:val="21"/>
                <w:szCs w:val="21"/>
              </w:rPr>
              <w:t>要素</w:t>
            </w:r>
          </w:p>
        </w:tc>
        <w:tc>
          <w:tcPr>
            <w:tcW w:w="827" w:type="pc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b/>
                <w:bCs/>
                <w:color w:val="auto"/>
                <w:kern w:val="21"/>
                <w:sz w:val="21"/>
                <w:szCs w:val="21"/>
              </w:rPr>
            </w:pPr>
            <w:r>
              <w:rPr>
                <w:b/>
                <w:bCs/>
                <w:color w:val="auto"/>
                <w:kern w:val="21"/>
                <w:sz w:val="21"/>
                <w:szCs w:val="21"/>
              </w:rPr>
              <w:t>排放口(编号、</w:t>
            </w:r>
          </w:p>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b/>
                <w:bCs/>
                <w:color w:val="auto"/>
                <w:kern w:val="21"/>
                <w:sz w:val="21"/>
                <w:szCs w:val="21"/>
              </w:rPr>
            </w:pPr>
            <w:r>
              <w:rPr>
                <w:b/>
                <w:bCs/>
                <w:color w:val="auto"/>
                <w:kern w:val="21"/>
                <w:sz w:val="21"/>
                <w:szCs w:val="21"/>
              </w:rPr>
              <w:t>名称)/污染源</w:t>
            </w:r>
          </w:p>
        </w:tc>
        <w:tc>
          <w:tcPr>
            <w:tcW w:w="1054" w:type="pc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b/>
                <w:bCs/>
                <w:color w:val="auto"/>
                <w:kern w:val="21"/>
                <w:sz w:val="21"/>
                <w:szCs w:val="21"/>
              </w:rPr>
            </w:pPr>
            <w:r>
              <w:rPr>
                <w:b/>
                <w:bCs/>
                <w:color w:val="auto"/>
                <w:kern w:val="21"/>
                <w:sz w:val="21"/>
                <w:szCs w:val="21"/>
              </w:rPr>
              <w:t>污染物项目</w:t>
            </w:r>
          </w:p>
        </w:tc>
        <w:tc>
          <w:tcPr>
            <w:tcW w:w="719" w:type="pc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b/>
                <w:bCs/>
                <w:color w:val="auto"/>
                <w:kern w:val="21"/>
                <w:sz w:val="21"/>
                <w:szCs w:val="21"/>
              </w:rPr>
            </w:pPr>
            <w:r>
              <w:rPr>
                <w:b/>
                <w:bCs/>
                <w:color w:val="auto"/>
                <w:kern w:val="21"/>
                <w:sz w:val="21"/>
                <w:szCs w:val="21"/>
              </w:rPr>
              <w:t>环境保护措施</w:t>
            </w:r>
          </w:p>
        </w:tc>
        <w:tc>
          <w:tcPr>
            <w:tcW w:w="1604" w:type="pc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b/>
                <w:bCs/>
                <w:color w:val="auto"/>
                <w:kern w:val="21"/>
                <w:sz w:val="21"/>
                <w:szCs w:val="21"/>
              </w:rPr>
            </w:pPr>
            <w:r>
              <w:rPr>
                <w:b/>
                <w:bCs/>
                <w:color w:val="auto"/>
                <w:kern w:val="21"/>
                <w:sz w:val="21"/>
                <w:szCs w:val="21"/>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4" w:type="pc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color w:val="auto"/>
                <w:kern w:val="21"/>
                <w:sz w:val="21"/>
                <w:szCs w:val="21"/>
              </w:rPr>
            </w:pPr>
            <w:r>
              <w:rPr>
                <w:rFonts w:hint="eastAsia"/>
                <w:color w:val="auto"/>
                <w:kern w:val="21"/>
                <w:sz w:val="21"/>
                <w:szCs w:val="21"/>
              </w:rPr>
              <w:t>大气环境</w:t>
            </w:r>
          </w:p>
        </w:tc>
        <w:tc>
          <w:tcPr>
            <w:tcW w:w="827" w:type="pc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eastAsia" w:eastAsia="宋体"/>
                <w:color w:val="auto"/>
                <w:sz w:val="21"/>
                <w:szCs w:val="21"/>
                <w:lang w:eastAsia="zh-CN"/>
              </w:rPr>
            </w:pPr>
            <w:r>
              <w:rPr>
                <w:rFonts w:hint="eastAsia"/>
                <w:color w:val="auto"/>
                <w:sz w:val="21"/>
                <w:szCs w:val="21"/>
                <w:lang w:eastAsia="zh-CN"/>
              </w:rPr>
              <w:t>污水处理站</w:t>
            </w:r>
          </w:p>
        </w:tc>
        <w:tc>
          <w:tcPr>
            <w:tcW w:w="1054" w:type="pc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eastAsia" w:eastAsia="宋体"/>
                <w:color w:val="auto"/>
                <w:kern w:val="21"/>
                <w:sz w:val="21"/>
                <w:szCs w:val="21"/>
                <w:lang w:eastAsia="zh-CN"/>
              </w:rPr>
            </w:pPr>
            <w:r>
              <w:rPr>
                <w:rFonts w:hint="eastAsia"/>
                <w:color w:val="auto"/>
                <w:kern w:val="21"/>
                <w:sz w:val="21"/>
                <w:szCs w:val="21"/>
                <w:lang w:eastAsia="zh-CN"/>
              </w:rPr>
              <w:t>氨、硫化氢、臭气浓度</w:t>
            </w:r>
          </w:p>
        </w:tc>
        <w:tc>
          <w:tcPr>
            <w:tcW w:w="719" w:type="pc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eastAsia" w:eastAsia="宋体"/>
                <w:color w:val="auto"/>
                <w:kern w:val="21"/>
                <w:sz w:val="21"/>
                <w:szCs w:val="21"/>
                <w:lang w:eastAsia="zh-CN"/>
              </w:rPr>
            </w:pPr>
            <w:r>
              <w:rPr>
                <w:rFonts w:hint="eastAsia"/>
                <w:color w:val="auto"/>
                <w:kern w:val="21"/>
                <w:sz w:val="21"/>
                <w:szCs w:val="21"/>
                <w:lang w:eastAsia="zh-CN"/>
              </w:rPr>
              <w:t>加盖并投加除臭剂</w:t>
            </w:r>
          </w:p>
        </w:tc>
        <w:tc>
          <w:tcPr>
            <w:tcW w:w="1604" w:type="pc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eastAsia" w:eastAsia="宋体"/>
                <w:color w:val="auto"/>
                <w:kern w:val="21"/>
                <w:sz w:val="21"/>
                <w:szCs w:val="21"/>
                <w:lang w:eastAsia="zh-CN"/>
              </w:rPr>
            </w:pPr>
            <w:r>
              <w:rPr>
                <w:bCs/>
                <w:iCs/>
                <w:color w:val="auto"/>
                <w:sz w:val="21"/>
                <w:szCs w:val="21"/>
              </w:rPr>
              <w:t>《医疗机构水污染物排放标准》（GB18466-2005）</w:t>
            </w:r>
            <w:r>
              <w:rPr>
                <w:rFonts w:hint="eastAsia"/>
                <w:bCs/>
                <w:iCs/>
                <w:color w:val="auto"/>
                <w:sz w:val="21"/>
                <w:szCs w:val="21"/>
                <w:lang w:eastAsia="zh-CN"/>
              </w:rPr>
              <w:t>中标准限值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4" w:type="pct"/>
            <w:vMerge w:val="restar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color w:val="auto"/>
                <w:kern w:val="21"/>
                <w:sz w:val="21"/>
                <w:szCs w:val="21"/>
              </w:rPr>
            </w:pPr>
            <w:r>
              <w:rPr>
                <w:color w:val="auto"/>
                <w:kern w:val="21"/>
                <w:sz w:val="21"/>
                <w:szCs w:val="21"/>
              </w:rPr>
              <w:t>地表水环境</w:t>
            </w:r>
          </w:p>
        </w:tc>
        <w:tc>
          <w:tcPr>
            <w:tcW w:w="827" w:type="pc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color w:val="auto"/>
                <w:kern w:val="21"/>
                <w:sz w:val="21"/>
                <w:szCs w:val="21"/>
              </w:rPr>
            </w:pPr>
            <w:r>
              <w:rPr>
                <w:rFonts w:hint="eastAsia"/>
                <w:color w:val="auto"/>
                <w:sz w:val="21"/>
                <w:szCs w:val="21"/>
                <w:lang w:eastAsia="zh-CN"/>
              </w:rPr>
              <w:t>检验废水、门诊废水</w:t>
            </w:r>
          </w:p>
        </w:tc>
        <w:tc>
          <w:tcPr>
            <w:tcW w:w="1054" w:type="pc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color w:val="auto"/>
                <w:kern w:val="21"/>
                <w:sz w:val="21"/>
                <w:szCs w:val="21"/>
              </w:rPr>
            </w:pPr>
            <w:r>
              <w:rPr>
                <w:rFonts w:hint="eastAsia" w:ascii="Times New Roman" w:hAnsi="Times New Roman" w:cs="Times New Roman"/>
                <w:b w:val="0"/>
                <w:bCs/>
                <w:color w:val="auto"/>
                <w:kern w:val="2"/>
                <w:sz w:val="21"/>
                <w:szCs w:val="21"/>
                <w:lang w:val="en-US" w:eastAsia="zh-CN" w:bidi="ar-SA"/>
              </w:rPr>
              <w:t>pH值、</w:t>
            </w:r>
            <w:r>
              <w:rPr>
                <w:rFonts w:hint="eastAsia"/>
                <w:color w:val="auto"/>
                <w:sz w:val="21"/>
                <w:szCs w:val="21"/>
              </w:rPr>
              <w:t>COD、BOD、SS、氨氮</w:t>
            </w:r>
            <w:r>
              <w:rPr>
                <w:rFonts w:hint="eastAsia"/>
                <w:color w:val="auto"/>
                <w:sz w:val="21"/>
                <w:szCs w:val="21"/>
                <w:lang w:eastAsia="zh-CN"/>
              </w:rPr>
              <w:t>、粪大肠菌群</w:t>
            </w:r>
          </w:p>
        </w:tc>
        <w:tc>
          <w:tcPr>
            <w:tcW w:w="719" w:type="pc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eastAsia" w:eastAsia="宋体"/>
                <w:color w:val="auto"/>
                <w:kern w:val="21"/>
                <w:sz w:val="21"/>
                <w:szCs w:val="21"/>
                <w:lang w:eastAsia="zh-CN"/>
              </w:rPr>
            </w:pPr>
            <w:r>
              <w:rPr>
                <w:rFonts w:hint="eastAsia"/>
                <w:color w:val="auto"/>
                <w:kern w:val="21"/>
                <w:sz w:val="21"/>
                <w:szCs w:val="21"/>
                <w:lang w:eastAsia="zh-CN"/>
              </w:rPr>
              <w:t>污水处理站</w:t>
            </w:r>
          </w:p>
        </w:tc>
        <w:tc>
          <w:tcPr>
            <w:tcW w:w="1604" w:type="pct"/>
            <w:vMerge w:val="restar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color w:val="auto"/>
                <w:kern w:val="21"/>
                <w:sz w:val="21"/>
                <w:szCs w:val="21"/>
              </w:rPr>
            </w:pPr>
            <w:r>
              <w:rPr>
                <w:rFonts w:hint="default" w:ascii="Times New Roman" w:hAnsi="Times New Roman" w:eastAsia="宋体" w:cs="Times New Roman"/>
                <w:b w:val="0"/>
                <w:bCs/>
                <w:color w:val="auto"/>
                <w:kern w:val="0"/>
                <w:sz w:val="21"/>
                <w:szCs w:val="21"/>
                <w:highlight w:val="none"/>
                <w:lang w:val="en-US" w:eastAsia="zh-CN"/>
              </w:rPr>
              <w:t>《医疗机构水污染物排放标准》（GB</w:t>
            </w:r>
            <w:r>
              <w:rPr>
                <w:rFonts w:hint="eastAsia" w:ascii="Times New Roman" w:hAnsi="Times New Roman" w:eastAsia="宋体" w:cs="Times New Roman"/>
                <w:b w:val="0"/>
                <w:bCs/>
                <w:color w:val="auto"/>
                <w:kern w:val="0"/>
                <w:sz w:val="21"/>
                <w:szCs w:val="21"/>
                <w:highlight w:val="none"/>
                <w:lang w:val="en-US" w:eastAsia="zh-CN"/>
              </w:rPr>
              <w:t xml:space="preserve"> </w:t>
            </w:r>
            <w:r>
              <w:rPr>
                <w:rFonts w:hint="default" w:ascii="Times New Roman" w:hAnsi="Times New Roman" w:eastAsia="宋体" w:cs="Times New Roman"/>
                <w:b w:val="0"/>
                <w:bCs/>
                <w:color w:val="auto"/>
                <w:kern w:val="0"/>
                <w:sz w:val="21"/>
                <w:szCs w:val="21"/>
                <w:highlight w:val="none"/>
                <w:lang w:val="en-US" w:eastAsia="zh-CN"/>
              </w:rPr>
              <w:t>18466-2005）表2中的预处理值及《污水排入城镇下水道水质标准》（GB/T</w:t>
            </w:r>
            <w:r>
              <w:rPr>
                <w:rFonts w:hint="eastAsia" w:ascii="Times New Roman" w:hAnsi="Times New Roman" w:eastAsia="宋体" w:cs="Times New Roman"/>
                <w:b w:val="0"/>
                <w:bCs/>
                <w:color w:val="auto"/>
                <w:kern w:val="0"/>
                <w:sz w:val="21"/>
                <w:szCs w:val="21"/>
                <w:highlight w:val="none"/>
                <w:lang w:val="en-US" w:eastAsia="zh-CN"/>
              </w:rPr>
              <w:t xml:space="preserve"> </w:t>
            </w:r>
            <w:r>
              <w:rPr>
                <w:rFonts w:hint="default" w:ascii="Times New Roman" w:hAnsi="Times New Roman" w:eastAsia="宋体" w:cs="Times New Roman"/>
                <w:b w:val="0"/>
                <w:bCs/>
                <w:color w:val="auto"/>
                <w:kern w:val="0"/>
                <w:sz w:val="21"/>
                <w:szCs w:val="21"/>
                <w:highlight w:val="none"/>
                <w:lang w:val="en-US" w:eastAsia="zh-CN"/>
              </w:rPr>
              <w:t>31962-2015）</w:t>
            </w:r>
            <w:r>
              <w:rPr>
                <w:rFonts w:hint="eastAsia" w:ascii="Times New Roman" w:hAnsi="Times New Roman" w:eastAsia="宋体" w:cs="Times New Roman"/>
                <w:b w:val="0"/>
                <w:bCs/>
                <w:color w:val="auto"/>
                <w:kern w:val="0"/>
                <w:sz w:val="21"/>
                <w:szCs w:val="21"/>
                <w:highlight w:val="none"/>
                <w:lang w:val="en-US" w:eastAsia="zh-CN"/>
              </w:rPr>
              <w:t>B</w:t>
            </w:r>
            <w:r>
              <w:rPr>
                <w:rFonts w:hint="default" w:ascii="Times New Roman" w:hAnsi="Times New Roman" w:eastAsia="宋体" w:cs="Times New Roman"/>
                <w:b w:val="0"/>
                <w:bCs/>
                <w:color w:val="auto"/>
                <w:kern w:val="0"/>
                <w:sz w:val="21"/>
                <w:szCs w:val="21"/>
                <w:highlight w:val="none"/>
                <w:lang w:val="en-US" w:eastAsia="zh-CN"/>
              </w:rPr>
              <w:t>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94" w:type="pct"/>
            <w:vMerge w:val="continue"/>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color w:val="auto"/>
                <w:kern w:val="21"/>
                <w:sz w:val="21"/>
                <w:szCs w:val="21"/>
              </w:rPr>
            </w:pPr>
          </w:p>
        </w:tc>
        <w:tc>
          <w:tcPr>
            <w:tcW w:w="827" w:type="pct"/>
            <w:vAlign w:val="center"/>
          </w:tcPr>
          <w:p>
            <w:pPr>
              <w:pStyle w:val="3"/>
              <w:keepNext w:val="0"/>
              <w:keepLines w:val="0"/>
              <w:pageBreakBefore w:val="0"/>
              <w:widowControl w:val="0"/>
              <w:numPr>
                <w:ilvl w:val="0"/>
                <w:numId w:val="0"/>
              </w:numPr>
              <w:kinsoku/>
              <w:wordWrap/>
              <w:overflowPunct/>
              <w:topLinePunct w:val="0"/>
              <w:autoSpaceDE/>
              <w:autoSpaceDN/>
              <w:bidi w:val="0"/>
              <w:adjustRightInd/>
              <w:snapToGrid/>
              <w:spacing w:line="300" w:lineRule="auto"/>
              <w:jc w:val="center"/>
              <w:textAlignment w:val="auto"/>
              <w:rPr>
                <w:bCs/>
                <w:color w:val="auto"/>
                <w:sz w:val="21"/>
                <w:szCs w:val="21"/>
              </w:rPr>
            </w:pPr>
            <w:r>
              <w:rPr>
                <w:rFonts w:hint="eastAsia" w:ascii="Times New Roman" w:hAnsi="Times New Roman" w:eastAsia="宋体" w:cs="Times New Roman"/>
                <w:b w:val="0"/>
                <w:bCs/>
                <w:color w:val="auto"/>
                <w:kern w:val="2"/>
                <w:sz w:val="21"/>
                <w:szCs w:val="21"/>
                <w:lang w:val="en-US" w:eastAsia="zh-CN" w:bidi="ar-SA"/>
              </w:rPr>
              <w:t>住院</w:t>
            </w:r>
            <w:r>
              <w:rPr>
                <w:rFonts w:hint="eastAsia" w:cs="Times New Roman"/>
                <w:b w:val="0"/>
                <w:bCs/>
                <w:color w:val="auto"/>
                <w:kern w:val="2"/>
                <w:sz w:val="21"/>
                <w:szCs w:val="21"/>
                <w:lang w:val="en-US" w:eastAsia="zh-CN" w:bidi="ar-SA"/>
              </w:rPr>
              <w:t>废水、</w:t>
            </w:r>
            <w:r>
              <w:rPr>
                <w:rFonts w:hint="eastAsia" w:ascii="Times New Roman" w:hAnsi="Times New Roman" w:eastAsia="宋体" w:cs="Times New Roman"/>
                <w:b w:val="0"/>
                <w:bCs/>
                <w:color w:val="auto"/>
                <w:kern w:val="2"/>
                <w:sz w:val="21"/>
                <w:szCs w:val="21"/>
                <w:lang w:val="en-US" w:eastAsia="zh-CN" w:bidi="ar-SA"/>
              </w:rPr>
              <w:t>医护人员</w:t>
            </w:r>
            <w:r>
              <w:rPr>
                <w:rFonts w:hint="eastAsia" w:cs="Times New Roman"/>
                <w:b w:val="0"/>
                <w:bCs/>
                <w:color w:val="auto"/>
                <w:kern w:val="2"/>
                <w:sz w:val="21"/>
                <w:szCs w:val="21"/>
                <w:lang w:val="en-US" w:eastAsia="zh-CN" w:bidi="ar-SA"/>
              </w:rPr>
              <w:t>、行政人员的生活污水</w:t>
            </w:r>
          </w:p>
        </w:tc>
        <w:tc>
          <w:tcPr>
            <w:tcW w:w="1054" w:type="pc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color w:val="auto"/>
                <w:kern w:val="21"/>
                <w:sz w:val="21"/>
                <w:szCs w:val="21"/>
              </w:rPr>
            </w:pPr>
            <w:r>
              <w:rPr>
                <w:rFonts w:hint="eastAsia" w:ascii="Times New Roman" w:hAnsi="Times New Roman" w:cs="Times New Roman"/>
                <w:b w:val="0"/>
                <w:bCs/>
                <w:color w:val="auto"/>
                <w:kern w:val="2"/>
                <w:sz w:val="21"/>
                <w:szCs w:val="21"/>
                <w:lang w:val="en-US" w:eastAsia="zh-CN" w:bidi="ar-SA"/>
              </w:rPr>
              <w:t>pH值、</w:t>
            </w:r>
            <w:r>
              <w:rPr>
                <w:rFonts w:hint="eastAsia" w:ascii="Times New Roman" w:hAnsi="Times New Roman" w:eastAsia="宋体" w:cs="Times New Roman"/>
                <w:b w:val="0"/>
                <w:bCs/>
                <w:color w:val="auto"/>
                <w:kern w:val="2"/>
                <w:sz w:val="21"/>
                <w:szCs w:val="21"/>
                <w:lang w:val="en-US" w:eastAsia="zh-CN" w:bidi="ar-SA"/>
              </w:rPr>
              <w:t>COD、BOD、SS、氨氮</w:t>
            </w:r>
            <w:r>
              <w:rPr>
                <w:rFonts w:hint="eastAsia" w:cs="Times New Roman"/>
                <w:b w:val="0"/>
                <w:bCs/>
                <w:color w:val="auto"/>
                <w:kern w:val="2"/>
                <w:sz w:val="21"/>
                <w:szCs w:val="21"/>
                <w:lang w:val="en-US" w:eastAsia="zh-CN" w:bidi="ar-SA"/>
              </w:rPr>
              <w:t>、</w:t>
            </w:r>
            <w:r>
              <w:rPr>
                <w:rFonts w:hint="eastAsia"/>
                <w:color w:val="auto"/>
                <w:sz w:val="21"/>
                <w:szCs w:val="21"/>
                <w:lang w:eastAsia="zh-CN"/>
              </w:rPr>
              <w:t>粪大肠菌群</w:t>
            </w:r>
          </w:p>
        </w:tc>
        <w:tc>
          <w:tcPr>
            <w:tcW w:w="719" w:type="pc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eastAsia="宋体"/>
                <w:color w:val="auto"/>
                <w:kern w:val="0"/>
                <w:sz w:val="21"/>
                <w:szCs w:val="21"/>
                <w:lang w:val="en-US" w:eastAsia="zh-CN"/>
              </w:rPr>
            </w:pPr>
            <w:r>
              <w:rPr>
                <w:rFonts w:hint="eastAsia"/>
                <w:color w:val="auto"/>
                <w:kern w:val="0"/>
                <w:sz w:val="21"/>
                <w:szCs w:val="21"/>
                <w:lang w:eastAsia="zh-CN"/>
              </w:rPr>
              <w:t>化粪池</w:t>
            </w:r>
            <w:r>
              <w:rPr>
                <w:rFonts w:hint="eastAsia"/>
                <w:color w:val="auto"/>
                <w:kern w:val="0"/>
                <w:sz w:val="21"/>
                <w:szCs w:val="21"/>
                <w:lang w:val="en-US" w:eastAsia="zh-CN"/>
              </w:rPr>
              <w:t>+污水处理站</w:t>
            </w:r>
          </w:p>
        </w:tc>
        <w:tc>
          <w:tcPr>
            <w:tcW w:w="1604" w:type="pct"/>
            <w:vMerge w:val="continue"/>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eastAsia"/>
                <w:color w:val="auto"/>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4" w:type="pc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color w:val="auto"/>
                <w:kern w:val="21"/>
                <w:sz w:val="21"/>
                <w:szCs w:val="21"/>
              </w:rPr>
            </w:pPr>
            <w:r>
              <w:rPr>
                <w:color w:val="auto"/>
                <w:kern w:val="21"/>
                <w:sz w:val="21"/>
                <w:szCs w:val="21"/>
              </w:rPr>
              <w:t>声环境</w:t>
            </w:r>
          </w:p>
        </w:tc>
        <w:tc>
          <w:tcPr>
            <w:tcW w:w="827" w:type="pc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color w:val="auto"/>
                <w:kern w:val="21"/>
                <w:sz w:val="21"/>
                <w:szCs w:val="21"/>
              </w:rPr>
            </w:pPr>
            <w:r>
              <w:rPr>
                <w:rFonts w:hint="eastAsia"/>
                <w:color w:val="auto"/>
                <w:kern w:val="21"/>
                <w:sz w:val="21"/>
                <w:szCs w:val="21"/>
              </w:rPr>
              <w:t>设备运行噪声</w:t>
            </w:r>
          </w:p>
        </w:tc>
        <w:tc>
          <w:tcPr>
            <w:tcW w:w="1054" w:type="pc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color w:val="auto"/>
                <w:kern w:val="21"/>
                <w:sz w:val="21"/>
                <w:szCs w:val="21"/>
              </w:rPr>
            </w:pPr>
            <w:r>
              <w:rPr>
                <w:rFonts w:hint="eastAsia"/>
                <w:color w:val="auto"/>
                <w:kern w:val="21"/>
                <w:sz w:val="21"/>
                <w:szCs w:val="21"/>
              </w:rPr>
              <w:t>连续等效A声级</w:t>
            </w:r>
          </w:p>
        </w:tc>
        <w:tc>
          <w:tcPr>
            <w:tcW w:w="719" w:type="pc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color w:val="auto"/>
                <w:kern w:val="21"/>
                <w:sz w:val="21"/>
                <w:szCs w:val="21"/>
              </w:rPr>
            </w:pPr>
            <w:r>
              <w:rPr>
                <w:color w:val="auto"/>
                <w:kern w:val="21"/>
                <w:sz w:val="21"/>
                <w:szCs w:val="21"/>
              </w:rPr>
              <w:t>厂房隔声，基础减振</w:t>
            </w:r>
          </w:p>
        </w:tc>
        <w:tc>
          <w:tcPr>
            <w:tcW w:w="1604" w:type="pc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color w:val="auto"/>
                <w:kern w:val="21"/>
                <w:sz w:val="21"/>
                <w:szCs w:val="21"/>
              </w:rPr>
            </w:pPr>
            <w:r>
              <w:rPr>
                <w:rFonts w:hint="eastAsia" w:ascii="Times New Roman" w:hAnsi="Times New Roman" w:cs="Times New Roman" w:eastAsiaTheme="minorEastAsia"/>
                <w:color w:val="auto"/>
                <w:spacing w:val="0"/>
                <w:kern w:val="21"/>
                <w:sz w:val="21"/>
                <w:szCs w:val="21"/>
                <w:lang w:eastAsia="zh-CN"/>
              </w:rPr>
              <w:t>厂界噪声满足</w:t>
            </w:r>
            <w:r>
              <w:rPr>
                <w:rFonts w:hint="default" w:ascii="Times New Roman" w:hAnsi="Times New Roman" w:cs="Times New Roman" w:eastAsiaTheme="minorEastAsia"/>
                <w:color w:val="auto"/>
                <w:spacing w:val="0"/>
                <w:kern w:val="21"/>
                <w:sz w:val="21"/>
                <w:szCs w:val="21"/>
              </w:rPr>
              <w:t>《工业企业厂界环境噪声排放标准》（GB</w:t>
            </w:r>
            <w:r>
              <w:rPr>
                <w:rFonts w:hint="default" w:ascii="Times New Roman" w:hAnsi="Times New Roman" w:cs="Times New Roman" w:eastAsiaTheme="minorEastAsia"/>
                <w:color w:val="auto"/>
                <w:spacing w:val="0"/>
                <w:kern w:val="21"/>
                <w:sz w:val="21"/>
                <w:szCs w:val="21"/>
                <w:lang w:val="en-US" w:eastAsia="zh-CN"/>
              </w:rPr>
              <w:t xml:space="preserve"> </w:t>
            </w:r>
            <w:r>
              <w:rPr>
                <w:rFonts w:hint="default" w:ascii="Times New Roman" w:hAnsi="Times New Roman" w:cs="Times New Roman" w:eastAsiaTheme="minorEastAsia"/>
                <w:color w:val="auto"/>
                <w:spacing w:val="0"/>
                <w:kern w:val="21"/>
                <w:sz w:val="21"/>
                <w:szCs w:val="21"/>
              </w:rPr>
              <w:t>12348-2008）</w:t>
            </w:r>
            <w:r>
              <w:rPr>
                <w:rFonts w:hint="eastAsia" w:cs="Times New Roman" w:eastAsiaTheme="minorEastAsia"/>
                <w:color w:val="auto"/>
                <w:spacing w:val="0"/>
                <w:kern w:val="21"/>
                <w:sz w:val="21"/>
                <w:szCs w:val="21"/>
                <w:lang w:val="en-US" w:eastAsia="zh-CN"/>
              </w:rPr>
              <w:t>2类、4a来标准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5" w:hRule="atLeast"/>
          <w:jc w:val="center"/>
        </w:trPr>
        <w:tc>
          <w:tcPr>
            <w:tcW w:w="794" w:type="pc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color w:val="auto"/>
                <w:kern w:val="21"/>
                <w:sz w:val="21"/>
                <w:szCs w:val="21"/>
              </w:rPr>
            </w:pPr>
            <w:r>
              <w:rPr>
                <w:rFonts w:hint="default" w:ascii="Times New Roman" w:hAnsi="Times New Roman" w:cs="Times New Roman" w:eastAsiaTheme="minorEastAsia"/>
                <w:color w:val="auto"/>
                <w:spacing w:val="0"/>
                <w:kern w:val="21"/>
                <w:sz w:val="21"/>
                <w:szCs w:val="21"/>
              </w:rPr>
              <w:t>固体废物</w:t>
            </w:r>
          </w:p>
        </w:tc>
        <w:tc>
          <w:tcPr>
            <w:tcW w:w="4205" w:type="pct"/>
            <w:gridSpan w:val="4"/>
            <w:vAlign w:val="center"/>
          </w:tcPr>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color w:val="auto"/>
                <w:lang w:eastAsia="zh-CN"/>
              </w:rPr>
            </w:pPr>
            <w:r>
              <w:rPr>
                <w:rFonts w:hint="eastAsia"/>
                <w:color w:val="auto"/>
                <w:lang w:eastAsia="zh-CN"/>
              </w:rPr>
              <w:t>（</w:t>
            </w:r>
            <w:r>
              <w:rPr>
                <w:rFonts w:hint="eastAsia"/>
                <w:color w:val="auto"/>
                <w:lang w:val="en-US" w:eastAsia="zh-CN"/>
              </w:rPr>
              <w:t>1</w:t>
            </w:r>
            <w:r>
              <w:rPr>
                <w:rFonts w:hint="eastAsia"/>
                <w:color w:val="auto"/>
                <w:lang w:eastAsia="zh-CN"/>
              </w:rPr>
              <w:t>）生活垃圾</w:t>
            </w:r>
            <w:r>
              <w:rPr>
                <w:rFonts w:hint="default"/>
                <w:color w:val="auto"/>
                <w:lang w:eastAsia="zh-CN"/>
              </w:rPr>
              <w:t>分类收集后由环卫部门清运处置</w:t>
            </w:r>
            <w:r>
              <w:rPr>
                <w:rFonts w:hint="eastAsia"/>
                <w:color w:val="auto"/>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color w:val="auto"/>
                <w:lang w:eastAsia="zh-CN"/>
              </w:rPr>
            </w:pPr>
            <w:r>
              <w:rPr>
                <w:rFonts w:hint="eastAsia"/>
                <w:color w:val="auto"/>
                <w:lang w:eastAsia="zh-CN"/>
              </w:rPr>
              <w:t>（</w:t>
            </w:r>
            <w:r>
              <w:rPr>
                <w:rFonts w:hint="eastAsia"/>
                <w:color w:val="auto"/>
                <w:lang w:val="en-US" w:eastAsia="zh-CN"/>
              </w:rPr>
              <w:t>2</w:t>
            </w:r>
            <w:r>
              <w:rPr>
                <w:rFonts w:hint="eastAsia"/>
                <w:color w:val="auto"/>
                <w:lang w:eastAsia="zh-CN"/>
              </w:rPr>
              <w:t>）污泥经</w:t>
            </w:r>
            <w:r>
              <w:rPr>
                <w:rFonts w:hint="eastAsia"/>
                <w:color w:val="auto"/>
                <w:sz w:val="21"/>
                <w:szCs w:val="21"/>
                <w:lang w:eastAsia="zh-CN"/>
              </w:rPr>
              <w:t>脱水</w:t>
            </w:r>
            <w:r>
              <w:rPr>
                <w:rFonts w:hint="eastAsia"/>
                <w:color w:val="auto"/>
                <w:lang w:eastAsia="zh-CN"/>
              </w:rPr>
              <w:t>后直接交由有资质单位处置；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color w:val="auto"/>
              </w:rPr>
            </w:pPr>
            <w:r>
              <w:rPr>
                <w:rFonts w:hint="eastAsia"/>
                <w:color w:val="auto"/>
                <w:lang w:eastAsia="zh-CN"/>
              </w:rPr>
              <w:t>（</w:t>
            </w:r>
            <w:r>
              <w:rPr>
                <w:rFonts w:hint="eastAsia"/>
                <w:color w:val="auto"/>
                <w:lang w:val="en-US" w:eastAsia="zh-CN"/>
              </w:rPr>
              <w:t>3</w:t>
            </w:r>
            <w:r>
              <w:rPr>
                <w:rFonts w:hint="eastAsia"/>
                <w:color w:val="auto"/>
                <w:lang w:eastAsia="zh-CN"/>
              </w:rPr>
              <w:t>）医疗废物分类收集于危废储存间</w:t>
            </w:r>
            <w:r>
              <w:rPr>
                <w:rFonts w:hint="default"/>
                <w:color w:val="auto"/>
                <w:lang w:eastAsia="zh-CN"/>
              </w:rPr>
              <w:t>，后交</w:t>
            </w:r>
            <w:r>
              <w:rPr>
                <w:rFonts w:hint="eastAsia"/>
                <w:color w:val="auto"/>
                <w:lang w:eastAsia="zh-CN"/>
              </w:rPr>
              <w:t>由</w:t>
            </w:r>
            <w:r>
              <w:rPr>
                <w:rFonts w:hint="eastAsia"/>
                <w:color w:val="auto"/>
                <w:lang w:val="en-US" w:eastAsia="zh-CN"/>
              </w:rPr>
              <w:t>有资质单位处置</w:t>
            </w:r>
            <w:r>
              <w:rPr>
                <w:rFonts w:hint="default"/>
                <w:color w:val="auto"/>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4" w:type="pc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color w:val="auto"/>
                <w:kern w:val="21"/>
                <w:sz w:val="21"/>
                <w:szCs w:val="21"/>
              </w:rPr>
            </w:pPr>
            <w:r>
              <w:rPr>
                <w:rFonts w:hint="default" w:ascii="Times New Roman" w:hAnsi="Times New Roman" w:cs="Times New Roman" w:eastAsiaTheme="minorEastAsia"/>
                <w:color w:val="auto"/>
                <w:spacing w:val="0"/>
                <w:kern w:val="21"/>
                <w:sz w:val="21"/>
                <w:szCs w:val="21"/>
                <w:lang w:eastAsia="zh-CN"/>
              </w:rPr>
              <w:t>土壤</w:t>
            </w:r>
            <w:r>
              <w:rPr>
                <w:rFonts w:hint="eastAsia" w:ascii="Times New Roman" w:hAnsi="Times New Roman" w:cs="Times New Roman" w:eastAsiaTheme="minorEastAsia"/>
                <w:color w:val="auto"/>
                <w:spacing w:val="0"/>
                <w:kern w:val="21"/>
                <w:sz w:val="21"/>
                <w:szCs w:val="21"/>
                <w:lang w:eastAsia="zh-CN"/>
              </w:rPr>
              <w:t>及地下水</w:t>
            </w:r>
            <w:r>
              <w:rPr>
                <w:rFonts w:hint="default" w:ascii="Times New Roman" w:hAnsi="Times New Roman" w:cs="Times New Roman" w:eastAsiaTheme="minorEastAsia"/>
                <w:color w:val="auto"/>
                <w:spacing w:val="0"/>
                <w:kern w:val="21"/>
                <w:sz w:val="21"/>
                <w:szCs w:val="21"/>
                <w:lang w:eastAsia="zh-CN"/>
              </w:rPr>
              <w:t>污染防治措施</w:t>
            </w:r>
          </w:p>
        </w:tc>
        <w:tc>
          <w:tcPr>
            <w:tcW w:w="4205" w:type="pct"/>
            <w:gridSpan w:val="4"/>
            <w:vAlign w:val="center"/>
          </w:tcPr>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color w:val="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color w:val="auto"/>
              </w:rPr>
            </w:pPr>
            <w:r>
              <w:rPr>
                <w:rFonts w:hint="eastAsia"/>
                <w:color w:val="auto"/>
                <w:lang w:val="en-US" w:eastAsia="zh-CN"/>
              </w:rPr>
              <w:t>建设单位在采取加强</w:t>
            </w:r>
            <w:r>
              <w:rPr>
                <w:rFonts w:hint="eastAsia"/>
                <w:color w:val="auto"/>
                <w:lang w:eastAsia="zh-CN"/>
              </w:rPr>
              <w:t>危废储存间</w:t>
            </w:r>
            <w:r>
              <w:rPr>
                <w:rFonts w:hint="eastAsia"/>
                <w:color w:val="auto"/>
                <w:lang w:val="en-US" w:eastAsia="zh-CN"/>
              </w:rPr>
              <w:t>管理，及时处置暂存的医疗废物，定期检查维护医疗污水处理设施等防范措施后，</w:t>
            </w:r>
            <w:r>
              <w:rPr>
                <w:rFonts w:hint="default"/>
                <w:color w:val="auto"/>
                <w:lang w:val="en-US" w:eastAsia="zh-CN"/>
              </w:rPr>
              <w:t>不会对项目所在区域土壤</w:t>
            </w:r>
            <w:r>
              <w:rPr>
                <w:rFonts w:hint="eastAsia"/>
                <w:color w:val="auto"/>
                <w:lang w:val="en-US" w:eastAsia="zh-CN"/>
              </w:rPr>
              <w:t>和地下水</w:t>
            </w:r>
            <w:r>
              <w:rPr>
                <w:rFonts w:hint="default"/>
                <w:color w:val="auto"/>
                <w:lang w:val="en-US" w:eastAsia="zh-CN"/>
              </w:rPr>
              <w:t>产生明显影响。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794" w:type="pc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color w:val="auto"/>
                <w:spacing w:val="-8"/>
                <w:sz w:val="21"/>
                <w:szCs w:val="21"/>
              </w:rPr>
            </w:pPr>
            <w:r>
              <w:rPr>
                <w:rFonts w:hint="eastAsia"/>
                <w:color w:val="auto"/>
                <w:spacing w:val="-8"/>
                <w:sz w:val="21"/>
                <w:szCs w:val="21"/>
              </w:rPr>
              <w:t>环境风险</w:t>
            </w:r>
          </w:p>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color w:val="auto"/>
                <w:kern w:val="21"/>
                <w:sz w:val="21"/>
                <w:szCs w:val="21"/>
              </w:rPr>
            </w:pPr>
            <w:r>
              <w:rPr>
                <w:rFonts w:hint="eastAsia"/>
                <w:color w:val="auto"/>
                <w:spacing w:val="-8"/>
                <w:sz w:val="21"/>
                <w:szCs w:val="21"/>
              </w:rPr>
              <w:t>防范措施</w:t>
            </w:r>
          </w:p>
        </w:tc>
        <w:tc>
          <w:tcPr>
            <w:tcW w:w="4205" w:type="pct"/>
            <w:gridSpan w:val="4"/>
            <w:vAlign w:val="center"/>
          </w:tcPr>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color w:val="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color w:val="auto"/>
              </w:rPr>
            </w:pPr>
            <w:r>
              <w:rPr>
                <w:rFonts w:hint="eastAsia"/>
                <w:color w:val="auto"/>
                <w:lang w:val="en-US" w:eastAsia="zh-CN"/>
              </w:rPr>
              <w:t>本项目环境风险为医废、污泥等危废储存风险以及污水处理站设施损坏风险。本项目要求企业加强管理，规范存储、运输危废，定期检查危废储存间及污水处理站的情况，减少废水泄漏、</w:t>
            </w:r>
            <w:r>
              <w:rPr>
                <w:color w:val="auto"/>
              </w:rPr>
              <w:t>管道破裂、设备损坏</w:t>
            </w:r>
            <w:r>
              <w:rPr>
                <w:rFonts w:hint="eastAsia"/>
                <w:color w:val="auto"/>
                <w:lang w:val="en-US" w:eastAsia="zh-CN"/>
              </w:rPr>
              <w:t>的可能，</w:t>
            </w:r>
            <w:r>
              <w:rPr>
                <w:rFonts w:hint="eastAsia" w:ascii="Times New Roman" w:hAnsi="Times New Roman" w:eastAsia="宋体"/>
                <w:color w:val="auto"/>
                <w:sz w:val="21"/>
                <w:szCs w:val="21"/>
                <w:lang w:val="en-US" w:eastAsia="zh-CN"/>
              </w:rPr>
              <w:t>设置一个3.5m</w:t>
            </w:r>
            <w:r>
              <w:rPr>
                <w:rFonts w:hint="eastAsia" w:ascii="Times New Roman" w:hAnsi="Times New Roman" w:eastAsia="宋体"/>
                <w:color w:val="auto"/>
                <w:sz w:val="21"/>
                <w:szCs w:val="21"/>
                <w:vertAlign w:val="superscript"/>
                <w:lang w:val="en-US" w:eastAsia="zh-CN"/>
              </w:rPr>
              <w:t>3</w:t>
            </w:r>
            <w:r>
              <w:rPr>
                <w:rFonts w:hint="eastAsia" w:ascii="Times New Roman" w:hAnsi="Times New Roman" w:eastAsia="宋体"/>
                <w:color w:val="auto"/>
                <w:sz w:val="21"/>
                <w:szCs w:val="21"/>
                <w:lang w:val="en-US" w:eastAsia="zh-CN"/>
              </w:rPr>
              <w:t>的应急事故池以</w:t>
            </w:r>
            <w:r>
              <w:rPr>
                <w:rFonts w:hint="eastAsia" w:ascii="宋体" w:hAnsi="宋体" w:eastAsia="宋体"/>
                <w:color w:val="auto"/>
                <w:sz w:val="21"/>
                <w:szCs w:val="21"/>
              </w:rPr>
              <w:t>贮存突发事件时医院污水</w:t>
            </w:r>
            <w:r>
              <w:rPr>
                <w:rFonts w:hint="eastAsia" w:ascii="宋体" w:hAnsi="宋体"/>
                <w:color w:val="auto"/>
                <w:sz w:val="21"/>
                <w:szCs w:val="21"/>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94" w:type="pct"/>
            <w:vAlign w:val="center"/>
          </w:tcPr>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color w:val="auto"/>
                <w:kern w:val="21"/>
                <w:sz w:val="21"/>
                <w:szCs w:val="21"/>
              </w:rPr>
            </w:pPr>
            <w:r>
              <w:rPr>
                <w:rFonts w:hint="eastAsia"/>
                <w:color w:val="auto"/>
                <w:kern w:val="21"/>
                <w:sz w:val="21"/>
                <w:szCs w:val="21"/>
              </w:rPr>
              <w:t>其他环境管理要求</w:t>
            </w:r>
          </w:p>
        </w:tc>
        <w:tc>
          <w:tcPr>
            <w:tcW w:w="4205" w:type="pct"/>
            <w:gridSpan w:val="4"/>
          </w:tcPr>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rPr>
            </w:pPr>
            <w:r>
              <w:rPr>
                <w:rFonts w:hint="eastAsia"/>
                <w:color w:val="auto"/>
              </w:rPr>
              <w:t>（1）设专职环境管理人员，加强环保设施维护与管理，确保正常运行，三废达标排放。</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rPr>
            </w:pPr>
            <w:r>
              <w:rPr>
                <w:rFonts w:hint="eastAsia"/>
                <w:color w:val="auto"/>
              </w:rPr>
              <w:t>（2）建立企业环境风险应急机制，加强厂房巡查、监视力度，强化风险管理。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rPr>
            </w:pPr>
            <w:r>
              <w:rPr>
                <w:rFonts w:hint="eastAsia"/>
                <w:color w:val="auto"/>
              </w:rPr>
              <w:t>（3）加强医院卫生与安全管理，杜绝污染和危险事故的发生。</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olor w:val="auto"/>
                <w:sz w:val="21"/>
                <w:szCs w:val="24"/>
              </w:rPr>
            </w:pPr>
            <w:r>
              <w:rPr>
                <w:rFonts w:hint="eastAsia"/>
                <w:color w:val="auto"/>
                <w:lang w:eastAsia="zh-CN"/>
              </w:rPr>
              <w:t>（</w:t>
            </w:r>
            <w:r>
              <w:rPr>
                <w:rFonts w:hint="eastAsia"/>
                <w:color w:val="auto"/>
                <w:lang w:val="en-US" w:eastAsia="zh-CN"/>
              </w:rPr>
              <w:t>4</w:t>
            </w:r>
            <w:r>
              <w:rPr>
                <w:rFonts w:hint="eastAsia"/>
                <w:color w:val="auto"/>
                <w:lang w:eastAsia="zh-CN"/>
              </w:rPr>
              <w:t>）自行监测要求：</w:t>
            </w:r>
            <w:r>
              <w:rPr>
                <w:rFonts w:hint="eastAsia"/>
                <w:color w:val="auto"/>
              </w:rPr>
              <w:t>排污单位应按照监测方案开展自行监测，做好质量保证和质量控制，记录和保存监测数据，依法开</w:t>
            </w:r>
            <w:r>
              <w:rPr>
                <w:rFonts w:hint="eastAsia" w:ascii="宋体" w:hAnsi="宋体" w:eastAsia="宋体"/>
                <w:color w:val="auto"/>
                <w:sz w:val="21"/>
                <w:szCs w:val="24"/>
              </w:rPr>
              <w:t>展信息公开。</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color w:val="auto"/>
              </w:rPr>
            </w:pPr>
            <w:r>
              <w:rPr>
                <w:rFonts w:hint="eastAsia"/>
                <w:color w:val="auto"/>
                <w:lang w:eastAsia="zh-CN"/>
              </w:rPr>
              <w:t>（</w:t>
            </w:r>
            <w:r>
              <w:rPr>
                <w:rFonts w:hint="eastAsia"/>
                <w:color w:val="auto"/>
                <w:lang w:val="en-US" w:eastAsia="zh-CN"/>
              </w:rPr>
              <w:t>5</w:t>
            </w:r>
            <w:r>
              <w:rPr>
                <w:rFonts w:hint="eastAsia"/>
                <w:color w:val="auto"/>
                <w:lang w:eastAsia="zh-CN"/>
              </w:rPr>
              <w:t>）台账要求：</w:t>
            </w:r>
            <w:r>
              <w:rPr>
                <w:rFonts w:hint="eastAsia"/>
                <w:color w:val="auto"/>
              </w:rPr>
              <w:t>排污单位应建立环境管理台账制度，设置专人开展台账记录、整理、维护等管理工作。排污单位环境管理台账应真实记录污染治理设施运行管理信息、危险废物管理信息、监测记录信息和其他环境管理信息。台账记录频次和内容须满足排污许可证环境管理要求，台账保存期限不得少于三年。</w:t>
            </w:r>
          </w:p>
        </w:tc>
      </w:tr>
    </w:tbl>
    <w:p>
      <w:pPr>
        <w:pStyle w:val="23"/>
        <w:adjustRightInd w:val="0"/>
        <w:snapToGrid w:val="0"/>
        <w:jc w:val="center"/>
        <w:outlineLvl w:val="0"/>
        <w:rPr>
          <w:rFonts w:ascii="Times New Roman" w:hAnsi="Times New Roman"/>
          <w:snapToGrid w:val="0"/>
          <w:color w:val="auto"/>
          <w:kern w:val="21"/>
        </w:rPr>
        <w:sectPr>
          <w:pgSz w:w="11906" w:h="16838"/>
          <w:pgMar w:top="1440" w:right="1080" w:bottom="1440" w:left="1080" w:header="851" w:footer="851" w:gutter="0"/>
          <w:pgNumType w:fmt="decimal"/>
          <w:cols w:space="720" w:num="1"/>
          <w:docGrid w:linePitch="312" w:charSpace="0"/>
        </w:sectPr>
      </w:pPr>
    </w:p>
    <w:p>
      <w:pPr>
        <w:pStyle w:val="23"/>
        <w:adjustRightInd w:val="0"/>
        <w:snapToGrid w:val="0"/>
        <w:jc w:val="center"/>
        <w:outlineLvl w:val="0"/>
        <w:rPr>
          <w:rFonts w:ascii="Times New Roman" w:hAnsi="Times New Roman"/>
          <w:snapToGrid w:val="0"/>
          <w:color w:val="auto"/>
          <w:kern w:val="21"/>
          <w:sz w:val="30"/>
          <w:szCs w:val="30"/>
        </w:rPr>
      </w:pPr>
      <w:r>
        <w:rPr>
          <w:rFonts w:ascii="Times New Roman" w:hAnsi="Times New Roman"/>
          <w:snapToGrid w:val="0"/>
          <w:color w:val="auto"/>
          <w:kern w:val="21"/>
          <w:sz w:val="30"/>
          <w:szCs w:val="30"/>
        </w:rPr>
        <w:t>六、结论</w:t>
      </w:r>
    </w:p>
    <w:tbl>
      <w:tblPr>
        <w:tblStyle w:val="25"/>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96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23" w:hRule="atLeast"/>
          <w:jc w:val="center"/>
        </w:trPr>
        <w:tc>
          <w:tcPr>
            <w:tcW w:w="5000" w:type="pct"/>
          </w:tcPr>
          <w:p>
            <w:pPr>
              <w:pStyle w:val="24"/>
              <w:rPr>
                <w:color w:val="auto"/>
              </w:rPr>
            </w:pPr>
          </w:p>
          <w:p>
            <w:pPr>
              <w:adjustRightInd w:val="0"/>
              <w:snapToGrid w:val="0"/>
              <w:spacing w:line="360" w:lineRule="auto"/>
              <w:ind w:firstLine="480" w:firstLineChars="200"/>
              <w:rPr>
                <w:color w:val="auto"/>
                <w:kern w:val="21"/>
                <w:sz w:val="24"/>
                <w:szCs w:val="24"/>
              </w:rPr>
            </w:pPr>
            <w:r>
              <w:rPr>
                <w:rFonts w:hint="eastAsia"/>
                <w:color w:val="auto"/>
                <w:kern w:val="21"/>
                <w:sz w:val="24"/>
                <w:szCs w:val="24"/>
                <w:highlight w:val="none"/>
                <w:lang w:eastAsia="zh-CN"/>
              </w:rPr>
              <w:t>西安莲湖麦迪格眼科医院有限公司眼科医院项目</w:t>
            </w:r>
            <w:r>
              <w:rPr>
                <w:rFonts w:hint="eastAsia"/>
                <w:color w:val="auto"/>
                <w:kern w:val="21"/>
                <w:sz w:val="24"/>
                <w:szCs w:val="24"/>
              </w:rPr>
              <w:t>建设符合国家产业政策，生产过程中污染物排放量较小，项目运营期产生的废气、废水、噪声和固体废物等污染物，在切实落实环评报告提出各项污染防治措施后，其各项污染物均可做到达标排放，对周边环境影响较小。从环境保护角度分析，本项目环境影响是可行的。</w:t>
            </w:r>
          </w:p>
          <w:p>
            <w:pPr>
              <w:adjustRightInd w:val="0"/>
              <w:snapToGrid w:val="0"/>
              <w:ind w:firstLine="480" w:firstLineChars="200"/>
              <w:rPr>
                <w:color w:val="auto"/>
                <w:kern w:val="21"/>
                <w:sz w:val="24"/>
              </w:rPr>
            </w:pPr>
          </w:p>
        </w:tc>
      </w:tr>
    </w:tbl>
    <w:p>
      <w:pPr>
        <w:rPr>
          <w:color w:val="auto"/>
          <w:kern w:val="21"/>
        </w:rPr>
        <w:sectPr>
          <w:pgSz w:w="11906" w:h="16838"/>
          <w:pgMar w:top="1440" w:right="1080" w:bottom="1440" w:left="1080" w:header="851" w:footer="851" w:gutter="0"/>
          <w:pgNumType w:fmt="decimal"/>
          <w:cols w:space="720" w:num="1"/>
          <w:docGrid w:linePitch="312" w:charSpace="0"/>
        </w:sectPr>
      </w:pPr>
    </w:p>
    <w:p>
      <w:pPr>
        <w:pStyle w:val="23"/>
        <w:adjustRightInd w:val="0"/>
        <w:snapToGrid w:val="0"/>
        <w:spacing w:before="0" w:beforeAutospacing="0" w:after="0" w:afterAutospacing="0"/>
        <w:jc w:val="center"/>
        <w:outlineLvl w:val="0"/>
        <w:rPr>
          <w:rFonts w:ascii="Times New Roman" w:hAnsi="Times New Roman"/>
          <w:snapToGrid w:val="0"/>
          <w:color w:val="auto"/>
          <w:kern w:val="21"/>
          <w:sz w:val="38"/>
          <w:szCs w:val="38"/>
        </w:rPr>
      </w:pPr>
      <w:r>
        <w:rPr>
          <w:rFonts w:ascii="Times New Roman" w:hAnsi="Times New Roman"/>
          <w:snapToGrid w:val="0"/>
          <w:color w:val="auto"/>
          <w:kern w:val="21"/>
          <w:sz w:val="38"/>
          <w:szCs w:val="38"/>
        </w:rPr>
        <w:t>建设项目污染物排放量汇总表</w:t>
      </w:r>
    </w:p>
    <w:tbl>
      <w:tblPr>
        <w:tblStyle w:val="25"/>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239"/>
        <w:gridCol w:w="1472"/>
        <w:gridCol w:w="1778"/>
        <w:gridCol w:w="1200"/>
        <w:gridCol w:w="1778"/>
        <w:gridCol w:w="2274"/>
        <w:gridCol w:w="1711"/>
        <w:gridCol w:w="1684"/>
        <w:gridCol w:w="159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0" w:type="pct"/>
            <w:tcBorders>
              <w:tl2br w:val="single" w:color="auto" w:sz="4" w:space="0"/>
            </w:tcBorders>
            <w:tcMar>
              <w:left w:w="28" w:type="dxa"/>
              <w:right w:w="28" w:type="dxa"/>
            </w:tcMar>
            <w:vAlign w:val="center"/>
          </w:tcPr>
          <w:p>
            <w:pPr>
              <w:pStyle w:val="41"/>
              <w:spacing w:beforeLines="0" w:afterLines="0" w:line="240" w:lineRule="auto"/>
              <w:jc w:val="right"/>
              <w:rPr>
                <w:rFonts w:ascii="Times New Roman" w:hAnsi="Times New Roman" w:eastAsia="宋体" w:cs="Times New Roman"/>
                <w:snapToGrid w:val="0"/>
                <w:color w:val="auto"/>
                <w:kern w:val="21"/>
                <w:sz w:val="21"/>
                <w:szCs w:val="21"/>
              </w:rPr>
            </w:pPr>
            <w:r>
              <w:rPr>
                <w:rFonts w:ascii="Times New Roman" w:hAnsi="Times New Roman" w:eastAsia="宋体" w:cs="Times New Roman"/>
                <w:snapToGrid w:val="0"/>
                <w:color w:val="auto"/>
                <w:kern w:val="21"/>
                <w:sz w:val="21"/>
                <w:szCs w:val="21"/>
              </w:rPr>
              <w:t>项目</w:t>
            </w:r>
          </w:p>
          <w:p>
            <w:pPr>
              <w:pStyle w:val="41"/>
              <w:spacing w:beforeLines="0" w:afterLines="0" w:line="240" w:lineRule="auto"/>
              <w:jc w:val="left"/>
              <w:rPr>
                <w:rFonts w:ascii="Times New Roman" w:hAnsi="Times New Roman" w:eastAsia="宋体" w:cs="Times New Roman"/>
                <w:snapToGrid w:val="0"/>
                <w:color w:val="auto"/>
                <w:kern w:val="21"/>
                <w:sz w:val="21"/>
                <w:szCs w:val="21"/>
              </w:rPr>
            </w:pPr>
            <w:r>
              <w:rPr>
                <w:rFonts w:ascii="Times New Roman" w:hAnsi="Times New Roman" w:eastAsia="宋体" w:cs="Times New Roman"/>
                <w:snapToGrid w:val="0"/>
                <w:color w:val="auto"/>
                <w:kern w:val="21"/>
                <w:sz w:val="21"/>
                <w:szCs w:val="21"/>
              </w:rPr>
              <w:t>分类</w:t>
            </w:r>
          </w:p>
        </w:tc>
        <w:tc>
          <w:tcPr>
            <w:tcW w:w="499" w:type="pct"/>
            <w:tcMar>
              <w:left w:w="28" w:type="dxa"/>
              <w:right w:w="28" w:type="dxa"/>
            </w:tcMar>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r>
              <w:rPr>
                <w:rFonts w:ascii="Times New Roman" w:hAnsi="Times New Roman" w:eastAsia="宋体" w:cs="Times New Roman"/>
                <w:snapToGrid w:val="0"/>
                <w:color w:val="auto"/>
                <w:kern w:val="21"/>
                <w:sz w:val="21"/>
                <w:szCs w:val="21"/>
              </w:rPr>
              <w:t>污染物名称</w:t>
            </w:r>
          </w:p>
        </w:tc>
        <w:tc>
          <w:tcPr>
            <w:tcW w:w="603" w:type="pct"/>
            <w:tcMar>
              <w:left w:w="28" w:type="dxa"/>
              <w:right w:w="28" w:type="dxa"/>
            </w:tcMar>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r>
              <w:rPr>
                <w:rFonts w:ascii="Times New Roman" w:hAnsi="Times New Roman" w:eastAsia="宋体" w:cs="Times New Roman"/>
                <w:snapToGrid w:val="0"/>
                <w:color w:val="auto"/>
                <w:kern w:val="21"/>
                <w:sz w:val="21"/>
                <w:szCs w:val="21"/>
              </w:rPr>
              <w:t>现有工程</w:t>
            </w:r>
          </w:p>
          <w:p>
            <w:pPr>
              <w:pStyle w:val="41"/>
              <w:spacing w:beforeLines="0" w:afterLines="0" w:line="240" w:lineRule="auto"/>
              <w:rPr>
                <w:rFonts w:ascii="Times New Roman" w:hAnsi="Times New Roman" w:eastAsia="宋体" w:cs="Times New Roman"/>
                <w:snapToGrid w:val="0"/>
                <w:color w:val="auto"/>
                <w:kern w:val="21"/>
                <w:sz w:val="21"/>
                <w:szCs w:val="21"/>
              </w:rPr>
            </w:pPr>
            <w:r>
              <w:rPr>
                <w:rFonts w:ascii="Times New Roman" w:hAnsi="Times New Roman" w:eastAsia="宋体" w:cs="Times New Roman"/>
                <w:snapToGrid w:val="0"/>
                <w:color w:val="auto"/>
                <w:kern w:val="21"/>
                <w:sz w:val="21"/>
                <w:szCs w:val="21"/>
              </w:rPr>
              <w:t>排放量（固体废物产生量）</w:t>
            </w:r>
            <w:r>
              <w:rPr>
                <w:rFonts w:ascii="Times New Roman" w:hAnsi="Times New Roman" w:eastAsia="宋体" w:cs="Times New Roman"/>
                <w:snapToGrid w:val="0"/>
                <w:color w:val="auto"/>
                <w:kern w:val="21"/>
                <w:sz w:val="21"/>
                <w:szCs w:val="21"/>
              </w:rPr>
              <w:fldChar w:fldCharType="begin"/>
            </w:r>
            <w:r>
              <w:rPr>
                <w:rFonts w:ascii="Times New Roman" w:hAnsi="Times New Roman" w:eastAsia="宋体" w:cs="Times New Roman"/>
                <w:snapToGrid w:val="0"/>
                <w:color w:val="auto"/>
                <w:kern w:val="21"/>
                <w:sz w:val="21"/>
                <w:szCs w:val="21"/>
              </w:rPr>
              <w:instrText xml:space="preserve"> = 1 \* GB3 \* MERGEFORMAT </w:instrText>
            </w:r>
            <w:r>
              <w:rPr>
                <w:rFonts w:ascii="Times New Roman" w:hAnsi="Times New Roman" w:eastAsia="宋体" w:cs="Times New Roman"/>
                <w:snapToGrid w:val="0"/>
                <w:color w:val="auto"/>
                <w:kern w:val="21"/>
                <w:sz w:val="21"/>
                <w:szCs w:val="21"/>
              </w:rPr>
              <w:fldChar w:fldCharType="separate"/>
            </w:r>
            <w:r>
              <w:rPr>
                <w:rFonts w:hint="eastAsia" w:ascii="Times New Roman" w:hAnsi="Times New Roman" w:eastAsia="宋体" w:cs="Times New Roman"/>
                <w:color w:val="auto"/>
                <w:kern w:val="21"/>
                <w:sz w:val="21"/>
                <w:szCs w:val="21"/>
              </w:rPr>
              <w:t>①</w:t>
            </w:r>
            <w:r>
              <w:rPr>
                <w:rFonts w:ascii="Times New Roman" w:hAnsi="Times New Roman" w:eastAsia="宋体" w:cs="Times New Roman"/>
                <w:snapToGrid w:val="0"/>
                <w:color w:val="auto"/>
                <w:kern w:val="21"/>
                <w:sz w:val="21"/>
                <w:szCs w:val="21"/>
              </w:rPr>
              <w:fldChar w:fldCharType="end"/>
            </w:r>
          </w:p>
        </w:tc>
        <w:tc>
          <w:tcPr>
            <w:tcW w:w="407" w:type="pct"/>
            <w:tcMar>
              <w:left w:w="28" w:type="dxa"/>
              <w:right w:w="28" w:type="dxa"/>
            </w:tcMar>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r>
              <w:rPr>
                <w:rFonts w:ascii="Times New Roman" w:hAnsi="Times New Roman" w:eastAsia="宋体" w:cs="Times New Roman"/>
                <w:snapToGrid w:val="0"/>
                <w:color w:val="auto"/>
                <w:kern w:val="21"/>
                <w:sz w:val="21"/>
                <w:szCs w:val="21"/>
              </w:rPr>
              <w:t>现有工程许可排放量</w:t>
            </w:r>
            <w:r>
              <w:rPr>
                <w:rFonts w:ascii="Times New Roman" w:hAnsi="Times New Roman" w:eastAsia="宋体" w:cs="Times New Roman"/>
                <w:snapToGrid w:val="0"/>
                <w:color w:val="auto"/>
                <w:kern w:val="21"/>
                <w:sz w:val="21"/>
                <w:szCs w:val="21"/>
              </w:rPr>
              <w:fldChar w:fldCharType="begin"/>
            </w:r>
            <w:r>
              <w:rPr>
                <w:rFonts w:ascii="Times New Roman" w:hAnsi="Times New Roman" w:eastAsia="宋体" w:cs="Times New Roman"/>
                <w:snapToGrid w:val="0"/>
                <w:color w:val="auto"/>
                <w:kern w:val="21"/>
                <w:sz w:val="21"/>
                <w:szCs w:val="21"/>
              </w:rPr>
              <w:instrText xml:space="preserve"> = 2 \* GB3 \* MERGEFORMAT </w:instrText>
            </w:r>
            <w:r>
              <w:rPr>
                <w:rFonts w:ascii="Times New Roman" w:hAnsi="Times New Roman" w:eastAsia="宋体" w:cs="Times New Roman"/>
                <w:snapToGrid w:val="0"/>
                <w:color w:val="auto"/>
                <w:kern w:val="21"/>
                <w:sz w:val="21"/>
                <w:szCs w:val="21"/>
              </w:rPr>
              <w:fldChar w:fldCharType="separate"/>
            </w:r>
            <w:r>
              <w:rPr>
                <w:rFonts w:hint="eastAsia" w:ascii="Times New Roman" w:hAnsi="Times New Roman" w:eastAsia="宋体" w:cs="Times New Roman"/>
                <w:snapToGrid w:val="0"/>
                <w:color w:val="auto"/>
                <w:kern w:val="21"/>
                <w:sz w:val="21"/>
                <w:szCs w:val="21"/>
              </w:rPr>
              <w:t>②</w:t>
            </w:r>
            <w:r>
              <w:rPr>
                <w:rFonts w:ascii="Times New Roman" w:hAnsi="Times New Roman" w:eastAsia="宋体" w:cs="Times New Roman"/>
                <w:snapToGrid w:val="0"/>
                <w:color w:val="auto"/>
                <w:kern w:val="21"/>
                <w:sz w:val="21"/>
                <w:szCs w:val="21"/>
              </w:rPr>
              <w:fldChar w:fldCharType="end"/>
            </w:r>
          </w:p>
        </w:tc>
        <w:tc>
          <w:tcPr>
            <w:tcW w:w="603" w:type="pct"/>
            <w:tcMar>
              <w:left w:w="28" w:type="dxa"/>
              <w:right w:w="28" w:type="dxa"/>
            </w:tcMar>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r>
              <w:rPr>
                <w:rFonts w:ascii="Times New Roman" w:hAnsi="Times New Roman" w:eastAsia="宋体" w:cs="Times New Roman"/>
                <w:snapToGrid w:val="0"/>
                <w:color w:val="auto"/>
                <w:kern w:val="21"/>
                <w:sz w:val="21"/>
                <w:szCs w:val="21"/>
              </w:rPr>
              <w:t>在建工程</w:t>
            </w:r>
          </w:p>
          <w:p>
            <w:pPr>
              <w:pStyle w:val="41"/>
              <w:spacing w:beforeLines="0" w:afterLines="0" w:line="240" w:lineRule="auto"/>
              <w:rPr>
                <w:rFonts w:ascii="Times New Roman" w:hAnsi="Times New Roman" w:eastAsia="宋体" w:cs="Times New Roman"/>
                <w:snapToGrid w:val="0"/>
                <w:color w:val="auto"/>
                <w:kern w:val="21"/>
                <w:sz w:val="21"/>
                <w:szCs w:val="21"/>
              </w:rPr>
            </w:pPr>
            <w:r>
              <w:rPr>
                <w:rFonts w:ascii="Times New Roman" w:hAnsi="Times New Roman" w:eastAsia="宋体" w:cs="Times New Roman"/>
                <w:snapToGrid w:val="0"/>
                <w:color w:val="auto"/>
                <w:kern w:val="21"/>
                <w:sz w:val="21"/>
                <w:szCs w:val="21"/>
              </w:rPr>
              <w:t>排放量（固体废物产生量）</w:t>
            </w:r>
            <w:r>
              <w:rPr>
                <w:rFonts w:ascii="Times New Roman" w:hAnsi="Times New Roman" w:eastAsia="宋体" w:cs="Times New Roman"/>
                <w:snapToGrid w:val="0"/>
                <w:color w:val="auto"/>
                <w:kern w:val="21"/>
                <w:sz w:val="21"/>
                <w:szCs w:val="21"/>
              </w:rPr>
              <w:fldChar w:fldCharType="begin"/>
            </w:r>
            <w:r>
              <w:rPr>
                <w:rFonts w:ascii="Times New Roman" w:hAnsi="Times New Roman" w:eastAsia="宋体" w:cs="Times New Roman"/>
                <w:snapToGrid w:val="0"/>
                <w:color w:val="auto"/>
                <w:kern w:val="21"/>
                <w:sz w:val="21"/>
                <w:szCs w:val="21"/>
              </w:rPr>
              <w:instrText xml:space="preserve"> = 3 \* GB3 \* MERGEFORMAT </w:instrText>
            </w:r>
            <w:r>
              <w:rPr>
                <w:rFonts w:ascii="Times New Roman" w:hAnsi="Times New Roman" w:eastAsia="宋体" w:cs="Times New Roman"/>
                <w:snapToGrid w:val="0"/>
                <w:color w:val="auto"/>
                <w:kern w:val="21"/>
                <w:sz w:val="21"/>
                <w:szCs w:val="21"/>
              </w:rPr>
              <w:fldChar w:fldCharType="separate"/>
            </w:r>
            <w:r>
              <w:rPr>
                <w:rFonts w:hint="eastAsia" w:ascii="Times New Roman" w:hAnsi="Times New Roman" w:eastAsia="宋体" w:cs="Times New Roman"/>
                <w:color w:val="auto"/>
                <w:kern w:val="21"/>
                <w:sz w:val="21"/>
                <w:szCs w:val="21"/>
              </w:rPr>
              <w:t>③</w:t>
            </w:r>
            <w:r>
              <w:rPr>
                <w:rFonts w:ascii="Times New Roman" w:hAnsi="Times New Roman" w:eastAsia="宋体" w:cs="Times New Roman"/>
                <w:snapToGrid w:val="0"/>
                <w:color w:val="auto"/>
                <w:kern w:val="21"/>
                <w:sz w:val="21"/>
                <w:szCs w:val="21"/>
              </w:rPr>
              <w:fldChar w:fldCharType="end"/>
            </w:r>
          </w:p>
        </w:tc>
        <w:tc>
          <w:tcPr>
            <w:tcW w:w="771" w:type="pct"/>
            <w:tcMar>
              <w:left w:w="28" w:type="dxa"/>
              <w:right w:w="28" w:type="dxa"/>
            </w:tcMar>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r>
              <w:rPr>
                <w:rFonts w:ascii="Times New Roman" w:hAnsi="Times New Roman" w:eastAsia="宋体" w:cs="Times New Roman"/>
                <w:snapToGrid w:val="0"/>
                <w:color w:val="auto"/>
                <w:kern w:val="21"/>
                <w:sz w:val="21"/>
                <w:szCs w:val="21"/>
              </w:rPr>
              <w:t>本项目排放量（固体废物产生量）</w:t>
            </w:r>
            <w:r>
              <w:rPr>
                <w:rFonts w:ascii="Times New Roman" w:hAnsi="Times New Roman" w:eastAsia="宋体" w:cs="Times New Roman"/>
                <w:snapToGrid w:val="0"/>
                <w:color w:val="auto"/>
                <w:kern w:val="21"/>
                <w:sz w:val="21"/>
                <w:szCs w:val="21"/>
              </w:rPr>
              <w:fldChar w:fldCharType="begin"/>
            </w:r>
            <w:r>
              <w:rPr>
                <w:rFonts w:ascii="Times New Roman" w:hAnsi="Times New Roman" w:eastAsia="宋体" w:cs="Times New Roman"/>
                <w:snapToGrid w:val="0"/>
                <w:color w:val="auto"/>
                <w:kern w:val="21"/>
                <w:sz w:val="21"/>
                <w:szCs w:val="21"/>
              </w:rPr>
              <w:instrText xml:space="preserve"> = 4 \* GB3 \* MERGEFORMAT </w:instrText>
            </w:r>
            <w:r>
              <w:rPr>
                <w:rFonts w:ascii="Times New Roman" w:hAnsi="Times New Roman" w:eastAsia="宋体" w:cs="Times New Roman"/>
                <w:snapToGrid w:val="0"/>
                <w:color w:val="auto"/>
                <w:kern w:val="21"/>
                <w:sz w:val="21"/>
                <w:szCs w:val="21"/>
              </w:rPr>
              <w:fldChar w:fldCharType="separate"/>
            </w:r>
            <w:r>
              <w:rPr>
                <w:rFonts w:hint="eastAsia" w:ascii="Times New Roman" w:hAnsi="Times New Roman" w:eastAsia="宋体" w:cs="Times New Roman"/>
                <w:color w:val="auto"/>
                <w:kern w:val="21"/>
                <w:sz w:val="21"/>
                <w:szCs w:val="21"/>
              </w:rPr>
              <w:t>④</w:t>
            </w:r>
            <w:r>
              <w:rPr>
                <w:rFonts w:ascii="Times New Roman" w:hAnsi="Times New Roman" w:eastAsia="宋体" w:cs="Times New Roman"/>
                <w:snapToGrid w:val="0"/>
                <w:color w:val="auto"/>
                <w:kern w:val="21"/>
                <w:sz w:val="21"/>
                <w:szCs w:val="21"/>
              </w:rPr>
              <w:fldChar w:fldCharType="end"/>
            </w:r>
          </w:p>
        </w:tc>
        <w:tc>
          <w:tcPr>
            <w:tcW w:w="580" w:type="pct"/>
            <w:tcMar>
              <w:left w:w="28" w:type="dxa"/>
              <w:right w:w="28" w:type="dxa"/>
            </w:tcMar>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r>
              <w:rPr>
                <w:rFonts w:ascii="Times New Roman" w:hAnsi="Times New Roman" w:eastAsia="宋体" w:cs="Times New Roman"/>
                <w:snapToGrid w:val="0"/>
                <w:color w:val="auto"/>
                <w:kern w:val="21"/>
                <w:sz w:val="21"/>
                <w:szCs w:val="21"/>
              </w:rPr>
              <w:t>以新带老削减量（新建项目不填）</w:t>
            </w:r>
            <w:r>
              <w:rPr>
                <w:rFonts w:ascii="Times New Roman" w:hAnsi="Times New Roman" w:eastAsia="宋体" w:cs="Times New Roman"/>
                <w:snapToGrid w:val="0"/>
                <w:color w:val="auto"/>
                <w:kern w:val="21"/>
                <w:sz w:val="21"/>
                <w:szCs w:val="21"/>
              </w:rPr>
              <w:fldChar w:fldCharType="begin"/>
            </w:r>
            <w:r>
              <w:rPr>
                <w:rFonts w:ascii="Times New Roman" w:hAnsi="Times New Roman" w:eastAsia="宋体" w:cs="Times New Roman"/>
                <w:snapToGrid w:val="0"/>
                <w:color w:val="auto"/>
                <w:kern w:val="21"/>
                <w:sz w:val="21"/>
                <w:szCs w:val="21"/>
              </w:rPr>
              <w:instrText xml:space="preserve"> = 5 \* GB3 \* MERGEFORMAT </w:instrText>
            </w:r>
            <w:r>
              <w:rPr>
                <w:rFonts w:ascii="Times New Roman" w:hAnsi="Times New Roman" w:eastAsia="宋体" w:cs="Times New Roman"/>
                <w:snapToGrid w:val="0"/>
                <w:color w:val="auto"/>
                <w:kern w:val="21"/>
                <w:sz w:val="21"/>
                <w:szCs w:val="21"/>
              </w:rPr>
              <w:fldChar w:fldCharType="separate"/>
            </w:r>
            <w:r>
              <w:rPr>
                <w:rFonts w:hint="eastAsia" w:ascii="Times New Roman" w:hAnsi="Times New Roman" w:eastAsia="宋体" w:cs="Times New Roman"/>
                <w:color w:val="auto"/>
                <w:kern w:val="21"/>
                <w:sz w:val="21"/>
                <w:szCs w:val="21"/>
              </w:rPr>
              <w:t>⑤</w:t>
            </w:r>
            <w:r>
              <w:rPr>
                <w:rFonts w:ascii="Times New Roman" w:hAnsi="Times New Roman" w:eastAsia="宋体" w:cs="Times New Roman"/>
                <w:snapToGrid w:val="0"/>
                <w:color w:val="auto"/>
                <w:kern w:val="21"/>
                <w:sz w:val="21"/>
                <w:szCs w:val="21"/>
              </w:rPr>
              <w:fldChar w:fldCharType="end"/>
            </w:r>
          </w:p>
        </w:tc>
        <w:tc>
          <w:tcPr>
            <w:tcW w:w="571" w:type="pct"/>
            <w:tcMar>
              <w:left w:w="28" w:type="dxa"/>
              <w:right w:w="28" w:type="dxa"/>
            </w:tcMar>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r>
              <w:rPr>
                <w:rFonts w:ascii="Times New Roman" w:hAnsi="Times New Roman" w:eastAsia="宋体" w:cs="Times New Roman"/>
                <w:snapToGrid w:val="0"/>
                <w:color w:val="auto"/>
                <w:kern w:val="21"/>
                <w:sz w:val="21"/>
                <w:szCs w:val="21"/>
              </w:rPr>
              <w:t>本项目建成后</w:t>
            </w:r>
          </w:p>
          <w:p>
            <w:pPr>
              <w:pStyle w:val="41"/>
              <w:spacing w:beforeLines="0" w:afterLines="0" w:line="240" w:lineRule="auto"/>
              <w:rPr>
                <w:rFonts w:ascii="Times New Roman" w:hAnsi="Times New Roman" w:eastAsia="宋体" w:cs="Times New Roman"/>
                <w:snapToGrid w:val="0"/>
                <w:color w:val="auto"/>
                <w:kern w:val="21"/>
                <w:sz w:val="21"/>
                <w:szCs w:val="21"/>
              </w:rPr>
            </w:pPr>
            <w:r>
              <w:rPr>
                <w:rFonts w:ascii="Times New Roman" w:hAnsi="Times New Roman" w:eastAsia="宋体" w:cs="Times New Roman"/>
                <w:snapToGrid w:val="0"/>
                <w:color w:val="auto"/>
                <w:kern w:val="21"/>
                <w:sz w:val="21"/>
                <w:szCs w:val="21"/>
              </w:rPr>
              <w:t>全厂排放量（固体废物产生量）</w:t>
            </w:r>
            <w:r>
              <w:rPr>
                <w:rFonts w:ascii="Times New Roman" w:hAnsi="Times New Roman" w:eastAsia="宋体" w:cs="Times New Roman"/>
                <w:snapToGrid w:val="0"/>
                <w:color w:val="auto"/>
                <w:kern w:val="21"/>
                <w:sz w:val="21"/>
                <w:szCs w:val="21"/>
              </w:rPr>
              <w:fldChar w:fldCharType="begin"/>
            </w:r>
            <w:r>
              <w:rPr>
                <w:rFonts w:ascii="Times New Roman" w:hAnsi="Times New Roman" w:eastAsia="宋体" w:cs="Times New Roman"/>
                <w:snapToGrid w:val="0"/>
                <w:color w:val="auto"/>
                <w:kern w:val="21"/>
                <w:sz w:val="21"/>
                <w:szCs w:val="21"/>
              </w:rPr>
              <w:instrText xml:space="preserve"> = 6 \* GB3 \* MERGEFORMAT </w:instrText>
            </w:r>
            <w:r>
              <w:rPr>
                <w:rFonts w:ascii="Times New Roman" w:hAnsi="Times New Roman" w:eastAsia="宋体" w:cs="Times New Roman"/>
                <w:snapToGrid w:val="0"/>
                <w:color w:val="auto"/>
                <w:kern w:val="21"/>
                <w:sz w:val="21"/>
                <w:szCs w:val="21"/>
              </w:rPr>
              <w:fldChar w:fldCharType="separate"/>
            </w:r>
            <w:r>
              <w:rPr>
                <w:rFonts w:hint="eastAsia" w:ascii="Times New Roman" w:hAnsi="Times New Roman" w:eastAsia="宋体" w:cs="Times New Roman"/>
                <w:color w:val="auto"/>
                <w:kern w:val="21"/>
                <w:sz w:val="21"/>
                <w:szCs w:val="21"/>
              </w:rPr>
              <w:t>⑥</w:t>
            </w:r>
            <w:r>
              <w:rPr>
                <w:rFonts w:ascii="Times New Roman" w:hAnsi="Times New Roman" w:eastAsia="宋体" w:cs="Times New Roman"/>
                <w:snapToGrid w:val="0"/>
                <w:color w:val="auto"/>
                <w:kern w:val="21"/>
                <w:sz w:val="21"/>
                <w:szCs w:val="21"/>
              </w:rPr>
              <w:fldChar w:fldCharType="end"/>
            </w:r>
          </w:p>
        </w:tc>
        <w:tc>
          <w:tcPr>
            <w:tcW w:w="542" w:type="pct"/>
            <w:tcMar>
              <w:left w:w="28" w:type="dxa"/>
              <w:right w:w="28" w:type="dxa"/>
            </w:tcMar>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r>
              <w:rPr>
                <w:rFonts w:ascii="Times New Roman" w:hAnsi="Times New Roman" w:eastAsia="宋体" w:cs="Times New Roman"/>
                <w:snapToGrid w:val="0"/>
                <w:color w:val="auto"/>
                <w:kern w:val="21"/>
                <w:sz w:val="21"/>
                <w:szCs w:val="21"/>
              </w:rPr>
              <w:t>变化量</w:t>
            </w:r>
          </w:p>
          <w:p>
            <w:pPr>
              <w:pStyle w:val="41"/>
              <w:spacing w:beforeLines="0" w:afterLines="0" w:line="240" w:lineRule="auto"/>
              <w:rPr>
                <w:rFonts w:ascii="Times New Roman" w:hAnsi="Times New Roman" w:eastAsia="宋体" w:cs="Times New Roman"/>
                <w:snapToGrid w:val="0"/>
                <w:color w:val="auto"/>
                <w:kern w:val="21"/>
                <w:sz w:val="21"/>
                <w:szCs w:val="21"/>
              </w:rPr>
            </w:pPr>
            <w:r>
              <w:rPr>
                <w:rFonts w:ascii="Times New Roman" w:hAnsi="Times New Roman" w:eastAsia="宋体" w:cs="Times New Roman"/>
                <w:snapToGrid w:val="0"/>
                <w:color w:val="auto"/>
                <w:kern w:val="21"/>
                <w:sz w:val="21"/>
                <w:szCs w:val="21"/>
              </w:rPr>
              <w:fldChar w:fldCharType="begin"/>
            </w:r>
            <w:r>
              <w:rPr>
                <w:rFonts w:ascii="Times New Roman" w:hAnsi="Times New Roman" w:eastAsia="宋体" w:cs="Times New Roman"/>
                <w:snapToGrid w:val="0"/>
                <w:color w:val="auto"/>
                <w:kern w:val="21"/>
                <w:sz w:val="21"/>
                <w:szCs w:val="21"/>
              </w:rPr>
              <w:instrText xml:space="preserve"> = 7 \* GB3 \* MERGEFORMAT </w:instrText>
            </w:r>
            <w:r>
              <w:rPr>
                <w:rFonts w:ascii="Times New Roman" w:hAnsi="Times New Roman" w:eastAsia="宋体" w:cs="Times New Roman"/>
                <w:snapToGrid w:val="0"/>
                <w:color w:val="auto"/>
                <w:kern w:val="21"/>
                <w:sz w:val="21"/>
                <w:szCs w:val="21"/>
              </w:rPr>
              <w:fldChar w:fldCharType="separate"/>
            </w:r>
            <w:r>
              <w:rPr>
                <w:rFonts w:hint="eastAsia" w:ascii="Times New Roman" w:hAnsi="Times New Roman" w:eastAsia="宋体" w:cs="Times New Roman"/>
                <w:color w:val="auto"/>
                <w:kern w:val="21"/>
                <w:sz w:val="21"/>
                <w:szCs w:val="21"/>
              </w:rPr>
              <w:t>⑦</w:t>
            </w:r>
            <w:r>
              <w:rPr>
                <w:rFonts w:ascii="Times New Roman" w:hAnsi="Times New Roman" w:eastAsia="宋体" w:cs="Times New Roman"/>
                <w:snapToGrid w:val="0"/>
                <w:color w:val="auto"/>
                <w:kern w:val="21"/>
                <w:sz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0" w:type="pct"/>
            <w:vMerge w:val="restar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r>
              <w:rPr>
                <w:rFonts w:hint="eastAsia" w:ascii="Times New Roman" w:hAnsi="Times New Roman" w:eastAsia="宋体" w:cs="Times New Roman"/>
                <w:snapToGrid w:val="0"/>
                <w:color w:val="auto"/>
                <w:kern w:val="21"/>
                <w:sz w:val="21"/>
                <w:szCs w:val="21"/>
              </w:rPr>
              <w:t>废气</w:t>
            </w:r>
          </w:p>
        </w:tc>
        <w:tc>
          <w:tcPr>
            <w:tcW w:w="499" w:type="pct"/>
            <w:vAlign w:val="center"/>
          </w:tcPr>
          <w:p>
            <w:pPr>
              <w:pStyle w:val="41"/>
              <w:spacing w:beforeLines="0" w:afterLines="0" w:line="240" w:lineRule="auto"/>
              <w:rPr>
                <w:rFonts w:hint="default" w:ascii="Times New Roman" w:hAnsi="Times New Roman" w:eastAsia="宋体" w:cs="Times New Roman"/>
                <w:snapToGrid w:val="0"/>
                <w:color w:val="auto"/>
                <w:kern w:val="21"/>
                <w:sz w:val="21"/>
                <w:szCs w:val="21"/>
                <w:lang w:val="en-US" w:eastAsia="zh-CN"/>
              </w:rPr>
            </w:pPr>
            <w:r>
              <w:rPr>
                <w:rFonts w:hint="eastAsia" w:ascii="Times New Roman" w:cs="Times New Roman"/>
                <w:snapToGrid w:val="0"/>
                <w:color w:val="auto"/>
                <w:kern w:val="21"/>
                <w:sz w:val="21"/>
                <w:szCs w:val="21"/>
                <w:lang w:val="en-US" w:eastAsia="zh-CN"/>
              </w:rPr>
              <w:t>NH</w:t>
            </w:r>
            <w:r>
              <w:rPr>
                <w:rFonts w:hint="eastAsia" w:ascii="Times New Roman" w:cs="Times New Roman"/>
                <w:snapToGrid w:val="0"/>
                <w:color w:val="auto"/>
                <w:kern w:val="21"/>
                <w:sz w:val="21"/>
                <w:szCs w:val="21"/>
                <w:vertAlign w:val="subscript"/>
                <w:lang w:val="en-US" w:eastAsia="zh-CN"/>
              </w:rPr>
              <w:t>3</w:t>
            </w:r>
          </w:p>
        </w:tc>
        <w:tc>
          <w:tcPr>
            <w:tcW w:w="603"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407"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603"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771" w:type="pct"/>
            <w:vAlign w:val="center"/>
          </w:tcPr>
          <w:p>
            <w:pPr>
              <w:pStyle w:val="41"/>
              <w:spacing w:beforeLines="0" w:afterLines="0" w:line="240" w:lineRule="auto"/>
              <w:ind w:left="200" w:leftChars="0" w:hanging="200" w:firstLineChars="0"/>
              <w:rPr>
                <w:rFonts w:ascii="Times New Roman" w:hAnsi="Times New Roman" w:eastAsia="宋体" w:cs="Times New Roman"/>
                <w:snapToGrid w:val="0"/>
                <w:color w:val="auto"/>
                <w:kern w:val="21"/>
                <w:sz w:val="21"/>
                <w:szCs w:val="21"/>
              </w:rPr>
            </w:pPr>
            <w:r>
              <w:rPr>
                <w:rFonts w:hint="eastAsia" w:ascii="Times New Roman" w:cs="Times New Roman"/>
                <w:snapToGrid w:val="0"/>
                <w:color w:val="auto"/>
                <w:kern w:val="21"/>
                <w:sz w:val="21"/>
                <w:szCs w:val="21"/>
                <w:lang w:val="en-US" w:eastAsia="zh-CN"/>
              </w:rPr>
              <w:t>0.001t</w:t>
            </w:r>
            <w:r>
              <w:rPr>
                <w:rFonts w:hint="eastAsia" w:ascii="Times New Roman" w:hAnsi="Times New Roman" w:eastAsia="宋体" w:cs="Times New Roman"/>
                <w:snapToGrid w:val="0"/>
                <w:color w:val="auto"/>
                <w:kern w:val="21"/>
                <w:sz w:val="21"/>
                <w:szCs w:val="21"/>
              </w:rPr>
              <w:t>/a</w:t>
            </w:r>
          </w:p>
        </w:tc>
        <w:tc>
          <w:tcPr>
            <w:tcW w:w="580"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571" w:type="pct"/>
            <w:vAlign w:val="center"/>
          </w:tcPr>
          <w:p>
            <w:pPr>
              <w:pStyle w:val="41"/>
              <w:spacing w:beforeLines="0" w:afterLines="0" w:line="240" w:lineRule="auto"/>
              <w:ind w:left="200" w:leftChars="0" w:hanging="200" w:firstLineChars="0"/>
              <w:rPr>
                <w:rFonts w:ascii="Times New Roman" w:hAnsi="Times New Roman" w:eastAsia="宋体" w:cs="Times New Roman"/>
                <w:snapToGrid w:val="0"/>
                <w:color w:val="auto"/>
                <w:kern w:val="21"/>
                <w:sz w:val="21"/>
                <w:szCs w:val="21"/>
              </w:rPr>
            </w:pPr>
            <w:r>
              <w:rPr>
                <w:rFonts w:hint="eastAsia" w:ascii="Times New Roman" w:cs="Times New Roman"/>
                <w:snapToGrid w:val="0"/>
                <w:color w:val="auto"/>
                <w:kern w:val="21"/>
                <w:sz w:val="21"/>
                <w:szCs w:val="21"/>
                <w:lang w:val="en-US" w:eastAsia="zh-CN"/>
              </w:rPr>
              <w:t>0.001t</w:t>
            </w:r>
            <w:r>
              <w:rPr>
                <w:rFonts w:hint="eastAsia" w:ascii="Times New Roman" w:hAnsi="Times New Roman" w:eastAsia="宋体" w:cs="Times New Roman"/>
                <w:snapToGrid w:val="0"/>
                <w:color w:val="auto"/>
                <w:kern w:val="21"/>
                <w:sz w:val="21"/>
                <w:szCs w:val="21"/>
              </w:rPr>
              <w:t>/a</w:t>
            </w:r>
          </w:p>
        </w:tc>
        <w:tc>
          <w:tcPr>
            <w:tcW w:w="542" w:type="pct"/>
            <w:vAlign w:val="center"/>
          </w:tcPr>
          <w:p>
            <w:pPr>
              <w:pStyle w:val="41"/>
              <w:spacing w:beforeLines="0" w:afterLines="0" w:line="240" w:lineRule="auto"/>
              <w:ind w:left="200" w:leftChars="0" w:hanging="200" w:firstLineChars="0"/>
              <w:rPr>
                <w:rFonts w:ascii="Times New Roman" w:hAnsi="Times New Roman" w:eastAsia="宋体" w:cs="Times New Roman"/>
                <w:snapToGrid w:val="0"/>
                <w:color w:val="auto"/>
                <w:kern w:val="21"/>
                <w:sz w:val="21"/>
                <w:szCs w:val="21"/>
              </w:rPr>
            </w:pPr>
            <w:r>
              <w:rPr>
                <w:rFonts w:hint="eastAsia" w:ascii="Times New Roman" w:cs="Times New Roman"/>
                <w:snapToGrid w:val="0"/>
                <w:color w:val="auto"/>
                <w:kern w:val="21"/>
                <w:sz w:val="21"/>
                <w:szCs w:val="21"/>
                <w:lang w:val="en-US" w:eastAsia="zh-CN"/>
              </w:rPr>
              <w:t>+0.001t</w:t>
            </w:r>
            <w:r>
              <w:rPr>
                <w:rFonts w:hint="eastAsia" w:ascii="Times New Roman" w:hAnsi="Times New Roman" w:eastAsia="宋体" w:cs="Times New Roman"/>
                <w:snapToGrid w:val="0"/>
                <w:color w:val="auto"/>
                <w:kern w:val="21"/>
                <w:sz w:val="21"/>
                <w:szCs w:val="21"/>
              </w:rPr>
              <w: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0" w:type="pct"/>
            <w:vMerge w:val="continue"/>
            <w:vAlign w:val="center"/>
          </w:tcPr>
          <w:p>
            <w:pPr>
              <w:pStyle w:val="41"/>
              <w:spacing w:beforeLines="0" w:afterLines="0" w:line="240" w:lineRule="auto"/>
              <w:rPr>
                <w:rFonts w:hint="eastAsia" w:ascii="Times New Roman" w:hAnsi="Times New Roman" w:eastAsia="宋体" w:cs="Times New Roman"/>
                <w:snapToGrid w:val="0"/>
                <w:color w:val="auto"/>
                <w:kern w:val="21"/>
                <w:sz w:val="21"/>
                <w:szCs w:val="21"/>
              </w:rPr>
            </w:pPr>
          </w:p>
        </w:tc>
        <w:tc>
          <w:tcPr>
            <w:tcW w:w="499" w:type="pct"/>
            <w:vAlign w:val="center"/>
          </w:tcPr>
          <w:p>
            <w:pPr>
              <w:pStyle w:val="41"/>
              <w:spacing w:beforeLines="0" w:afterLines="0" w:line="240" w:lineRule="auto"/>
              <w:rPr>
                <w:rFonts w:hint="default" w:ascii="Times New Roman" w:cs="Times New Roman"/>
                <w:snapToGrid w:val="0"/>
                <w:color w:val="auto"/>
                <w:kern w:val="21"/>
                <w:sz w:val="21"/>
                <w:szCs w:val="21"/>
                <w:lang w:val="en-US" w:eastAsia="zh-CN"/>
              </w:rPr>
            </w:pPr>
            <w:r>
              <w:rPr>
                <w:rFonts w:hint="eastAsia" w:ascii="Times New Roman" w:cs="Times New Roman"/>
                <w:snapToGrid w:val="0"/>
                <w:color w:val="auto"/>
                <w:kern w:val="21"/>
                <w:sz w:val="21"/>
                <w:szCs w:val="21"/>
                <w:lang w:val="en-US" w:eastAsia="zh-CN"/>
              </w:rPr>
              <w:t>H</w:t>
            </w:r>
            <w:r>
              <w:rPr>
                <w:rFonts w:hint="eastAsia" w:ascii="Times New Roman" w:cs="Times New Roman"/>
                <w:snapToGrid w:val="0"/>
                <w:color w:val="auto"/>
                <w:kern w:val="21"/>
                <w:sz w:val="21"/>
                <w:szCs w:val="21"/>
                <w:vertAlign w:val="subscript"/>
                <w:lang w:val="en-US" w:eastAsia="zh-CN"/>
              </w:rPr>
              <w:t>2</w:t>
            </w:r>
            <w:r>
              <w:rPr>
                <w:rFonts w:hint="eastAsia" w:ascii="Times New Roman" w:cs="Times New Roman"/>
                <w:snapToGrid w:val="0"/>
                <w:color w:val="auto"/>
                <w:kern w:val="21"/>
                <w:sz w:val="21"/>
                <w:szCs w:val="21"/>
                <w:lang w:val="en-US" w:eastAsia="zh-CN"/>
              </w:rPr>
              <w:t>S</w:t>
            </w:r>
          </w:p>
        </w:tc>
        <w:tc>
          <w:tcPr>
            <w:tcW w:w="603"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407"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603"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771" w:type="pct"/>
            <w:vAlign w:val="center"/>
          </w:tcPr>
          <w:p>
            <w:pPr>
              <w:pStyle w:val="41"/>
              <w:spacing w:beforeLines="0" w:afterLines="0" w:line="240" w:lineRule="auto"/>
              <w:ind w:left="200" w:leftChars="0" w:hanging="200" w:firstLineChars="0"/>
              <w:rPr>
                <w:rFonts w:hint="default" w:ascii="Times New Roman" w:hAnsi="Times New Roman" w:eastAsia="宋体" w:cs="Times New Roman"/>
                <w:snapToGrid w:val="0"/>
                <w:color w:val="auto"/>
                <w:kern w:val="21"/>
                <w:sz w:val="21"/>
                <w:szCs w:val="21"/>
                <w:lang w:val="en-US" w:eastAsia="zh-CN"/>
              </w:rPr>
            </w:pPr>
            <w:r>
              <w:rPr>
                <w:rFonts w:hint="eastAsia" w:ascii="Times New Roman" w:cs="Times New Roman"/>
                <w:snapToGrid w:val="0"/>
                <w:color w:val="auto"/>
                <w:kern w:val="21"/>
                <w:sz w:val="21"/>
                <w:szCs w:val="21"/>
                <w:lang w:val="en-US" w:eastAsia="zh-CN"/>
              </w:rPr>
              <w:t>0.00004t/a</w:t>
            </w:r>
          </w:p>
        </w:tc>
        <w:tc>
          <w:tcPr>
            <w:tcW w:w="580"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571" w:type="pct"/>
            <w:vAlign w:val="center"/>
          </w:tcPr>
          <w:p>
            <w:pPr>
              <w:pStyle w:val="41"/>
              <w:spacing w:beforeLines="0" w:afterLines="0" w:line="240" w:lineRule="auto"/>
              <w:ind w:left="200" w:leftChars="0" w:hanging="200" w:firstLineChars="0"/>
              <w:rPr>
                <w:rFonts w:hint="eastAsia" w:ascii="Times New Roman" w:hAnsi="Times New Roman" w:eastAsia="宋体" w:cs="Times New Roman"/>
                <w:snapToGrid w:val="0"/>
                <w:color w:val="auto"/>
                <w:kern w:val="21"/>
                <w:sz w:val="21"/>
                <w:szCs w:val="21"/>
                <w:lang w:val="en-US" w:eastAsia="zh-CN"/>
              </w:rPr>
            </w:pPr>
            <w:r>
              <w:rPr>
                <w:rFonts w:hint="eastAsia" w:ascii="Times New Roman" w:cs="Times New Roman"/>
                <w:snapToGrid w:val="0"/>
                <w:color w:val="auto"/>
                <w:kern w:val="21"/>
                <w:sz w:val="21"/>
                <w:szCs w:val="21"/>
                <w:lang w:val="en-US" w:eastAsia="zh-CN"/>
              </w:rPr>
              <w:t>0.00004t/a</w:t>
            </w:r>
          </w:p>
        </w:tc>
        <w:tc>
          <w:tcPr>
            <w:tcW w:w="542" w:type="pct"/>
            <w:vAlign w:val="center"/>
          </w:tcPr>
          <w:p>
            <w:pPr>
              <w:pStyle w:val="41"/>
              <w:spacing w:beforeLines="0" w:afterLines="0" w:line="240" w:lineRule="auto"/>
              <w:ind w:left="200" w:leftChars="0" w:hanging="200" w:firstLineChars="0"/>
              <w:rPr>
                <w:rFonts w:hint="eastAsia" w:ascii="Times New Roman" w:hAnsi="Times New Roman" w:eastAsia="宋体" w:cs="Times New Roman"/>
                <w:snapToGrid w:val="0"/>
                <w:color w:val="auto"/>
                <w:kern w:val="21"/>
                <w:sz w:val="21"/>
                <w:szCs w:val="21"/>
                <w:lang w:val="en-US" w:eastAsia="zh-CN"/>
              </w:rPr>
            </w:pPr>
            <w:r>
              <w:rPr>
                <w:rFonts w:hint="eastAsia" w:ascii="Times New Roman" w:cs="Times New Roman"/>
                <w:snapToGrid w:val="0"/>
                <w:color w:val="auto"/>
                <w:kern w:val="21"/>
                <w:sz w:val="21"/>
                <w:szCs w:val="21"/>
                <w:lang w:val="en-US" w:eastAsia="zh-CN"/>
              </w:rPr>
              <w:t>+0.00004t/a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0" w:type="pct"/>
            <w:vMerge w:val="restar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r>
              <w:rPr>
                <w:rFonts w:hint="eastAsia" w:ascii="Times New Roman" w:hAnsi="Times New Roman" w:eastAsia="宋体" w:cs="Times New Roman"/>
                <w:snapToGrid w:val="0"/>
                <w:color w:val="auto"/>
                <w:kern w:val="21"/>
                <w:sz w:val="21"/>
                <w:szCs w:val="21"/>
              </w:rPr>
              <w:t>废水</w:t>
            </w:r>
          </w:p>
        </w:tc>
        <w:tc>
          <w:tcPr>
            <w:tcW w:w="499" w:type="pct"/>
            <w:vAlign w:val="center"/>
          </w:tcPr>
          <w:p>
            <w:pPr>
              <w:keepNext w:val="0"/>
              <w:keepLines w:val="0"/>
              <w:pageBreakBefore w:val="0"/>
              <w:suppressLineNumbers w:val="0"/>
              <w:wordWrap/>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kern w:val="21"/>
                <w:sz w:val="21"/>
                <w:szCs w:val="21"/>
                <w:lang w:eastAsia="zh-CN"/>
              </w:rPr>
            </w:pPr>
            <w:r>
              <w:rPr>
                <w:rFonts w:hint="default" w:ascii="Times New Roman" w:hAnsi="Times New Roman" w:eastAsia="宋体" w:cs="Times New Roman"/>
                <w:b w:val="0"/>
                <w:bCs/>
                <w:color w:val="auto"/>
                <w:kern w:val="0"/>
                <w:sz w:val="21"/>
                <w:szCs w:val="21"/>
                <w:highlight w:val="none"/>
                <w:lang w:val="en-US" w:eastAsia="zh-CN" w:bidi="ar-SA"/>
              </w:rPr>
              <w:t>COD</w:t>
            </w:r>
          </w:p>
        </w:tc>
        <w:tc>
          <w:tcPr>
            <w:tcW w:w="603" w:type="pct"/>
            <w:vAlign w:val="center"/>
          </w:tcPr>
          <w:p>
            <w:pPr>
              <w:pStyle w:val="37"/>
              <w:jc w:val="center"/>
              <w:rPr>
                <w:rFonts w:ascii="Times New Roman" w:hAnsi="Times New Roman" w:eastAsia="宋体" w:cs="Times New Roman"/>
                <w:color w:val="auto"/>
                <w:kern w:val="21"/>
                <w:sz w:val="21"/>
                <w:szCs w:val="21"/>
              </w:rPr>
            </w:pPr>
          </w:p>
        </w:tc>
        <w:tc>
          <w:tcPr>
            <w:tcW w:w="407"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603"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2274" w:type="dxa"/>
            <w:vAlign w:val="center"/>
          </w:tcPr>
          <w:p>
            <w:pPr>
              <w:pStyle w:val="37"/>
              <w:jc w:val="center"/>
              <w:rPr>
                <w:rFonts w:hint="default" w:ascii="Times New Roman" w:hAnsi="Times New Roman" w:eastAsia="宋体" w:cs="Times New Roman"/>
                <w:snapToGrid w:val="0"/>
                <w:color w:val="auto"/>
                <w:kern w:val="21"/>
                <w:sz w:val="21"/>
                <w:szCs w:val="21"/>
                <w:lang w:val="en-US"/>
              </w:rPr>
            </w:pPr>
            <w:r>
              <w:rPr>
                <w:rFonts w:hint="eastAsia" w:ascii="Times New Roman" w:cs="Times New Roman"/>
                <w:b w:val="0"/>
                <w:bCs/>
                <w:color w:val="auto"/>
                <w:sz w:val="21"/>
                <w:szCs w:val="21"/>
                <w:highlight w:val="none"/>
                <w:lang w:val="en-US" w:eastAsia="zh-CN"/>
              </w:rPr>
              <w:t>1.036t/a</w:t>
            </w:r>
          </w:p>
        </w:tc>
        <w:tc>
          <w:tcPr>
            <w:tcW w:w="580"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571" w:type="pct"/>
            <w:vAlign w:val="center"/>
          </w:tcPr>
          <w:p>
            <w:pPr>
              <w:pStyle w:val="37"/>
              <w:jc w:val="center"/>
              <w:rPr>
                <w:rFonts w:ascii="Times New Roman" w:hAnsi="Times New Roman" w:eastAsia="宋体" w:cs="Times New Roman"/>
                <w:snapToGrid w:val="0"/>
                <w:color w:val="auto"/>
                <w:kern w:val="21"/>
                <w:sz w:val="21"/>
                <w:szCs w:val="21"/>
              </w:rPr>
            </w:pPr>
            <w:r>
              <w:rPr>
                <w:rFonts w:hint="eastAsia" w:ascii="Times New Roman" w:cs="Times New Roman"/>
                <w:b w:val="0"/>
                <w:bCs/>
                <w:color w:val="auto"/>
                <w:sz w:val="21"/>
                <w:szCs w:val="21"/>
                <w:highlight w:val="none"/>
                <w:lang w:val="en-US" w:eastAsia="zh-CN"/>
              </w:rPr>
              <w:t>1.036t/a</w:t>
            </w:r>
          </w:p>
        </w:tc>
        <w:tc>
          <w:tcPr>
            <w:tcW w:w="1598" w:type="dxa"/>
            <w:vAlign w:val="center"/>
          </w:tcPr>
          <w:p>
            <w:pPr>
              <w:pStyle w:val="37"/>
              <w:jc w:val="center"/>
              <w:rPr>
                <w:rFonts w:ascii="Times New Roman" w:hAnsi="Times New Roman" w:eastAsia="宋体" w:cs="Times New Roman"/>
                <w:snapToGrid w:val="0"/>
                <w:color w:val="auto"/>
                <w:kern w:val="21"/>
                <w:sz w:val="21"/>
                <w:szCs w:val="21"/>
              </w:rPr>
            </w:pPr>
            <w:r>
              <w:rPr>
                <w:rFonts w:hint="eastAsia" w:ascii="Times New Roman" w:cs="Times New Roman"/>
                <w:b w:val="0"/>
                <w:bCs/>
                <w:color w:val="auto"/>
                <w:sz w:val="21"/>
                <w:szCs w:val="21"/>
                <w:highlight w:val="none"/>
                <w:lang w:val="en-US" w:eastAsia="zh-CN"/>
              </w:rPr>
              <w:t>+1.036t/a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420" w:type="pct"/>
            <w:vMerge w:val="continue"/>
            <w:vAlign w:val="center"/>
          </w:tcPr>
          <w:p>
            <w:pPr>
              <w:pStyle w:val="41"/>
              <w:spacing w:beforeLines="0" w:afterLines="0" w:line="240" w:lineRule="auto"/>
              <w:rPr>
                <w:rFonts w:hint="eastAsia" w:ascii="Times New Roman" w:hAnsi="Times New Roman" w:eastAsia="宋体" w:cs="Times New Roman"/>
                <w:snapToGrid w:val="0"/>
                <w:color w:val="auto"/>
                <w:kern w:val="21"/>
                <w:sz w:val="21"/>
                <w:szCs w:val="21"/>
              </w:rPr>
            </w:pPr>
          </w:p>
        </w:tc>
        <w:tc>
          <w:tcPr>
            <w:tcW w:w="499" w:type="pct"/>
            <w:vAlign w:val="center"/>
          </w:tcPr>
          <w:p>
            <w:pPr>
              <w:pStyle w:val="37"/>
              <w:keepNext w:val="0"/>
              <w:keepLines w:val="0"/>
              <w:pageBreakBefore w:val="0"/>
              <w:wordWrap/>
              <w:bidi w:val="0"/>
              <w:ind w:firstLine="0" w:firstLineChars="0"/>
              <w:jc w:val="center"/>
              <w:rPr>
                <w:rFonts w:hint="eastAsia" w:ascii="Times New Roman" w:hAnsi="Times New Roman" w:eastAsia="宋体" w:cs="Times New Roman"/>
                <w:color w:val="auto"/>
                <w:kern w:val="21"/>
                <w:sz w:val="21"/>
                <w:szCs w:val="21"/>
                <w:lang w:eastAsia="zh-CN"/>
              </w:rPr>
            </w:pPr>
            <w:r>
              <w:rPr>
                <w:rFonts w:hint="default" w:ascii="Times New Roman" w:hAnsi="Times New Roman" w:eastAsia="宋体" w:cs="Times New Roman"/>
                <w:b w:val="0"/>
                <w:bCs/>
                <w:color w:val="auto"/>
                <w:kern w:val="0"/>
                <w:sz w:val="21"/>
                <w:szCs w:val="21"/>
                <w:highlight w:val="none"/>
                <w:lang w:val="en-US" w:eastAsia="zh-CN" w:bidi="ar-SA"/>
              </w:rPr>
              <w:t>BOD</w:t>
            </w:r>
            <w:r>
              <w:rPr>
                <w:rFonts w:hint="default" w:ascii="Times New Roman" w:hAnsi="Times New Roman" w:eastAsia="宋体" w:cs="Times New Roman"/>
                <w:b w:val="0"/>
                <w:bCs/>
                <w:color w:val="auto"/>
                <w:kern w:val="0"/>
                <w:sz w:val="21"/>
                <w:szCs w:val="21"/>
                <w:highlight w:val="none"/>
                <w:vertAlign w:val="subscript"/>
                <w:lang w:val="en-US" w:eastAsia="zh-CN" w:bidi="ar-SA"/>
              </w:rPr>
              <w:t>5</w:t>
            </w:r>
          </w:p>
        </w:tc>
        <w:tc>
          <w:tcPr>
            <w:tcW w:w="603" w:type="pct"/>
            <w:vAlign w:val="center"/>
          </w:tcPr>
          <w:p>
            <w:pPr>
              <w:pStyle w:val="37"/>
              <w:jc w:val="center"/>
              <w:rPr>
                <w:rFonts w:ascii="Times New Roman" w:hAnsi="Times New Roman" w:eastAsia="宋体" w:cs="Times New Roman"/>
                <w:color w:val="auto"/>
                <w:kern w:val="21"/>
                <w:sz w:val="21"/>
                <w:szCs w:val="21"/>
              </w:rPr>
            </w:pPr>
          </w:p>
        </w:tc>
        <w:tc>
          <w:tcPr>
            <w:tcW w:w="407"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603"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2274" w:type="dxa"/>
            <w:vAlign w:val="center"/>
          </w:tcPr>
          <w:p>
            <w:pPr>
              <w:pStyle w:val="37"/>
              <w:jc w:val="center"/>
              <w:rPr>
                <w:rFonts w:hint="default" w:ascii="Times New Roman" w:hAnsi="Times New Roman" w:eastAsia="宋体" w:cs="Times New Roman"/>
                <w:snapToGrid w:val="0"/>
                <w:color w:val="auto"/>
                <w:kern w:val="21"/>
                <w:sz w:val="21"/>
                <w:szCs w:val="21"/>
                <w:lang w:val="en-US" w:eastAsia="zh-CN"/>
              </w:rPr>
            </w:pPr>
            <w:r>
              <w:rPr>
                <w:rFonts w:hint="eastAsia" w:ascii="Times New Roman" w:cs="Times New Roman"/>
                <w:b w:val="0"/>
                <w:bCs/>
                <w:color w:val="auto"/>
                <w:sz w:val="21"/>
                <w:szCs w:val="21"/>
                <w:lang w:val="en-US" w:eastAsia="zh-CN"/>
              </w:rPr>
              <w:t>0.414t/a</w:t>
            </w:r>
          </w:p>
        </w:tc>
        <w:tc>
          <w:tcPr>
            <w:tcW w:w="580"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571" w:type="pct"/>
            <w:vAlign w:val="center"/>
          </w:tcPr>
          <w:p>
            <w:pPr>
              <w:pStyle w:val="37"/>
              <w:jc w:val="center"/>
              <w:rPr>
                <w:rFonts w:hint="eastAsia" w:ascii="Times New Roman" w:hAnsi="Times New Roman" w:eastAsia="宋体" w:cs="Times New Roman"/>
                <w:snapToGrid w:val="0"/>
                <w:color w:val="auto"/>
                <w:kern w:val="21"/>
                <w:sz w:val="21"/>
                <w:szCs w:val="21"/>
                <w:lang w:val="en-US" w:eastAsia="zh-CN"/>
              </w:rPr>
            </w:pPr>
            <w:r>
              <w:rPr>
                <w:rFonts w:hint="eastAsia" w:ascii="Times New Roman" w:cs="Times New Roman"/>
                <w:b w:val="0"/>
                <w:bCs/>
                <w:color w:val="auto"/>
                <w:sz w:val="21"/>
                <w:szCs w:val="21"/>
                <w:lang w:val="en-US" w:eastAsia="zh-CN"/>
              </w:rPr>
              <w:t>0.414t/a</w:t>
            </w:r>
          </w:p>
        </w:tc>
        <w:tc>
          <w:tcPr>
            <w:tcW w:w="1598" w:type="dxa"/>
            <w:vAlign w:val="center"/>
          </w:tcPr>
          <w:p>
            <w:pPr>
              <w:pStyle w:val="37"/>
              <w:jc w:val="center"/>
              <w:rPr>
                <w:rFonts w:hint="eastAsia" w:ascii="Times New Roman" w:hAnsi="Times New Roman" w:eastAsia="宋体" w:cs="Times New Roman"/>
                <w:snapToGrid w:val="0"/>
                <w:color w:val="auto"/>
                <w:kern w:val="21"/>
                <w:sz w:val="21"/>
                <w:szCs w:val="21"/>
              </w:rPr>
            </w:pPr>
            <w:r>
              <w:rPr>
                <w:rFonts w:hint="eastAsia" w:ascii="Times New Roman" w:cs="Times New Roman"/>
                <w:b w:val="0"/>
                <w:bCs/>
                <w:color w:val="auto"/>
                <w:sz w:val="21"/>
                <w:szCs w:val="21"/>
                <w:lang w:val="en-US" w:eastAsia="zh-CN"/>
              </w:rPr>
              <w:t>+0.414t/a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0" w:type="pct"/>
            <w:vMerge w:val="continue"/>
            <w:vAlign w:val="center"/>
          </w:tcPr>
          <w:p>
            <w:pPr>
              <w:pStyle w:val="41"/>
              <w:spacing w:beforeLines="0" w:afterLines="0" w:line="240" w:lineRule="auto"/>
              <w:rPr>
                <w:rFonts w:hint="eastAsia" w:ascii="Times New Roman" w:hAnsi="Times New Roman" w:eastAsia="宋体" w:cs="Times New Roman"/>
                <w:snapToGrid w:val="0"/>
                <w:color w:val="auto"/>
                <w:kern w:val="21"/>
                <w:sz w:val="21"/>
                <w:szCs w:val="21"/>
              </w:rPr>
            </w:pPr>
          </w:p>
        </w:tc>
        <w:tc>
          <w:tcPr>
            <w:tcW w:w="499" w:type="pct"/>
            <w:vAlign w:val="center"/>
          </w:tcPr>
          <w:p>
            <w:pPr>
              <w:pStyle w:val="37"/>
              <w:keepNext w:val="0"/>
              <w:keepLines w:val="0"/>
              <w:pageBreakBefore w:val="0"/>
              <w:wordWrap/>
              <w:bidi w:val="0"/>
              <w:ind w:firstLine="0" w:firstLineChars="0"/>
              <w:jc w:val="center"/>
              <w:rPr>
                <w:rFonts w:hint="eastAsia" w:ascii="Times New Roman" w:hAnsi="Times New Roman" w:eastAsia="宋体" w:cs="Times New Roman"/>
                <w:color w:val="auto"/>
                <w:kern w:val="21"/>
                <w:sz w:val="21"/>
                <w:szCs w:val="21"/>
                <w:lang w:eastAsia="zh-CN"/>
              </w:rPr>
            </w:pPr>
            <w:r>
              <w:rPr>
                <w:rFonts w:hint="default" w:ascii="Times New Roman" w:hAnsi="Times New Roman" w:eastAsia="宋体" w:cs="Times New Roman"/>
                <w:b w:val="0"/>
                <w:bCs/>
                <w:color w:val="auto"/>
                <w:kern w:val="0"/>
                <w:sz w:val="21"/>
                <w:szCs w:val="21"/>
                <w:highlight w:val="none"/>
                <w:lang w:val="en-US" w:eastAsia="zh-CN" w:bidi="ar-SA"/>
              </w:rPr>
              <w:t>SS</w:t>
            </w:r>
          </w:p>
        </w:tc>
        <w:tc>
          <w:tcPr>
            <w:tcW w:w="603" w:type="pct"/>
            <w:vAlign w:val="center"/>
          </w:tcPr>
          <w:p>
            <w:pPr>
              <w:pStyle w:val="37"/>
              <w:jc w:val="center"/>
              <w:rPr>
                <w:rFonts w:ascii="Times New Roman" w:hAnsi="Times New Roman" w:eastAsia="宋体" w:cs="Times New Roman"/>
                <w:color w:val="auto"/>
                <w:kern w:val="21"/>
                <w:sz w:val="21"/>
                <w:szCs w:val="21"/>
              </w:rPr>
            </w:pPr>
          </w:p>
        </w:tc>
        <w:tc>
          <w:tcPr>
            <w:tcW w:w="407"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603"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2274" w:type="dxa"/>
            <w:vAlign w:val="center"/>
          </w:tcPr>
          <w:p>
            <w:pPr>
              <w:pStyle w:val="37"/>
              <w:jc w:val="center"/>
              <w:rPr>
                <w:rFonts w:hint="default" w:ascii="Times New Roman" w:hAnsi="Times New Roman" w:eastAsia="宋体" w:cs="Times New Roman"/>
                <w:snapToGrid w:val="0"/>
                <w:color w:val="auto"/>
                <w:kern w:val="21"/>
                <w:sz w:val="21"/>
                <w:szCs w:val="21"/>
                <w:lang w:val="en-US" w:eastAsia="zh-CN"/>
              </w:rPr>
            </w:pPr>
            <w:r>
              <w:rPr>
                <w:rFonts w:hint="eastAsia" w:ascii="Times New Roman" w:cs="Times New Roman"/>
                <w:snapToGrid w:val="0"/>
                <w:color w:val="auto"/>
                <w:kern w:val="21"/>
                <w:sz w:val="21"/>
                <w:szCs w:val="21"/>
                <w:lang w:val="en-US" w:eastAsia="zh-CN"/>
              </w:rPr>
              <w:t>0.083t/a</w:t>
            </w:r>
          </w:p>
        </w:tc>
        <w:tc>
          <w:tcPr>
            <w:tcW w:w="580"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571" w:type="pct"/>
            <w:vAlign w:val="center"/>
          </w:tcPr>
          <w:p>
            <w:pPr>
              <w:pStyle w:val="37"/>
              <w:jc w:val="center"/>
              <w:rPr>
                <w:rFonts w:hint="eastAsia" w:ascii="Times New Roman" w:hAnsi="Times New Roman" w:eastAsia="宋体" w:cs="Times New Roman"/>
                <w:snapToGrid w:val="0"/>
                <w:color w:val="auto"/>
                <w:kern w:val="21"/>
                <w:sz w:val="21"/>
                <w:szCs w:val="21"/>
                <w:lang w:val="en-US" w:eastAsia="zh-CN"/>
              </w:rPr>
            </w:pPr>
            <w:r>
              <w:rPr>
                <w:rFonts w:hint="eastAsia" w:ascii="Times New Roman" w:cs="Times New Roman"/>
                <w:snapToGrid w:val="0"/>
                <w:color w:val="auto"/>
                <w:kern w:val="21"/>
                <w:sz w:val="21"/>
                <w:szCs w:val="21"/>
                <w:lang w:val="en-US" w:eastAsia="zh-CN"/>
              </w:rPr>
              <w:t>0.083t/a</w:t>
            </w:r>
          </w:p>
        </w:tc>
        <w:tc>
          <w:tcPr>
            <w:tcW w:w="1598" w:type="dxa"/>
            <w:vAlign w:val="center"/>
          </w:tcPr>
          <w:p>
            <w:pPr>
              <w:pStyle w:val="37"/>
              <w:jc w:val="center"/>
              <w:rPr>
                <w:rFonts w:hint="eastAsia" w:ascii="Times New Roman" w:hAnsi="Times New Roman" w:eastAsia="宋体" w:cs="Times New Roman"/>
                <w:snapToGrid w:val="0"/>
                <w:color w:val="auto"/>
                <w:kern w:val="21"/>
                <w:sz w:val="21"/>
                <w:szCs w:val="21"/>
              </w:rPr>
            </w:pPr>
            <w:r>
              <w:rPr>
                <w:rFonts w:hint="eastAsia" w:ascii="Times New Roman" w:cs="Times New Roman"/>
                <w:snapToGrid w:val="0"/>
                <w:color w:val="auto"/>
                <w:kern w:val="21"/>
                <w:sz w:val="21"/>
                <w:szCs w:val="21"/>
                <w:lang w:val="en-US" w:eastAsia="zh-CN"/>
              </w:rPr>
              <w:t>+0.083t/a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0" w:type="pct"/>
            <w:vMerge w:val="continue"/>
            <w:vAlign w:val="center"/>
          </w:tcPr>
          <w:p>
            <w:pPr>
              <w:pStyle w:val="41"/>
              <w:spacing w:beforeLines="0" w:afterLines="0" w:line="240" w:lineRule="auto"/>
              <w:rPr>
                <w:rFonts w:hint="eastAsia" w:ascii="Times New Roman" w:hAnsi="Times New Roman" w:eastAsia="宋体" w:cs="Times New Roman"/>
                <w:snapToGrid w:val="0"/>
                <w:color w:val="auto"/>
                <w:kern w:val="21"/>
                <w:sz w:val="21"/>
                <w:szCs w:val="21"/>
              </w:rPr>
            </w:pPr>
          </w:p>
        </w:tc>
        <w:tc>
          <w:tcPr>
            <w:tcW w:w="499" w:type="pct"/>
            <w:vAlign w:val="center"/>
          </w:tcPr>
          <w:p>
            <w:pPr>
              <w:pStyle w:val="37"/>
              <w:keepNext w:val="0"/>
              <w:keepLines w:val="0"/>
              <w:pageBreakBefore w:val="0"/>
              <w:wordWrap/>
              <w:bidi w:val="0"/>
              <w:ind w:firstLine="0" w:firstLineChars="0"/>
              <w:jc w:val="center"/>
              <w:rPr>
                <w:rFonts w:hint="eastAsia" w:ascii="Times New Roman" w:hAnsi="Times New Roman" w:eastAsia="宋体" w:cs="Times New Roman"/>
                <w:color w:val="auto"/>
                <w:kern w:val="21"/>
                <w:sz w:val="21"/>
                <w:szCs w:val="21"/>
                <w:lang w:eastAsia="zh-CN"/>
              </w:rPr>
            </w:pPr>
            <w:r>
              <w:rPr>
                <w:rFonts w:hint="default" w:ascii="Times New Roman" w:hAnsi="Times New Roman" w:eastAsia="宋体" w:cs="Times New Roman"/>
                <w:b w:val="0"/>
                <w:bCs/>
                <w:color w:val="auto"/>
                <w:kern w:val="0"/>
                <w:sz w:val="21"/>
                <w:szCs w:val="21"/>
                <w:highlight w:val="none"/>
                <w:lang w:val="en-US" w:eastAsia="zh-CN" w:bidi="ar-SA"/>
              </w:rPr>
              <w:t>NH</w:t>
            </w:r>
            <w:r>
              <w:rPr>
                <w:rFonts w:hint="eastAsia" w:ascii="Times New Roman" w:hAnsi="Times New Roman" w:eastAsia="宋体" w:cs="Times New Roman"/>
                <w:b w:val="0"/>
                <w:bCs/>
                <w:color w:val="auto"/>
                <w:kern w:val="0"/>
                <w:sz w:val="21"/>
                <w:szCs w:val="21"/>
                <w:highlight w:val="none"/>
                <w:vertAlign w:val="subscript"/>
                <w:lang w:val="en-US" w:eastAsia="zh-CN" w:bidi="ar-SA"/>
              </w:rPr>
              <w:t>3</w:t>
            </w:r>
            <w:r>
              <w:rPr>
                <w:rFonts w:hint="default" w:ascii="Times New Roman" w:hAnsi="Times New Roman" w:eastAsia="宋体" w:cs="Times New Roman"/>
                <w:b w:val="0"/>
                <w:bCs/>
                <w:color w:val="auto"/>
                <w:kern w:val="0"/>
                <w:sz w:val="21"/>
                <w:szCs w:val="21"/>
                <w:highlight w:val="none"/>
                <w:lang w:val="en-US" w:eastAsia="zh-CN" w:bidi="ar-SA"/>
              </w:rPr>
              <w:t>-N</w:t>
            </w:r>
          </w:p>
        </w:tc>
        <w:tc>
          <w:tcPr>
            <w:tcW w:w="603" w:type="pct"/>
            <w:vAlign w:val="center"/>
          </w:tcPr>
          <w:p>
            <w:pPr>
              <w:pStyle w:val="37"/>
              <w:jc w:val="center"/>
              <w:rPr>
                <w:rFonts w:ascii="Times New Roman" w:hAnsi="Times New Roman" w:eastAsia="宋体" w:cs="Times New Roman"/>
                <w:color w:val="auto"/>
                <w:kern w:val="21"/>
                <w:sz w:val="21"/>
                <w:szCs w:val="21"/>
              </w:rPr>
            </w:pPr>
          </w:p>
        </w:tc>
        <w:tc>
          <w:tcPr>
            <w:tcW w:w="407"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603"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2274" w:type="dxa"/>
            <w:vAlign w:val="center"/>
          </w:tcPr>
          <w:p>
            <w:pPr>
              <w:pStyle w:val="37"/>
              <w:jc w:val="center"/>
              <w:rPr>
                <w:rFonts w:hint="default" w:ascii="Times New Roman" w:hAnsi="Times New Roman" w:eastAsia="宋体" w:cs="Times New Roman"/>
                <w:snapToGrid w:val="0"/>
                <w:color w:val="auto"/>
                <w:kern w:val="21"/>
                <w:sz w:val="21"/>
                <w:szCs w:val="21"/>
                <w:lang w:val="en-US" w:eastAsia="zh-CN"/>
              </w:rPr>
            </w:pPr>
            <w:r>
              <w:rPr>
                <w:rFonts w:hint="eastAsia" w:ascii="Times New Roman" w:cs="Times New Roman"/>
                <w:b w:val="0"/>
                <w:bCs/>
                <w:color w:val="auto"/>
                <w:sz w:val="21"/>
                <w:szCs w:val="21"/>
                <w:lang w:val="en-US" w:eastAsia="zh-CN"/>
              </w:rPr>
              <w:t>0.186t/a</w:t>
            </w:r>
          </w:p>
        </w:tc>
        <w:tc>
          <w:tcPr>
            <w:tcW w:w="580"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571" w:type="pct"/>
            <w:vAlign w:val="center"/>
          </w:tcPr>
          <w:p>
            <w:pPr>
              <w:pStyle w:val="37"/>
              <w:jc w:val="center"/>
              <w:rPr>
                <w:rFonts w:hint="eastAsia" w:ascii="Times New Roman" w:hAnsi="Times New Roman" w:eastAsia="宋体" w:cs="Times New Roman"/>
                <w:snapToGrid w:val="0"/>
                <w:color w:val="auto"/>
                <w:kern w:val="21"/>
                <w:sz w:val="21"/>
                <w:szCs w:val="21"/>
                <w:lang w:val="en-US" w:eastAsia="zh-CN"/>
              </w:rPr>
            </w:pPr>
            <w:r>
              <w:rPr>
                <w:rFonts w:hint="eastAsia" w:ascii="Times New Roman" w:cs="Times New Roman"/>
                <w:b w:val="0"/>
                <w:bCs/>
                <w:color w:val="auto"/>
                <w:sz w:val="21"/>
                <w:szCs w:val="21"/>
                <w:lang w:val="en-US" w:eastAsia="zh-CN"/>
              </w:rPr>
              <w:t>0.186t/a</w:t>
            </w:r>
          </w:p>
        </w:tc>
        <w:tc>
          <w:tcPr>
            <w:tcW w:w="1598" w:type="dxa"/>
            <w:vAlign w:val="center"/>
          </w:tcPr>
          <w:p>
            <w:pPr>
              <w:pStyle w:val="37"/>
              <w:jc w:val="center"/>
              <w:rPr>
                <w:rFonts w:hint="eastAsia" w:ascii="Times New Roman" w:hAnsi="Times New Roman" w:eastAsia="宋体" w:cs="Times New Roman"/>
                <w:snapToGrid w:val="0"/>
                <w:color w:val="auto"/>
                <w:kern w:val="21"/>
                <w:sz w:val="21"/>
                <w:szCs w:val="21"/>
              </w:rPr>
            </w:pPr>
            <w:r>
              <w:rPr>
                <w:rFonts w:hint="eastAsia" w:ascii="Times New Roman" w:cs="Times New Roman"/>
                <w:b w:val="0"/>
                <w:bCs/>
                <w:color w:val="auto"/>
                <w:sz w:val="21"/>
                <w:szCs w:val="21"/>
                <w:lang w:val="en-US" w:eastAsia="zh-CN"/>
              </w:rPr>
              <w:t>+0.186t/a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0" w:type="pct"/>
            <w:vMerge w:val="continue"/>
            <w:vAlign w:val="center"/>
          </w:tcPr>
          <w:p>
            <w:pPr>
              <w:pStyle w:val="41"/>
              <w:spacing w:beforeLines="0" w:afterLines="0" w:line="240" w:lineRule="auto"/>
              <w:rPr>
                <w:rFonts w:hint="eastAsia" w:ascii="Times New Roman" w:hAnsi="Times New Roman" w:eastAsia="宋体" w:cs="Times New Roman"/>
                <w:snapToGrid w:val="0"/>
                <w:color w:val="auto"/>
                <w:kern w:val="21"/>
                <w:sz w:val="21"/>
                <w:szCs w:val="21"/>
              </w:rPr>
            </w:pPr>
          </w:p>
        </w:tc>
        <w:tc>
          <w:tcPr>
            <w:tcW w:w="499" w:type="pct"/>
            <w:vAlign w:val="center"/>
          </w:tcPr>
          <w:p>
            <w:pPr>
              <w:pStyle w:val="37"/>
              <w:keepNext w:val="0"/>
              <w:keepLines w:val="0"/>
              <w:pageBreakBefore w:val="0"/>
              <w:wordWrap/>
              <w:bidi w:val="0"/>
              <w:ind w:firstLine="0" w:firstLineChars="0"/>
              <w:jc w:val="center"/>
              <w:rPr>
                <w:rFonts w:hint="eastAsia" w:ascii="Times New Roman" w:hAnsi="Times New Roman" w:eastAsia="宋体" w:cs="Times New Roman"/>
                <w:color w:val="auto"/>
                <w:kern w:val="21"/>
                <w:sz w:val="21"/>
                <w:szCs w:val="21"/>
                <w:lang w:eastAsia="zh-CN"/>
              </w:rPr>
            </w:pPr>
            <w:r>
              <w:rPr>
                <w:rFonts w:hint="eastAsia" w:ascii="Times New Roman" w:hAnsi="Times New Roman" w:eastAsia="宋体" w:cs="Times New Roman"/>
                <w:b w:val="0"/>
                <w:bCs/>
                <w:color w:val="auto"/>
                <w:kern w:val="0"/>
                <w:sz w:val="21"/>
                <w:szCs w:val="21"/>
                <w:highlight w:val="none"/>
                <w:lang w:val="en-US" w:eastAsia="zh-CN" w:bidi="ar-SA"/>
              </w:rPr>
              <w:t>粪大肠菌群</w:t>
            </w:r>
          </w:p>
        </w:tc>
        <w:tc>
          <w:tcPr>
            <w:tcW w:w="603" w:type="pct"/>
            <w:vAlign w:val="center"/>
          </w:tcPr>
          <w:p>
            <w:pPr>
              <w:pStyle w:val="37"/>
              <w:jc w:val="center"/>
              <w:rPr>
                <w:rFonts w:ascii="Times New Roman" w:hAnsi="Times New Roman" w:eastAsia="宋体" w:cs="Times New Roman"/>
                <w:color w:val="auto"/>
                <w:kern w:val="21"/>
                <w:sz w:val="21"/>
                <w:szCs w:val="21"/>
              </w:rPr>
            </w:pPr>
          </w:p>
        </w:tc>
        <w:tc>
          <w:tcPr>
            <w:tcW w:w="407"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603"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771" w:type="pct"/>
            <w:vAlign w:val="center"/>
          </w:tcPr>
          <w:p>
            <w:pPr>
              <w:pStyle w:val="37"/>
              <w:jc w:val="center"/>
              <w:rPr>
                <w:rFonts w:hint="eastAsia" w:ascii="Times New Roman" w:hAnsi="Times New Roman" w:eastAsia="宋体" w:cs="Times New Roman"/>
                <w:snapToGrid w:val="0"/>
                <w:color w:val="auto"/>
                <w:kern w:val="21"/>
                <w:sz w:val="21"/>
                <w:szCs w:val="21"/>
                <w:lang w:val="en-US" w:eastAsia="zh-CN"/>
              </w:rPr>
            </w:pPr>
            <w:r>
              <w:rPr>
                <w:rFonts w:hint="eastAsia" w:ascii="Times New Roman" w:hAnsi="Times New Roman" w:eastAsia="宋体" w:cs="Times New Roman"/>
                <w:b w:val="0"/>
                <w:bCs/>
                <w:color w:val="auto"/>
                <w:sz w:val="21"/>
                <w:szCs w:val="21"/>
                <w:lang w:val="en-US" w:eastAsia="zh-CN"/>
              </w:rPr>
              <w:t>/</w:t>
            </w:r>
          </w:p>
        </w:tc>
        <w:tc>
          <w:tcPr>
            <w:tcW w:w="580"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571" w:type="pct"/>
            <w:vAlign w:val="center"/>
          </w:tcPr>
          <w:p>
            <w:pPr>
              <w:pStyle w:val="37"/>
              <w:jc w:val="center"/>
              <w:rPr>
                <w:rFonts w:hint="eastAsia" w:ascii="Times New Roman" w:hAnsi="Times New Roman" w:eastAsia="宋体" w:cs="Times New Roman"/>
                <w:snapToGrid w:val="0"/>
                <w:color w:val="auto"/>
                <w:kern w:val="21"/>
                <w:sz w:val="21"/>
                <w:szCs w:val="21"/>
                <w:lang w:val="en-US" w:eastAsia="zh-CN"/>
              </w:rPr>
            </w:pPr>
            <w:r>
              <w:rPr>
                <w:rFonts w:hint="eastAsia" w:ascii="Times New Roman" w:hAnsi="Times New Roman" w:eastAsia="宋体" w:cs="Times New Roman"/>
                <w:b w:val="0"/>
                <w:bCs/>
                <w:color w:val="auto"/>
                <w:sz w:val="21"/>
                <w:szCs w:val="21"/>
                <w:lang w:val="en-US" w:eastAsia="zh-CN"/>
              </w:rPr>
              <w:t>/</w:t>
            </w:r>
          </w:p>
        </w:tc>
        <w:tc>
          <w:tcPr>
            <w:tcW w:w="542" w:type="pct"/>
            <w:vAlign w:val="center"/>
          </w:tcPr>
          <w:p>
            <w:pPr>
              <w:pStyle w:val="37"/>
              <w:jc w:val="center"/>
              <w:rPr>
                <w:rFonts w:hint="eastAsia" w:ascii="Times New Roman" w:hAnsi="Times New Roman" w:eastAsia="宋体" w:cs="Times New Roman"/>
                <w:snapToGrid w:val="0"/>
                <w:color w:val="auto"/>
                <w:kern w:val="21"/>
                <w:sz w:val="21"/>
                <w:szCs w:val="21"/>
              </w:rPr>
            </w:pPr>
            <w:r>
              <w:rPr>
                <w:rFonts w:hint="eastAsia" w:ascii="Times New Roman" w:hAnsi="Times New Roman" w:eastAsia="宋体" w:cs="Times New Roman"/>
                <w:b w:val="0"/>
                <w:bCs/>
                <w:color w:val="auto"/>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0" w:type="pct"/>
            <w:vAlign w:val="center"/>
          </w:tcPr>
          <w:p>
            <w:pPr>
              <w:pStyle w:val="41"/>
              <w:spacing w:beforeLines="0" w:afterLines="0" w:line="240" w:lineRule="auto"/>
              <w:rPr>
                <w:rFonts w:hint="eastAsia" w:ascii="Times New Roman" w:hAnsi="Times New Roman" w:eastAsia="宋体" w:cs="Times New Roman"/>
                <w:snapToGrid w:val="0"/>
                <w:color w:val="auto"/>
                <w:kern w:val="21"/>
                <w:sz w:val="21"/>
                <w:szCs w:val="21"/>
                <w:lang w:eastAsia="zh-CN"/>
              </w:rPr>
            </w:pPr>
            <w:r>
              <w:rPr>
                <w:rFonts w:hint="eastAsia" w:ascii="Times New Roman" w:cs="Times New Roman"/>
                <w:snapToGrid w:val="0"/>
                <w:color w:val="auto"/>
                <w:kern w:val="21"/>
                <w:sz w:val="21"/>
                <w:szCs w:val="21"/>
                <w:lang w:eastAsia="zh-CN"/>
              </w:rPr>
              <w:t>生活垃圾</w:t>
            </w:r>
          </w:p>
        </w:tc>
        <w:tc>
          <w:tcPr>
            <w:tcW w:w="499" w:type="pct"/>
            <w:vAlign w:val="center"/>
          </w:tcPr>
          <w:p>
            <w:pPr>
              <w:pStyle w:val="39"/>
              <w:kinsoku w:val="0"/>
              <w:overflowPunct w:val="0"/>
              <w:spacing w:before="0" w:line="240" w:lineRule="auto"/>
              <w:contextualSpacing/>
              <w:rPr>
                <w:rFonts w:ascii="Times New Roman" w:hAnsi="Times New Roman" w:eastAsia="宋体" w:cs="Times New Roman"/>
                <w:snapToGrid w:val="0"/>
                <w:color w:val="auto"/>
                <w:kern w:val="21"/>
                <w:sz w:val="21"/>
                <w:szCs w:val="21"/>
              </w:rPr>
            </w:pPr>
            <w:r>
              <w:rPr>
                <w:rFonts w:ascii="Times New Roman" w:hAnsi="Times New Roman" w:eastAsia="宋体" w:cs="Times New Roman"/>
                <w:color w:val="auto"/>
                <w:spacing w:val="-1"/>
                <w:sz w:val="21"/>
                <w:szCs w:val="21"/>
              </w:rPr>
              <w:t>生活垃圾</w:t>
            </w:r>
          </w:p>
        </w:tc>
        <w:tc>
          <w:tcPr>
            <w:tcW w:w="603"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407"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603"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771" w:type="pct"/>
            <w:vAlign w:val="center"/>
          </w:tcPr>
          <w:p>
            <w:pPr>
              <w:pStyle w:val="39"/>
              <w:kinsoku w:val="0"/>
              <w:overflowPunct w:val="0"/>
              <w:spacing w:before="0" w:line="240" w:lineRule="auto"/>
              <w:contextualSpacing/>
              <w:rPr>
                <w:rFonts w:ascii="Times New Roman" w:hAnsi="Times New Roman" w:eastAsia="宋体" w:cs="Times New Roman"/>
                <w:snapToGrid w:val="0"/>
                <w:color w:val="auto"/>
                <w:kern w:val="21"/>
                <w:sz w:val="21"/>
                <w:szCs w:val="21"/>
              </w:rPr>
            </w:pPr>
            <w:r>
              <w:rPr>
                <w:rFonts w:hint="eastAsia" w:ascii="Times New Roman" w:hAnsi="Times New Roman" w:cs="Times New Roman"/>
                <w:color w:val="auto"/>
                <w:spacing w:val="-1"/>
                <w:sz w:val="21"/>
                <w:szCs w:val="21"/>
                <w:lang w:val="en-US" w:eastAsia="zh-CN"/>
              </w:rPr>
              <w:t>40.52</w:t>
            </w:r>
            <w:r>
              <w:rPr>
                <w:rFonts w:hint="eastAsia" w:ascii="Times New Roman" w:hAnsi="Times New Roman" w:eastAsia="宋体" w:cs="Times New Roman"/>
                <w:snapToGrid w:val="0"/>
                <w:color w:val="auto"/>
                <w:kern w:val="21"/>
                <w:sz w:val="21"/>
                <w:szCs w:val="21"/>
                <w:lang w:val="en-US"/>
              </w:rPr>
              <w:t>t/a</w:t>
            </w:r>
          </w:p>
        </w:tc>
        <w:tc>
          <w:tcPr>
            <w:tcW w:w="580"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571" w:type="pct"/>
            <w:vAlign w:val="center"/>
          </w:tcPr>
          <w:p>
            <w:pPr>
              <w:pStyle w:val="39"/>
              <w:kinsoku w:val="0"/>
              <w:overflowPunct w:val="0"/>
              <w:spacing w:before="0" w:line="240" w:lineRule="auto"/>
              <w:contextualSpacing/>
              <w:rPr>
                <w:rFonts w:ascii="Times New Roman" w:hAnsi="Times New Roman" w:eastAsia="宋体" w:cs="Times New Roman"/>
                <w:snapToGrid w:val="0"/>
                <w:color w:val="auto"/>
                <w:kern w:val="21"/>
                <w:sz w:val="21"/>
                <w:szCs w:val="21"/>
              </w:rPr>
            </w:pPr>
            <w:r>
              <w:rPr>
                <w:rFonts w:hint="eastAsia" w:ascii="Times New Roman" w:hAnsi="Times New Roman" w:cs="Times New Roman"/>
                <w:color w:val="auto"/>
                <w:spacing w:val="-1"/>
                <w:sz w:val="21"/>
                <w:szCs w:val="21"/>
                <w:lang w:val="en-US" w:eastAsia="zh-CN"/>
              </w:rPr>
              <w:t>40.52</w:t>
            </w:r>
            <w:r>
              <w:rPr>
                <w:rFonts w:hint="eastAsia" w:ascii="Times New Roman" w:hAnsi="Times New Roman" w:eastAsia="宋体" w:cs="Times New Roman"/>
                <w:snapToGrid w:val="0"/>
                <w:color w:val="auto"/>
                <w:kern w:val="21"/>
                <w:sz w:val="21"/>
                <w:szCs w:val="21"/>
                <w:lang w:val="en-US"/>
              </w:rPr>
              <w:t>t/a</w:t>
            </w:r>
          </w:p>
        </w:tc>
        <w:tc>
          <w:tcPr>
            <w:tcW w:w="542" w:type="pct"/>
            <w:vAlign w:val="center"/>
          </w:tcPr>
          <w:p>
            <w:pPr>
              <w:pStyle w:val="39"/>
              <w:kinsoku w:val="0"/>
              <w:overflowPunct w:val="0"/>
              <w:spacing w:before="0" w:line="240" w:lineRule="auto"/>
              <w:contextualSpacing/>
              <w:rPr>
                <w:rFonts w:ascii="Times New Roman" w:hAnsi="Times New Roman" w:eastAsia="宋体" w:cs="Times New Roman"/>
                <w:snapToGrid w:val="0"/>
                <w:color w:val="auto"/>
                <w:kern w:val="21"/>
                <w:sz w:val="21"/>
                <w:szCs w:val="21"/>
              </w:rPr>
            </w:pPr>
            <w:r>
              <w:rPr>
                <w:rFonts w:hint="eastAsia" w:ascii="Times New Roman" w:hAnsi="Times New Roman" w:cs="Times New Roman"/>
                <w:color w:val="auto"/>
                <w:spacing w:val="-1"/>
                <w:sz w:val="21"/>
                <w:szCs w:val="21"/>
                <w:lang w:val="en-US" w:eastAsia="zh-CN"/>
              </w:rPr>
              <w:t>+40.52</w:t>
            </w:r>
            <w:r>
              <w:rPr>
                <w:rFonts w:hint="eastAsia" w:ascii="Times New Roman" w:hAnsi="Times New Roman" w:eastAsia="宋体" w:cs="Times New Roman"/>
                <w:snapToGrid w:val="0"/>
                <w:color w:val="auto"/>
                <w:kern w:val="21"/>
                <w:sz w:val="21"/>
                <w:szCs w:val="21"/>
                <w:lang w:val="en-US"/>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0" w:type="pct"/>
            <w:vMerge w:val="restart"/>
            <w:vAlign w:val="center"/>
          </w:tcPr>
          <w:p>
            <w:pPr>
              <w:pStyle w:val="41"/>
              <w:spacing w:beforeLines="0" w:afterLines="0" w:line="240" w:lineRule="auto"/>
              <w:rPr>
                <w:rFonts w:hint="eastAsia" w:ascii="Times New Roman" w:hAnsi="Times New Roman" w:eastAsia="宋体" w:cs="Times New Roman"/>
                <w:snapToGrid w:val="0"/>
                <w:color w:val="auto"/>
                <w:kern w:val="21"/>
                <w:sz w:val="21"/>
                <w:szCs w:val="21"/>
                <w:lang w:eastAsia="zh-CN"/>
              </w:rPr>
            </w:pPr>
            <w:r>
              <w:rPr>
                <w:rFonts w:hint="eastAsia" w:ascii="Times New Roman" w:cs="Times New Roman"/>
                <w:snapToGrid w:val="0"/>
                <w:color w:val="auto"/>
                <w:kern w:val="21"/>
                <w:sz w:val="21"/>
                <w:szCs w:val="21"/>
                <w:lang w:eastAsia="zh-CN"/>
              </w:rPr>
              <w:t>危险废物</w:t>
            </w:r>
          </w:p>
        </w:tc>
        <w:tc>
          <w:tcPr>
            <w:tcW w:w="499" w:type="pct"/>
            <w:vAlign w:val="center"/>
          </w:tcPr>
          <w:p>
            <w:pPr>
              <w:pStyle w:val="39"/>
              <w:kinsoku w:val="0"/>
              <w:overflowPunct w:val="0"/>
              <w:spacing w:before="0" w:line="240" w:lineRule="auto"/>
              <w:contextualSpacing/>
              <w:rPr>
                <w:rFonts w:hint="eastAsia" w:ascii="Times New Roman" w:hAnsi="Times New Roman" w:eastAsia="宋体" w:cs="Times New Roman"/>
                <w:snapToGrid w:val="0"/>
                <w:color w:val="auto"/>
                <w:kern w:val="21"/>
                <w:sz w:val="21"/>
                <w:szCs w:val="21"/>
                <w:lang w:val="zh-CN" w:eastAsia="zh-CN" w:bidi="zh-CN"/>
              </w:rPr>
            </w:pPr>
            <w:r>
              <w:rPr>
                <w:rFonts w:hint="eastAsia" w:ascii="Times New Roman" w:hAnsi="Times New Roman" w:eastAsia="宋体" w:cs="Times New Roman"/>
                <w:color w:val="auto"/>
                <w:spacing w:val="-1"/>
                <w:sz w:val="21"/>
                <w:szCs w:val="21"/>
                <w:lang w:eastAsia="zh-CN"/>
              </w:rPr>
              <w:t>污泥</w:t>
            </w:r>
          </w:p>
        </w:tc>
        <w:tc>
          <w:tcPr>
            <w:tcW w:w="603" w:type="pct"/>
            <w:vAlign w:val="center"/>
          </w:tcPr>
          <w:p>
            <w:pPr>
              <w:pStyle w:val="41"/>
              <w:spacing w:beforeLines="0" w:afterLines="0" w:line="240" w:lineRule="auto"/>
              <w:ind w:left="200" w:leftChars="0" w:hanging="200" w:firstLineChars="0"/>
              <w:rPr>
                <w:rFonts w:ascii="Times New Roman" w:hAnsi="Times New Roman" w:eastAsia="宋体" w:cs="Times New Roman"/>
                <w:snapToGrid w:val="0"/>
                <w:color w:val="auto"/>
                <w:kern w:val="21"/>
                <w:sz w:val="21"/>
                <w:szCs w:val="21"/>
                <w:lang w:val="en-US" w:eastAsia="zh-CN" w:bidi="ar-SA"/>
              </w:rPr>
            </w:pPr>
          </w:p>
        </w:tc>
        <w:tc>
          <w:tcPr>
            <w:tcW w:w="407" w:type="pct"/>
            <w:vAlign w:val="center"/>
          </w:tcPr>
          <w:p>
            <w:pPr>
              <w:pStyle w:val="41"/>
              <w:spacing w:beforeLines="0" w:afterLines="0" w:line="240" w:lineRule="auto"/>
              <w:ind w:left="200" w:leftChars="0" w:hanging="200" w:firstLineChars="0"/>
              <w:rPr>
                <w:rFonts w:ascii="Times New Roman" w:hAnsi="Times New Roman" w:eastAsia="宋体" w:cs="Times New Roman"/>
                <w:snapToGrid w:val="0"/>
                <w:color w:val="auto"/>
                <w:kern w:val="21"/>
                <w:sz w:val="21"/>
                <w:szCs w:val="21"/>
                <w:lang w:val="en-US" w:eastAsia="zh-CN" w:bidi="ar-SA"/>
              </w:rPr>
            </w:pPr>
          </w:p>
        </w:tc>
        <w:tc>
          <w:tcPr>
            <w:tcW w:w="603" w:type="pct"/>
            <w:vAlign w:val="center"/>
          </w:tcPr>
          <w:p>
            <w:pPr>
              <w:pStyle w:val="41"/>
              <w:spacing w:beforeLines="0" w:afterLines="0" w:line="240" w:lineRule="auto"/>
              <w:ind w:left="200" w:leftChars="0" w:hanging="200" w:firstLineChars="0"/>
              <w:rPr>
                <w:rFonts w:ascii="Times New Roman" w:hAnsi="Times New Roman" w:eastAsia="宋体" w:cs="Times New Roman"/>
                <w:snapToGrid w:val="0"/>
                <w:color w:val="auto"/>
                <w:kern w:val="21"/>
                <w:sz w:val="21"/>
                <w:szCs w:val="21"/>
                <w:lang w:val="en-US" w:eastAsia="zh-CN" w:bidi="ar-SA"/>
              </w:rPr>
            </w:pPr>
          </w:p>
        </w:tc>
        <w:tc>
          <w:tcPr>
            <w:tcW w:w="771" w:type="pct"/>
            <w:vAlign w:val="center"/>
          </w:tcPr>
          <w:p>
            <w:pPr>
              <w:pStyle w:val="39"/>
              <w:kinsoku w:val="0"/>
              <w:overflowPunct w:val="0"/>
              <w:spacing w:before="0" w:line="240" w:lineRule="auto"/>
              <w:contextualSpacing/>
              <w:rPr>
                <w:rFonts w:hint="eastAsia" w:ascii="Times New Roman" w:hAnsi="Times New Roman" w:eastAsia="宋体" w:cs="Times New Roman"/>
                <w:snapToGrid w:val="0"/>
                <w:color w:val="auto"/>
                <w:kern w:val="21"/>
                <w:sz w:val="21"/>
                <w:szCs w:val="21"/>
                <w:lang w:val="en-US" w:eastAsia="zh-CN" w:bidi="zh-CN"/>
              </w:rPr>
            </w:pPr>
            <w:r>
              <w:rPr>
                <w:rFonts w:hint="eastAsia" w:ascii="Times New Roman" w:hAnsi="Times New Roman" w:cs="Times New Roman"/>
                <w:color w:val="auto"/>
                <w:spacing w:val="-1"/>
                <w:sz w:val="21"/>
                <w:szCs w:val="21"/>
                <w:lang w:val="en-US" w:eastAsia="zh-CN"/>
              </w:rPr>
              <w:t>2.42</w:t>
            </w:r>
            <w:r>
              <w:rPr>
                <w:rFonts w:hint="eastAsia" w:ascii="Times New Roman" w:hAnsi="Times New Roman" w:eastAsia="宋体" w:cs="Times New Roman"/>
                <w:snapToGrid w:val="0"/>
                <w:color w:val="auto"/>
                <w:kern w:val="21"/>
                <w:sz w:val="21"/>
                <w:szCs w:val="21"/>
                <w:lang w:val="en-US"/>
              </w:rPr>
              <w:t>t/a</w:t>
            </w:r>
          </w:p>
        </w:tc>
        <w:tc>
          <w:tcPr>
            <w:tcW w:w="580" w:type="pct"/>
            <w:vAlign w:val="center"/>
          </w:tcPr>
          <w:p>
            <w:pPr>
              <w:pStyle w:val="41"/>
              <w:spacing w:beforeLines="0" w:afterLines="0" w:line="240" w:lineRule="auto"/>
              <w:ind w:left="200" w:leftChars="0" w:hanging="200" w:firstLineChars="0"/>
              <w:rPr>
                <w:rFonts w:ascii="Times New Roman" w:hAnsi="Times New Roman" w:eastAsia="宋体" w:cs="Times New Roman"/>
                <w:snapToGrid w:val="0"/>
                <w:color w:val="auto"/>
                <w:kern w:val="21"/>
                <w:sz w:val="21"/>
                <w:szCs w:val="21"/>
                <w:lang w:val="en-US" w:eastAsia="zh-CN" w:bidi="ar-SA"/>
              </w:rPr>
            </w:pPr>
          </w:p>
        </w:tc>
        <w:tc>
          <w:tcPr>
            <w:tcW w:w="571" w:type="pct"/>
            <w:vAlign w:val="center"/>
          </w:tcPr>
          <w:p>
            <w:pPr>
              <w:pStyle w:val="39"/>
              <w:kinsoku w:val="0"/>
              <w:overflowPunct w:val="0"/>
              <w:spacing w:before="0" w:line="240" w:lineRule="auto"/>
              <w:contextualSpacing/>
              <w:rPr>
                <w:rFonts w:hint="eastAsia" w:ascii="Times New Roman" w:hAnsi="Times New Roman" w:eastAsia="宋体" w:cs="Times New Roman"/>
                <w:snapToGrid w:val="0"/>
                <w:color w:val="auto"/>
                <w:kern w:val="21"/>
                <w:sz w:val="21"/>
                <w:szCs w:val="21"/>
                <w:lang w:val="en-US" w:eastAsia="zh-CN" w:bidi="zh-CN"/>
              </w:rPr>
            </w:pPr>
            <w:r>
              <w:rPr>
                <w:rFonts w:hint="eastAsia" w:ascii="Times New Roman" w:hAnsi="Times New Roman" w:cs="Times New Roman"/>
                <w:color w:val="auto"/>
                <w:spacing w:val="-1"/>
                <w:sz w:val="21"/>
                <w:szCs w:val="21"/>
                <w:lang w:val="en-US" w:eastAsia="zh-CN"/>
              </w:rPr>
              <w:t>2.42</w:t>
            </w:r>
            <w:r>
              <w:rPr>
                <w:rFonts w:hint="eastAsia" w:ascii="Times New Roman" w:hAnsi="Times New Roman" w:eastAsia="宋体" w:cs="Times New Roman"/>
                <w:snapToGrid w:val="0"/>
                <w:color w:val="auto"/>
                <w:kern w:val="21"/>
                <w:sz w:val="21"/>
                <w:szCs w:val="21"/>
                <w:lang w:val="en-US"/>
              </w:rPr>
              <w:t>t/a</w:t>
            </w:r>
          </w:p>
        </w:tc>
        <w:tc>
          <w:tcPr>
            <w:tcW w:w="542" w:type="pct"/>
            <w:vAlign w:val="center"/>
          </w:tcPr>
          <w:p>
            <w:pPr>
              <w:pStyle w:val="39"/>
              <w:kinsoku w:val="0"/>
              <w:overflowPunct w:val="0"/>
              <w:spacing w:before="0" w:line="240" w:lineRule="auto"/>
              <w:contextualSpacing/>
              <w:rPr>
                <w:rFonts w:hint="eastAsia" w:ascii="Times New Roman" w:hAnsi="Times New Roman" w:eastAsia="宋体" w:cs="Times New Roman"/>
                <w:snapToGrid w:val="0"/>
                <w:color w:val="auto"/>
                <w:kern w:val="21"/>
                <w:sz w:val="21"/>
                <w:szCs w:val="21"/>
                <w:lang w:val="en-US" w:eastAsia="zh-CN" w:bidi="zh-CN"/>
              </w:rPr>
            </w:pPr>
            <w:r>
              <w:rPr>
                <w:rFonts w:hint="eastAsia" w:ascii="Times New Roman" w:hAnsi="Times New Roman" w:cs="Times New Roman"/>
                <w:color w:val="auto"/>
                <w:spacing w:val="-1"/>
                <w:sz w:val="21"/>
                <w:szCs w:val="21"/>
                <w:lang w:val="en-US" w:eastAsia="zh-CN"/>
              </w:rPr>
              <w:t>+2.42</w:t>
            </w:r>
            <w:r>
              <w:rPr>
                <w:rFonts w:hint="eastAsia" w:ascii="Times New Roman" w:hAnsi="Times New Roman" w:eastAsia="宋体" w:cs="Times New Roman"/>
                <w:snapToGrid w:val="0"/>
                <w:color w:val="auto"/>
                <w:kern w:val="21"/>
                <w:sz w:val="21"/>
                <w:szCs w:val="21"/>
                <w:lang w:val="en-US"/>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0" w:type="pct"/>
            <w:vMerge w:val="continue"/>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499" w:type="pct"/>
            <w:vAlign w:val="center"/>
          </w:tcPr>
          <w:p>
            <w:pPr>
              <w:pStyle w:val="39"/>
              <w:kinsoku w:val="0"/>
              <w:overflowPunct w:val="0"/>
              <w:spacing w:before="0" w:line="240" w:lineRule="auto"/>
              <w:contextualSpacing/>
              <w:rPr>
                <w:rFonts w:ascii="Times New Roman" w:hAnsi="Times New Roman" w:eastAsia="宋体" w:cs="Times New Roman"/>
                <w:snapToGrid w:val="0"/>
                <w:color w:val="auto"/>
                <w:kern w:val="21"/>
                <w:sz w:val="21"/>
                <w:szCs w:val="21"/>
              </w:rPr>
            </w:pPr>
            <w:r>
              <w:rPr>
                <w:rFonts w:hint="eastAsia" w:ascii="Times New Roman" w:hAnsi="Times New Roman" w:eastAsia="宋体" w:cs="Times New Roman"/>
                <w:color w:val="auto"/>
                <w:spacing w:val="-1"/>
                <w:sz w:val="21"/>
                <w:szCs w:val="21"/>
                <w:lang w:eastAsia="zh-CN"/>
              </w:rPr>
              <w:t>医疗废物</w:t>
            </w:r>
          </w:p>
        </w:tc>
        <w:tc>
          <w:tcPr>
            <w:tcW w:w="603"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407"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603"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771" w:type="pct"/>
            <w:vAlign w:val="center"/>
          </w:tcPr>
          <w:p>
            <w:pPr>
              <w:pStyle w:val="39"/>
              <w:kinsoku w:val="0"/>
              <w:overflowPunct w:val="0"/>
              <w:spacing w:before="0" w:line="240" w:lineRule="auto"/>
              <w:contextualSpacing/>
              <w:rPr>
                <w:rFonts w:ascii="Times New Roman" w:hAnsi="Times New Roman" w:eastAsia="宋体" w:cs="Times New Roman"/>
                <w:snapToGrid w:val="0"/>
                <w:color w:val="auto"/>
                <w:kern w:val="21"/>
                <w:sz w:val="21"/>
                <w:szCs w:val="21"/>
                <w:lang w:val="en-US"/>
              </w:rPr>
            </w:pPr>
            <w:r>
              <w:rPr>
                <w:rFonts w:hint="eastAsia" w:ascii="Times New Roman" w:hAnsi="Times New Roman" w:cs="Times New Roman"/>
                <w:color w:val="auto"/>
                <w:spacing w:val="-1"/>
                <w:sz w:val="21"/>
                <w:szCs w:val="21"/>
                <w:lang w:val="en-US" w:eastAsia="zh-CN"/>
              </w:rPr>
              <w:t>13.87</w:t>
            </w:r>
            <w:r>
              <w:rPr>
                <w:rFonts w:hint="eastAsia" w:ascii="Times New Roman" w:hAnsi="Times New Roman" w:eastAsia="宋体" w:cs="Times New Roman"/>
                <w:snapToGrid w:val="0"/>
                <w:color w:val="auto"/>
                <w:kern w:val="21"/>
                <w:sz w:val="21"/>
                <w:szCs w:val="21"/>
                <w:lang w:val="en-US"/>
              </w:rPr>
              <w:t>t/a</w:t>
            </w:r>
          </w:p>
        </w:tc>
        <w:tc>
          <w:tcPr>
            <w:tcW w:w="580" w:type="pct"/>
            <w:vAlign w:val="center"/>
          </w:tcPr>
          <w:p>
            <w:pPr>
              <w:pStyle w:val="41"/>
              <w:spacing w:beforeLines="0" w:afterLines="0" w:line="240" w:lineRule="auto"/>
              <w:rPr>
                <w:rFonts w:ascii="Times New Roman" w:hAnsi="Times New Roman" w:eastAsia="宋体" w:cs="Times New Roman"/>
                <w:snapToGrid w:val="0"/>
                <w:color w:val="auto"/>
                <w:kern w:val="21"/>
                <w:sz w:val="21"/>
                <w:szCs w:val="21"/>
              </w:rPr>
            </w:pPr>
          </w:p>
        </w:tc>
        <w:tc>
          <w:tcPr>
            <w:tcW w:w="571" w:type="pct"/>
            <w:vAlign w:val="center"/>
          </w:tcPr>
          <w:p>
            <w:pPr>
              <w:pStyle w:val="39"/>
              <w:kinsoku w:val="0"/>
              <w:overflowPunct w:val="0"/>
              <w:spacing w:before="0" w:line="240" w:lineRule="auto"/>
              <w:contextualSpacing/>
              <w:rPr>
                <w:rFonts w:ascii="Times New Roman" w:hAnsi="Times New Roman" w:eastAsia="宋体" w:cs="Times New Roman"/>
                <w:snapToGrid w:val="0"/>
                <w:color w:val="auto"/>
                <w:kern w:val="21"/>
                <w:sz w:val="21"/>
                <w:szCs w:val="21"/>
              </w:rPr>
            </w:pPr>
            <w:r>
              <w:rPr>
                <w:rFonts w:hint="eastAsia" w:ascii="Times New Roman" w:hAnsi="Times New Roman" w:cs="Times New Roman"/>
                <w:color w:val="auto"/>
                <w:spacing w:val="-1"/>
                <w:sz w:val="21"/>
                <w:szCs w:val="21"/>
                <w:lang w:val="en-US" w:eastAsia="zh-CN"/>
              </w:rPr>
              <w:t>13.87</w:t>
            </w:r>
            <w:r>
              <w:rPr>
                <w:rFonts w:hint="eastAsia" w:ascii="Times New Roman" w:hAnsi="Times New Roman" w:eastAsia="宋体" w:cs="Times New Roman"/>
                <w:snapToGrid w:val="0"/>
                <w:color w:val="auto"/>
                <w:kern w:val="21"/>
                <w:sz w:val="21"/>
                <w:szCs w:val="21"/>
                <w:lang w:val="en-US"/>
              </w:rPr>
              <w:t>t/a</w:t>
            </w:r>
          </w:p>
        </w:tc>
        <w:tc>
          <w:tcPr>
            <w:tcW w:w="542" w:type="pct"/>
            <w:vAlign w:val="center"/>
          </w:tcPr>
          <w:p>
            <w:pPr>
              <w:pStyle w:val="39"/>
              <w:kinsoku w:val="0"/>
              <w:overflowPunct w:val="0"/>
              <w:spacing w:before="0" w:line="240" w:lineRule="auto"/>
              <w:contextualSpacing/>
              <w:rPr>
                <w:rFonts w:ascii="Times New Roman" w:hAnsi="Times New Roman" w:eastAsia="宋体" w:cs="Times New Roman"/>
                <w:snapToGrid w:val="0"/>
                <w:color w:val="auto"/>
                <w:kern w:val="21"/>
                <w:sz w:val="21"/>
                <w:szCs w:val="21"/>
              </w:rPr>
            </w:pPr>
            <w:r>
              <w:rPr>
                <w:rFonts w:hint="eastAsia" w:ascii="Times New Roman" w:hAnsi="Times New Roman" w:cs="Times New Roman"/>
                <w:color w:val="auto"/>
                <w:spacing w:val="-1"/>
                <w:sz w:val="21"/>
                <w:szCs w:val="21"/>
                <w:lang w:val="en-US" w:eastAsia="zh-CN"/>
              </w:rPr>
              <w:t>+13.87</w:t>
            </w:r>
            <w:r>
              <w:rPr>
                <w:rFonts w:hint="eastAsia" w:ascii="Times New Roman" w:hAnsi="Times New Roman" w:eastAsia="宋体" w:cs="Times New Roman"/>
                <w:snapToGrid w:val="0"/>
                <w:color w:val="auto"/>
                <w:kern w:val="21"/>
                <w:sz w:val="21"/>
                <w:szCs w:val="21"/>
                <w:lang w:val="en-US"/>
              </w:rPr>
              <w:t>t/a</w:t>
            </w:r>
          </w:p>
        </w:tc>
      </w:tr>
    </w:tbl>
    <w:p>
      <w:pPr>
        <w:pStyle w:val="41"/>
        <w:spacing w:before="192" w:beforeLines="80" w:after="24"/>
        <w:jc w:val="left"/>
        <w:rPr>
          <w:rFonts w:ascii="Times New Roman"/>
          <w:color w:val="auto"/>
          <w:kern w:val="21"/>
        </w:rPr>
      </w:pPr>
      <w:r>
        <w:rPr>
          <w:rFonts w:ascii="Times New Roman"/>
          <w:snapToGrid w:val="0"/>
          <w:color w:val="auto"/>
          <w:kern w:val="21"/>
          <w:szCs w:val="21"/>
        </w:rPr>
        <w:t>注：</w:t>
      </w:r>
      <w:r>
        <w:rPr>
          <w:rFonts w:ascii="Times New Roman"/>
          <w:snapToGrid w:val="0"/>
          <w:color w:val="auto"/>
          <w:kern w:val="21"/>
          <w:szCs w:val="21"/>
        </w:rPr>
        <w:fldChar w:fldCharType="begin"/>
      </w:r>
      <w:r>
        <w:rPr>
          <w:rFonts w:ascii="Times New Roman"/>
          <w:snapToGrid w:val="0"/>
          <w:color w:val="auto"/>
          <w:kern w:val="21"/>
          <w:szCs w:val="21"/>
        </w:rPr>
        <w:instrText xml:space="preserve"> = 6 \* GB3 \* MERGEFORMAT </w:instrText>
      </w:r>
      <w:r>
        <w:rPr>
          <w:rFonts w:ascii="Times New Roman"/>
          <w:snapToGrid w:val="0"/>
          <w:color w:val="auto"/>
          <w:kern w:val="21"/>
          <w:szCs w:val="21"/>
        </w:rPr>
        <w:fldChar w:fldCharType="separate"/>
      </w:r>
      <w:r>
        <w:rPr>
          <w:rFonts w:hint="eastAsia" w:ascii="Times New Roman" w:cs="宋体"/>
          <w:color w:val="auto"/>
          <w:kern w:val="21"/>
          <w:szCs w:val="21"/>
        </w:rPr>
        <w:t>⑥</w:t>
      </w:r>
      <w:r>
        <w:rPr>
          <w:rFonts w:ascii="Times New Roman"/>
          <w:snapToGrid w:val="0"/>
          <w:color w:val="auto"/>
          <w:kern w:val="21"/>
          <w:szCs w:val="21"/>
        </w:rPr>
        <w:fldChar w:fldCharType="end"/>
      </w:r>
      <w:r>
        <w:rPr>
          <w:rFonts w:ascii="Times New Roman"/>
          <w:snapToGrid w:val="0"/>
          <w:color w:val="auto"/>
          <w:kern w:val="21"/>
          <w:szCs w:val="21"/>
        </w:rPr>
        <w:t>=</w:t>
      </w:r>
      <w:r>
        <w:rPr>
          <w:rFonts w:ascii="Times New Roman"/>
          <w:snapToGrid w:val="0"/>
          <w:color w:val="auto"/>
          <w:kern w:val="21"/>
          <w:szCs w:val="21"/>
        </w:rPr>
        <w:fldChar w:fldCharType="begin"/>
      </w:r>
      <w:r>
        <w:rPr>
          <w:rFonts w:ascii="Times New Roman"/>
          <w:snapToGrid w:val="0"/>
          <w:color w:val="auto"/>
          <w:kern w:val="21"/>
          <w:szCs w:val="21"/>
        </w:rPr>
        <w:instrText xml:space="preserve"> = 1 \* GB3 \* MERGEFORMAT </w:instrText>
      </w:r>
      <w:r>
        <w:rPr>
          <w:rFonts w:ascii="Times New Roman"/>
          <w:snapToGrid w:val="0"/>
          <w:color w:val="auto"/>
          <w:kern w:val="21"/>
          <w:szCs w:val="21"/>
        </w:rPr>
        <w:fldChar w:fldCharType="separate"/>
      </w:r>
      <w:r>
        <w:rPr>
          <w:rFonts w:hint="eastAsia" w:ascii="Times New Roman" w:cs="宋体"/>
          <w:color w:val="auto"/>
          <w:kern w:val="21"/>
          <w:szCs w:val="21"/>
        </w:rPr>
        <w:t>①</w:t>
      </w:r>
      <w:r>
        <w:rPr>
          <w:rFonts w:ascii="Times New Roman"/>
          <w:snapToGrid w:val="0"/>
          <w:color w:val="auto"/>
          <w:kern w:val="21"/>
          <w:szCs w:val="21"/>
        </w:rPr>
        <w:fldChar w:fldCharType="end"/>
      </w:r>
      <w:r>
        <w:rPr>
          <w:rFonts w:ascii="Times New Roman"/>
          <w:snapToGrid w:val="0"/>
          <w:color w:val="auto"/>
          <w:kern w:val="21"/>
          <w:szCs w:val="21"/>
        </w:rPr>
        <w:t>+</w:t>
      </w:r>
      <w:r>
        <w:rPr>
          <w:rFonts w:ascii="Times New Roman"/>
          <w:snapToGrid w:val="0"/>
          <w:color w:val="auto"/>
          <w:kern w:val="21"/>
          <w:szCs w:val="21"/>
        </w:rPr>
        <w:fldChar w:fldCharType="begin"/>
      </w:r>
      <w:r>
        <w:rPr>
          <w:rFonts w:ascii="Times New Roman"/>
          <w:snapToGrid w:val="0"/>
          <w:color w:val="auto"/>
          <w:kern w:val="21"/>
          <w:szCs w:val="21"/>
        </w:rPr>
        <w:instrText xml:space="preserve"> = 3 \* GB3 \* MERGEFORMAT </w:instrText>
      </w:r>
      <w:r>
        <w:rPr>
          <w:rFonts w:ascii="Times New Roman"/>
          <w:snapToGrid w:val="0"/>
          <w:color w:val="auto"/>
          <w:kern w:val="21"/>
          <w:szCs w:val="21"/>
        </w:rPr>
        <w:fldChar w:fldCharType="separate"/>
      </w:r>
      <w:r>
        <w:rPr>
          <w:rFonts w:hint="eastAsia" w:ascii="Times New Roman" w:cs="宋体"/>
          <w:color w:val="auto"/>
          <w:kern w:val="21"/>
          <w:szCs w:val="21"/>
        </w:rPr>
        <w:t>③</w:t>
      </w:r>
      <w:r>
        <w:rPr>
          <w:rFonts w:ascii="Times New Roman"/>
          <w:snapToGrid w:val="0"/>
          <w:color w:val="auto"/>
          <w:kern w:val="21"/>
          <w:szCs w:val="21"/>
        </w:rPr>
        <w:fldChar w:fldCharType="end"/>
      </w:r>
      <w:r>
        <w:rPr>
          <w:rFonts w:ascii="Times New Roman"/>
          <w:snapToGrid w:val="0"/>
          <w:color w:val="auto"/>
          <w:kern w:val="21"/>
          <w:szCs w:val="21"/>
        </w:rPr>
        <w:t>+</w:t>
      </w:r>
      <w:r>
        <w:rPr>
          <w:rFonts w:ascii="Times New Roman"/>
          <w:snapToGrid w:val="0"/>
          <w:color w:val="auto"/>
          <w:kern w:val="21"/>
          <w:szCs w:val="21"/>
        </w:rPr>
        <w:fldChar w:fldCharType="begin"/>
      </w:r>
      <w:r>
        <w:rPr>
          <w:rFonts w:ascii="Times New Roman"/>
          <w:snapToGrid w:val="0"/>
          <w:color w:val="auto"/>
          <w:kern w:val="21"/>
          <w:szCs w:val="21"/>
        </w:rPr>
        <w:instrText xml:space="preserve"> = 4 \* GB3 \* MERGEFORMAT </w:instrText>
      </w:r>
      <w:r>
        <w:rPr>
          <w:rFonts w:ascii="Times New Roman"/>
          <w:snapToGrid w:val="0"/>
          <w:color w:val="auto"/>
          <w:kern w:val="21"/>
          <w:szCs w:val="21"/>
        </w:rPr>
        <w:fldChar w:fldCharType="separate"/>
      </w:r>
      <w:r>
        <w:rPr>
          <w:rFonts w:hint="eastAsia" w:ascii="Times New Roman" w:cs="宋体"/>
          <w:color w:val="auto"/>
          <w:kern w:val="21"/>
          <w:szCs w:val="21"/>
        </w:rPr>
        <w:t>④</w:t>
      </w:r>
      <w:r>
        <w:rPr>
          <w:rFonts w:ascii="Times New Roman"/>
          <w:snapToGrid w:val="0"/>
          <w:color w:val="auto"/>
          <w:kern w:val="21"/>
          <w:szCs w:val="21"/>
        </w:rPr>
        <w:fldChar w:fldCharType="end"/>
      </w:r>
      <w:r>
        <w:rPr>
          <w:rFonts w:ascii="Times New Roman"/>
          <w:snapToGrid w:val="0"/>
          <w:color w:val="auto"/>
          <w:kern w:val="21"/>
          <w:szCs w:val="21"/>
        </w:rPr>
        <w:t>-</w:t>
      </w:r>
      <w:r>
        <w:rPr>
          <w:rFonts w:ascii="Times New Roman"/>
          <w:snapToGrid w:val="0"/>
          <w:color w:val="auto"/>
          <w:kern w:val="21"/>
          <w:szCs w:val="21"/>
        </w:rPr>
        <w:fldChar w:fldCharType="begin"/>
      </w:r>
      <w:r>
        <w:rPr>
          <w:rFonts w:ascii="Times New Roman"/>
          <w:snapToGrid w:val="0"/>
          <w:color w:val="auto"/>
          <w:kern w:val="21"/>
          <w:szCs w:val="21"/>
        </w:rPr>
        <w:instrText xml:space="preserve"> = 5 \* GB3 \* MERGEFORMAT </w:instrText>
      </w:r>
      <w:r>
        <w:rPr>
          <w:rFonts w:ascii="Times New Roman"/>
          <w:snapToGrid w:val="0"/>
          <w:color w:val="auto"/>
          <w:kern w:val="21"/>
          <w:szCs w:val="21"/>
        </w:rPr>
        <w:fldChar w:fldCharType="separate"/>
      </w:r>
      <w:r>
        <w:rPr>
          <w:rFonts w:hint="eastAsia" w:ascii="Times New Roman" w:cs="宋体"/>
          <w:color w:val="auto"/>
          <w:kern w:val="21"/>
          <w:szCs w:val="21"/>
        </w:rPr>
        <w:t>⑤</w:t>
      </w:r>
      <w:r>
        <w:rPr>
          <w:rFonts w:ascii="Times New Roman"/>
          <w:snapToGrid w:val="0"/>
          <w:color w:val="auto"/>
          <w:kern w:val="21"/>
          <w:szCs w:val="21"/>
        </w:rPr>
        <w:fldChar w:fldCharType="end"/>
      </w:r>
      <w:r>
        <w:rPr>
          <w:rFonts w:ascii="Times New Roman"/>
          <w:snapToGrid w:val="0"/>
          <w:color w:val="auto"/>
          <w:kern w:val="21"/>
          <w:szCs w:val="21"/>
        </w:rPr>
        <w:t>；</w:t>
      </w:r>
      <w:r>
        <w:rPr>
          <w:rFonts w:ascii="Times New Roman"/>
          <w:snapToGrid w:val="0"/>
          <w:color w:val="auto"/>
          <w:kern w:val="21"/>
          <w:szCs w:val="21"/>
        </w:rPr>
        <w:fldChar w:fldCharType="begin"/>
      </w:r>
      <w:r>
        <w:rPr>
          <w:rFonts w:ascii="Times New Roman"/>
          <w:snapToGrid w:val="0"/>
          <w:color w:val="auto"/>
          <w:kern w:val="21"/>
          <w:szCs w:val="21"/>
        </w:rPr>
        <w:instrText xml:space="preserve"> = 7 \* GB3 \* MERGEFORMAT </w:instrText>
      </w:r>
      <w:r>
        <w:rPr>
          <w:rFonts w:ascii="Times New Roman"/>
          <w:snapToGrid w:val="0"/>
          <w:color w:val="auto"/>
          <w:kern w:val="21"/>
          <w:szCs w:val="21"/>
        </w:rPr>
        <w:fldChar w:fldCharType="separate"/>
      </w:r>
      <w:r>
        <w:rPr>
          <w:rFonts w:hint="eastAsia" w:ascii="Times New Roman" w:cs="宋体"/>
          <w:color w:val="auto"/>
          <w:kern w:val="21"/>
          <w:szCs w:val="21"/>
        </w:rPr>
        <w:t>⑦</w:t>
      </w:r>
      <w:r>
        <w:rPr>
          <w:rFonts w:ascii="Times New Roman"/>
          <w:snapToGrid w:val="0"/>
          <w:color w:val="auto"/>
          <w:kern w:val="21"/>
          <w:szCs w:val="21"/>
        </w:rPr>
        <w:fldChar w:fldCharType="end"/>
      </w:r>
      <w:r>
        <w:rPr>
          <w:rFonts w:ascii="Times New Roman"/>
          <w:snapToGrid w:val="0"/>
          <w:color w:val="auto"/>
          <w:kern w:val="21"/>
          <w:szCs w:val="21"/>
        </w:rPr>
        <w:t>=</w:t>
      </w:r>
      <w:r>
        <w:rPr>
          <w:rFonts w:ascii="Times New Roman"/>
          <w:snapToGrid w:val="0"/>
          <w:color w:val="auto"/>
          <w:kern w:val="21"/>
          <w:szCs w:val="21"/>
        </w:rPr>
        <w:fldChar w:fldCharType="begin"/>
      </w:r>
      <w:r>
        <w:rPr>
          <w:rFonts w:ascii="Times New Roman"/>
          <w:snapToGrid w:val="0"/>
          <w:color w:val="auto"/>
          <w:kern w:val="21"/>
          <w:szCs w:val="21"/>
        </w:rPr>
        <w:instrText xml:space="preserve"> = 6 \* GB3 \* MERGEFORMAT </w:instrText>
      </w:r>
      <w:r>
        <w:rPr>
          <w:rFonts w:ascii="Times New Roman"/>
          <w:snapToGrid w:val="0"/>
          <w:color w:val="auto"/>
          <w:kern w:val="21"/>
          <w:szCs w:val="21"/>
        </w:rPr>
        <w:fldChar w:fldCharType="separate"/>
      </w:r>
      <w:r>
        <w:rPr>
          <w:rFonts w:hint="eastAsia" w:ascii="Times New Roman" w:cs="宋体"/>
          <w:color w:val="auto"/>
          <w:kern w:val="21"/>
          <w:szCs w:val="21"/>
        </w:rPr>
        <w:t>⑥</w:t>
      </w:r>
      <w:r>
        <w:rPr>
          <w:rFonts w:ascii="Times New Roman"/>
          <w:snapToGrid w:val="0"/>
          <w:color w:val="auto"/>
          <w:kern w:val="21"/>
          <w:szCs w:val="21"/>
        </w:rPr>
        <w:fldChar w:fldCharType="end"/>
      </w:r>
      <w:r>
        <w:rPr>
          <w:rFonts w:ascii="Times New Roman"/>
          <w:snapToGrid w:val="0"/>
          <w:color w:val="auto"/>
          <w:kern w:val="21"/>
          <w:szCs w:val="21"/>
        </w:rPr>
        <w:t>-</w:t>
      </w:r>
      <w:r>
        <w:rPr>
          <w:rFonts w:ascii="Times New Roman"/>
          <w:snapToGrid w:val="0"/>
          <w:color w:val="auto"/>
          <w:kern w:val="21"/>
          <w:szCs w:val="21"/>
        </w:rPr>
        <w:fldChar w:fldCharType="begin"/>
      </w:r>
      <w:r>
        <w:rPr>
          <w:rFonts w:ascii="Times New Roman"/>
          <w:snapToGrid w:val="0"/>
          <w:color w:val="auto"/>
          <w:kern w:val="21"/>
          <w:szCs w:val="21"/>
        </w:rPr>
        <w:instrText xml:space="preserve"> = 1 \* GB3 \* MERGEFORMAT </w:instrText>
      </w:r>
      <w:r>
        <w:rPr>
          <w:rFonts w:ascii="Times New Roman"/>
          <w:snapToGrid w:val="0"/>
          <w:color w:val="auto"/>
          <w:kern w:val="21"/>
          <w:szCs w:val="21"/>
        </w:rPr>
        <w:fldChar w:fldCharType="separate"/>
      </w:r>
      <w:r>
        <w:rPr>
          <w:rFonts w:hint="eastAsia" w:ascii="Times New Roman" w:cs="宋体"/>
          <w:color w:val="auto"/>
          <w:kern w:val="21"/>
          <w:szCs w:val="21"/>
        </w:rPr>
        <w:t>①</w:t>
      </w:r>
      <w:r>
        <w:rPr>
          <w:rFonts w:ascii="Times New Roman"/>
          <w:snapToGrid w:val="0"/>
          <w:color w:val="auto"/>
          <w:kern w:val="21"/>
          <w:szCs w:val="21"/>
        </w:rPr>
        <w:fldChar w:fldCharType="end"/>
      </w:r>
    </w:p>
    <w:p>
      <w:pPr>
        <w:rPr>
          <w:color w:val="auto"/>
        </w:rPr>
      </w:pPr>
    </w:p>
    <w:sectPr>
      <w:footerReference r:id="rId6" w:type="default"/>
      <w:pgSz w:w="16838" w:h="11906" w:orient="landscape"/>
      <w:pgMar w:top="1440" w:right="1080" w:bottom="1440" w:left="1080" w:header="851" w:footer="851"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
    <w:panose1 w:val="02010609060101010101"/>
    <w:charset w:val="86"/>
    <w:family w:val="modern"/>
    <w:pitch w:val="default"/>
    <w:sig w:usb0="800002BF" w:usb1="38CF7CFA" w:usb2="00000016" w:usb3="00000000" w:csb0="00040001" w:csb1="00000000"/>
  </w:font>
  <w:font w:name="Century Gothic">
    <w:panose1 w:val="020B0502020202020204"/>
    <w:charset w:val="00"/>
    <w:family w:val="swiss"/>
    <w:pitch w:val="default"/>
    <w:sig w:usb0="00000287" w:usb1="00000000" w:usb2="00000000" w:usb3="00000000" w:csb0="2000009F" w:csb1="DFD7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体">
    <w:altName w:val="宋体"/>
    <w:panose1 w:val="00000000000000000000"/>
    <w:charset w:val="86"/>
    <w:family w:val="roman"/>
    <w:pitch w:val="default"/>
    <w:sig w:usb0="00000000" w:usb1="00000000" w:usb2="00000010" w:usb3="00000000" w:csb0="00040000" w:csb1="00000000"/>
  </w:font>
  <w:font w:name="方正小标宋_GBK">
    <w:altName w:val="Arial Unicode MS"/>
    <w:panose1 w:val="02000000000000000000"/>
    <w:charset w:val="86"/>
    <w:family w:val="script"/>
    <w:pitch w:val="default"/>
    <w:sig w:usb0="00000000" w:usb1="00000000" w:usb2="00082016" w:usb3="00000000" w:csb0="00040001" w:csb1="00000000"/>
  </w:font>
  <w:font w:name="华文楷体">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TimesNewRomanPSMT">
    <w:altName w:val="Times New Roman"/>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framePr w:wrap="around" w:vAnchor="text" w:hAnchor="margin" w:xAlign="center" w:y="1"/>
      <w:rPr>
        <w:rStyle w:val="29"/>
      </w:rPr>
    </w:pPr>
    <w:r>
      <w:fldChar w:fldCharType="begin"/>
    </w:r>
    <w:r>
      <w:rPr>
        <w:rStyle w:val="29"/>
      </w:rPr>
      <w:instrText xml:space="preserve">PAGE  </w:instrText>
    </w:r>
    <w:r>
      <w:fldChar w:fldCharType="end"/>
    </w:r>
  </w:p>
  <w:p>
    <w:pPr>
      <w:pStyle w:val="20"/>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right="360"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pPr>
                          <w:r>
                            <w:t>—</w:t>
                          </w:r>
                          <w:r>
                            <w:fldChar w:fldCharType="begin"/>
                          </w:r>
                          <w:r>
                            <w:instrText xml:space="preserve"> PAGE  \* MERGEFORMAT </w:instrText>
                          </w:r>
                          <w:r>
                            <w:fldChar w:fldCharType="separate"/>
                          </w:r>
                          <w:r>
                            <w:t>1</w:t>
                          </w:r>
                          <w:r>
                            <w:fldChar w:fldCharType="end"/>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20"/>
                    </w:pPr>
                    <w:r>
                      <w:t>—</w:t>
                    </w:r>
                    <w:r>
                      <w:fldChar w:fldCharType="begin"/>
                    </w:r>
                    <w:r>
                      <w:instrText xml:space="preserve"> PAGE  \* MERGEFORMAT </w:instrText>
                    </w:r>
                    <w:r>
                      <w:fldChar w:fldCharType="separate"/>
                    </w:r>
                    <w:r>
                      <w:t>1</w:t>
                    </w:r>
                    <w:r>
                      <w:fldChar w:fldCharType="end"/>
                    </w:r>
                    <w: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right="360" w:firstLine="36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pPr>
                          <w:r>
                            <w:t>—</w:t>
                          </w:r>
                          <w:r>
                            <w:fldChar w:fldCharType="begin"/>
                          </w:r>
                          <w:r>
                            <w:instrText xml:space="preserve"> PAGE  \* MERGEFORMAT </w:instrText>
                          </w:r>
                          <w:r>
                            <w:fldChar w:fldCharType="separate"/>
                          </w:r>
                          <w:r>
                            <w:t>32</w:t>
                          </w:r>
                          <w:r>
                            <w:fldChar w:fldCharType="end"/>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20"/>
                    </w:pPr>
                    <w:r>
                      <w:t>—</w:t>
                    </w:r>
                    <w:r>
                      <w:fldChar w:fldCharType="begin"/>
                    </w:r>
                    <w:r>
                      <w:instrText xml:space="preserve"> PAGE  \* MERGEFORMAT </w:instrText>
                    </w:r>
                    <w:r>
                      <w:fldChar w:fldCharType="separate"/>
                    </w:r>
                    <w:r>
                      <w:t>32</w:t>
                    </w:r>
                    <w:r>
                      <w:fldChar w:fldCharType="end"/>
                    </w:r>
                    <w: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B9335"/>
    <w:multiLevelType w:val="singleLevel"/>
    <w:tmpl w:val="83FB9335"/>
    <w:lvl w:ilvl="0" w:tentative="0">
      <w:start w:val="1"/>
      <w:numFmt w:val="chineseCounting"/>
      <w:suff w:val="nothing"/>
      <w:lvlText w:val="%1、"/>
      <w:lvlJc w:val="left"/>
      <w:rPr>
        <w:rFonts w:hint="eastAsia"/>
      </w:rPr>
    </w:lvl>
  </w:abstractNum>
  <w:abstractNum w:abstractNumId="1">
    <w:nsid w:val="A9E2609C"/>
    <w:multiLevelType w:val="singleLevel"/>
    <w:tmpl w:val="A9E2609C"/>
    <w:lvl w:ilvl="0" w:tentative="0">
      <w:start w:val="1"/>
      <w:numFmt w:val="bullet"/>
      <w:pStyle w:val="18"/>
      <w:lvlText w:val=""/>
      <w:lvlJc w:val="left"/>
      <w:pPr>
        <w:tabs>
          <w:tab w:val="left" w:pos="2040"/>
        </w:tabs>
        <w:ind w:left="2040" w:hanging="360"/>
      </w:pPr>
      <w:rPr>
        <w:rFonts w:hint="default" w:ascii="Wingdings" w:hAnsi="Wingdings"/>
      </w:rPr>
    </w:lvl>
  </w:abstractNum>
  <w:abstractNum w:abstractNumId="2">
    <w:nsid w:val="B6CB50B6"/>
    <w:multiLevelType w:val="singleLevel"/>
    <w:tmpl w:val="B6CB50B6"/>
    <w:lvl w:ilvl="0" w:tentative="0">
      <w:start w:val="2"/>
      <w:numFmt w:val="decimal"/>
      <w:suff w:val="nothing"/>
      <w:lvlText w:val="（%1）"/>
      <w:lvlJc w:val="left"/>
    </w:lvl>
  </w:abstractNum>
  <w:abstractNum w:abstractNumId="3">
    <w:nsid w:val="D1F4EA1A"/>
    <w:multiLevelType w:val="singleLevel"/>
    <w:tmpl w:val="D1F4EA1A"/>
    <w:lvl w:ilvl="0" w:tentative="0">
      <w:start w:val="2"/>
      <w:numFmt w:val="decimal"/>
      <w:suff w:val="nothing"/>
      <w:lvlText w:val="%1、"/>
      <w:lvlJc w:val="left"/>
    </w:lvl>
  </w:abstractNum>
  <w:abstractNum w:abstractNumId="4">
    <w:nsid w:val="EFB31F82"/>
    <w:multiLevelType w:val="singleLevel"/>
    <w:tmpl w:val="EFB31F82"/>
    <w:lvl w:ilvl="0" w:tentative="0">
      <w:start w:val="1"/>
      <w:numFmt w:val="decimal"/>
      <w:suff w:val="nothing"/>
      <w:lvlText w:val="%1、"/>
      <w:lvlJc w:val="left"/>
    </w:lvl>
  </w:abstractNum>
  <w:abstractNum w:abstractNumId="5">
    <w:nsid w:val="2C22446F"/>
    <w:multiLevelType w:val="multilevel"/>
    <w:tmpl w:val="2C22446F"/>
    <w:lvl w:ilvl="0" w:tentative="0">
      <w:start w:val="1"/>
      <w:numFmt w:val="decimal"/>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decimal"/>
      <w:lvlText w:val="%1.%2.%3."/>
      <w:lvlJc w:val="left"/>
      <w:pPr>
        <w:ind w:left="720" w:hanging="720"/>
      </w:pPr>
      <w:rPr>
        <w:rFonts w:hint="default"/>
      </w:rPr>
    </w:lvl>
    <w:lvl w:ilvl="3" w:tentative="0">
      <w:start w:val="1"/>
      <w:numFmt w:val="decimal"/>
      <w:pStyle w:val="5"/>
      <w:lvlText w:val="%1.%2.%3.%4."/>
      <w:lvlJc w:val="left"/>
      <w:pPr>
        <w:ind w:left="1857"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6">
    <w:nsid w:val="2E610053"/>
    <w:multiLevelType w:val="multilevel"/>
    <w:tmpl w:val="2E61005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44347BAC"/>
    <w:multiLevelType w:val="singleLevel"/>
    <w:tmpl w:val="44347BAC"/>
    <w:lvl w:ilvl="0" w:tentative="0">
      <w:start w:val="2"/>
      <w:numFmt w:val="decimal"/>
      <w:suff w:val="nothing"/>
      <w:lvlText w:val="（%1）"/>
      <w:lvlJc w:val="left"/>
    </w:lvl>
  </w:abstractNum>
  <w:abstractNum w:abstractNumId="8">
    <w:nsid w:val="545D1FFE"/>
    <w:multiLevelType w:val="singleLevel"/>
    <w:tmpl w:val="545D1FFE"/>
    <w:lvl w:ilvl="0" w:tentative="0">
      <w:start w:val="1"/>
      <w:numFmt w:val="decimal"/>
      <w:suff w:val="nothing"/>
      <w:lvlText w:val="%1、"/>
      <w:lvlJc w:val="left"/>
    </w:lvl>
  </w:abstractNum>
  <w:abstractNum w:abstractNumId="9">
    <w:nsid w:val="6113EDB8"/>
    <w:multiLevelType w:val="singleLevel"/>
    <w:tmpl w:val="6113EDB8"/>
    <w:lvl w:ilvl="0" w:tentative="0">
      <w:start w:val="1"/>
      <w:numFmt w:val="decimal"/>
      <w:suff w:val="nothing"/>
      <w:lvlText w:val="（%1）"/>
      <w:lvlJc w:val="left"/>
      <w:pPr>
        <w:ind w:left="-60"/>
      </w:pPr>
    </w:lvl>
  </w:abstractNum>
  <w:num w:numId="1">
    <w:abstractNumId w:val="5"/>
  </w:num>
  <w:num w:numId="2">
    <w:abstractNumId w:val="1"/>
  </w:num>
  <w:num w:numId="3">
    <w:abstractNumId w:val="2"/>
  </w:num>
  <w:num w:numId="4">
    <w:abstractNumId w:val="4"/>
  </w:num>
  <w:num w:numId="5">
    <w:abstractNumId w:val="7"/>
  </w:num>
  <w:num w:numId="6">
    <w:abstractNumId w:val="0"/>
  </w:num>
  <w:num w:numId="7">
    <w:abstractNumId w:val="8"/>
  </w:num>
  <w:num w:numId="8">
    <w:abstractNumId w:val="9"/>
  </w:num>
  <w:num w:numId="9">
    <w:abstractNumId w:val="3"/>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3NzY3YTM0MTBiMDM4YjllYTNkNDM5YjAxZTJkNjgifQ=="/>
    <w:docVar w:name="KSO_WPS_MARK_KEY" w:val="17c0b519-3167-45ef-96fa-2bfebf26d85a"/>
  </w:docVars>
  <w:rsids>
    <w:rsidRoot w:val="00172A27"/>
    <w:rsid w:val="0000382C"/>
    <w:rsid w:val="000118A6"/>
    <w:rsid w:val="00017E89"/>
    <w:rsid w:val="00022E1E"/>
    <w:rsid w:val="000302C7"/>
    <w:rsid w:val="0004074F"/>
    <w:rsid w:val="00041BCF"/>
    <w:rsid w:val="000528B3"/>
    <w:rsid w:val="000611C9"/>
    <w:rsid w:val="00085584"/>
    <w:rsid w:val="00094559"/>
    <w:rsid w:val="00097B3D"/>
    <w:rsid w:val="00097BD8"/>
    <w:rsid w:val="000B1846"/>
    <w:rsid w:val="000B19D4"/>
    <w:rsid w:val="000C1FF9"/>
    <w:rsid w:val="000D3EBC"/>
    <w:rsid w:val="000D548F"/>
    <w:rsid w:val="000E21A4"/>
    <w:rsid w:val="000E4739"/>
    <w:rsid w:val="000F2672"/>
    <w:rsid w:val="00122F9D"/>
    <w:rsid w:val="001263A0"/>
    <w:rsid w:val="00154F84"/>
    <w:rsid w:val="001564DE"/>
    <w:rsid w:val="00163007"/>
    <w:rsid w:val="0016484E"/>
    <w:rsid w:val="00186EEF"/>
    <w:rsid w:val="001A0945"/>
    <w:rsid w:val="001A3F08"/>
    <w:rsid w:val="001B20E2"/>
    <w:rsid w:val="001B64D8"/>
    <w:rsid w:val="001D2470"/>
    <w:rsid w:val="00204BF4"/>
    <w:rsid w:val="0021582B"/>
    <w:rsid w:val="00235AA9"/>
    <w:rsid w:val="00236F4B"/>
    <w:rsid w:val="0024041A"/>
    <w:rsid w:val="00247343"/>
    <w:rsid w:val="00255258"/>
    <w:rsid w:val="0026384A"/>
    <w:rsid w:val="00267C8B"/>
    <w:rsid w:val="00276D7B"/>
    <w:rsid w:val="002772FF"/>
    <w:rsid w:val="00283D63"/>
    <w:rsid w:val="0029450C"/>
    <w:rsid w:val="00295F1D"/>
    <w:rsid w:val="002A73CC"/>
    <w:rsid w:val="002B0099"/>
    <w:rsid w:val="002B75BF"/>
    <w:rsid w:val="002C1963"/>
    <w:rsid w:val="002C1E0C"/>
    <w:rsid w:val="002C5578"/>
    <w:rsid w:val="002C730E"/>
    <w:rsid w:val="002E0A5D"/>
    <w:rsid w:val="002E6413"/>
    <w:rsid w:val="00302CF9"/>
    <w:rsid w:val="0032044A"/>
    <w:rsid w:val="003275C0"/>
    <w:rsid w:val="003322BE"/>
    <w:rsid w:val="00335416"/>
    <w:rsid w:val="00345E70"/>
    <w:rsid w:val="00347B40"/>
    <w:rsid w:val="003649BD"/>
    <w:rsid w:val="00384711"/>
    <w:rsid w:val="00385CB8"/>
    <w:rsid w:val="003B0427"/>
    <w:rsid w:val="003B643A"/>
    <w:rsid w:val="003C468C"/>
    <w:rsid w:val="003E4CCD"/>
    <w:rsid w:val="003E759F"/>
    <w:rsid w:val="003F3D02"/>
    <w:rsid w:val="004137D9"/>
    <w:rsid w:val="004251BD"/>
    <w:rsid w:val="0042689E"/>
    <w:rsid w:val="004536D5"/>
    <w:rsid w:val="00453BFC"/>
    <w:rsid w:val="00462905"/>
    <w:rsid w:val="00463431"/>
    <w:rsid w:val="00471DFC"/>
    <w:rsid w:val="00497D02"/>
    <w:rsid w:val="004C4140"/>
    <w:rsid w:val="004D7327"/>
    <w:rsid w:val="004F1BC8"/>
    <w:rsid w:val="004F3CAB"/>
    <w:rsid w:val="005319D5"/>
    <w:rsid w:val="00536A94"/>
    <w:rsid w:val="00553451"/>
    <w:rsid w:val="005550B6"/>
    <w:rsid w:val="0056431A"/>
    <w:rsid w:val="00564B72"/>
    <w:rsid w:val="00564E8E"/>
    <w:rsid w:val="005741AA"/>
    <w:rsid w:val="005772EE"/>
    <w:rsid w:val="00586FEC"/>
    <w:rsid w:val="005A5228"/>
    <w:rsid w:val="005B4C56"/>
    <w:rsid w:val="005B6A32"/>
    <w:rsid w:val="005C3264"/>
    <w:rsid w:val="005E1DF8"/>
    <w:rsid w:val="005F5F4B"/>
    <w:rsid w:val="005F65CD"/>
    <w:rsid w:val="005F7AC1"/>
    <w:rsid w:val="006147EA"/>
    <w:rsid w:val="00614C4A"/>
    <w:rsid w:val="00620A62"/>
    <w:rsid w:val="006353DB"/>
    <w:rsid w:val="0063616A"/>
    <w:rsid w:val="00656BDA"/>
    <w:rsid w:val="006602F9"/>
    <w:rsid w:val="0068533C"/>
    <w:rsid w:val="00690752"/>
    <w:rsid w:val="00690CCB"/>
    <w:rsid w:val="006925E0"/>
    <w:rsid w:val="0069744B"/>
    <w:rsid w:val="006A359D"/>
    <w:rsid w:val="006B54C8"/>
    <w:rsid w:val="006E1F2B"/>
    <w:rsid w:val="006F4A58"/>
    <w:rsid w:val="007007DA"/>
    <w:rsid w:val="0070387D"/>
    <w:rsid w:val="00726300"/>
    <w:rsid w:val="00733673"/>
    <w:rsid w:val="00744D7D"/>
    <w:rsid w:val="00747583"/>
    <w:rsid w:val="00747A31"/>
    <w:rsid w:val="00753787"/>
    <w:rsid w:val="007543EA"/>
    <w:rsid w:val="00761605"/>
    <w:rsid w:val="00762EFC"/>
    <w:rsid w:val="0076337D"/>
    <w:rsid w:val="00777EEE"/>
    <w:rsid w:val="00781998"/>
    <w:rsid w:val="00790D1D"/>
    <w:rsid w:val="007958E0"/>
    <w:rsid w:val="007A736F"/>
    <w:rsid w:val="007C5D32"/>
    <w:rsid w:val="007D31B2"/>
    <w:rsid w:val="007D6A53"/>
    <w:rsid w:val="007E62C8"/>
    <w:rsid w:val="00820391"/>
    <w:rsid w:val="00820696"/>
    <w:rsid w:val="00842E90"/>
    <w:rsid w:val="00844B6C"/>
    <w:rsid w:val="00867163"/>
    <w:rsid w:val="00870709"/>
    <w:rsid w:val="00884797"/>
    <w:rsid w:val="0089173C"/>
    <w:rsid w:val="0089189B"/>
    <w:rsid w:val="008A0D30"/>
    <w:rsid w:val="008A7656"/>
    <w:rsid w:val="008A7DE7"/>
    <w:rsid w:val="008B153C"/>
    <w:rsid w:val="008B73C2"/>
    <w:rsid w:val="008C3E8A"/>
    <w:rsid w:val="008C6C96"/>
    <w:rsid w:val="008F5761"/>
    <w:rsid w:val="00903729"/>
    <w:rsid w:val="00906786"/>
    <w:rsid w:val="0091001A"/>
    <w:rsid w:val="00926339"/>
    <w:rsid w:val="00930024"/>
    <w:rsid w:val="00936290"/>
    <w:rsid w:val="009550C9"/>
    <w:rsid w:val="0098055E"/>
    <w:rsid w:val="009805A0"/>
    <w:rsid w:val="009811F6"/>
    <w:rsid w:val="00991804"/>
    <w:rsid w:val="009B7567"/>
    <w:rsid w:val="009D1055"/>
    <w:rsid w:val="009D21D9"/>
    <w:rsid w:val="009F3537"/>
    <w:rsid w:val="009F403B"/>
    <w:rsid w:val="00A06EE4"/>
    <w:rsid w:val="00A13CC9"/>
    <w:rsid w:val="00A20663"/>
    <w:rsid w:val="00A22923"/>
    <w:rsid w:val="00A34771"/>
    <w:rsid w:val="00A42C27"/>
    <w:rsid w:val="00A63FD7"/>
    <w:rsid w:val="00A64C97"/>
    <w:rsid w:val="00A7102F"/>
    <w:rsid w:val="00A81F23"/>
    <w:rsid w:val="00A9692E"/>
    <w:rsid w:val="00AA058E"/>
    <w:rsid w:val="00AA5380"/>
    <w:rsid w:val="00AA53C8"/>
    <w:rsid w:val="00AB33EA"/>
    <w:rsid w:val="00AC32E6"/>
    <w:rsid w:val="00AC7679"/>
    <w:rsid w:val="00AE0A5C"/>
    <w:rsid w:val="00AE27BA"/>
    <w:rsid w:val="00B03FE2"/>
    <w:rsid w:val="00B1112F"/>
    <w:rsid w:val="00B27DCE"/>
    <w:rsid w:val="00B42B90"/>
    <w:rsid w:val="00B572C7"/>
    <w:rsid w:val="00B728D9"/>
    <w:rsid w:val="00B87C66"/>
    <w:rsid w:val="00B95866"/>
    <w:rsid w:val="00BA13A3"/>
    <w:rsid w:val="00BB0E5E"/>
    <w:rsid w:val="00BB3710"/>
    <w:rsid w:val="00BB75B3"/>
    <w:rsid w:val="00BB7AE0"/>
    <w:rsid w:val="00BC010F"/>
    <w:rsid w:val="00BC57CD"/>
    <w:rsid w:val="00BE4AE7"/>
    <w:rsid w:val="00BF03F1"/>
    <w:rsid w:val="00BF7C3D"/>
    <w:rsid w:val="00C01670"/>
    <w:rsid w:val="00C11913"/>
    <w:rsid w:val="00C13542"/>
    <w:rsid w:val="00C2111C"/>
    <w:rsid w:val="00C57949"/>
    <w:rsid w:val="00C6047E"/>
    <w:rsid w:val="00C648B2"/>
    <w:rsid w:val="00C821C3"/>
    <w:rsid w:val="00C8492E"/>
    <w:rsid w:val="00C8798E"/>
    <w:rsid w:val="00CB2CE6"/>
    <w:rsid w:val="00CB3701"/>
    <w:rsid w:val="00CD56C3"/>
    <w:rsid w:val="00CE3BD8"/>
    <w:rsid w:val="00CE41D2"/>
    <w:rsid w:val="00CE5C88"/>
    <w:rsid w:val="00CF068F"/>
    <w:rsid w:val="00CF08FB"/>
    <w:rsid w:val="00CF7EB6"/>
    <w:rsid w:val="00D04A15"/>
    <w:rsid w:val="00D078D3"/>
    <w:rsid w:val="00D25335"/>
    <w:rsid w:val="00D25A89"/>
    <w:rsid w:val="00D42DA8"/>
    <w:rsid w:val="00D43559"/>
    <w:rsid w:val="00D60973"/>
    <w:rsid w:val="00D67356"/>
    <w:rsid w:val="00D70540"/>
    <w:rsid w:val="00D83B20"/>
    <w:rsid w:val="00D9335D"/>
    <w:rsid w:val="00D96456"/>
    <w:rsid w:val="00DA093A"/>
    <w:rsid w:val="00DB7A49"/>
    <w:rsid w:val="00DC2E63"/>
    <w:rsid w:val="00DC7C1D"/>
    <w:rsid w:val="00DD040E"/>
    <w:rsid w:val="00DD321B"/>
    <w:rsid w:val="00DE1E5D"/>
    <w:rsid w:val="00E0369E"/>
    <w:rsid w:val="00E04893"/>
    <w:rsid w:val="00E14866"/>
    <w:rsid w:val="00E161C8"/>
    <w:rsid w:val="00E23B5B"/>
    <w:rsid w:val="00E30FAC"/>
    <w:rsid w:val="00E4109F"/>
    <w:rsid w:val="00E50AC1"/>
    <w:rsid w:val="00E532A5"/>
    <w:rsid w:val="00E67550"/>
    <w:rsid w:val="00E82A68"/>
    <w:rsid w:val="00EB2245"/>
    <w:rsid w:val="00ED33CE"/>
    <w:rsid w:val="00ED4E7E"/>
    <w:rsid w:val="00F1348F"/>
    <w:rsid w:val="00F13A5D"/>
    <w:rsid w:val="00F1703D"/>
    <w:rsid w:val="00F30232"/>
    <w:rsid w:val="00F32944"/>
    <w:rsid w:val="00F41219"/>
    <w:rsid w:val="00F41CE1"/>
    <w:rsid w:val="00F56212"/>
    <w:rsid w:val="00F57071"/>
    <w:rsid w:val="00F76864"/>
    <w:rsid w:val="00FA26E2"/>
    <w:rsid w:val="00FE1D59"/>
    <w:rsid w:val="00FE7770"/>
    <w:rsid w:val="00FF0A54"/>
    <w:rsid w:val="01373638"/>
    <w:rsid w:val="01395070"/>
    <w:rsid w:val="015772A4"/>
    <w:rsid w:val="015B42E4"/>
    <w:rsid w:val="01610EEE"/>
    <w:rsid w:val="016C2D4F"/>
    <w:rsid w:val="01722330"/>
    <w:rsid w:val="017460A8"/>
    <w:rsid w:val="017B7436"/>
    <w:rsid w:val="018F4C90"/>
    <w:rsid w:val="019840AE"/>
    <w:rsid w:val="01AF70E0"/>
    <w:rsid w:val="01B42948"/>
    <w:rsid w:val="01B446F6"/>
    <w:rsid w:val="01C56903"/>
    <w:rsid w:val="01CE57B8"/>
    <w:rsid w:val="01D85C9C"/>
    <w:rsid w:val="01DB6127"/>
    <w:rsid w:val="01DD4E99"/>
    <w:rsid w:val="01E07299"/>
    <w:rsid w:val="01FD3F16"/>
    <w:rsid w:val="020C62E0"/>
    <w:rsid w:val="02217FDE"/>
    <w:rsid w:val="02247ACE"/>
    <w:rsid w:val="022950E4"/>
    <w:rsid w:val="022E44A8"/>
    <w:rsid w:val="02316BFE"/>
    <w:rsid w:val="0241242E"/>
    <w:rsid w:val="02587777"/>
    <w:rsid w:val="025B2DC4"/>
    <w:rsid w:val="02704AC1"/>
    <w:rsid w:val="02783976"/>
    <w:rsid w:val="02787A46"/>
    <w:rsid w:val="027A5940"/>
    <w:rsid w:val="02851B06"/>
    <w:rsid w:val="028E4F47"/>
    <w:rsid w:val="02985DC6"/>
    <w:rsid w:val="02A0574B"/>
    <w:rsid w:val="02A1111E"/>
    <w:rsid w:val="02A209F3"/>
    <w:rsid w:val="02A43198"/>
    <w:rsid w:val="02AF690D"/>
    <w:rsid w:val="02B56978"/>
    <w:rsid w:val="02D037B2"/>
    <w:rsid w:val="02D768EE"/>
    <w:rsid w:val="02DF57A3"/>
    <w:rsid w:val="02E903CF"/>
    <w:rsid w:val="02EB4148"/>
    <w:rsid w:val="02F33021"/>
    <w:rsid w:val="02F4124E"/>
    <w:rsid w:val="02F93E17"/>
    <w:rsid w:val="02FA25DD"/>
    <w:rsid w:val="03015719"/>
    <w:rsid w:val="031048F7"/>
    <w:rsid w:val="032C7033"/>
    <w:rsid w:val="032D650E"/>
    <w:rsid w:val="033A0C2B"/>
    <w:rsid w:val="03455F4E"/>
    <w:rsid w:val="0352114E"/>
    <w:rsid w:val="03550A7E"/>
    <w:rsid w:val="03577A2F"/>
    <w:rsid w:val="03597303"/>
    <w:rsid w:val="035C1DAC"/>
    <w:rsid w:val="035E4919"/>
    <w:rsid w:val="03630182"/>
    <w:rsid w:val="036F00E9"/>
    <w:rsid w:val="03771E7F"/>
    <w:rsid w:val="0385459C"/>
    <w:rsid w:val="038A1BB2"/>
    <w:rsid w:val="038A3960"/>
    <w:rsid w:val="038C76D9"/>
    <w:rsid w:val="03955FF0"/>
    <w:rsid w:val="039667A9"/>
    <w:rsid w:val="03991DF6"/>
    <w:rsid w:val="03AA5DB1"/>
    <w:rsid w:val="03AC7D7B"/>
    <w:rsid w:val="03AF31FD"/>
    <w:rsid w:val="03AF33C7"/>
    <w:rsid w:val="03C81C0C"/>
    <w:rsid w:val="03DB41BC"/>
    <w:rsid w:val="03E5503B"/>
    <w:rsid w:val="03FB03BA"/>
    <w:rsid w:val="04051239"/>
    <w:rsid w:val="040556DD"/>
    <w:rsid w:val="04082AD7"/>
    <w:rsid w:val="040A4AA1"/>
    <w:rsid w:val="042F62B6"/>
    <w:rsid w:val="04446205"/>
    <w:rsid w:val="044959C1"/>
    <w:rsid w:val="046E3282"/>
    <w:rsid w:val="046E5030"/>
    <w:rsid w:val="04706FFA"/>
    <w:rsid w:val="047343F5"/>
    <w:rsid w:val="047776CF"/>
    <w:rsid w:val="047B0CEB"/>
    <w:rsid w:val="047B1719"/>
    <w:rsid w:val="048760F2"/>
    <w:rsid w:val="04A4124E"/>
    <w:rsid w:val="04A62A1C"/>
    <w:rsid w:val="04BA64C7"/>
    <w:rsid w:val="04BD7D66"/>
    <w:rsid w:val="04BE5FB8"/>
    <w:rsid w:val="04DA0918"/>
    <w:rsid w:val="04DD3F64"/>
    <w:rsid w:val="04E02E53"/>
    <w:rsid w:val="04EB67BE"/>
    <w:rsid w:val="04F01EE9"/>
    <w:rsid w:val="04F27A0F"/>
    <w:rsid w:val="04FC43EA"/>
    <w:rsid w:val="05036F0A"/>
    <w:rsid w:val="051200B1"/>
    <w:rsid w:val="051931EE"/>
    <w:rsid w:val="051F05C1"/>
    <w:rsid w:val="051F457C"/>
    <w:rsid w:val="05483AD3"/>
    <w:rsid w:val="054D10EA"/>
    <w:rsid w:val="054E09BE"/>
    <w:rsid w:val="05575AC4"/>
    <w:rsid w:val="05665D07"/>
    <w:rsid w:val="056A1C9B"/>
    <w:rsid w:val="056D7096"/>
    <w:rsid w:val="056F47F6"/>
    <w:rsid w:val="0580326D"/>
    <w:rsid w:val="05883ED0"/>
    <w:rsid w:val="05AA2098"/>
    <w:rsid w:val="05BB24F7"/>
    <w:rsid w:val="05D15877"/>
    <w:rsid w:val="05EA2DDC"/>
    <w:rsid w:val="05F164DB"/>
    <w:rsid w:val="05FF6C49"/>
    <w:rsid w:val="06020126"/>
    <w:rsid w:val="060D2627"/>
    <w:rsid w:val="060F45F1"/>
    <w:rsid w:val="06135E8F"/>
    <w:rsid w:val="062A142B"/>
    <w:rsid w:val="062C51A3"/>
    <w:rsid w:val="064E6EC7"/>
    <w:rsid w:val="06510766"/>
    <w:rsid w:val="066A7A79"/>
    <w:rsid w:val="068E5516"/>
    <w:rsid w:val="069A035E"/>
    <w:rsid w:val="06AE6F3C"/>
    <w:rsid w:val="06B17456"/>
    <w:rsid w:val="06B55198"/>
    <w:rsid w:val="06B84C89"/>
    <w:rsid w:val="06D51EB2"/>
    <w:rsid w:val="06D85201"/>
    <w:rsid w:val="06DF2215"/>
    <w:rsid w:val="06F7130D"/>
    <w:rsid w:val="06F840BA"/>
    <w:rsid w:val="06FF01C2"/>
    <w:rsid w:val="070B4DB8"/>
    <w:rsid w:val="07245E7A"/>
    <w:rsid w:val="072916E2"/>
    <w:rsid w:val="07373DFF"/>
    <w:rsid w:val="07375622"/>
    <w:rsid w:val="073D0CEA"/>
    <w:rsid w:val="073F676C"/>
    <w:rsid w:val="074402CA"/>
    <w:rsid w:val="07591FC8"/>
    <w:rsid w:val="075B5D40"/>
    <w:rsid w:val="07762B7A"/>
    <w:rsid w:val="07943000"/>
    <w:rsid w:val="079528D4"/>
    <w:rsid w:val="07D17543"/>
    <w:rsid w:val="07E21FBD"/>
    <w:rsid w:val="07F817E1"/>
    <w:rsid w:val="07FB6B2D"/>
    <w:rsid w:val="081128A2"/>
    <w:rsid w:val="08157B45"/>
    <w:rsid w:val="081E6D6D"/>
    <w:rsid w:val="08314631"/>
    <w:rsid w:val="08420CAE"/>
    <w:rsid w:val="0849203C"/>
    <w:rsid w:val="086C3477"/>
    <w:rsid w:val="086F1377"/>
    <w:rsid w:val="08760957"/>
    <w:rsid w:val="087921F6"/>
    <w:rsid w:val="087A48C3"/>
    <w:rsid w:val="087D1CE6"/>
    <w:rsid w:val="087F780C"/>
    <w:rsid w:val="088E7A4F"/>
    <w:rsid w:val="089B216C"/>
    <w:rsid w:val="08B17BE1"/>
    <w:rsid w:val="08BB45BC"/>
    <w:rsid w:val="08CB0CA3"/>
    <w:rsid w:val="08E04023"/>
    <w:rsid w:val="08E27B25"/>
    <w:rsid w:val="08E91129"/>
    <w:rsid w:val="08F85810"/>
    <w:rsid w:val="08FA1588"/>
    <w:rsid w:val="091A5787"/>
    <w:rsid w:val="091E1D32"/>
    <w:rsid w:val="091F0FEF"/>
    <w:rsid w:val="09293C1C"/>
    <w:rsid w:val="09371E95"/>
    <w:rsid w:val="093A3733"/>
    <w:rsid w:val="095011A8"/>
    <w:rsid w:val="095A2027"/>
    <w:rsid w:val="095A5B83"/>
    <w:rsid w:val="09646A02"/>
    <w:rsid w:val="096B04F1"/>
    <w:rsid w:val="096B7D90"/>
    <w:rsid w:val="09796892"/>
    <w:rsid w:val="098074E7"/>
    <w:rsid w:val="098A4A65"/>
    <w:rsid w:val="09A11A04"/>
    <w:rsid w:val="09A137B2"/>
    <w:rsid w:val="09A3577C"/>
    <w:rsid w:val="09A82D92"/>
    <w:rsid w:val="09B23C11"/>
    <w:rsid w:val="09B259BF"/>
    <w:rsid w:val="09B41737"/>
    <w:rsid w:val="09C35E1E"/>
    <w:rsid w:val="09C63218"/>
    <w:rsid w:val="09D15C87"/>
    <w:rsid w:val="09D27E0F"/>
    <w:rsid w:val="09E162A4"/>
    <w:rsid w:val="09E71B0D"/>
    <w:rsid w:val="09FE29B2"/>
    <w:rsid w:val="0A073F5D"/>
    <w:rsid w:val="0A110938"/>
    <w:rsid w:val="0A206DCD"/>
    <w:rsid w:val="0A2D332B"/>
    <w:rsid w:val="0A374116"/>
    <w:rsid w:val="0A391C3C"/>
    <w:rsid w:val="0A402FCB"/>
    <w:rsid w:val="0A4505E1"/>
    <w:rsid w:val="0A5D524B"/>
    <w:rsid w:val="0A617D3D"/>
    <w:rsid w:val="0A6F38B0"/>
    <w:rsid w:val="0A782765"/>
    <w:rsid w:val="0A79472F"/>
    <w:rsid w:val="0A874C41"/>
    <w:rsid w:val="0A876E4C"/>
    <w:rsid w:val="0A886720"/>
    <w:rsid w:val="0A9450C5"/>
    <w:rsid w:val="0A96333B"/>
    <w:rsid w:val="0AA55920"/>
    <w:rsid w:val="0AB47515"/>
    <w:rsid w:val="0AB806A6"/>
    <w:rsid w:val="0AB85257"/>
    <w:rsid w:val="0ABA0FCF"/>
    <w:rsid w:val="0ABB08A3"/>
    <w:rsid w:val="0AD32091"/>
    <w:rsid w:val="0ADB2CF4"/>
    <w:rsid w:val="0ADF4592"/>
    <w:rsid w:val="0AF50259"/>
    <w:rsid w:val="0AF92D37"/>
    <w:rsid w:val="0AFD710E"/>
    <w:rsid w:val="0B016BFE"/>
    <w:rsid w:val="0B0C10FF"/>
    <w:rsid w:val="0B0C55A3"/>
    <w:rsid w:val="0B185CF6"/>
    <w:rsid w:val="0B1D155E"/>
    <w:rsid w:val="0B3D39AE"/>
    <w:rsid w:val="0B460AB5"/>
    <w:rsid w:val="0B492353"/>
    <w:rsid w:val="0B511704"/>
    <w:rsid w:val="0B5C2086"/>
    <w:rsid w:val="0B5D046A"/>
    <w:rsid w:val="0B8909A2"/>
    <w:rsid w:val="0B957346"/>
    <w:rsid w:val="0BA26A38"/>
    <w:rsid w:val="0BB05F2E"/>
    <w:rsid w:val="0BB53545"/>
    <w:rsid w:val="0BB806BF"/>
    <w:rsid w:val="0BBD3A01"/>
    <w:rsid w:val="0BC53FB4"/>
    <w:rsid w:val="0BE1433A"/>
    <w:rsid w:val="0BE34556"/>
    <w:rsid w:val="0BEF6A57"/>
    <w:rsid w:val="0BFA53FB"/>
    <w:rsid w:val="0C05627A"/>
    <w:rsid w:val="0C162E71"/>
    <w:rsid w:val="0C1A784C"/>
    <w:rsid w:val="0C1C1DCA"/>
    <w:rsid w:val="0C252478"/>
    <w:rsid w:val="0C2801BA"/>
    <w:rsid w:val="0C360B29"/>
    <w:rsid w:val="0C450D6C"/>
    <w:rsid w:val="0C4D19CF"/>
    <w:rsid w:val="0C7B478E"/>
    <w:rsid w:val="0C7B653C"/>
    <w:rsid w:val="0C8C699B"/>
    <w:rsid w:val="0C8D626F"/>
    <w:rsid w:val="0C9977D7"/>
    <w:rsid w:val="0C9B273A"/>
    <w:rsid w:val="0C9F6E57"/>
    <w:rsid w:val="0CA63ECA"/>
    <w:rsid w:val="0CA85443"/>
    <w:rsid w:val="0CB101B0"/>
    <w:rsid w:val="0CBE467B"/>
    <w:rsid w:val="0CCC4A32"/>
    <w:rsid w:val="0CD3235A"/>
    <w:rsid w:val="0CD32516"/>
    <w:rsid w:val="0CDB54BD"/>
    <w:rsid w:val="0CDD0FA5"/>
    <w:rsid w:val="0CE52F54"/>
    <w:rsid w:val="0CE57E5A"/>
    <w:rsid w:val="0CEF0CD8"/>
    <w:rsid w:val="0D0227BA"/>
    <w:rsid w:val="0D046532"/>
    <w:rsid w:val="0D224C0A"/>
    <w:rsid w:val="0D241AFF"/>
    <w:rsid w:val="0D3606B5"/>
    <w:rsid w:val="0D3A63F7"/>
    <w:rsid w:val="0D505F74"/>
    <w:rsid w:val="0D5541BD"/>
    <w:rsid w:val="0D5F1A08"/>
    <w:rsid w:val="0D642E12"/>
    <w:rsid w:val="0D676AC1"/>
    <w:rsid w:val="0D6B65B1"/>
    <w:rsid w:val="0DA47D15"/>
    <w:rsid w:val="0DA506E6"/>
    <w:rsid w:val="0DBC0BBA"/>
    <w:rsid w:val="0DC12675"/>
    <w:rsid w:val="0DCE6B40"/>
    <w:rsid w:val="0DD506AB"/>
    <w:rsid w:val="0DEE3A7F"/>
    <w:rsid w:val="0DF742E8"/>
    <w:rsid w:val="0DFC36AD"/>
    <w:rsid w:val="0E0A5692"/>
    <w:rsid w:val="0E182ED3"/>
    <w:rsid w:val="0E1A1D85"/>
    <w:rsid w:val="0E1C5AFD"/>
    <w:rsid w:val="0E2C44FF"/>
    <w:rsid w:val="0E395D20"/>
    <w:rsid w:val="0E464928"/>
    <w:rsid w:val="0E4A266A"/>
    <w:rsid w:val="0E5446F5"/>
    <w:rsid w:val="0E5501B9"/>
    <w:rsid w:val="0E5A03D3"/>
    <w:rsid w:val="0E5C414B"/>
    <w:rsid w:val="0E5E1C72"/>
    <w:rsid w:val="0E741495"/>
    <w:rsid w:val="0E7771D7"/>
    <w:rsid w:val="0E80608C"/>
    <w:rsid w:val="0EA31D7A"/>
    <w:rsid w:val="0EA855E3"/>
    <w:rsid w:val="0EBB2F62"/>
    <w:rsid w:val="0EC57F43"/>
    <w:rsid w:val="0EC87A33"/>
    <w:rsid w:val="0ED44466"/>
    <w:rsid w:val="0ED879FC"/>
    <w:rsid w:val="0EDB7766"/>
    <w:rsid w:val="0EF6010E"/>
    <w:rsid w:val="0EFE5203"/>
    <w:rsid w:val="0F000F7B"/>
    <w:rsid w:val="0F026AA1"/>
    <w:rsid w:val="0F144A26"/>
    <w:rsid w:val="0F2033CB"/>
    <w:rsid w:val="0F20786F"/>
    <w:rsid w:val="0F264E85"/>
    <w:rsid w:val="0F4E618A"/>
    <w:rsid w:val="0F503CB0"/>
    <w:rsid w:val="0F5F65A7"/>
    <w:rsid w:val="0F706100"/>
    <w:rsid w:val="0F7337ED"/>
    <w:rsid w:val="0F7740D5"/>
    <w:rsid w:val="0F783207"/>
    <w:rsid w:val="0F8B2F3A"/>
    <w:rsid w:val="0FB54341"/>
    <w:rsid w:val="0FB93622"/>
    <w:rsid w:val="0FBC1346"/>
    <w:rsid w:val="0FBF0E36"/>
    <w:rsid w:val="0FC24482"/>
    <w:rsid w:val="0FC401FA"/>
    <w:rsid w:val="0FC408CB"/>
    <w:rsid w:val="0FCD3553"/>
    <w:rsid w:val="0FD95DC0"/>
    <w:rsid w:val="0FF705D0"/>
    <w:rsid w:val="10093E5F"/>
    <w:rsid w:val="10101691"/>
    <w:rsid w:val="101D7F82"/>
    <w:rsid w:val="101F18D4"/>
    <w:rsid w:val="10321608"/>
    <w:rsid w:val="10374E70"/>
    <w:rsid w:val="104A4BA3"/>
    <w:rsid w:val="104B39E9"/>
    <w:rsid w:val="10507CE0"/>
    <w:rsid w:val="10573096"/>
    <w:rsid w:val="10635C65"/>
    <w:rsid w:val="1064557C"/>
    <w:rsid w:val="106612B1"/>
    <w:rsid w:val="106D1FAD"/>
    <w:rsid w:val="107C4C75"/>
    <w:rsid w:val="108300B5"/>
    <w:rsid w:val="10885AE6"/>
    <w:rsid w:val="108C6F6A"/>
    <w:rsid w:val="10A02A15"/>
    <w:rsid w:val="10A5627E"/>
    <w:rsid w:val="10AC760C"/>
    <w:rsid w:val="10B61C33"/>
    <w:rsid w:val="10B93755"/>
    <w:rsid w:val="10BC7123"/>
    <w:rsid w:val="10BE10ED"/>
    <w:rsid w:val="10D426BF"/>
    <w:rsid w:val="10D86598"/>
    <w:rsid w:val="10E43559"/>
    <w:rsid w:val="10E70644"/>
    <w:rsid w:val="10E943BC"/>
    <w:rsid w:val="10F5368D"/>
    <w:rsid w:val="10F93ED3"/>
    <w:rsid w:val="110C7C74"/>
    <w:rsid w:val="113373E5"/>
    <w:rsid w:val="114C66F9"/>
    <w:rsid w:val="11677F10"/>
    <w:rsid w:val="1178129C"/>
    <w:rsid w:val="117A3266"/>
    <w:rsid w:val="11847C41"/>
    <w:rsid w:val="118B5DC3"/>
    <w:rsid w:val="118B7221"/>
    <w:rsid w:val="118D2B58"/>
    <w:rsid w:val="1198193E"/>
    <w:rsid w:val="119838F5"/>
    <w:rsid w:val="119B4F8B"/>
    <w:rsid w:val="119C5647"/>
    <w:rsid w:val="11A5360C"/>
    <w:rsid w:val="11AC53EA"/>
    <w:rsid w:val="11AC7198"/>
    <w:rsid w:val="11CC3396"/>
    <w:rsid w:val="11CE710E"/>
    <w:rsid w:val="11DB182B"/>
    <w:rsid w:val="11DC5CCF"/>
    <w:rsid w:val="11E26764"/>
    <w:rsid w:val="11E8206D"/>
    <w:rsid w:val="11FA6155"/>
    <w:rsid w:val="12096398"/>
    <w:rsid w:val="1215405E"/>
    <w:rsid w:val="12344FDD"/>
    <w:rsid w:val="124B319A"/>
    <w:rsid w:val="12535865"/>
    <w:rsid w:val="1255782F"/>
    <w:rsid w:val="125C0BBE"/>
    <w:rsid w:val="126C55BB"/>
    <w:rsid w:val="127001C5"/>
    <w:rsid w:val="12767ED2"/>
    <w:rsid w:val="127E56CA"/>
    <w:rsid w:val="128123D2"/>
    <w:rsid w:val="128B3251"/>
    <w:rsid w:val="128E239A"/>
    <w:rsid w:val="12977E48"/>
    <w:rsid w:val="12993BC0"/>
    <w:rsid w:val="1299771C"/>
    <w:rsid w:val="129A3494"/>
    <w:rsid w:val="12A06CFD"/>
    <w:rsid w:val="12A3059B"/>
    <w:rsid w:val="12A367ED"/>
    <w:rsid w:val="12A460C1"/>
    <w:rsid w:val="12BB5C7F"/>
    <w:rsid w:val="12C24DBE"/>
    <w:rsid w:val="12CD1ABC"/>
    <w:rsid w:val="12EC0194"/>
    <w:rsid w:val="1302191C"/>
    <w:rsid w:val="13070B2A"/>
    <w:rsid w:val="130A686C"/>
    <w:rsid w:val="13223BB5"/>
    <w:rsid w:val="132C0590"/>
    <w:rsid w:val="1333549D"/>
    <w:rsid w:val="13491142"/>
    <w:rsid w:val="134F24D1"/>
    <w:rsid w:val="13596EAB"/>
    <w:rsid w:val="13655850"/>
    <w:rsid w:val="136B7220"/>
    <w:rsid w:val="137D29DC"/>
    <w:rsid w:val="13916645"/>
    <w:rsid w:val="139F6FB4"/>
    <w:rsid w:val="13A10F7E"/>
    <w:rsid w:val="13A50343"/>
    <w:rsid w:val="13A91BE1"/>
    <w:rsid w:val="13A9398F"/>
    <w:rsid w:val="13AA5959"/>
    <w:rsid w:val="13B16CE7"/>
    <w:rsid w:val="13C7475D"/>
    <w:rsid w:val="13CE10AF"/>
    <w:rsid w:val="13D36C5E"/>
    <w:rsid w:val="13FD017F"/>
    <w:rsid w:val="140673BA"/>
    <w:rsid w:val="14107EB2"/>
    <w:rsid w:val="141554C8"/>
    <w:rsid w:val="14223741"/>
    <w:rsid w:val="14264FE0"/>
    <w:rsid w:val="142D6247"/>
    <w:rsid w:val="14397409"/>
    <w:rsid w:val="143A6CDD"/>
    <w:rsid w:val="144451BB"/>
    <w:rsid w:val="144C4685"/>
    <w:rsid w:val="14527761"/>
    <w:rsid w:val="14535FF1"/>
    <w:rsid w:val="14537D9F"/>
    <w:rsid w:val="14575AE1"/>
    <w:rsid w:val="1457788F"/>
    <w:rsid w:val="145C7FB0"/>
    <w:rsid w:val="14665D24"/>
    <w:rsid w:val="146B7879"/>
    <w:rsid w:val="14700951"/>
    <w:rsid w:val="147A357D"/>
    <w:rsid w:val="14860174"/>
    <w:rsid w:val="148D1DEB"/>
    <w:rsid w:val="14B93089"/>
    <w:rsid w:val="14BC1DE8"/>
    <w:rsid w:val="14D233B9"/>
    <w:rsid w:val="14DC7D94"/>
    <w:rsid w:val="14E530ED"/>
    <w:rsid w:val="14ED01F3"/>
    <w:rsid w:val="14F52C04"/>
    <w:rsid w:val="15064E11"/>
    <w:rsid w:val="150C0679"/>
    <w:rsid w:val="150D619F"/>
    <w:rsid w:val="15135779"/>
    <w:rsid w:val="1514752E"/>
    <w:rsid w:val="151E65FF"/>
    <w:rsid w:val="152118C2"/>
    <w:rsid w:val="1537146E"/>
    <w:rsid w:val="153E45AB"/>
    <w:rsid w:val="154636DA"/>
    <w:rsid w:val="154D0C92"/>
    <w:rsid w:val="154D2A40"/>
    <w:rsid w:val="15520056"/>
    <w:rsid w:val="155204BF"/>
    <w:rsid w:val="1559294C"/>
    <w:rsid w:val="15616A72"/>
    <w:rsid w:val="15714980"/>
    <w:rsid w:val="157E0E4B"/>
    <w:rsid w:val="158421C3"/>
    <w:rsid w:val="158A3C94"/>
    <w:rsid w:val="158D108E"/>
    <w:rsid w:val="15A05265"/>
    <w:rsid w:val="15A22D8C"/>
    <w:rsid w:val="15AA63A9"/>
    <w:rsid w:val="15AA7E92"/>
    <w:rsid w:val="15BA6327"/>
    <w:rsid w:val="15C471A6"/>
    <w:rsid w:val="15D62A35"/>
    <w:rsid w:val="15D67910"/>
    <w:rsid w:val="15E50ECA"/>
    <w:rsid w:val="15E96C0C"/>
    <w:rsid w:val="15F95EC8"/>
    <w:rsid w:val="16041350"/>
    <w:rsid w:val="160E6673"/>
    <w:rsid w:val="16104199"/>
    <w:rsid w:val="16133C89"/>
    <w:rsid w:val="161954F4"/>
    <w:rsid w:val="161A09D7"/>
    <w:rsid w:val="161A6DC6"/>
    <w:rsid w:val="161C2B3E"/>
    <w:rsid w:val="161F618A"/>
    <w:rsid w:val="16261842"/>
    <w:rsid w:val="16353C00"/>
    <w:rsid w:val="163C4F8E"/>
    <w:rsid w:val="163C6D3C"/>
    <w:rsid w:val="163F4A7E"/>
    <w:rsid w:val="1642631D"/>
    <w:rsid w:val="16467BBB"/>
    <w:rsid w:val="164B6F7F"/>
    <w:rsid w:val="164C22A5"/>
    <w:rsid w:val="16826719"/>
    <w:rsid w:val="169A3A63"/>
    <w:rsid w:val="169D0495"/>
    <w:rsid w:val="169E17A5"/>
    <w:rsid w:val="16A7479A"/>
    <w:rsid w:val="16BD380F"/>
    <w:rsid w:val="16BF34C9"/>
    <w:rsid w:val="16C136E5"/>
    <w:rsid w:val="16C60CFC"/>
    <w:rsid w:val="16C752AB"/>
    <w:rsid w:val="16D90A2F"/>
    <w:rsid w:val="16DC051F"/>
    <w:rsid w:val="16DD1848"/>
    <w:rsid w:val="16E41182"/>
    <w:rsid w:val="16E42F30"/>
    <w:rsid w:val="170338FF"/>
    <w:rsid w:val="17045380"/>
    <w:rsid w:val="170610F8"/>
    <w:rsid w:val="170B670F"/>
    <w:rsid w:val="170F618E"/>
    <w:rsid w:val="17237EFC"/>
    <w:rsid w:val="17265FC5"/>
    <w:rsid w:val="17305CAD"/>
    <w:rsid w:val="17306175"/>
    <w:rsid w:val="173619DD"/>
    <w:rsid w:val="17451C21"/>
    <w:rsid w:val="174D24DD"/>
    <w:rsid w:val="174D5919"/>
    <w:rsid w:val="175B1444"/>
    <w:rsid w:val="177249E0"/>
    <w:rsid w:val="177929C6"/>
    <w:rsid w:val="1783795A"/>
    <w:rsid w:val="178A3AD7"/>
    <w:rsid w:val="178D35C8"/>
    <w:rsid w:val="17A27073"/>
    <w:rsid w:val="17D9680D"/>
    <w:rsid w:val="17DD00AB"/>
    <w:rsid w:val="17DE3E23"/>
    <w:rsid w:val="17E01949"/>
    <w:rsid w:val="17EB6C6C"/>
    <w:rsid w:val="17F17B37"/>
    <w:rsid w:val="17FA2961"/>
    <w:rsid w:val="17FE0021"/>
    <w:rsid w:val="17FF4DE1"/>
    <w:rsid w:val="18001FEB"/>
    <w:rsid w:val="180E4708"/>
    <w:rsid w:val="18153CE9"/>
    <w:rsid w:val="18155A97"/>
    <w:rsid w:val="181D0DEF"/>
    <w:rsid w:val="18267CA4"/>
    <w:rsid w:val="18277578"/>
    <w:rsid w:val="182D0CE2"/>
    <w:rsid w:val="182E6B59"/>
    <w:rsid w:val="183879D7"/>
    <w:rsid w:val="184E2D57"/>
    <w:rsid w:val="18595216"/>
    <w:rsid w:val="185B4A96"/>
    <w:rsid w:val="186407CC"/>
    <w:rsid w:val="1865506A"/>
    <w:rsid w:val="18754787"/>
    <w:rsid w:val="18835F02"/>
    <w:rsid w:val="18950986"/>
    <w:rsid w:val="189D783A"/>
    <w:rsid w:val="189F33C8"/>
    <w:rsid w:val="18B0756E"/>
    <w:rsid w:val="18B232E6"/>
    <w:rsid w:val="18B90B18"/>
    <w:rsid w:val="18BC23B6"/>
    <w:rsid w:val="18BD403E"/>
    <w:rsid w:val="18C15C1F"/>
    <w:rsid w:val="18D80D9D"/>
    <w:rsid w:val="18E67433"/>
    <w:rsid w:val="18F71640"/>
    <w:rsid w:val="18FC7284"/>
    <w:rsid w:val="190E27B1"/>
    <w:rsid w:val="1910625E"/>
    <w:rsid w:val="191915B7"/>
    <w:rsid w:val="191C2E55"/>
    <w:rsid w:val="192341E3"/>
    <w:rsid w:val="1942690E"/>
    <w:rsid w:val="194303E2"/>
    <w:rsid w:val="19762565"/>
    <w:rsid w:val="19857CC1"/>
    <w:rsid w:val="1988673C"/>
    <w:rsid w:val="19946E8F"/>
    <w:rsid w:val="199C7AF2"/>
    <w:rsid w:val="19BC1F42"/>
    <w:rsid w:val="19C01A32"/>
    <w:rsid w:val="19C15306"/>
    <w:rsid w:val="19C317DE"/>
    <w:rsid w:val="19CF7EC7"/>
    <w:rsid w:val="19DC4392"/>
    <w:rsid w:val="19DD25E4"/>
    <w:rsid w:val="19E971DB"/>
    <w:rsid w:val="19EE2A43"/>
    <w:rsid w:val="19F618F8"/>
    <w:rsid w:val="1A0A0EFF"/>
    <w:rsid w:val="1A0D0200"/>
    <w:rsid w:val="1A2521DD"/>
    <w:rsid w:val="1A275E1A"/>
    <w:rsid w:val="1A381625"/>
    <w:rsid w:val="1A4D1B4C"/>
    <w:rsid w:val="1A5328A6"/>
    <w:rsid w:val="1A707241"/>
    <w:rsid w:val="1A7138AD"/>
    <w:rsid w:val="1A8824D5"/>
    <w:rsid w:val="1A8E7D82"/>
    <w:rsid w:val="1A9829AF"/>
    <w:rsid w:val="1AA255DC"/>
    <w:rsid w:val="1AA9696A"/>
    <w:rsid w:val="1ABC669E"/>
    <w:rsid w:val="1AD5150D"/>
    <w:rsid w:val="1AD74FDF"/>
    <w:rsid w:val="1AE23C2A"/>
    <w:rsid w:val="1AE254F2"/>
    <w:rsid w:val="1AEE25CF"/>
    <w:rsid w:val="1AF220BF"/>
    <w:rsid w:val="1AF66054"/>
    <w:rsid w:val="1AF851FC"/>
    <w:rsid w:val="1AFD2812"/>
    <w:rsid w:val="1B041DF3"/>
    <w:rsid w:val="1B0B3181"/>
    <w:rsid w:val="1B1069E9"/>
    <w:rsid w:val="1B1C72B0"/>
    <w:rsid w:val="1B2D1349"/>
    <w:rsid w:val="1B2D759B"/>
    <w:rsid w:val="1B2F50C2"/>
    <w:rsid w:val="1B4A3CA9"/>
    <w:rsid w:val="1B530684"/>
    <w:rsid w:val="1B5F3BCF"/>
    <w:rsid w:val="1B634D6B"/>
    <w:rsid w:val="1B740D26"/>
    <w:rsid w:val="1B742AD4"/>
    <w:rsid w:val="1B8D003A"/>
    <w:rsid w:val="1B8F790E"/>
    <w:rsid w:val="1B920482"/>
    <w:rsid w:val="1B9A62B3"/>
    <w:rsid w:val="1BA50EE0"/>
    <w:rsid w:val="1BB43819"/>
    <w:rsid w:val="1BB92BDD"/>
    <w:rsid w:val="1BC81072"/>
    <w:rsid w:val="1BCA4DEA"/>
    <w:rsid w:val="1BF260EF"/>
    <w:rsid w:val="1BF754B3"/>
    <w:rsid w:val="1BFB31F6"/>
    <w:rsid w:val="1C0E2307"/>
    <w:rsid w:val="1C13053F"/>
    <w:rsid w:val="1C1B5646"/>
    <w:rsid w:val="1C1D13BE"/>
    <w:rsid w:val="1C222DC9"/>
    <w:rsid w:val="1C2A5889"/>
    <w:rsid w:val="1C2F10F1"/>
    <w:rsid w:val="1C314E69"/>
    <w:rsid w:val="1C316C17"/>
    <w:rsid w:val="1C362480"/>
    <w:rsid w:val="1C3D380E"/>
    <w:rsid w:val="1C4050AC"/>
    <w:rsid w:val="1C463390"/>
    <w:rsid w:val="1C4E77C9"/>
    <w:rsid w:val="1C533032"/>
    <w:rsid w:val="1C6E7E6B"/>
    <w:rsid w:val="1C817B9F"/>
    <w:rsid w:val="1C8967A0"/>
    <w:rsid w:val="1C8A641B"/>
    <w:rsid w:val="1C8E5E18"/>
    <w:rsid w:val="1C907DE2"/>
    <w:rsid w:val="1C913B5A"/>
    <w:rsid w:val="1C915908"/>
    <w:rsid w:val="1CBD66FD"/>
    <w:rsid w:val="1CC96E50"/>
    <w:rsid w:val="1CCA3FD1"/>
    <w:rsid w:val="1CCD1F76"/>
    <w:rsid w:val="1CE437C7"/>
    <w:rsid w:val="1CE912A0"/>
    <w:rsid w:val="1CEC0D90"/>
    <w:rsid w:val="1D1A58FD"/>
    <w:rsid w:val="1D1E53EE"/>
    <w:rsid w:val="1D217E33"/>
    <w:rsid w:val="1D24199C"/>
    <w:rsid w:val="1D2642A2"/>
    <w:rsid w:val="1D2D5631"/>
    <w:rsid w:val="1D303373"/>
    <w:rsid w:val="1D33076D"/>
    <w:rsid w:val="1D37200B"/>
    <w:rsid w:val="1D3A7D4E"/>
    <w:rsid w:val="1D3F2D73"/>
    <w:rsid w:val="1D3F5364"/>
    <w:rsid w:val="1D513952"/>
    <w:rsid w:val="1D540E0F"/>
    <w:rsid w:val="1D547758"/>
    <w:rsid w:val="1D5A03F0"/>
    <w:rsid w:val="1D5A219E"/>
    <w:rsid w:val="1D70376F"/>
    <w:rsid w:val="1D74500E"/>
    <w:rsid w:val="1D840FC9"/>
    <w:rsid w:val="1D9531D6"/>
    <w:rsid w:val="1DA43419"/>
    <w:rsid w:val="1DA70C8C"/>
    <w:rsid w:val="1DAC1F2B"/>
    <w:rsid w:val="1DBC6A41"/>
    <w:rsid w:val="1DBE44DB"/>
    <w:rsid w:val="1DC33119"/>
    <w:rsid w:val="1DCF66E8"/>
    <w:rsid w:val="1DD46DD0"/>
    <w:rsid w:val="1DD526A6"/>
    <w:rsid w:val="1DEF0B38"/>
    <w:rsid w:val="1DF3687A"/>
    <w:rsid w:val="1E1E141D"/>
    <w:rsid w:val="1E2C58E8"/>
    <w:rsid w:val="1E2E3AA5"/>
    <w:rsid w:val="1E37603B"/>
    <w:rsid w:val="1E390005"/>
    <w:rsid w:val="1E3B5B2B"/>
    <w:rsid w:val="1E472722"/>
    <w:rsid w:val="1E4D4EC1"/>
    <w:rsid w:val="1E5C2672"/>
    <w:rsid w:val="1E5C3A77"/>
    <w:rsid w:val="1E5D0198"/>
    <w:rsid w:val="1E5D3CF4"/>
    <w:rsid w:val="1E685BCF"/>
    <w:rsid w:val="1E6A4663"/>
    <w:rsid w:val="1E6E1383"/>
    <w:rsid w:val="1E845724"/>
    <w:rsid w:val="1E851BB1"/>
    <w:rsid w:val="1E85324A"/>
    <w:rsid w:val="1E894AE9"/>
    <w:rsid w:val="1EB458DE"/>
    <w:rsid w:val="1EBB4EBE"/>
    <w:rsid w:val="1EC975DB"/>
    <w:rsid w:val="1ED146E2"/>
    <w:rsid w:val="1ED203FD"/>
    <w:rsid w:val="1EDA00DE"/>
    <w:rsid w:val="1EDF6DFF"/>
    <w:rsid w:val="1EEC32CA"/>
    <w:rsid w:val="1EF04B68"/>
    <w:rsid w:val="1EF949F7"/>
    <w:rsid w:val="1F010B23"/>
    <w:rsid w:val="1F0B7BF4"/>
    <w:rsid w:val="1F0D5107"/>
    <w:rsid w:val="1F106FB8"/>
    <w:rsid w:val="1F3233D2"/>
    <w:rsid w:val="1F354C71"/>
    <w:rsid w:val="1F3F33F9"/>
    <w:rsid w:val="1F594866"/>
    <w:rsid w:val="1F7F5EEC"/>
    <w:rsid w:val="1F841754"/>
    <w:rsid w:val="1F996FAD"/>
    <w:rsid w:val="1FA3607E"/>
    <w:rsid w:val="1FA45952"/>
    <w:rsid w:val="1FB2230E"/>
    <w:rsid w:val="1FB43DE7"/>
    <w:rsid w:val="1FB857A1"/>
    <w:rsid w:val="1FB931AC"/>
    <w:rsid w:val="1FBA6F24"/>
    <w:rsid w:val="1FBC7140"/>
    <w:rsid w:val="1FC87893"/>
    <w:rsid w:val="1FCF29CF"/>
    <w:rsid w:val="1FD75D28"/>
    <w:rsid w:val="1FDC6E9A"/>
    <w:rsid w:val="20085EE1"/>
    <w:rsid w:val="200A7EAB"/>
    <w:rsid w:val="20213D83"/>
    <w:rsid w:val="202231CD"/>
    <w:rsid w:val="2039200A"/>
    <w:rsid w:val="20515ADA"/>
    <w:rsid w:val="20796DDF"/>
    <w:rsid w:val="207D067D"/>
    <w:rsid w:val="2080016D"/>
    <w:rsid w:val="20836997"/>
    <w:rsid w:val="20974584"/>
    <w:rsid w:val="20987C3C"/>
    <w:rsid w:val="209B6D55"/>
    <w:rsid w:val="20AF0D9B"/>
    <w:rsid w:val="20AF2801"/>
    <w:rsid w:val="20B15FAB"/>
    <w:rsid w:val="20B35E4D"/>
    <w:rsid w:val="20B41BC5"/>
    <w:rsid w:val="20CB71D8"/>
    <w:rsid w:val="20ED750E"/>
    <w:rsid w:val="20F60490"/>
    <w:rsid w:val="212925B3"/>
    <w:rsid w:val="212E1977"/>
    <w:rsid w:val="21352D06"/>
    <w:rsid w:val="21387EC2"/>
    <w:rsid w:val="21394EC2"/>
    <w:rsid w:val="214271D1"/>
    <w:rsid w:val="21524390"/>
    <w:rsid w:val="215554C1"/>
    <w:rsid w:val="215676A7"/>
    <w:rsid w:val="21570ECE"/>
    <w:rsid w:val="21723F5A"/>
    <w:rsid w:val="21821CC3"/>
    <w:rsid w:val="2186530F"/>
    <w:rsid w:val="2188552B"/>
    <w:rsid w:val="218E0668"/>
    <w:rsid w:val="2190618E"/>
    <w:rsid w:val="219914E7"/>
    <w:rsid w:val="21A1433A"/>
    <w:rsid w:val="21B26104"/>
    <w:rsid w:val="21B31E7D"/>
    <w:rsid w:val="21C61BB0"/>
    <w:rsid w:val="21CB18BC"/>
    <w:rsid w:val="21D73DBD"/>
    <w:rsid w:val="21DF0EC4"/>
    <w:rsid w:val="21E95F30"/>
    <w:rsid w:val="21F462CE"/>
    <w:rsid w:val="21F7620D"/>
    <w:rsid w:val="21FC0048"/>
    <w:rsid w:val="22123047"/>
    <w:rsid w:val="22124DF5"/>
    <w:rsid w:val="2221772E"/>
    <w:rsid w:val="22237002"/>
    <w:rsid w:val="22250FCC"/>
    <w:rsid w:val="222D60D3"/>
    <w:rsid w:val="2234120F"/>
    <w:rsid w:val="224A0A33"/>
    <w:rsid w:val="224F1BA5"/>
    <w:rsid w:val="22574EFE"/>
    <w:rsid w:val="225B2C40"/>
    <w:rsid w:val="225E44DE"/>
    <w:rsid w:val="22723AE6"/>
    <w:rsid w:val="2277734E"/>
    <w:rsid w:val="227B0BEC"/>
    <w:rsid w:val="227E248B"/>
    <w:rsid w:val="228E4DC3"/>
    <w:rsid w:val="228F28EA"/>
    <w:rsid w:val="22943A5C"/>
    <w:rsid w:val="22995516"/>
    <w:rsid w:val="22A63E0F"/>
    <w:rsid w:val="22BB723B"/>
    <w:rsid w:val="22BD3660"/>
    <w:rsid w:val="22D402FC"/>
    <w:rsid w:val="22D447A0"/>
    <w:rsid w:val="22E744D4"/>
    <w:rsid w:val="22EF482C"/>
    <w:rsid w:val="22F8223D"/>
    <w:rsid w:val="22FA13C4"/>
    <w:rsid w:val="230F7587"/>
    <w:rsid w:val="231329B6"/>
    <w:rsid w:val="231A6657"/>
    <w:rsid w:val="231B6DA7"/>
    <w:rsid w:val="233B65CE"/>
    <w:rsid w:val="23487679"/>
    <w:rsid w:val="23700025"/>
    <w:rsid w:val="238E76F6"/>
    <w:rsid w:val="239E1E6C"/>
    <w:rsid w:val="23A21A79"/>
    <w:rsid w:val="23A3664D"/>
    <w:rsid w:val="23BF0FAD"/>
    <w:rsid w:val="23CE1DE6"/>
    <w:rsid w:val="23DD37CC"/>
    <w:rsid w:val="23E17175"/>
    <w:rsid w:val="23E40A13"/>
    <w:rsid w:val="23E7405F"/>
    <w:rsid w:val="23FC3FAF"/>
    <w:rsid w:val="241C6F67"/>
    <w:rsid w:val="242552B4"/>
    <w:rsid w:val="24257F68"/>
    <w:rsid w:val="242F7EE0"/>
    <w:rsid w:val="2435301D"/>
    <w:rsid w:val="243A3FC6"/>
    <w:rsid w:val="24424A01"/>
    <w:rsid w:val="244A6AC8"/>
    <w:rsid w:val="2455546D"/>
    <w:rsid w:val="245C4A4D"/>
    <w:rsid w:val="245E07C6"/>
    <w:rsid w:val="246D3A9C"/>
    <w:rsid w:val="247218A9"/>
    <w:rsid w:val="24761137"/>
    <w:rsid w:val="2483647E"/>
    <w:rsid w:val="248875F1"/>
    <w:rsid w:val="24942439"/>
    <w:rsid w:val="24997A50"/>
    <w:rsid w:val="24A26904"/>
    <w:rsid w:val="24AD52A9"/>
    <w:rsid w:val="24CA53B1"/>
    <w:rsid w:val="24CF5CE1"/>
    <w:rsid w:val="24D80578"/>
    <w:rsid w:val="24E94533"/>
    <w:rsid w:val="24F20F0E"/>
    <w:rsid w:val="250E3F9A"/>
    <w:rsid w:val="25237319"/>
    <w:rsid w:val="253944F4"/>
    <w:rsid w:val="25396B3D"/>
    <w:rsid w:val="255E41D9"/>
    <w:rsid w:val="256040C9"/>
    <w:rsid w:val="25641E0C"/>
    <w:rsid w:val="25643BBA"/>
    <w:rsid w:val="257638ED"/>
    <w:rsid w:val="257F27A2"/>
    <w:rsid w:val="258C1362"/>
    <w:rsid w:val="25900E53"/>
    <w:rsid w:val="25983863"/>
    <w:rsid w:val="25A641D2"/>
    <w:rsid w:val="25B85CB3"/>
    <w:rsid w:val="25C32FD6"/>
    <w:rsid w:val="25C66622"/>
    <w:rsid w:val="25D23219"/>
    <w:rsid w:val="25D24FC7"/>
    <w:rsid w:val="25DD571A"/>
    <w:rsid w:val="25ED0053"/>
    <w:rsid w:val="25F2111F"/>
    <w:rsid w:val="25F56F08"/>
    <w:rsid w:val="25F969F8"/>
    <w:rsid w:val="26086EDC"/>
    <w:rsid w:val="260B2287"/>
    <w:rsid w:val="26151358"/>
    <w:rsid w:val="26190E48"/>
    <w:rsid w:val="26211AAB"/>
    <w:rsid w:val="2624159B"/>
    <w:rsid w:val="26263565"/>
    <w:rsid w:val="26325A66"/>
    <w:rsid w:val="26391836"/>
    <w:rsid w:val="26431A21"/>
    <w:rsid w:val="264834DB"/>
    <w:rsid w:val="26487037"/>
    <w:rsid w:val="264A1001"/>
    <w:rsid w:val="26676E0F"/>
    <w:rsid w:val="26797B39"/>
    <w:rsid w:val="267E6EFD"/>
    <w:rsid w:val="268B161A"/>
    <w:rsid w:val="26926505"/>
    <w:rsid w:val="26A30712"/>
    <w:rsid w:val="26A56238"/>
    <w:rsid w:val="26AB6F2B"/>
    <w:rsid w:val="26B24DF9"/>
    <w:rsid w:val="26B4291F"/>
    <w:rsid w:val="26B571AF"/>
    <w:rsid w:val="26B648E9"/>
    <w:rsid w:val="26CF7759"/>
    <w:rsid w:val="26DF7388"/>
    <w:rsid w:val="26E15D4F"/>
    <w:rsid w:val="26F64CE5"/>
    <w:rsid w:val="26FB054E"/>
    <w:rsid w:val="26FC6074"/>
    <w:rsid w:val="26FC7E22"/>
    <w:rsid w:val="270533F3"/>
    <w:rsid w:val="270F224B"/>
    <w:rsid w:val="272E0923"/>
    <w:rsid w:val="27313F6F"/>
    <w:rsid w:val="27315D1D"/>
    <w:rsid w:val="273B4DEE"/>
    <w:rsid w:val="27427F2B"/>
    <w:rsid w:val="274912B9"/>
    <w:rsid w:val="276A122F"/>
    <w:rsid w:val="27762E68"/>
    <w:rsid w:val="278F0C96"/>
    <w:rsid w:val="279D7857"/>
    <w:rsid w:val="27AC35F6"/>
    <w:rsid w:val="27B801ED"/>
    <w:rsid w:val="27BA21B7"/>
    <w:rsid w:val="27BB0F5E"/>
    <w:rsid w:val="27C546B8"/>
    <w:rsid w:val="27D139D1"/>
    <w:rsid w:val="27D25665"/>
    <w:rsid w:val="27D72D69"/>
    <w:rsid w:val="27FA6A57"/>
    <w:rsid w:val="28090A48"/>
    <w:rsid w:val="28100029"/>
    <w:rsid w:val="28243AD4"/>
    <w:rsid w:val="283A32F8"/>
    <w:rsid w:val="283C7070"/>
    <w:rsid w:val="283E4B96"/>
    <w:rsid w:val="285717B4"/>
    <w:rsid w:val="2858552C"/>
    <w:rsid w:val="28630FC1"/>
    <w:rsid w:val="287C121A"/>
    <w:rsid w:val="288A6E7A"/>
    <w:rsid w:val="288F3108"/>
    <w:rsid w:val="289447B6"/>
    <w:rsid w:val="289A78F2"/>
    <w:rsid w:val="289C18BC"/>
    <w:rsid w:val="289E73E3"/>
    <w:rsid w:val="28AC5FA3"/>
    <w:rsid w:val="28BE5CD7"/>
    <w:rsid w:val="28CC7D6E"/>
    <w:rsid w:val="28CF3D80"/>
    <w:rsid w:val="28DF0DFC"/>
    <w:rsid w:val="28F33BD2"/>
    <w:rsid w:val="28FB65E3"/>
    <w:rsid w:val="2900009D"/>
    <w:rsid w:val="291D29FD"/>
    <w:rsid w:val="29253660"/>
    <w:rsid w:val="29341AF5"/>
    <w:rsid w:val="293B7327"/>
    <w:rsid w:val="29420625"/>
    <w:rsid w:val="294659B1"/>
    <w:rsid w:val="296F0D7F"/>
    <w:rsid w:val="29764DBA"/>
    <w:rsid w:val="29982084"/>
    <w:rsid w:val="29A24CB1"/>
    <w:rsid w:val="29AE7AF9"/>
    <w:rsid w:val="29C410CB"/>
    <w:rsid w:val="29CC7F7F"/>
    <w:rsid w:val="29CE1F49"/>
    <w:rsid w:val="29DD0DC0"/>
    <w:rsid w:val="29E057D9"/>
    <w:rsid w:val="29E17D25"/>
    <w:rsid w:val="29E76B67"/>
    <w:rsid w:val="29F43A2A"/>
    <w:rsid w:val="29FD638B"/>
    <w:rsid w:val="2A0E172D"/>
    <w:rsid w:val="2A1A6F3D"/>
    <w:rsid w:val="2A1C2CB5"/>
    <w:rsid w:val="2A2D4EC2"/>
    <w:rsid w:val="2A4B5348"/>
    <w:rsid w:val="2A557F75"/>
    <w:rsid w:val="2A6428AE"/>
    <w:rsid w:val="2A830F86"/>
    <w:rsid w:val="2A905451"/>
    <w:rsid w:val="2AA84549"/>
    <w:rsid w:val="2AAD7DB1"/>
    <w:rsid w:val="2AC5334C"/>
    <w:rsid w:val="2AC74C40"/>
    <w:rsid w:val="2ACD2201"/>
    <w:rsid w:val="2AD76BDC"/>
    <w:rsid w:val="2ADF3CE2"/>
    <w:rsid w:val="2AE01F34"/>
    <w:rsid w:val="2AFE23BA"/>
    <w:rsid w:val="2B1E2A5D"/>
    <w:rsid w:val="2B2142FB"/>
    <w:rsid w:val="2B2636BF"/>
    <w:rsid w:val="2B2A1401"/>
    <w:rsid w:val="2B3B360F"/>
    <w:rsid w:val="2B5C4DBE"/>
    <w:rsid w:val="2B603075"/>
    <w:rsid w:val="2B620B9B"/>
    <w:rsid w:val="2B6A3EF4"/>
    <w:rsid w:val="2B7B7EAF"/>
    <w:rsid w:val="2B7E52A9"/>
    <w:rsid w:val="2B8054C5"/>
    <w:rsid w:val="2B852ADC"/>
    <w:rsid w:val="2B894C74"/>
    <w:rsid w:val="2B8F00B5"/>
    <w:rsid w:val="2B9351F9"/>
    <w:rsid w:val="2B9920E3"/>
    <w:rsid w:val="2B9B31ED"/>
    <w:rsid w:val="2B9B5E5B"/>
    <w:rsid w:val="2BAA42F0"/>
    <w:rsid w:val="2BAD5DA9"/>
    <w:rsid w:val="2BB116E0"/>
    <w:rsid w:val="2BB4516F"/>
    <w:rsid w:val="2BC06835"/>
    <w:rsid w:val="2BCA042B"/>
    <w:rsid w:val="2BDB094E"/>
    <w:rsid w:val="2BE11E94"/>
    <w:rsid w:val="2BE21CDC"/>
    <w:rsid w:val="2BFD0B88"/>
    <w:rsid w:val="2C1856FE"/>
    <w:rsid w:val="2C3F712F"/>
    <w:rsid w:val="2C414BD2"/>
    <w:rsid w:val="2C536736"/>
    <w:rsid w:val="2C5E2660"/>
    <w:rsid w:val="2C671545"/>
    <w:rsid w:val="2C6E531E"/>
    <w:rsid w:val="2C7072E8"/>
    <w:rsid w:val="2C752B50"/>
    <w:rsid w:val="2C7A5B1E"/>
    <w:rsid w:val="2C833617"/>
    <w:rsid w:val="2C864D5D"/>
    <w:rsid w:val="2CA174A1"/>
    <w:rsid w:val="2CA62D0A"/>
    <w:rsid w:val="2CB43679"/>
    <w:rsid w:val="2CB90C8F"/>
    <w:rsid w:val="2CBA0563"/>
    <w:rsid w:val="2CCF04B2"/>
    <w:rsid w:val="2CD0422B"/>
    <w:rsid w:val="2CDC7C10"/>
    <w:rsid w:val="2CF27CFD"/>
    <w:rsid w:val="2CF61D43"/>
    <w:rsid w:val="2CF77A09"/>
    <w:rsid w:val="2CFE2B46"/>
    <w:rsid w:val="2D031F0A"/>
    <w:rsid w:val="2D0B5263"/>
    <w:rsid w:val="2D0D0FDB"/>
    <w:rsid w:val="2D107204"/>
    <w:rsid w:val="2D1B36F8"/>
    <w:rsid w:val="2D1C7470"/>
    <w:rsid w:val="2D2105E2"/>
    <w:rsid w:val="2D2C38C4"/>
    <w:rsid w:val="2D314CC9"/>
    <w:rsid w:val="2D320D8B"/>
    <w:rsid w:val="2D32459D"/>
    <w:rsid w:val="2D3622E0"/>
    <w:rsid w:val="2D4542D1"/>
    <w:rsid w:val="2D4F15F3"/>
    <w:rsid w:val="2D514E6A"/>
    <w:rsid w:val="2D5E097B"/>
    <w:rsid w:val="2D5E35E4"/>
    <w:rsid w:val="2D79041E"/>
    <w:rsid w:val="2D8C63A3"/>
    <w:rsid w:val="2D8E644D"/>
    <w:rsid w:val="2D960361"/>
    <w:rsid w:val="2DA336ED"/>
    <w:rsid w:val="2DAA5770"/>
    <w:rsid w:val="2DB15E0A"/>
    <w:rsid w:val="2DD37B2E"/>
    <w:rsid w:val="2DDE64D3"/>
    <w:rsid w:val="2DE955A4"/>
    <w:rsid w:val="2DEA4E78"/>
    <w:rsid w:val="2DF16206"/>
    <w:rsid w:val="2DFD2DFD"/>
    <w:rsid w:val="2E162111"/>
    <w:rsid w:val="2E4343FF"/>
    <w:rsid w:val="2E532A1D"/>
    <w:rsid w:val="2E5E7806"/>
    <w:rsid w:val="2E5F7614"/>
    <w:rsid w:val="2E6405C9"/>
    <w:rsid w:val="2E646F79"/>
    <w:rsid w:val="2E7A26A0"/>
    <w:rsid w:val="2E840E29"/>
    <w:rsid w:val="2E861045"/>
    <w:rsid w:val="2E861A26"/>
    <w:rsid w:val="2E870919"/>
    <w:rsid w:val="2E8E614B"/>
    <w:rsid w:val="2EA8720D"/>
    <w:rsid w:val="2EA94D33"/>
    <w:rsid w:val="2EAE5EA6"/>
    <w:rsid w:val="2EBC4A66"/>
    <w:rsid w:val="2EC658E5"/>
    <w:rsid w:val="2EC67693"/>
    <w:rsid w:val="2ED10953"/>
    <w:rsid w:val="2ED718A0"/>
    <w:rsid w:val="2EE31FF3"/>
    <w:rsid w:val="2EE63891"/>
    <w:rsid w:val="2EF22236"/>
    <w:rsid w:val="2F002653"/>
    <w:rsid w:val="2F194CF3"/>
    <w:rsid w:val="2F1A79DF"/>
    <w:rsid w:val="2F1E1C3E"/>
    <w:rsid w:val="2F2427F9"/>
    <w:rsid w:val="2F411B3A"/>
    <w:rsid w:val="2F452CAE"/>
    <w:rsid w:val="2F462582"/>
    <w:rsid w:val="2F4800A8"/>
    <w:rsid w:val="2F4A3A30"/>
    <w:rsid w:val="2F4F58DB"/>
    <w:rsid w:val="2F522CD5"/>
    <w:rsid w:val="2F5E185B"/>
    <w:rsid w:val="2F5E78CC"/>
    <w:rsid w:val="2F68699C"/>
    <w:rsid w:val="2F77098D"/>
    <w:rsid w:val="2F82472C"/>
    <w:rsid w:val="2F8512FC"/>
    <w:rsid w:val="2F860BD0"/>
    <w:rsid w:val="2F8A246F"/>
    <w:rsid w:val="2F900246"/>
    <w:rsid w:val="2F967065"/>
    <w:rsid w:val="2FA63021"/>
    <w:rsid w:val="2FB15C4D"/>
    <w:rsid w:val="2FC8743B"/>
    <w:rsid w:val="2FDB716E"/>
    <w:rsid w:val="2FEA73B1"/>
    <w:rsid w:val="2FEC1210"/>
    <w:rsid w:val="300264A9"/>
    <w:rsid w:val="30073ABF"/>
    <w:rsid w:val="300A35B0"/>
    <w:rsid w:val="300D4E4E"/>
    <w:rsid w:val="301B3A0F"/>
    <w:rsid w:val="30202DD3"/>
    <w:rsid w:val="304271ED"/>
    <w:rsid w:val="30467047"/>
    <w:rsid w:val="304E5B92"/>
    <w:rsid w:val="304E7940"/>
    <w:rsid w:val="30586A11"/>
    <w:rsid w:val="30675B5C"/>
    <w:rsid w:val="306C7DC6"/>
    <w:rsid w:val="30766E97"/>
    <w:rsid w:val="307B625B"/>
    <w:rsid w:val="30963095"/>
    <w:rsid w:val="30A72A52"/>
    <w:rsid w:val="30B73737"/>
    <w:rsid w:val="30B976E9"/>
    <w:rsid w:val="30BD4AC6"/>
    <w:rsid w:val="30CC5F7A"/>
    <w:rsid w:val="30CE0A81"/>
    <w:rsid w:val="31061FC9"/>
    <w:rsid w:val="311C17EC"/>
    <w:rsid w:val="311C359A"/>
    <w:rsid w:val="311F12DD"/>
    <w:rsid w:val="3126266B"/>
    <w:rsid w:val="313034EA"/>
    <w:rsid w:val="31376626"/>
    <w:rsid w:val="31456F95"/>
    <w:rsid w:val="314765CC"/>
    <w:rsid w:val="31552F50"/>
    <w:rsid w:val="31603DCF"/>
    <w:rsid w:val="316118F5"/>
    <w:rsid w:val="316923A6"/>
    <w:rsid w:val="316B2774"/>
    <w:rsid w:val="316D3DF6"/>
    <w:rsid w:val="316F5DC0"/>
    <w:rsid w:val="31707551"/>
    <w:rsid w:val="3175714F"/>
    <w:rsid w:val="318178A1"/>
    <w:rsid w:val="31886E82"/>
    <w:rsid w:val="319475D5"/>
    <w:rsid w:val="319D37AE"/>
    <w:rsid w:val="31A37545"/>
    <w:rsid w:val="31A65BBC"/>
    <w:rsid w:val="31A83080"/>
    <w:rsid w:val="31B00187"/>
    <w:rsid w:val="31C51E84"/>
    <w:rsid w:val="31C75BFC"/>
    <w:rsid w:val="31C94250"/>
    <w:rsid w:val="31DC0F7C"/>
    <w:rsid w:val="31E042BC"/>
    <w:rsid w:val="31E3230A"/>
    <w:rsid w:val="31EF6F01"/>
    <w:rsid w:val="31F12C79"/>
    <w:rsid w:val="31F44387"/>
    <w:rsid w:val="31FD161E"/>
    <w:rsid w:val="31FE0EF2"/>
    <w:rsid w:val="32190F5F"/>
    <w:rsid w:val="322070BA"/>
    <w:rsid w:val="322272D6"/>
    <w:rsid w:val="32252923"/>
    <w:rsid w:val="32292413"/>
    <w:rsid w:val="323F1C36"/>
    <w:rsid w:val="32562ADC"/>
    <w:rsid w:val="32584AA6"/>
    <w:rsid w:val="325925CC"/>
    <w:rsid w:val="32601BAD"/>
    <w:rsid w:val="32607DFF"/>
    <w:rsid w:val="3271350F"/>
    <w:rsid w:val="32755658"/>
    <w:rsid w:val="327F64D7"/>
    <w:rsid w:val="329027F6"/>
    <w:rsid w:val="32911D66"/>
    <w:rsid w:val="329B0E37"/>
    <w:rsid w:val="329D03C7"/>
    <w:rsid w:val="32A41A99"/>
    <w:rsid w:val="32AB72CC"/>
    <w:rsid w:val="32C4213C"/>
    <w:rsid w:val="32C65EB4"/>
    <w:rsid w:val="32D14858"/>
    <w:rsid w:val="32E0684A"/>
    <w:rsid w:val="32FB4C7B"/>
    <w:rsid w:val="33030EB6"/>
    <w:rsid w:val="33066C22"/>
    <w:rsid w:val="330D3AE3"/>
    <w:rsid w:val="33160FD7"/>
    <w:rsid w:val="3317670F"/>
    <w:rsid w:val="331E5D82"/>
    <w:rsid w:val="332130EA"/>
    <w:rsid w:val="33435756"/>
    <w:rsid w:val="33442556"/>
    <w:rsid w:val="33541711"/>
    <w:rsid w:val="335D3A22"/>
    <w:rsid w:val="336254B1"/>
    <w:rsid w:val="336E3E55"/>
    <w:rsid w:val="33751688"/>
    <w:rsid w:val="337C2D44"/>
    <w:rsid w:val="337F131A"/>
    <w:rsid w:val="33947D60"/>
    <w:rsid w:val="33A45AC9"/>
    <w:rsid w:val="33AA7583"/>
    <w:rsid w:val="33BE6B8B"/>
    <w:rsid w:val="33D22636"/>
    <w:rsid w:val="33D62126"/>
    <w:rsid w:val="33DB598F"/>
    <w:rsid w:val="33E52369"/>
    <w:rsid w:val="33F176D4"/>
    <w:rsid w:val="33FC76B3"/>
    <w:rsid w:val="33FE167D"/>
    <w:rsid w:val="34164C19"/>
    <w:rsid w:val="3421711A"/>
    <w:rsid w:val="34232E92"/>
    <w:rsid w:val="34375C8B"/>
    <w:rsid w:val="34491DD2"/>
    <w:rsid w:val="345B6AD0"/>
    <w:rsid w:val="346A6D13"/>
    <w:rsid w:val="34713BFD"/>
    <w:rsid w:val="348A2F11"/>
    <w:rsid w:val="348E2A01"/>
    <w:rsid w:val="349873DC"/>
    <w:rsid w:val="349B511E"/>
    <w:rsid w:val="34A00986"/>
    <w:rsid w:val="34AB35B3"/>
    <w:rsid w:val="34BB756E"/>
    <w:rsid w:val="34CA77B1"/>
    <w:rsid w:val="34E268A9"/>
    <w:rsid w:val="34E40873"/>
    <w:rsid w:val="34E6283D"/>
    <w:rsid w:val="34E73EBF"/>
    <w:rsid w:val="34E93C63"/>
    <w:rsid w:val="34F767F8"/>
    <w:rsid w:val="35062B76"/>
    <w:rsid w:val="3529097C"/>
    <w:rsid w:val="3533311E"/>
    <w:rsid w:val="3538471B"/>
    <w:rsid w:val="35470E02"/>
    <w:rsid w:val="354F34AA"/>
    <w:rsid w:val="355377A7"/>
    <w:rsid w:val="356B2D42"/>
    <w:rsid w:val="35777939"/>
    <w:rsid w:val="357A18F1"/>
    <w:rsid w:val="35812566"/>
    <w:rsid w:val="358C6402"/>
    <w:rsid w:val="358D4A67"/>
    <w:rsid w:val="35904557"/>
    <w:rsid w:val="35956011"/>
    <w:rsid w:val="35957DBF"/>
    <w:rsid w:val="359800E1"/>
    <w:rsid w:val="35AE2C2F"/>
    <w:rsid w:val="35B423F0"/>
    <w:rsid w:val="35B93AAE"/>
    <w:rsid w:val="35BB5A78"/>
    <w:rsid w:val="35C3492C"/>
    <w:rsid w:val="35CD57AB"/>
    <w:rsid w:val="35D0169A"/>
    <w:rsid w:val="35D54660"/>
    <w:rsid w:val="35D703D8"/>
    <w:rsid w:val="35F26FC0"/>
    <w:rsid w:val="360016DD"/>
    <w:rsid w:val="36034D29"/>
    <w:rsid w:val="36070CBD"/>
    <w:rsid w:val="360A4309"/>
    <w:rsid w:val="36127662"/>
    <w:rsid w:val="362058DB"/>
    <w:rsid w:val="36266C69"/>
    <w:rsid w:val="363870C8"/>
    <w:rsid w:val="364A0BAA"/>
    <w:rsid w:val="365732C7"/>
    <w:rsid w:val="365D6B2F"/>
    <w:rsid w:val="366F23BE"/>
    <w:rsid w:val="3679323D"/>
    <w:rsid w:val="36794FEB"/>
    <w:rsid w:val="36826596"/>
    <w:rsid w:val="368C2F70"/>
    <w:rsid w:val="369B2983"/>
    <w:rsid w:val="36A007CA"/>
    <w:rsid w:val="36A4650C"/>
    <w:rsid w:val="36BB5604"/>
    <w:rsid w:val="36C22E36"/>
    <w:rsid w:val="36E20DE2"/>
    <w:rsid w:val="36E92171"/>
    <w:rsid w:val="36EA7C97"/>
    <w:rsid w:val="36EF52AD"/>
    <w:rsid w:val="36FE3DFD"/>
    <w:rsid w:val="36FE699D"/>
    <w:rsid w:val="36FF1994"/>
    <w:rsid w:val="370229DF"/>
    <w:rsid w:val="370A5999"/>
    <w:rsid w:val="371A67CE"/>
    <w:rsid w:val="371B2546"/>
    <w:rsid w:val="371F3DE4"/>
    <w:rsid w:val="372413FB"/>
    <w:rsid w:val="3724789B"/>
    <w:rsid w:val="37272C99"/>
    <w:rsid w:val="372B6711"/>
    <w:rsid w:val="374E5DED"/>
    <w:rsid w:val="37517D16"/>
    <w:rsid w:val="375515B4"/>
    <w:rsid w:val="377759CE"/>
    <w:rsid w:val="3779679F"/>
    <w:rsid w:val="377F0D27"/>
    <w:rsid w:val="37841E99"/>
    <w:rsid w:val="378E4AC6"/>
    <w:rsid w:val="37A11574"/>
    <w:rsid w:val="37A3563C"/>
    <w:rsid w:val="37A367C3"/>
    <w:rsid w:val="37BC5AD7"/>
    <w:rsid w:val="37BD53AB"/>
    <w:rsid w:val="37C4673A"/>
    <w:rsid w:val="37F52D97"/>
    <w:rsid w:val="38082ACA"/>
    <w:rsid w:val="380D1E8F"/>
    <w:rsid w:val="382F62A9"/>
    <w:rsid w:val="38363BC7"/>
    <w:rsid w:val="384719E3"/>
    <w:rsid w:val="38505119"/>
    <w:rsid w:val="385839D6"/>
    <w:rsid w:val="386012D7"/>
    <w:rsid w:val="386C39A1"/>
    <w:rsid w:val="387168C2"/>
    <w:rsid w:val="38726196"/>
    <w:rsid w:val="38763ED8"/>
    <w:rsid w:val="388A1731"/>
    <w:rsid w:val="3894610C"/>
    <w:rsid w:val="38961E84"/>
    <w:rsid w:val="389A3B4B"/>
    <w:rsid w:val="38A40BE6"/>
    <w:rsid w:val="38A81BB8"/>
    <w:rsid w:val="38AC16A8"/>
    <w:rsid w:val="38B16CBE"/>
    <w:rsid w:val="38BB18EB"/>
    <w:rsid w:val="38C20ECB"/>
    <w:rsid w:val="38C8225A"/>
    <w:rsid w:val="38DB01DF"/>
    <w:rsid w:val="38EF77E6"/>
    <w:rsid w:val="38F35529"/>
    <w:rsid w:val="38F47953"/>
    <w:rsid w:val="38F870E6"/>
    <w:rsid w:val="38FB262F"/>
    <w:rsid w:val="39202096"/>
    <w:rsid w:val="39205D9E"/>
    <w:rsid w:val="392456E2"/>
    <w:rsid w:val="39296E78"/>
    <w:rsid w:val="39363667"/>
    <w:rsid w:val="39382F3B"/>
    <w:rsid w:val="39493290"/>
    <w:rsid w:val="394D6CF1"/>
    <w:rsid w:val="39567866"/>
    <w:rsid w:val="39677CC5"/>
    <w:rsid w:val="397544B2"/>
    <w:rsid w:val="397B107A"/>
    <w:rsid w:val="39BA1BA2"/>
    <w:rsid w:val="39BE5B37"/>
    <w:rsid w:val="39C173D5"/>
    <w:rsid w:val="39CD5D7A"/>
    <w:rsid w:val="39D30EB6"/>
    <w:rsid w:val="39DE1D35"/>
    <w:rsid w:val="39E3559D"/>
    <w:rsid w:val="39E5156F"/>
    <w:rsid w:val="39F2758E"/>
    <w:rsid w:val="39F52FDB"/>
    <w:rsid w:val="39F8091D"/>
    <w:rsid w:val="39FE23D7"/>
    <w:rsid w:val="3A0468BC"/>
    <w:rsid w:val="3A132613"/>
    <w:rsid w:val="3A2B22D6"/>
    <w:rsid w:val="3A322081"/>
    <w:rsid w:val="3A371445"/>
    <w:rsid w:val="3A3B7187"/>
    <w:rsid w:val="3A5B15D7"/>
    <w:rsid w:val="3A5C0EAC"/>
    <w:rsid w:val="3A5D324F"/>
    <w:rsid w:val="3A667F7C"/>
    <w:rsid w:val="3A6701BF"/>
    <w:rsid w:val="3A8D375B"/>
    <w:rsid w:val="3A913887"/>
    <w:rsid w:val="3A931547"/>
    <w:rsid w:val="3A940D1B"/>
    <w:rsid w:val="3AB74334"/>
    <w:rsid w:val="3ACF78CF"/>
    <w:rsid w:val="3AD24D52"/>
    <w:rsid w:val="3AE55345"/>
    <w:rsid w:val="3AED6E59"/>
    <w:rsid w:val="3AF31810"/>
    <w:rsid w:val="3B043A1D"/>
    <w:rsid w:val="3B0532F1"/>
    <w:rsid w:val="3B295232"/>
    <w:rsid w:val="3B334302"/>
    <w:rsid w:val="3B385475"/>
    <w:rsid w:val="3B451F73"/>
    <w:rsid w:val="3B4A33FA"/>
    <w:rsid w:val="3B4A51A8"/>
    <w:rsid w:val="3B6049CB"/>
    <w:rsid w:val="3B660234"/>
    <w:rsid w:val="3B673FAC"/>
    <w:rsid w:val="3B6A75F8"/>
    <w:rsid w:val="3B6C15C2"/>
    <w:rsid w:val="3B6C511E"/>
    <w:rsid w:val="3B77584C"/>
    <w:rsid w:val="3B824942"/>
    <w:rsid w:val="3B914B85"/>
    <w:rsid w:val="3B936B4F"/>
    <w:rsid w:val="3B9D634C"/>
    <w:rsid w:val="3BA26D92"/>
    <w:rsid w:val="3BA50630"/>
    <w:rsid w:val="3BA945C4"/>
    <w:rsid w:val="3BC1190E"/>
    <w:rsid w:val="3BD31641"/>
    <w:rsid w:val="3BD80A06"/>
    <w:rsid w:val="3BF25615"/>
    <w:rsid w:val="3BFC64A2"/>
    <w:rsid w:val="3C0812EB"/>
    <w:rsid w:val="3C127CC8"/>
    <w:rsid w:val="3C1557B6"/>
    <w:rsid w:val="3C2459F9"/>
    <w:rsid w:val="3C260472"/>
    <w:rsid w:val="3C2F4ACA"/>
    <w:rsid w:val="3C3F2833"/>
    <w:rsid w:val="3C940DD1"/>
    <w:rsid w:val="3C9F1CFE"/>
    <w:rsid w:val="3C9F32D2"/>
    <w:rsid w:val="3CA54D8C"/>
    <w:rsid w:val="3CB123E6"/>
    <w:rsid w:val="3CB66F99"/>
    <w:rsid w:val="3CC26229"/>
    <w:rsid w:val="3CCC056A"/>
    <w:rsid w:val="3CCD42E3"/>
    <w:rsid w:val="3CD967E3"/>
    <w:rsid w:val="3CE072D1"/>
    <w:rsid w:val="3CE31410"/>
    <w:rsid w:val="3CE358B4"/>
    <w:rsid w:val="3CEA279F"/>
    <w:rsid w:val="3CEA4D35"/>
    <w:rsid w:val="3CF11D7F"/>
    <w:rsid w:val="3CFB2BFE"/>
    <w:rsid w:val="3D001FC2"/>
    <w:rsid w:val="3D015D3A"/>
    <w:rsid w:val="3D095B52"/>
    <w:rsid w:val="3D0F48FB"/>
    <w:rsid w:val="3D1D2B74"/>
    <w:rsid w:val="3D271C45"/>
    <w:rsid w:val="3D475E43"/>
    <w:rsid w:val="3D502BD6"/>
    <w:rsid w:val="3D532A3A"/>
    <w:rsid w:val="3D5440BC"/>
    <w:rsid w:val="3D632551"/>
    <w:rsid w:val="3D65276D"/>
    <w:rsid w:val="3D6A7D83"/>
    <w:rsid w:val="3D7B789B"/>
    <w:rsid w:val="3D7E738B"/>
    <w:rsid w:val="3D932E36"/>
    <w:rsid w:val="3D935F90"/>
    <w:rsid w:val="3D9A41C5"/>
    <w:rsid w:val="3DA2751D"/>
    <w:rsid w:val="3DA506D2"/>
    <w:rsid w:val="3DA60DBB"/>
    <w:rsid w:val="3DB35286"/>
    <w:rsid w:val="3DCA384F"/>
    <w:rsid w:val="3DD00834"/>
    <w:rsid w:val="3DD671C7"/>
    <w:rsid w:val="3DDD0555"/>
    <w:rsid w:val="3DE43692"/>
    <w:rsid w:val="3DF71617"/>
    <w:rsid w:val="3DFD29A6"/>
    <w:rsid w:val="3E063608"/>
    <w:rsid w:val="3E083824"/>
    <w:rsid w:val="3E0930F8"/>
    <w:rsid w:val="3E0E070F"/>
    <w:rsid w:val="3E2424CF"/>
    <w:rsid w:val="3E265A58"/>
    <w:rsid w:val="3E2B12C1"/>
    <w:rsid w:val="3E2B7513"/>
    <w:rsid w:val="3E2D5039"/>
    <w:rsid w:val="3E300685"/>
    <w:rsid w:val="3E35373D"/>
    <w:rsid w:val="3E375EB7"/>
    <w:rsid w:val="3E416D36"/>
    <w:rsid w:val="3E5720B6"/>
    <w:rsid w:val="3E573E64"/>
    <w:rsid w:val="3E5F234B"/>
    <w:rsid w:val="3E66679D"/>
    <w:rsid w:val="3E80785E"/>
    <w:rsid w:val="3E894239"/>
    <w:rsid w:val="3E8A248B"/>
    <w:rsid w:val="3E8B1D5F"/>
    <w:rsid w:val="3E8D1066"/>
    <w:rsid w:val="3EA01CAF"/>
    <w:rsid w:val="3EA11583"/>
    <w:rsid w:val="3EAD1CD6"/>
    <w:rsid w:val="3EAD405D"/>
    <w:rsid w:val="3EBD56B8"/>
    <w:rsid w:val="3ED03C16"/>
    <w:rsid w:val="3ED100BA"/>
    <w:rsid w:val="3F020757"/>
    <w:rsid w:val="3F177A97"/>
    <w:rsid w:val="3F19736B"/>
    <w:rsid w:val="3F220916"/>
    <w:rsid w:val="3F221C11"/>
    <w:rsid w:val="3F253FE2"/>
    <w:rsid w:val="3F2A73B9"/>
    <w:rsid w:val="3F4224C4"/>
    <w:rsid w:val="3F43263A"/>
    <w:rsid w:val="3F52287D"/>
    <w:rsid w:val="3F7D78FA"/>
    <w:rsid w:val="3F823162"/>
    <w:rsid w:val="3F874C1D"/>
    <w:rsid w:val="3F8E1B07"/>
    <w:rsid w:val="3F934C4B"/>
    <w:rsid w:val="3F9F3D14"/>
    <w:rsid w:val="3FA27361"/>
    <w:rsid w:val="3FB86B84"/>
    <w:rsid w:val="3FBF1830"/>
    <w:rsid w:val="3FBF6165"/>
    <w:rsid w:val="3FCA68B7"/>
    <w:rsid w:val="3FE70456"/>
    <w:rsid w:val="3FE756BB"/>
    <w:rsid w:val="3FE91433"/>
    <w:rsid w:val="3FEC0F24"/>
    <w:rsid w:val="3FEF0943"/>
    <w:rsid w:val="3FF83425"/>
    <w:rsid w:val="4004626D"/>
    <w:rsid w:val="40095632"/>
    <w:rsid w:val="402204A1"/>
    <w:rsid w:val="40264211"/>
    <w:rsid w:val="40267F92"/>
    <w:rsid w:val="40273D0A"/>
    <w:rsid w:val="4033034A"/>
    <w:rsid w:val="40383B92"/>
    <w:rsid w:val="40416B7A"/>
    <w:rsid w:val="4047615A"/>
    <w:rsid w:val="40520D87"/>
    <w:rsid w:val="40644F5E"/>
    <w:rsid w:val="406D5BC1"/>
    <w:rsid w:val="407C22A8"/>
    <w:rsid w:val="40917FC2"/>
    <w:rsid w:val="409273D5"/>
    <w:rsid w:val="409A0980"/>
    <w:rsid w:val="409F5F96"/>
    <w:rsid w:val="40A47F47"/>
    <w:rsid w:val="40A652B3"/>
    <w:rsid w:val="40AA543B"/>
    <w:rsid w:val="40AB0497"/>
    <w:rsid w:val="40B41865"/>
    <w:rsid w:val="40C003E6"/>
    <w:rsid w:val="40C559FD"/>
    <w:rsid w:val="40C63523"/>
    <w:rsid w:val="40CB0B39"/>
    <w:rsid w:val="40F40090"/>
    <w:rsid w:val="40F40C4B"/>
    <w:rsid w:val="40F462E2"/>
    <w:rsid w:val="40F55BB6"/>
    <w:rsid w:val="40FE4A6B"/>
    <w:rsid w:val="40FF607C"/>
    <w:rsid w:val="41036525"/>
    <w:rsid w:val="410759D4"/>
    <w:rsid w:val="410D1152"/>
    <w:rsid w:val="410E3FFA"/>
    <w:rsid w:val="41175793"/>
    <w:rsid w:val="41200E85"/>
    <w:rsid w:val="412732C0"/>
    <w:rsid w:val="412969CD"/>
    <w:rsid w:val="412A5860"/>
    <w:rsid w:val="412C782A"/>
    <w:rsid w:val="41393CF5"/>
    <w:rsid w:val="41432B6E"/>
    <w:rsid w:val="41483F38"/>
    <w:rsid w:val="41524DB6"/>
    <w:rsid w:val="41540B2E"/>
    <w:rsid w:val="41726AB7"/>
    <w:rsid w:val="417411D1"/>
    <w:rsid w:val="41742F7F"/>
    <w:rsid w:val="417B430D"/>
    <w:rsid w:val="417E7959"/>
    <w:rsid w:val="41856F3A"/>
    <w:rsid w:val="41886A2A"/>
    <w:rsid w:val="41A90E7A"/>
    <w:rsid w:val="41A970CC"/>
    <w:rsid w:val="41B96BE3"/>
    <w:rsid w:val="41BB295C"/>
    <w:rsid w:val="41D103D1"/>
    <w:rsid w:val="41D57EC1"/>
    <w:rsid w:val="41E2438C"/>
    <w:rsid w:val="41E40104"/>
    <w:rsid w:val="41E9571B"/>
    <w:rsid w:val="41FB36A0"/>
    <w:rsid w:val="42010CB6"/>
    <w:rsid w:val="4205007B"/>
    <w:rsid w:val="42084379"/>
    <w:rsid w:val="420C67D1"/>
    <w:rsid w:val="42116A20"/>
    <w:rsid w:val="421502BE"/>
    <w:rsid w:val="422E312E"/>
    <w:rsid w:val="423A7D24"/>
    <w:rsid w:val="423D5A66"/>
    <w:rsid w:val="4251506E"/>
    <w:rsid w:val="42541D08"/>
    <w:rsid w:val="425C413F"/>
    <w:rsid w:val="42621029"/>
    <w:rsid w:val="426B25D4"/>
    <w:rsid w:val="427D5ABF"/>
    <w:rsid w:val="42864D18"/>
    <w:rsid w:val="4292152A"/>
    <w:rsid w:val="429513FF"/>
    <w:rsid w:val="42BA2C13"/>
    <w:rsid w:val="42BA4AC9"/>
    <w:rsid w:val="42C02EB8"/>
    <w:rsid w:val="42C52E22"/>
    <w:rsid w:val="42C910A8"/>
    <w:rsid w:val="42E44134"/>
    <w:rsid w:val="42F223AD"/>
    <w:rsid w:val="42FF41BA"/>
    <w:rsid w:val="430D71E7"/>
    <w:rsid w:val="43120CA1"/>
    <w:rsid w:val="432461C2"/>
    <w:rsid w:val="43291B47"/>
    <w:rsid w:val="433220F8"/>
    <w:rsid w:val="43487EAF"/>
    <w:rsid w:val="434A21E9"/>
    <w:rsid w:val="435B61A4"/>
    <w:rsid w:val="43607C5E"/>
    <w:rsid w:val="43664B49"/>
    <w:rsid w:val="437E6337"/>
    <w:rsid w:val="438F22F2"/>
    <w:rsid w:val="43911BC6"/>
    <w:rsid w:val="4391606A"/>
    <w:rsid w:val="439A7A97"/>
    <w:rsid w:val="43CA332A"/>
    <w:rsid w:val="43CC70A2"/>
    <w:rsid w:val="43D45F57"/>
    <w:rsid w:val="43D72E14"/>
    <w:rsid w:val="43E56DB7"/>
    <w:rsid w:val="44000AFA"/>
    <w:rsid w:val="44056110"/>
    <w:rsid w:val="440C56F0"/>
    <w:rsid w:val="443F1622"/>
    <w:rsid w:val="444C01E3"/>
    <w:rsid w:val="444E3F5B"/>
    <w:rsid w:val="444E5D09"/>
    <w:rsid w:val="446B416C"/>
    <w:rsid w:val="446B6DF9"/>
    <w:rsid w:val="44705C7F"/>
    <w:rsid w:val="447D039C"/>
    <w:rsid w:val="447F5EC2"/>
    <w:rsid w:val="44974DFC"/>
    <w:rsid w:val="449D27EC"/>
    <w:rsid w:val="44A26055"/>
    <w:rsid w:val="44C4421D"/>
    <w:rsid w:val="44C935E1"/>
    <w:rsid w:val="44DA134B"/>
    <w:rsid w:val="44E126D9"/>
    <w:rsid w:val="44EE4DF6"/>
    <w:rsid w:val="44F06DC0"/>
    <w:rsid w:val="44F4224F"/>
    <w:rsid w:val="44F47B33"/>
    <w:rsid w:val="45010FB7"/>
    <w:rsid w:val="45140D01"/>
    <w:rsid w:val="451900C5"/>
    <w:rsid w:val="45191E0F"/>
    <w:rsid w:val="452756F8"/>
    <w:rsid w:val="452A0524"/>
    <w:rsid w:val="453F5652"/>
    <w:rsid w:val="45440EBA"/>
    <w:rsid w:val="45442C68"/>
    <w:rsid w:val="455E1F7C"/>
    <w:rsid w:val="45692A85"/>
    <w:rsid w:val="457B554C"/>
    <w:rsid w:val="45A543E8"/>
    <w:rsid w:val="45AD4CB1"/>
    <w:rsid w:val="45BB5620"/>
    <w:rsid w:val="45BC6CA2"/>
    <w:rsid w:val="45D93CF8"/>
    <w:rsid w:val="45FE550D"/>
    <w:rsid w:val="4613530C"/>
    <w:rsid w:val="463902F3"/>
    <w:rsid w:val="463D6035"/>
    <w:rsid w:val="464A495B"/>
    <w:rsid w:val="4654512D"/>
    <w:rsid w:val="465B3FCD"/>
    <w:rsid w:val="465B423C"/>
    <w:rsid w:val="466A4950"/>
    <w:rsid w:val="46761547"/>
    <w:rsid w:val="46767799"/>
    <w:rsid w:val="467F664E"/>
    <w:rsid w:val="468A0B4E"/>
    <w:rsid w:val="46916381"/>
    <w:rsid w:val="46A00372"/>
    <w:rsid w:val="46AB5E51"/>
    <w:rsid w:val="46BC1650"/>
    <w:rsid w:val="46C73B51"/>
    <w:rsid w:val="46CE3131"/>
    <w:rsid w:val="46F64465"/>
    <w:rsid w:val="46FB7DC6"/>
    <w:rsid w:val="47170634"/>
    <w:rsid w:val="47255440"/>
    <w:rsid w:val="4729480B"/>
    <w:rsid w:val="47431498"/>
    <w:rsid w:val="474677B9"/>
    <w:rsid w:val="474D04FA"/>
    <w:rsid w:val="47501D98"/>
    <w:rsid w:val="47573126"/>
    <w:rsid w:val="475C74D6"/>
    <w:rsid w:val="47637D1D"/>
    <w:rsid w:val="476E221E"/>
    <w:rsid w:val="4779309D"/>
    <w:rsid w:val="478163F5"/>
    <w:rsid w:val="47835CCA"/>
    <w:rsid w:val="47863A0C"/>
    <w:rsid w:val="478C7274"/>
    <w:rsid w:val="47953C4F"/>
    <w:rsid w:val="479B1265"/>
    <w:rsid w:val="479C6D8B"/>
    <w:rsid w:val="47A66166"/>
    <w:rsid w:val="47B2035D"/>
    <w:rsid w:val="47C02A7A"/>
    <w:rsid w:val="47C36A0E"/>
    <w:rsid w:val="47C50090"/>
    <w:rsid w:val="47C85DD2"/>
    <w:rsid w:val="47CA7D9C"/>
    <w:rsid w:val="47E0311C"/>
    <w:rsid w:val="47E44E5F"/>
    <w:rsid w:val="47EF335F"/>
    <w:rsid w:val="47EF7803"/>
    <w:rsid w:val="47F15329"/>
    <w:rsid w:val="47F44E19"/>
    <w:rsid w:val="47F46BC7"/>
    <w:rsid w:val="48044E26"/>
    <w:rsid w:val="480C34E1"/>
    <w:rsid w:val="48233009"/>
    <w:rsid w:val="482E20D9"/>
    <w:rsid w:val="48335942"/>
    <w:rsid w:val="48345216"/>
    <w:rsid w:val="48457423"/>
    <w:rsid w:val="484E4529"/>
    <w:rsid w:val="48547666"/>
    <w:rsid w:val="486D4BDD"/>
    <w:rsid w:val="488C6E00"/>
    <w:rsid w:val="48926950"/>
    <w:rsid w:val="489F2FD7"/>
    <w:rsid w:val="48A07E5C"/>
    <w:rsid w:val="48AB197C"/>
    <w:rsid w:val="48B870E3"/>
    <w:rsid w:val="48BD16AF"/>
    <w:rsid w:val="48C447EC"/>
    <w:rsid w:val="48CA7928"/>
    <w:rsid w:val="48D2515B"/>
    <w:rsid w:val="48DB38E3"/>
    <w:rsid w:val="48E1539E"/>
    <w:rsid w:val="48E7672C"/>
    <w:rsid w:val="48EE3617"/>
    <w:rsid w:val="48FC3F85"/>
    <w:rsid w:val="49064E04"/>
    <w:rsid w:val="490D6193"/>
    <w:rsid w:val="49325BF9"/>
    <w:rsid w:val="493F0316"/>
    <w:rsid w:val="494E0559"/>
    <w:rsid w:val="49531935"/>
    <w:rsid w:val="495C03C3"/>
    <w:rsid w:val="495C3939"/>
    <w:rsid w:val="49613751"/>
    <w:rsid w:val="49634005"/>
    <w:rsid w:val="496F6480"/>
    <w:rsid w:val="49777AB0"/>
    <w:rsid w:val="497E1166"/>
    <w:rsid w:val="499A72FA"/>
    <w:rsid w:val="49B04D70"/>
    <w:rsid w:val="49B91E77"/>
    <w:rsid w:val="49C34AA3"/>
    <w:rsid w:val="49D40A5E"/>
    <w:rsid w:val="49D725D5"/>
    <w:rsid w:val="49F5252F"/>
    <w:rsid w:val="49FC7FB5"/>
    <w:rsid w:val="49FE3D2D"/>
    <w:rsid w:val="4A275494"/>
    <w:rsid w:val="4A4060F4"/>
    <w:rsid w:val="4A4C2CEB"/>
    <w:rsid w:val="4A4F27DB"/>
    <w:rsid w:val="4A5144F5"/>
    <w:rsid w:val="4A6873F9"/>
    <w:rsid w:val="4A6D7678"/>
    <w:rsid w:val="4A6F0787"/>
    <w:rsid w:val="4A7D2EA4"/>
    <w:rsid w:val="4A8C758B"/>
    <w:rsid w:val="4A8E3303"/>
    <w:rsid w:val="4A8F2BD7"/>
    <w:rsid w:val="4A934476"/>
    <w:rsid w:val="4A987CDE"/>
    <w:rsid w:val="4AA37EE6"/>
    <w:rsid w:val="4AA448D5"/>
    <w:rsid w:val="4ACB00B3"/>
    <w:rsid w:val="4ACB4AB7"/>
    <w:rsid w:val="4AD8632C"/>
    <w:rsid w:val="4AE66C9B"/>
    <w:rsid w:val="4AEC627C"/>
    <w:rsid w:val="4AF009F8"/>
    <w:rsid w:val="4B132B27"/>
    <w:rsid w:val="4B171A50"/>
    <w:rsid w:val="4B2C0426"/>
    <w:rsid w:val="4B3D0885"/>
    <w:rsid w:val="4B481704"/>
    <w:rsid w:val="4B667DDC"/>
    <w:rsid w:val="4B6C3492"/>
    <w:rsid w:val="4B736055"/>
    <w:rsid w:val="4B773D97"/>
    <w:rsid w:val="4B797B0F"/>
    <w:rsid w:val="4B7C315C"/>
    <w:rsid w:val="4B8169C4"/>
    <w:rsid w:val="4B977F95"/>
    <w:rsid w:val="4B9F6E4A"/>
    <w:rsid w:val="4BAB1157"/>
    <w:rsid w:val="4BAD4CA0"/>
    <w:rsid w:val="4BB85DB3"/>
    <w:rsid w:val="4BBE3774"/>
    <w:rsid w:val="4BC62D0B"/>
    <w:rsid w:val="4BD016F9"/>
    <w:rsid w:val="4BE11211"/>
    <w:rsid w:val="4BE96317"/>
    <w:rsid w:val="4BEC09CA"/>
    <w:rsid w:val="4BED22AB"/>
    <w:rsid w:val="4BF54CBC"/>
    <w:rsid w:val="4C0373D9"/>
    <w:rsid w:val="4C150E22"/>
    <w:rsid w:val="4C196BFC"/>
    <w:rsid w:val="4C1A4723"/>
    <w:rsid w:val="4C2F01CE"/>
    <w:rsid w:val="4C481290"/>
    <w:rsid w:val="4C59524B"/>
    <w:rsid w:val="4C5B5467"/>
    <w:rsid w:val="4C6065D9"/>
    <w:rsid w:val="4C6205A3"/>
    <w:rsid w:val="4C63431C"/>
    <w:rsid w:val="4C654380"/>
    <w:rsid w:val="4C7E684D"/>
    <w:rsid w:val="4C804ECE"/>
    <w:rsid w:val="4C8F5111"/>
    <w:rsid w:val="4C910E89"/>
    <w:rsid w:val="4C98026A"/>
    <w:rsid w:val="4C991AEB"/>
    <w:rsid w:val="4CA87F80"/>
    <w:rsid w:val="4CA95865"/>
    <w:rsid w:val="4CAF7561"/>
    <w:rsid w:val="4CB132D9"/>
    <w:rsid w:val="4CB46925"/>
    <w:rsid w:val="4CB52948"/>
    <w:rsid w:val="4CC41E4C"/>
    <w:rsid w:val="4CD80866"/>
    <w:rsid w:val="4CDD40CE"/>
    <w:rsid w:val="4CE52F83"/>
    <w:rsid w:val="4CEA67EB"/>
    <w:rsid w:val="4CF84240"/>
    <w:rsid w:val="4CFB4554"/>
    <w:rsid w:val="4D021D86"/>
    <w:rsid w:val="4D061D5C"/>
    <w:rsid w:val="4D090A1F"/>
    <w:rsid w:val="4D2E66D8"/>
    <w:rsid w:val="4D331F40"/>
    <w:rsid w:val="4D3D2DBF"/>
    <w:rsid w:val="4D502AF2"/>
    <w:rsid w:val="4D5631A1"/>
    <w:rsid w:val="4D5C3245"/>
    <w:rsid w:val="4D5F2D35"/>
    <w:rsid w:val="4D706CF0"/>
    <w:rsid w:val="4D7367E0"/>
    <w:rsid w:val="4D81508F"/>
    <w:rsid w:val="4D9041B3"/>
    <w:rsid w:val="4D986247"/>
    <w:rsid w:val="4D9D560B"/>
    <w:rsid w:val="4DA370C6"/>
    <w:rsid w:val="4DB03590"/>
    <w:rsid w:val="4DB72B71"/>
    <w:rsid w:val="4DB766CD"/>
    <w:rsid w:val="4DBA7F6B"/>
    <w:rsid w:val="4DC4703C"/>
    <w:rsid w:val="4DCA28A4"/>
    <w:rsid w:val="4DD92AE7"/>
    <w:rsid w:val="4DDD164F"/>
    <w:rsid w:val="4DDF5C24"/>
    <w:rsid w:val="4DFF0074"/>
    <w:rsid w:val="4DFF17AF"/>
    <w:rsid w:val="4E0062C6"/>
    <w:rsid w:val="4E0538DC"/>
    <w:rsid w:val="4E067654"/>
    <w:rsid w:val="4E0B4C6B"/>
    <w:rsid w:val="4E0F02B7"/>
    <w:rsid w:val="4E143B1F"/>
    <w:rsid w:val="4E1C6E78"/>
    <w:rsid w:val="4E1E04FA"/>
    <w:rsid w:val="4E1F4272"/>
    <w:rsid w:val="4E263853"/>
    <w:rsid w:val="4E2A50F1"/>
    <w:rsid w:val="4E2B70BB"/>
    <w:rsid w:val="4E37780E"/>
    <w:rsid w:val="4E473EF5"/>
    <w:rsid w:val="4E551738"/>
    <w:rsid w:val="4E571C5E"/>
    <w:rsid w:val="4E5B34FC"/>
    <w:rsid w:val="4E6579F3"/>
    <w:rsid w:val="4E6F51FA"/>
    <w:rsid w:val="4E7520E4"/>
    <w:rsid w:val="4E7666AF"/>
    <w:rsid w:val="4E7C3473"/>
    <w:rsid w:val="4E830CA5"/>
    <w:rsid w:val="4E8D742E"/>
    <w:rsid w:val="4E915170"/>
    <w:rsid w:val="4E956D0F"/>
    <w:rsid w:val="4E9764FE"/>
    <w:rsid w:val="4E985A3F"/>
    <w:rsid w:val="4E994025"/>
    <w:rsid w:val="4EA76741"/>
    <w:rsid w:val="4EAC1FAA"/>
    <w:rsid w:val="4ECD1F20"/>
    <w:rsid w:val="4EE71470"/>
    <w:rsid w:val="4EE76C0B"/>
    <w:rsid w:val="4EF474AD"/>
    <w:rsid w:val="4F02606E"/>
    <w:rsid w:val="4F0911AA"/>
    <w:rsid w:val="4F1B2C8C"/>
    <w:rsid w:val="4F2558B8"/>
    <w:rsid w:val="4F2831CE"/>
    <w:rsid w:val="4F2E18FB"/>
    <w:rsid w:val="4F337FD5"/>
    <w:rsid w:val="4F391364"/>
    <w:rsid w:val="4F3B50DC"/>
    <w:rsid w:val="4F40044C"/>
    <w:rsid w:val="4F527D9E"/>
    <w:rsid w:val="4F5D5052"/>
    <w:rsid w:val="4F697E9B"/>
    <w:rsid w:val="4F6B3C13"/>
    <w:rsid w:val="4F786330"/>
    <w:rsid w:val="4F9111A0"/>
    <w:rsid w:val="4F912F4E"/>
    <w:rsid w:val="4F932AC0"/>
    <w:rsid w:val="4F975858"/>
    <w:rsid w:val="4F9A0054"/>
    <w:rsid w:val="4FB355BA"/>
    <w:rsid w:val="4FBA4253"/>
    <w:rsid w:val="4FCE5F50"/>
    <w:rsid w:val="4FE93FF1"/>
    <w:rsid w:val="4FE94B38"/>
    <w:rsid w:val="4FF57980"/>
    <w:rsid w:val="5000629A"/>
    <w:rsid w:val="500D3812"/>
    <w:rsid w:val="502344EE"/>
    <w:rsid w:val="5023629C"/>
    <w:rsid w:val="502618E8"/>
    <w:rsid w:val="502E5D8F"/>
    <w:rsid w:val="50371D47"/>
    <w:rsid w:val="50506965"/>
    <w:rsid w:val="50586D12"/>
    <w:rsid w:val="505F30B9"/>
    <w:rsid w:val="50634FD6"/>
    <w:rsid w:val="506818ED"/>
    <w:rsid w:val="507765E7"/>
    <w:rsid w:val="507F724A"/>
    <w:rsid w:val="508A631B"/>
    <w:rsid w:val="50962F12"/>
    <w:rsid w:val="50A0169A"/>
    <w:rsid w:val="50C07F8E"/>
    <w:rsid w:val="50CD4459"/>
    <w:rsid w:val="50DB0924"/>
    <w:rsid w:val="50E0418D"/>
    <w:rsid w:val="50E05F3B"/>
    <w:rsid w:val="50E1178F"/>
    <w:rsid w:val="50ED2406"/>
    <w:rsid w:val="50F66B09"/>
    <w:rsid w:val="51087240"/>
    <w:rsid w:val="512F20A8"/>
    <w:rsid w:val="513149E8"/>
    <w:rsid w:val="514E2BF2"/>
    <w:rsid w:val="5153495F"/>
    <w:rsid w:val="515406D7"/>
    <w:rsid w:val="515C3E7C"/>
    <w:rsid w:val="515F72D3"/>
    <w:rsid w:val="51644DBE"/>
    <w:rsid w:val="51695F6C"/>
    <w:rsid w:val="516D0B7B"/>
    <w:rsid w:val="51825244"/>
    <w:rsid w:val="51856AE2"/>
    <w:rsid w:val="51864D34"/>
    <w:rsid w:val="51894824"/>
    <w:rsid w:val="519A0128"/>
    <w:rsid w:val="51A72EFC"/>
    <w:rsid w:val="51B03B5F"/>
    <w:rsid w:val="51CE0489"/>
    <w:rsid w:val="51DD06CC"/>
    <w:rsid w:val="51E43809"/>
    <w:rsid w:val="51E8779D"/>
    <w:rsid w:val="51F37EF0"/>
    <w:rsid w:val="51FC6DA4"/>
    <w:rsid w:val="520774F7"/>
    <w:rsid w:val="522E2CD6"/>
    <w:rsid w:val="52304CA0"/>
    <w:rsid w:val="52326C6A"/>
    <w:rsid w:val="523429E2"/>
    <w:rsid w:val="523A31EC"/>
    <w:rsid w:val="523C1897"/>
    <w:rsid w:val="523F2203"/>
    <w:rsid w:val="523F3135"/>
    <w:rsid w:val="52487FA3"/>
    <w:rsid w:val="52524C16"/>
    <w:rsid w:val="525564B4"/>
    <w:rsid w:val="525C7843"/>
    <w:rsid w:val="52763ED7"/>
    <w:rsid w:val="52787DCA"/>
    <w:rsid w:val="527E0DBE"/>
    <w:rsid w:val="52860D64"/>
    <w:rsid w:val="528F7C18"/>
    <w:rsid w:val="52962AD2"/>
    <w:rsid w:val="529671F9"/>
    <w:rsid w:val="52BF6E89"/>
    <w:rsid w:val="52F67C97"/>
    <w:rsid w:val="52FB705C"/>
    <w:rsid w:val="531B14AC"/>
    <w:rsid w:val="533413B9"/>
    <w:rsid w:val="53400F13"/>
    <w:rsid w:val="53436D5F"/>
    <w:rsid w:val="53566988"/>
    <w:rsid w:val="53642E53"/>
    <w:rsid w:val="5367649F"/>
    <w:rsid w:val="53786204"/>
    <w:rsid w:val="538057B3"/>
    <w:rsid w:val="53966D85"/>
    <w:rsid w:val="53A0767F"/>
    <w:rsid w:val="53B11E10"/>
    <w:rsid w:val="53B37937"/>
    <w:rsid w:val="53C119F3"/>
    <w:rsid w:val="53C75190"/>
    <w:rsid w:val="53E303F6"/>
    <w:rsid w:val="53E916F5"/>
    <w:rsid w:val="53EB1FF8"/>
    <w:rsid w:val="53EE6339"/>
    <w:rsid w:val="54014B46"/>
    <w:rsid w:val="54036A69"/>
    <w:rsid w:val="541008E5"/>
    <w:rsid w:val="541F321E"/>
    <w:rsid w:val="54232D0E"/>
    <w:rsid w:val="5425781E"/>
    <w:rsid w:val="543534D1"/>
    <w:rsid w:val="5438608E"/>
    <w:rsid w:val="544B268E"/>
    <w:rsid w:val="545D7FD4"/>
    <w:rsid w:val="54755879"/>
    <w:rsid w:val="54907C78"/>
    <w:rsid w:val="549459BA"/>
    <w:rsid w:val="54987747"/>
    <w:rsid w:val="549C486F"/>
    <w:rsid w:val="549F3AF6"/>
    <w:rsid w:val="54A639D5"/>
    <w:rsid w:val="54B35714"/>
    <w:rsid w:val="54B43966"/>
    <w:rsid w:val="54BE47E5"/>
    <w:rsid w:val="54D45DB6"/>
    <w:rsid w:val="54D73AF9"/>
    <w:rsid w:val="54E35FFA"/>
    <w:rsid w:val="54E40912"/>
    <w:rsid w:val="54EA382C"/>
    <w:rsid w:val="54EA7388"/>
    <w:rsid w:val="54ED6E78"/>
    <w:rsid w:val="54F226E1"/>
    <w:rsid w:val="55006BAB"/>
    <w:rsid w:val="55080688"/>
    <w:rsid w:val="550A3972"/>
    <w:rsid w:val="551161E5"/>
    <w:rsid w:val="5512068D"/>
    <w:rsid w:val="551A5D77"/>
    <w:rsid w:val="551C775D"/>
    <w:rsid w:val="551E7032"/>
    <w:rsid w:val="55234733"/>
    <w:rsid w:val="552B174F"/>
    <w:rsid w:val="552C5BF2"/>
    <w:rsid w:val="552F56E3"/>
    <w:rsid w:val="553625CD"/>
    <w:rsid w:val="55366A71"/>
    <w:rsid w:val="555111B5"/>
    <w:rsid w:val="556D6A38"/>
    <w:rsid w:val="556E5844"/>
    <w:rsid w:val="55735DDC"/>
    <w:rsid w:val="557B3584"/>
    <w:rsid w:val="55831F9B"/>
    <w:rsid w:val="5587107B"/>
    <w:rsid w:val="55904B7D"/>
    <w:rsid w:val="559B4B26"/>
    <w:rsid w:val="55A97243"/>
    <w:rsid w:val="55C91693"/>
    <w:rsid w:val="55CE0A58"/>
    <w:rsid w:val="55F304BE"/>
    <w:rsid w:val="55FA0970"/>
    <w:rsid w:val="564231F4"/>
    <w:rsid w:val="564B02FA"/>
    <w:rsid w:val="56571A9A"/>
    <w:rsid w:val="56575206"/>
    <w:rsid w:val="566679E9"/>
    <w:rsid w:val="567710EF"/>
    <w:rsid w:val="56836793"/>
    <w:rsid w:val="56927CD7"/>
    <w:rsid w:val="56A143BE"/>
    <w:rsid w:val="56B22127"/>
    <w:rsid w:val="56B47A82"/>
    <w:rsid w:val="56B75990"/>
    <w:rsid w:val="56B85264"/>
    <w:rsid w:val="56D77DE0"/>
    <w:rsid w:val="56E9366F"/>
    <w:rsid w:val="56FB3ACE"/>
    <w:rsid w:val="570606C5"/>
    <w:rsid w:val="570C5CDB"/>
    <w:rsid w:val="571C1C97"/>
    <w:rsid w:val="5726041F"/>
    <w:rsid w:val="572D04BF"/>
    <w:rsid w:val="573B211D"/>
    <w:rsid w:val="573E39BB"/>
    <w:rsid w:val="5748483A"/>
    <w:rsid w:val="57560D05"/>
    <w:rsid w:val="576C0528"/>
    <w:rsid w:val="57763155"/>
    <w:rsid w:val="579637F7"/>
    <w:rsid w:val="57AC4DC9"/>
    <w:rsid w:val="57C55E8A"/>
    <w:rsid w:val="57E63A41"/>
    <w:rsid w:val="57E722A5"/>
    <w:rsid w:val="57E97DCB"/>
    <w:rsid w:val="57F64A30"/>
    <w:rsid w:val="580D5C0C"/>
    <w:rsid w:val="580F5357"/>
    <w:rsid w:val="58354DBE"/>
    <w:rsid w:val="5840382E"/>
    <w:rsid w:val="58445001"/>
    <w:rsid w:val="58692CBA"/>
    <w:rsid w:val="58871392"/>
    <w:rsid w:val="58975A79"/>
    <w:rsid w:val="589870FB"/>
    <w:rsid w:val="58AB2FCB"/>
    <w:rsid w:val="58AB32D2"/>
    <w:rsid w:val="58AB3463"/>
    <w:rsid w:val="58BF0B2C"/>
    <w:rsid w:val="58C051FD"/>
    <w:rsid w:val="58C779E0"/>
    <w:rsid w:val="58CD3249"/>
    <w:rsid w:val="58D8399B"/>
    <w:rsid w:val="58E30CBE"/>
    <w:rsid w:val="58E720ED"/>
    <w:rsid w:val="58F06F37"/>
    <w:rsid w:val="58F85DEC"/>
    <w:rsid w:val="58FC3B2E"/>
    <w:rsid w:val="59012EF2"/>
    <w:rsid w:val="590429E2"/>
    <w:rsid w:val="59172716"/>
    <w:rsid w:val="59262959"/>
    <w:rsid w:val="592D3CE7"/>
    <w:rsid w:val="59367040"/>
    <w:rsid w:val="5943175D"/>
    <w:rsid w:val="594D25DB"/>
    <w:rsid w:val="595C637A"/>
    <w:rsid w:val="59684D1F"/>
    <w:rsid w:val="59701244"/>
    <w:rsid w:val="59845116"/>
    <w:rsid w:val="59875AED"/>
    <w:rsid w:val="598853C1"/>
    <w:rsid w:val="59973856"/>
    <w:rsid w:val="59A541C5"/>
    <w:rsid w:val="59B85CA7"/>
    <w:rsid w:val="59BD150F"/>
    <w:rsid w:val="59C26B25"/>
    <w:rsid w:val="59D46859"/>
    <w:rsid w:val="59D800F7"/>
    <w:rsid w:val="59E36A9C"/>
    <w:rsid w:val="59EA607C"/>
    <w:rsid w:val="59FD190B"/>
    <w:rsid w:val="59FE7432"/>
    <w:rsid w:val="5A056A12"/>
    <w:rsid w:val="5A084C52"/>
    <w:rsid w:val="5A13112F"/>
    <w:rsid w:val="5A1A1CBA"/>
    <w:rsid w:val="5A1D1FAE"/>
    <w:rsid w:val="5A206A87"/>
    <w:rsid w:val="5A2C0443"/>
    <w:rsid w:val="5A3572F7"/>
    <w:rsid w:val="5A402DA1"/>
    <w:rsid w:val="5A44578C"/>
    <w:rsid w:val="5A4A2677"/>
    <w:rsid w:val="5A6F20DD"/>
    <w:rsid w:val="5A7122F9"/>
    <w:rsid w:val="5A7C4F26"/>
    <w:rsid w:val="5A8C0EE1"/>
    <w:rsid w:val="5A93401E"/>
    <w:rsid w:val="5AA61FA3"/>
    <w:rsid w:val="5AB3403C"/>
    <w:rsid w:val="5AC16DDD"/>
    <w:rsid w:val="5AD92379"/>
    <w:rsid w:val="5ADC35E7"/>
    <w:rsid w:val="5ADC59C5"/>
    <w:rsid w:val="5ADF54B5"/>
    <w:rsid w:val="5AE42ACB"/>
    <w:rsid w:val="5AE96334"/>
    <w:rsid w:val="5AFF7905"/>
    <w:rsid w:val="5B013D03"/>
    <w:rsid w:val="5B0373F5"/>
    <w:rsid w:val="5B0A0784"/>
    <w:rsid w:val="5B1038C0"/>
    <w:rsid w:val="5B1C69B7"/>
    <w:rsid w:val="5B266C40"/>
    <w:rsid w:val="5B2D7FCE"/>
    <w:rsid w:val="5B3752F1"/>
    <w:rsid w:val="5B3D7B01"/>
    <w:rsid w:val="5B547C51"/>
    <w:rsid w:val="5B555777"/>
    <w:rsid w:val="5B714AE5"/>
    <w:rsid w:val="5B8816A9"/>
    <w:rsid w:val="5B8D3163"/>
    <w:rsid w:val="5B977B3E"/>
    <w:rsid w:val="5BA603C5"/>
    <w:rsid w:val="5BAA7871"/>
    <w:rsid w:val="5BAD7361"/>
    <w:rsid w:val="5BBE331C"/>
    <w:rsid w:val="5BC22E0D"/>
    <w:rsid w:val="5BE24E75"/>
    <w:rsid w:val="5BEB0156"/>
    <w:rsid w:val="5BF907F8"/>
    <w:rsid w:val="5BF94355"/>
    <w:rsid w:val="5C084598"/>
    <w:rsid w:val="5C0C58DA"/>
    <w:rsid w:val="5C107384"/>
    <w:rsid w:val="5C11169E"/>
    <w:rsid w:val="5C115B42"/>
    <w:rsid w:val="5C2313D1"/>
    <w:rsid w:val="5C286A9A"/>
    <w:rsid w:val="5C533A65"/>
    <w:rsid w:val="5C5D48E3"/>
    <w:rsid w:val="5C71641F"/>
    <w:rsid w:val="5C7D31D8"/>
    <w:rsid w:val="5C814A76"/>
    <w:rsid w:val="5C8358A8"/>
    <w:rsid w:val="5C8E2CEF"/>
    <w:rsid w:val="5CA93FCD"/>
    <w:rsid w:val="5CAB11CA"/>
    <w:rsid w:val="5CC11316"/>
    <w:rsid w:val="5CD1707F"/>
    <w:rsid w:val="5CE60D7D"/>
    <w:rsid w:val="5D080CF3"/>
    <w:rsid w:val="5D235B2D"/>
    <w:rsid w:val="5D292A17"/>
    <w:rsid w:val="5D2B53C7"/>
    <w:rsid w:val="5D2D075A"/>
    <w:rsid w:val="5D3E4715"/>
    <w:rsid w:val="5D3F66DF"/>
    <w:rsid w:val="5D4930BA"/>
    <w:rsid w:val="5D4F6922"/>
    <w:rsid w:val="5D647EF4"/>
    <w:rsid w:val="5D706060"/>
    <w:rsid w:val="5D722610"/>
    <w:rsid w:val="5D7874FB"/>
    <w:rsid w:val="5D7A5920"/>
    <w:rsid w:val="5D812854"/>
    <w:rsid w:val="5D942587"/>
    <w:rsid w:val="5D9E3405"/>
    <w:rsid w:val="5DAB167E"/>
    <w:rsid w:val="5DAD3649"/>
    <w:rsid w:val="5DAF73C1"/>
    <w:rsid w:val="5DB70023"/>
    <w:rsid w:val="5DB744C7"/>
    <w:rsid w:val="5DC015CE"/>
    <w:rsid w:val="5DC11C22"/>
    <w:rsid w:val="5DD76917"/>
    <w:rsid w:val="5DDB6408"/>
    <w:rsid w:val="5DE51034"/>
    <w:rsid w:val="5DEF3C61"/>
    <w:rsid w:val="5DF272AD"/>
    <w:rsid w:val="5DFB3994"/>
    <w:rsid w:val="5E2623CD"/>
    <w:rsid w:val="5E345B18"/>
    <w:rsid w:val="5E473A9D"/>
    <w:rsid w:val="5E512226"/>
    <w:rsid w:val="5E5E2B95"/>
    <w:rsid w:val="5E5F0DE7"/>
    <w:rsid w:val="5E6C7060"/>
    <w:rsid w:val="5EB153BA"/>
    <w:rsid w:val="5EC7073A"/>
    <w:rsid w:val="5ECA1FD8"/>
    <w:rsid w:val="5ED05841"/>
    <w:rsid w:val="5ED8590B"/>
    <w:rsid w:val="5F08322C"/>
    <w:rsid w:val="5F083EE6"/>
    <w:rsid w:val="5F092B01"/>
    <w:rsid w:val="5F28567D"/>
    <w:rsid w:val="5F3202A9"/>
    <w:rsid w:val="5F3A427F"/>
    <w:rsid w:val="5F490B8A"/>
    <w:rsid w:val="5F6D12E1"/>
    <w:rsid w:val="5F7268F8"/>
    <w:rsid w:val="5F812FDF"/>
    <w:rsid w:val="5F8D1984"/>
    <w:rsid w:val="5FA016B7"/>
    <w:rsid w:val="5FA97E40"/>
    <w:rsid w:val="5FB567E4"/>
    <w:rsid w:val="5FB94527"/>
    <w:rsid w:val="5FBA204D"/>
    <w:rsid w:val="5FBA3DFB"/>
    <w:rsid w:val="5FC133DB"/>
    <w:rsid w:val="5FCF3D4A"/>
    <w:rsid w:val="5FD041EC"/>
    <w:rsid w:val="5FD27396"/>
    <w:rsid w:val="5FD41360"/>
    <w:rsid w:val="5FD44EBD"/>
    <w:rsid w:val="5FDD6EA0"/>
    <w:rsid w:val="5FE33352"/>
    <w:rsid w:val="5FEF29C8"/>
    <w:rsid w:val="5FF05A6E"/>
    <w:rsid w:val="5FFC08B7"/>
    <w:rsid w:val="6005776C"/>
    <w:rsid w:val="600B4656"/>
    <w:rsid w:val="60165550"/>
    <w:rsid w:val="6016667B"/>
    <w:rsid w:val="602D281F"/>
    <w:rsid w:val="60340051"/>
    <w:rsid w:val="604007A4"/>
    <w:rsid w:val="6045400C"/>
    <w:rsid w:val="60487659"/>
    <w:rsid w:val="60514A9F"/>
    <w:rsid w:val="60522285"/>
    <w:rsid w:val="605E569A"/>
    <w:rsid w:val="606F4BE5"/>
    <w:rsid w:val="60806DF2"/>
    <w:rsid w:val="608B4A36"/>
    <w:rsid w:val="60AE1BB1"/>
    <w:rsid w:val="60B42F40"/>
    <w:rsid w:val="60BE791B"/>
    <w:rsid w:val="60CE5DB0"/>
    <w:rsid w:val="60D62EB6"/>
    <w:rsid w:val="60D663C8"/>
    <w:rsid w:val="60D823F1"/>
    <w:rsid w:val="60E07891"/>
    <w:rsid w:val="60E75BD3"/>
    <w:rsid w:val="60E92BEA"/>
    <w:rsid w:val="60F90953"/>
    <w:rsid w:val="60FF6129"/>
    <w:rsid w:val="61314591"/>
    <w:rsid w:val="614E5143"/>
    <w:rsid w:val="615009B4"/>
    <w:rsid w:val="61627766"/>
    <w:rsid w:val="61695AD8"/>
    <w:rsid w:val="61722BDF"/>
    <w:rsid w:val="617A1A94"/>
    <w:rsid w:val="61880654"/>
    <w:rsid w:val="61994610"/>
    <w:rsid w:val="61A86601"/>
    <w:rsid w:val="61AD3C17"/>
    <w:rsid w:val="61B2747F"/>
    <w:rsid w:val="61BC0931"/>
    <w:rsid w:val="61CA2A1B"/>
    <w:rsid w:val="61CA707C"/>
    <w:rsid w:val="61DA0784"/>
    <w:rsid w:val="61DB3118"/>
    <w:rsid w:val="61EB0BE3"/>
    <w:rsid w:val="61F061FA"/>
    <w:rsid w:val="61FA4982"/>
    <w:rsid w:val="620A1069"/>
    <w:rsid w:val="620E52C4"/>
    <w:rsid w:val="62127F1E"/>
    <w:rsid w:val="622B7232"/>
    <w:rsid w:val="623C143F"/>
    <w:rsid w:val="624456F0"/>
    <w:rsid w:val="624471A9"/>
    <w:rsid w:val="625255ED"/>
    <w:rsid w:val="625D388F"/>
    <w:rsid w:val="626369CC"/>
    <w:rsid w:val="6280132C"/>
    <w:rsid w:val="6287090C"/>
    <w:rsid w:val="62894684"/>
    <w:rsid w:val="62AE40EB"/>
    <w:rsid w:val="62B249B4"/>
    <w:rsid w:val="62B64D4D"/>
    <w:rsid w:val="62CA67E9"/>
    <w:rsid w:val="62CD2097"/>
    <w:rsid w:val="62D578C9"/>
    <w:rsid w:val="62E21FE6"/>
    <w:rsid w:val="62EE098B"/>
    <w:rsid w:val="62F15D85"/>
    <w:rsid w:val="62F256F2"/>
    <w:rsid w:val="63045DC8"/>
    <w:rsid w:val="63051831"/>
    <w:rsid w:val="630E6937"/>
    <w:rsid w:val="63135C45"/>
    <w:rsid w:val="631F28F3"/>
    <w:rsid w:val="63220635"/>
    <w:rsid w:val="63284B5F"/>
    <w:rsid w:val="632A1297"/>
    <w:rsid w:val="632F68AE"/>
    <w:rsid w:val="63332842"/>
    <w:rsid w:val="633B5253"/>
    <w:rsid w:val="634738B0"/>
    <w:rsid w:val="634C3904"/>
    <w:rsid w:val="636E387A"/>
    <w:rsid w:val="637A3FCD"/>
    <w:rsid w:val="638210D3"/>
    <w:rsid w:val="63862135"/>
    <w:rsid w:val="638C5AAE"/>
    <w:rsid w:val="63984453"/>
    <w:rsid w:val="639C50F6"/>
    <w:rsid w:val="639D4BE4"/>
    <w:rsid w:val="639F57E1"/>
    <w:rsid w:val="63BA6ABF"/>
    <w:rsid w:val="63BC2837"/>
    <w:rsid w:val="63BC45E5"/>
    <w:rsid w:val="63BF40D6"/>
    <w:rsid w:val="63BF5E84"/>
    <w:rsid w:val="63CF6769"/>
    <w:rsid w:val="63D7141F"/>
    <w:rsid w:val="63DF2082"/>
    <w:rsid w:val="63E47698"/>
    <w:rsid w:val="63EE34DF"/>
    <w:rsid w:val="63F024E1"/>
    <w:rsid w:val="63FC0E86"/>
    <w:rsid w:val="64034EC5"/>
    <w:rsid w:val="640719CA"/>
    <w:rsid w:val="640F6E0B"/>
    <w:rsid w:val="64112AD3"/>
    <w:rsid w:val="64267CB1"/>
    <w:rsid w:val="64355C74"/>
    <w:rsid w:val="643B19AE"/>
    <w:rsid w:val="64406FC4"/>
    <w:rsid w:val="6443350D"/>
    <w:rsid w:val="644B7717"/>
    <w:rsid w:val="64520AA6"/>
    <w:rsid w:val="64545489"/>
    <w:rsid w:val="64676364"/>
    <w:rsid w:val="646F3406"/>
    <w:rsid w:val="647629E6"/>
    <w:rsid w:val="6477050C"/>
    <w:rsid w:val="649366F5"/>
    <w:rsid w:val="64AC114E"/>
    <w:rsid w:val="64BD0615"/>
    <w:rsid w:val="64BE25DF"/>
    <w:rsid w:val="64C179D9"/>
    <w:rsid w:val="64CE2822"/>
    <w:rsid w:val="64CF1CAC"/>
    <w:rsid w:val="64DD319A"/>
    <w:rsid w:val="64DE058B"/>
    <w:rsid w:val="64DE2339"/>
    <w:rsid w:val="64EC0EFA"/>
    <w:rsid w:val="64FD6C64"/>
    <w:rsid w:val="64FE0953"/>
    <w:rsid w:val="650F4BE9"/>
    <w:rsid w:val="65270184"/>
    <w:rsid w:val="652C12F7"/>
    <w:rsid w:val="652D2C5E"/>
    <w:rsid w:val="652E506F"/>
    <w:rsid w:val="652F1BCA"/>
    <w:rsid w:val="6530528B"/>
    <w:rsid w:val="653308D7"/>
    <w:rsid w:val="653603C7"/>
    <w:rsid w:val="65407491"/>
    <w:rsid w:val="655A40B6"/>
    <w:rsid w:val="65646CE3"/>
    <w:rsid w:val="656E190F"/>
    <w:rsid w:val="657762BD"/>
    <w:rsid w:val="65A11CE5"/>
    <w:rsid w:val="65A97F03"/>
    <w:rsid w:val="65B761F3"/>
    <w:rsid w:val="65DA51F7"/>
    <w:rsid w:val="65F20792"/>
    <w:rsid w:val="66091638"/>
    <w:rsid w:val="660D4DE2"/>
    <w:rsid w:val="66106E6A"/>
    <w:rsid w:val="661324B7"/>
    <w:rsid w:val="661C580F"/>
    <w:rsid w:val="66291CDA"/>
    <w:rsid w:val="662B5A52"/>
    <w:rsid w:val="662D17CA"/>
    <w:rsid w:val="6647649F"/>
    <w:rsid w:val="664F1741"/>
    <w:rsid w:val="66524D8D"/>
    <w:rsid w:val="66576847"/>
    <w:rsid w:val="66644AC0"/>
    <w:rsid w:val="666F1DE3"/>
    <w:rsid w:val="66826A6F"/>
    <w:rsid w:val="668F2364"/>
    <w:rsid w:val="66990C0E"/>
    <w:rsid w:val="66AB0941"/>
    <w:rsid w:val="66AD290B"/>
    <w:rsid w:val="66CC2D91"/>
    <w:rsid w:val="66D24120"/>
    <w:rsid w:val="66DB1226"/>
    <w:rsid w:val="66EF6A80"/>
    <w:rsid w:val="66F45E44"/>
    <w:rsid w:val="66F916AD"/>
    <w:rsid w:val="6703252B"/>
    <w:rsid w:val="6709462E"/>
    <w:rsid w:val="672229B1"/>
    <w:rsid w:val="672C2DC8"/>
    <w:rsid w:val="672E57FA"/>
    <w:rsid w:val="67334BBF"/>
    <w:rsid w:val="67346B89"/>
    <w:rsid w:val="673646AF"/>
    <w:rsid w:val="67395F4D"/>
    <w:rsid w:val="673D77EB"/>
    <w:rsid w:val="674659B2"/>
    <w:rsid w:val="674C7A2E"/>
    <w:rsid w:val="675733B1"/>
    <w:rsid w:val="67580AC9"/>
    <w:rsid w:val="678371C8"/>
    <w:rsid w:val="67874F0A"/>
    <w:rsid w:val="67876CB8"/>
    <w:rsid w:val="67A1421E"/>
    <w:rsid w:val="67A23AF2"/>
    <w:rsid w:val="67D619EE"/>
    <w:rsid w:val="680227E3"/>
    <w:rsid w:val="68055DE0"/>
    <w:rsid w:val="68112A26"/>
    <w:rsid w:val="681C5653"/>
    <w:rsid w:val="681E1E1B"/>
    <w:rsid w:val="682664D1"/>
    <w:rsid w:val="6828049B"/>
    <w:rsid w:val="682D5AB2"/>
    <w:rsid w:val="683A01CF"/>
    <w:rsid w:val="68460921"/>
    <w:rsid w:val="68476448"/>
    <w:rsid w:val="684D1CB0"/>
    <w:rsid w:val="684D3A5E"/>
    <w:rsid w:val="684F3C7A"/>
    <w:rsid w:val="68525518"/>
    <w:rsid w:val="68594AF9"/>
    <w:rsid w:val="685F7C35"/>
    <w:rsid w:val="6866217C"/>
    <w:rsid w:val="686B65DA"/>
    <w:rsid w:val="686E34B7"/>
    <w:rsid w:val="6870599E"/>
    <w:rsid w:val="68790CF7"/>
    <w:rsid w:val="687E00BB"/>
    <w:rsid w:val="687E1914"/>
    <w:rsid w:val="68861ACE"/>
    <w:rsid w:val="688D02FE"/>
    <w:rsid w:val="68B019FC"/>
    <w:rsid w:val="68C47A98"/>
    <w:rsid w:val="68C55CEA"/>
    <w:rsid w:val="68CC526A"/>
    <w:rsid w:val="68ED6FEF"/>
    <w:rsid w:val="68F95994"/>
    <w:rsid w:val="69020CEC"/>
    <w:rsid w:val="69076303"/>
    <w:rsid w:val="690A7BA1"/>
    <w:rsid w:val="690B56C7"/>
    <w:rsid w:val="69194288"/>
    <w:rsid w:val="69280027"/>
    <w:rsid w:val="693C3AD3"/>
    <w:rsid w:val="6942733B"/>
    <w:rsid w:val="69562DE6"/>
    <w:rsid w:val="69594684"/>
    <w:rsid w:val="695D4175"/>
    <w:rsid w:val="697119CE"/>
    <w:rsid w:val="69731BEA"/>
    <w:rsid w:val="697D0373"/>
    <w:rsid w:val="697D13B8"/>
    <w:rsid w:val="69823BDB"/>
    <w:rsid w:val="6985191D"/>
    <w:rsid w:val="698F00A6"/>
    <w:rsid w:val="69A973BA"/>
    <w:rsid w:val="69AC02F0"/>
    <w:rsid w:val="69B1021E"/>
    <w:rsid w:val="69C02956"/>
    <w:rsid w:val="69C97A5C"/>
    <w:rsid w:val="69E509F7"/>
    <w:rsid w:val="69EE301F"/>
    <w:rsid w:val="69F10D61"/>
    <w:rsid w:val="69FF522C"/>
    <w:rsid w:val="6A026ACA"/>
    <w:rsid w:val="6A130746"/>
    <w:rsid w:val="6A130CD7"/>
    <w:rsid w:val="6A184540"/>
    <w:rsid w:val="6A220F1A"/>
    <w:rsid w:val="6A2829D5"/>
    <w:rsid w:val="6A3A44B6"/>
    <w:rsid w:val="6A6257BB"/>
    <w:rsid w:val="6A6D73D5"/>
    <w:rsid w:val="6A785643"/>
    <w:rsid w:val="6A845731"/>
    <w:rsid w:val="6A8614A9"/>
    <w:rsid w:val="6A8B38CC"/>
    <w:rsid w:val="6A8B3CB8"/>
    <w:rsid w:val="6A9E4A45"/>
    <w:rsid w:val="6AA302AD"/>
    <w:rsid w:val="6AA33E09"/>
    <w:rsid w:val="6AAB7162"/>
    <w:rsid w:val="6AB9187F"/>
    <w:rsid w:val="6AC326FD"/>
    <w:rsid w:val="6AD2649C"/>
    <w:rsid w:val="6ADB7A47"/>
    <w:rsid w:val="6ADE20E5"/>
    <w:rsid w:val="6AE9396D"/>
    <w:rsid w:val="6AEB6428"/>
    <w:rsid w:val="6AEC1C54"/>
    <w:rsid w:val="6AFE54E3"/>
    <w:rsid w:val="6B064398"/>
    <w:rsid w:val="6B2D7B77"/>
    <w:rsid w:val="6B4A24D7"/>
    <w:rsid w:val="6B4A697B"/>
    <w:rsid w:val="6B4F21E3"/>
    <w:rsid w:val="6B551F37"/>
    <w:rsid w:val="6B5B0B88"/>
    <w:rsid w:val="6B7632CC"/>
    <w:rsid w:val="6B792DBC"/>
    <w:rsid w:val="6B8C740A"/>
    <w:rsid w:val="6B8F25DF"/>
    <w:rsid w:val="6B9876E6"/>
    <w:rsid w:val="6B9B71D6"/>
    <w:rsid w:val="6BA240C1"/>
    <w:rsid w:val="6BA8544F"/>
    <w:rsid w:val="6BB7602F"/>
    <w:rsid w:val="6BD10E4A"/>
    <w:rsid w:val="6BE04BE9"/>
    <w:rsid w:val="6BF70F12"/>
    <w:rsid w:val="6BFB4F92"/>
    <w:rsid w:val="6C021003"/>
    <w:rsid w:val="6C054650"/>
    <w:rsid w:val="6C094140"/>
    <w:rsid w:val="6C0B610A"/>
    <w:rsid w:val="6C1C0317"/>
    <w:rsid w:val="6C276CBC"/>
    <w:rsid w:val="6C376EFF"/>
    <w:rsid w:val="6C417D7E"/>
    <w:rsid w:val="6C467142"/>
    <w:rsid w:val="6C4A6A83"/>
    <w:rsid w:val="6C517895"/>
    <w:rsid w:val="6C537AB1"/>
    <w:rsid w:val="6C643A6C"/>
    <w:rsid w:val="6C6920F9"/>
    <w:rsid w:val="6C711CE5"/>
    <w:rsid w:val="6C865790"/>
    <w:rsid w:val="6C9C3206"/>
    <w:rsid w:val="6CA125CA"/>
    <w:rsid w:val="6CB467A2"/>
    <w:rsid w:val="6CB542C8"/>
    <w:rsid w:val="6CB56076"/>
    <w:rsid w:val="6CD10623"/>
    <w:rsid w:val="6CF05300"/>
    <w:rsid w:val="6CF21078"/>
    <w:rsid w:val="6CFD72BB"/>
    <w:rsid w:val="6D063587"/>
    <w:rsid w:val="6D0843F7"/>
    <w:rsid w:val="6D0F4D11"/>
    <w:rsid w:val="6D1159A2"/>
    <w:rsid w:val="6D12171A"/>
    <w:rsid w:val="6D1D70C2"/>
    <w:rsid w:val="6D5C2995"/>
    <w:rsid w:val="6D5F7817"/>
    <w:rsid w:val="6D8F4B19"/>
    <w:rsid w:val="6D910891"/>
    <w:rsid w:val="6D943EDD"/>
    <w:rsid w:val="6DB60E20"/>
    <w:rsid w:val="6DEE183F"/>
    <w:rsid w:val="6DF36E56"/>
    <w:rsid w:val="6DF514F2"/>
    <w:rsid w:val="6DF66946"/>
    <w:rsid w:val="6E02353D"/>
    <w:rsid w:val="6E0B4071"/>
    <w:rsid w:val="6E1119D2"/>
    <w:rsid w:val="6E1312A6"/>
    <w:rsid w:val="6E13574A"/>
    <w:rsid w:val="6E1C01D0"/>
    <w:rsid w:val="6E1F649C"/>
    <w:rsid w:val="6E2E4332"/>
    <w:rsid w:val="6E3223A9"/>
    <w:rsid w:val="6E407BC1"/>
    <w:rsid w:val="6E4C47B8"/>
    <w:rsid w:val="6E4F6056"/>
    <w:rsid w:val="6E5A5287"/>
    <w:rsid w:val="6E5F273D"/>
    <w:rsid w:val="6E623FDB"/>
    <w:rsid w:val="6E672517"/>
    <w:rsid w:val="6E6B2E90"/>
    <w:rsid w:val="6E7A30D3"/>
    <w:rsid w:val="6E7D7067"/>
    <w:rsid w:val="6E895A0C"/>
    <w:rsid w:val="6E963C85"/>
    <w:rsid w:val="6EB41E64"/>
    <w:rsid w:val="6EB760D5"/>
    <w:rsid w:val="6EB83BFB"/>
    <w:rsid w:val="6EBC193D"/>
    <w:rsid w:val="6EDD18B4"/>
    <w:rsid w:val="6EDE7B06"/>
    <w:rsid w:val="6EED5F9B"/>
    <w:rsid w:val="6EF32E85"/>
    <w:rsid w:val="6F013A48"/>
    <w:rsid w:val="6F0230C8"/>
    <w:rsid w:val="6F1654F2"/>
    <w:rsid w:val="6F2316CE"/>
    <w:rsid w:val="6F3708E6"/>
    <w:rsid w:val="6F3911E0"/>
    <w:rsid w:val="6F4436E1"/>
    <w:rsid w:val="6F4F4560"/>
    <w:rsid w:val="6F60051B"/>
    <w:rsid w:val="6F6D49E6"/>
    <w:rsid w:val="6F786B74"/>
    <w:rsid w:val="6FA128E1"/>
    <w:rsid w:val="6FA26D85"/>
    <w:rsid w:val="6FA84A4C"/>
    <w:rsid w:val="6FBB53DD"/>
    <w:rsid w:val="6FC22F83"/>
    <w:rsid w:val="6FC50034"/>
    <w:rsid w:val="6FEF5D43"/>
    <w:rsid w:val="6FF173C5"/>
    <w:rsid w:val="7003534A"/>
    <w:rsid w:val="70094C20"/>
    <w:rsid w:val="700A492A"/>
    <w:rsid w:val="700C06A3"/>
    <w:rsid w:val="700D5A81"/>
    <w:rsid w:val="701557A9"/>
    <w:rsid w:val="70182BA3"/>
    <w:rsid w:val="702C48A1"/>
    <w:rsid w:val="702F4391"/>
    <w:rsid w:val="70310109"/>
    <w:rsid w:val="703379DD"/>
    <w:rsid w:val="704C0A9F"/>
    <w:rsid w:val="70531E2E"/>
    <w:rsid w:val="70553DF8"/>
    <w:rsid w:val="705F4C76"/>
    <w:rsid w:val="70657DB3"/>
    <w:rsid w:val="70814BED"/>
    <w:rsid w:val="7084648B"/>
    <w:rsid w:val="708A48C4"/>
    <w:rsid w:val="708C17E3"/>
    <w:rsid w:val="70967F6C"/>
    <w:rsid w:val="70980188"/>
    <w:rsid w:val="709A3F00"/>
    <w:rsid w:val="709A5CAE"/>
    <w:rsid w:val="709B5583"/>
    <w:rsid w:val="70A02B99"/>
    <w:rsid w:val="70BD7BEF"/>
    <w:rsid w:val="70C42D2B"/>
    <w:rsid w:val="70C64CF5"/>
    <w:rsid w:val="70C745CA"/>
    <w:rsid w:val="70C84921"/>
    <w:rsid w:val="70C920F0"/>
    <w:rsid w:val="70CC0954"/>
    <w:rsid w:val="70D33228"/>
    <w:rsid w:val="70D6480D"/>
    <w:rsid w:val="70DF1913"/>
    <w:rsid w:val="70E21403"/>
    <w:rsid w:val="70F01D72"/>
    <w:rsid w:val="70F85622"/>
    <w:rsid w:val="70F869CD"/>
    <w:rsid w:val="71030A88"/>
    <w:rsid w:val="710475CC"/>
    <w:rsid w:val="710B138B"/>
    <w:rsid w:val="710D46D2"/>
    <w:rsid w:val="710D6480"/>
    <w:rsid w:val="711209D1"/>
    <w:rsid w:val="71193077"/>
    <w:rsid w:val="711E30D0"/>
    <w:rsid w:val="712678D6"/>
    <w:rsid w:val="712832BA"/>
    <w:rsid w:val="713779A1"/>
    <w:rsid w:val="71436346"/>
    <w:rsid w:val="714B0D57"/>
    <w:rsid w:val="714D4ACF"/>
    <w:rsid w:val="715045BF"/>
    <w:rsid w:val="71685DAD"/>
    <w:rsid w:val="716B13F9"/>
    <w:rsid w:val="716D6F1F"/>
    <w:rsid w:val="71752277"/>
    <w:rsid w:val="718D5813"/>
    <w:rsid w:val="71940950"/>
    <w:rsid w:val="719E357C"/>
    <w:rsid w:val="719F0332"/>
    <w:rsid w:val="71C34D91"/>
    <w:rsid w:val="71CD2FDE"/>
    <w:rsid w:val="71E80C9B"/>
    <w:rsid w:val="723839D1"/>
    <w:rsid w:val="7238577F"/>
    <w:rsid w:val="724A54B2"/>
    <w:rsid w:val="725D3437"/>
    <w:rsid w:val="726522EC"/>
    <w:rsid w:val="72710C91"/>
    <w:rsid w:val="727147ED"/>
    <w:rsid w:val="7275252F"/>
    <w:rsid w:val="727E1A1D"/>
    <w:rsid w:val="727F3BEB"/>
    <w:rsid w:val="728B1D53"/>
    <w:rsid w:val="729226B3"/>
    <w:rsid w:val="72930C07"/>
    <w:rsid w:val="72AC7F1B"/>
    <w:rsid w:val="72B1108D"/>
    <w:rsid w:val="72B15531"/>
    <w:rsid w:val="72B666A4"/>
    <w:rsid w:val="72BB1F0C"/>
    <w:rsid w:val="72BD3ED6"/>
    <w:rsid w:val="72BF3013"/>
    <w:rsid w:val="72C164E7"/>
    <w:rsid w:val="72CB65F3"/>
    <w:rsid w:val="72D354A8"/>
    <w:rsid w:val="72D82ABE"/>
    <w:rsid w:val="72E90827"/>
    <w:rsid w:val="72EB27F1"/>
    <w:rsid w:val="72ED47BB"/>
    <w:rsid w:val="72F84F0E"/>
    <w:rsid w:val="72F86CBC"/>
    <w:rsid w:val="73065044"/>
    <w:rsid w:val="730C6855"/>
    <w:rsid w:val="731C0BFD"/>
    <w:rsid w:val="732E0930"/>
    <w:rsid w:val="73306456"/>
    <w:rsid w:val="73373C88"/>
    <w:rsid w:val="734819F2"/>
    <w:rsid w:val="73497518"/>
    <w:rsid w:val="73886EC9"/>
    <w:rsid w:val="738F2A54"/>
    <w:rsid w:val="73A11102"/>
    <w:rsid w:val="73A750C7"/>
    <w:rsid w:val="73A82490"/>
    <w:rsid w:val="73B13A3B"/>
    <w:rsid w:val="73B76B77"/>
    <w:rsid w:val="73B9469D"/>
    <w:rsid w:val="73BC5F3C"/>
    <w:rsid w:val="73C179F6"/>
    <w:rsid w:val="73C82B32"/>
    <w:rsid w:val="73E13BF4"/>
    <w:rsid w:val="74024296"/>
    <w:rsid w:val="740873D3"/>
    <w:rsid w:val="741369A5"/>
    <w:rsid w:val="741B0EB4"/>
    <w:rsid w:val="7420471D"/>
    <w:rsid w:val="74251D33"/>
    <w:rsid w:val="74253AE1"/>
    <w:rsid w:val="742C4E6F"/>
    <w:rsid w:val="742E691B"/>
    <w:rsid w:val="7432542B"/>
    <w:rsid w:val="744228E5"/>
    <w:rsid w:val="74602D6B"/>
    <w:rsid w:val="747405C4"/>
    <w:rsid w:val="7480340D"/>
    <w:rsid w:val="748B3F42"/>
    <w:rsid w:val="74927C73"/>
    <w:rsid w:val="74A54C22"/>
    <w:rsid w:val="74D63C4F"/>
    <w:rsid w:val="75096F5F"/>
    <w:rsid w:val="751029E3"/>
    <w:rsid w:val="75114065"/>
    <w:rsid w:val="753649D0"/>
    <w:rsid w:val="75365A82"/>
    <w:rsid w:val="753A180E"/>
    <w:rsid w:val="75466405"/>
    <w:rsid w:val="75524DAA"/>
    <w:rsid w:val="75575F1C"/>
    <w:rsid w:val="75613687"/>
    <w:rsid w:val="75803660"/>
    <w:rsid w:val="758962F1"/>
    <w:rsid w:val="758D7B90"/>
    <w:rsid w:val="75911025"/>
    <w:rsid w:val="75932CCC"/>
    <w:rsid w:val="75994786"/>
    <w:rsid w:val="759D4BAF"/>
    <w:rsid w:val="75AD0232"/>
    <w:rsid w:val="75AE054D"/>
    <w:rsid w:val="75B25848"/>
    <w:rsid w:val="75B513DE"/>
    <w:rsid w:val="75BF3AC1"/>
    <w:rsid w:val="75D7705D"/>
    <w:rsid w:val="75E45DCF"/>
    <w:rsid w:val="75F57DAC"/>
    <w:rsid w:val="760B4F58"/>
    <w:rsid w:val="762229CE"/>
    <w:rsid w:val="762F0C47"/>
    <w:rsid w:val="76397D18"/>
    <w:rsid w:val="763C4FEF"/>
    <w:rsid w:val="764010A6"/>
    <w:rsid w:val="76410527"/>
    <w:rsid w:val="764818BA"/>
    <w:rsid w:val="767C19B2"/>
    <w:rsid w:val="768674F2"/>
    <w:rsid w:val="768865A9"/>
    <w:rsid w:val="768D3F3A"/>
    <w:rsid w:val="76941CCF"/>
    <w:rsid w:val="76966F18"/>
    <w:rsid w:val="769B008A"/>
    <w:rsid w:val="76A71125"/>
    <w:rsid w:val="76B031E0"/>
    <w:rsid w:val="76BB072D"/>
    <w:rsid w:val="76C21ABB"/>
    <w:rsid w:val="76CC0B8C"/>
    <w:rsid w:val="76D161A2"/>
    <w:rsid w:val="76D17F50"/>
    <w:rsid w:val="76E25CB9"/>
    <w:rsid w:val="76E75C02"/>
    <w:rsid w:val="76E934EC"/>
    <w:rsid w:val="76EA1CE1"/>
    <w:rsid w:val="77147E3D"/>
    <w:rsid w:val="77170059"/>
    <w:rsid w:val="772462D2"/>
    <w:rsid w:val="77361E52"/>
    <w:rsid w:val="773B7AF1"/>
    <w:rsid w:val="77444AC8"/>
    <w:rsid w:val="77493F8A"/>
    <w:rsid w:val="774D3A7A"/>
    <w:rsid w:val="7763329E"/>
    <w:rsid w:val="7769462C"/>
    <w:rsid w:val="777234E1"/>
    <w:rsid w:val="77925931"/>
    <w:rsid w:val="779416A9"/>
    <w:rsid w:val="77950F7E"/>
    <w:rsid w:val="7798281C"/>
    <w:rsid w:val="77BA4E88"/>
    <w:rsid w:val="77D9530E"/>
    <w:rsid w:val="77F71C38"/>
    <w:rsid w:val="78146346"/>
    <w:rsid w:val="7819395D"/>
    <w:rsid w:val="781A76D5"/>
    <w:rsid w:val="781D187E"/>
    <w:rsid w:val="781D1F67"/>
    <w:rsid w:val="781F6A99"/>
    <w:rsid w:val="782642CC"/>
    <w:rsid w:val="783A4D18"/>
    <w:rsid w:val="78414C61"/>
    <w:rsid w:val="78544995"/>
    <w:rsid w:val="78570929"/>
    <w:rsid w:val="785C7CED"/>
    <w:rsid w:val="786C7F30"/>
    <w:rsid w:val="786F7A21"/>
    <w:rsid w:val="78715547"/>
    <w:rsid w:val="7874676C"/>
    <w:rsid w:val="78755654"/>
    <w:rsid w:val="78757A9E"/>
    <w:rsid w:val="78767001"/>
    <w:rsid w:val="78774B27"/>
    <w:rsid w:val="788039DC"/>
    <w:rsid w:val="78852DA0"/>
    <w:rsid w:val="78957A98"/>
    <w:rsid w:val="78AF6EF2"/>
    <w:rsid w:val="78B6564F"/>
    <w:rsid w:val="78B673FD"/>
    <w:rsid w:val="78BC253A"/>
    <w:rsid w:val="78C7160B"/>
    <w:rsid w:val="78DD2BDC"/>
    <w:rsid w:val="78DE6954"/>
    <w:rsid w:val="78ED05FE"/>
    <w:rsid w:val="78F10436"/>
    <w:rsid w:val="78FB42ED"/>
    <w:rsid w:val="79091C23"/>
    <w:rsid w:val="7924080B"/>
    <w:rsid w:val="79256331"/>
    <w:rsid w:val="79294073"/>
    <w:rsid w:val="792B7DEB"/>
    <w:rsid w:val="792E3438"/>
    <w:rsid w:val="79382508"/>
    <w:rsid w:val="793842B6"/>
    <w:rsid w:val="793A002E"/>
    <w:rsid w:val="793D367B"/>
    <w:rsid w:val="79425135"/>
    <w:rsid w:val="794C1B10"/>
    <w:rsid w:val="794E5888"/>
    <w:rsid w:val="795D5ACB"/>
    <w:rsid w:val="797846B3"/>
    <w:rsid w:val="797C0647"/>
    <w:rsid w:val="79815C5D"/>
    <w:rsid w:val="79870D9A"/>
    <w:rsid w:val="799040F2"/>
    <w:rsid w:val="799A287B"/>
    <w:rsid w:val="79A75717"/>
    <w:rsid w:val="79BC6C95"/>
    <w:rsid w:val="79C773E8"/>
    <w:rsid w:val="79CB6ED9"/>
    <w:rsid w:val="79CD0EA3"/>
    <w:rsid w:val="79E166FC"/>
    <w:rsid w:val="79E47F9A"/>
    <w:rsid w:val="79E87A8A"/>
    <w:rsid w:val="79E9625D"/>
    <w:rsid w:val="79F53F55"/>
    <w:rsid w:val="79F95D73"/>
    <w:rsid w:val="7A0643B5"/>
    <w:rsid w:val="7A102B3D"/>
    <w:rsid w:val="7A1C7AA6"/>
    <w:rsid w:val="7A1E525A"/>
    <w:rsid w:val="7A24483B"/>
    <w:rsid w:val="7A262361"/>
    <w:rsid w:val="7A266805"/>
    <w:rsid w:val="7A290C7B"/>
    <w:rsid w:val="7A431165"/>
    <w:rsid w:val="7A4647B1"/>
    <w:rsid w:val="7A477914"/>
    <w:rsid w:val="7A5042F9"/>
    <w:rsid w:val="7A546ECE"/>
    <w:rsid w:val="7A5A025C"/>
    <w:rsid w:val="7A5E5686"/>
    <w:rsid w:val="7A5E5F9F"/>
    <w:rsid w:val="7A603AC5"/>
    <w:rsid w:val="7A74559B"/>
    <w:rsid w:val="7A992B33"/>
    <w:rsid w:val="7A9D57B9"/>
    <w:rsid w:val="7A9D6AC7"/>
    <w:rsid w:val="7A9E283F"/>
    <w:rsid w:val="7AA240DD"/>
    <w:rsid w:val="7AA5597C"/>
    <w:rsid w:val="7AB160CE"/>
    <w:rsid w:val="7ABA39DE"/>
    <w:rsid w:val="7AC51D86"/>
    <w:rsid w:val="7AC57DCC"/>
    <w:rsid w:val="7AC73B44"/>
    <w:rsid w:val="7AD72142"/>
    <w:rsid w:val="7AE12B9B"/>
    <w:rsid w:val="7AE77D42"/>
    <w:rsid w:val="7AFB559C"/>
    <w:rsid w:val="7B034450"/>
    <w:rsid w:val="7B315461"/>
    <w:rsid w:val="7B3960C4"/>
    <w:rsid w:val="7B3B008E"/>
    <w:rsid w:val="7B3F192C"/>
    <w:rsid w:val="7B476A33"/>
    <w:rsid w:val="7B494559"/>
    <w:rsid w:val="7B4B34D5"/>
    <w:rsid w:val="7B4C246F"/>
    <w:rsid w:val="7B7A2964"/>
    <w:rsid w:val="7B7B492E"/>
    <w:rsid w:val="7B7D06A6"/>
    <w:rsid w:val="7B851309"/>
    <w:rsid w:val="7BA45C33"/>
    <w:rsid w:val="7BAB6FC2"/>
    <w:rsid w:val="7BBD0AA3"/>
    <w:rsid w:val="7BBF0CBF"/>
    <w:rsid w:val="7BCC6F38"/>
    <w:rsid w:val="7BD1454E"/>
    <w:rsid w:val="7BDA3403"/>
    <w:rsid w:val="7BDE7397"/>
    <w:rsid w:val="7BEE5100"/>
    <w:rsid w:val="7BF070CA"/>
    <w:rsid w:val="7BF1074D"/>
    <w:rsid w:val="7BF73FB5"/>
    <w:rsid w:val="7C0641F8"/>
    <w:rsid w:val="7C0C5586"/>
    <w:rsid w:val="7C1E3C37"/>
    <w:rsid w:val="7C2B0102"/>
    <w:rsid w:val="7C321491"/>
    <w:rsid w:val="7C3E1BE4"/>
    <w:rsid w:val="7C413482"/>
    <w:rsid w:val="7C466CEA"/>
    <w:rsid w:val="7C4B2553"/>
    <w:rsid w:val="7C52568F"/>
    <w:rsid w:val="7C541407"/>
    <w:rsid w:val="7C5E5DE2"/>
    <w:rsid w:val="7C6453C2"/>
    <w:rsid w:val="7C647170"/>
    <w:rsid w:val="7C653614"/>
    <w:rsid w:val="7C705B15"/>
    <w:rsid w:val="7C792C1C"/>
    <w:rsid w:val="7C80044E"/>
    <w:rsid w:val="7C8A4E29"/>
    <w:rsid w:val="7CA57EB5"/>
    <w:rsid w:val="7CAF663E"/>
    <w:rsid w:val="7CB66995"/>
    <w:rsid w:val="7CBE4AD3"/>
    <w:rsid w:val="7CC0084B"/>
    <w:rsid w:val="7CDB4429"/>
    <w:rsid w:val="7CE0713F"/>
    <w:rsid w:val="7CE56503"/>
    <w:rsid w:val="7CEA1D6C"/>
    <w:rsid w:val="7CF36E72"/>
    <w:rsid w:val="7CF46746"/>
    <w:rsid w:val="7CFF06D7"/>
    <w:rsid w:val="7D1E37C3"/>
    <w:rsid w:val="7D250FF6"/>
    <w:rsid w:val="7D26549A"/>
    <w:rsid w:val="7D2C5EE0"/>
    <w:rsid w:val="7D2D3A06"/>
    <w:rsid w:val="7D5D42EC"/>
    <w:rsid w:val="7D5E0064"/>
    <w:rsid w:val="7D731D61"/>
    <w:rsid w:val="7D7D673C"/>
    <w:rsid w:val="7D807FDA"/>
    <w:rsid w:val="7D8E6B9B"/>
    <w:rsid w:val="7D9B1948"/>
    <w:rsid w:val="7D9D0B8C"/>
    <w:rsid w:val="7DAA5057"/>
    <w:rsid w:val="7DB163E5"/>
    <w:rsid w:val="7DB22DA3"/>
    <w:rsid w:val="7DB87774"/>
    <w:rsid w:val="7DC66335"/>
    <w:rsid w:val="7DC97BD3"/>
    <w:rsid w:val="7DCC76C3"/>
    <w:rsid w:val="7DD520D4"/>
    <w:rsid w:val="7DD7753A"/>
    <w:rsid w:val="7DDA3B8E"/>
    <w:rsid w:val="7DDA593C"/>
    <w:rsid w:val="7DDD71DA"/>
    <w:rsid w:val="7DF82266"/>
    <w:rsid w:val="7DFA3729"/>
    <w:rsid w:val="7E0D5D12"/>
    <w:rsid w:val="7E2272E3"/>
    <w:rsid w:val="7E244E09"/>
    <w:rsid w:val="7E3E1B66"/>
    <w:rsid w:val="7E461224"/>
    <w:rsid w:val="7E494870"/>
    <w:rsid w:val="7E505BFE"/>
    <w:rsid w:val="7E53749D"/>
    <w:rsid w:val="7E5F6171"/>
    <w:rsid w:val="7E635932"/>
    <w:rsid w:val="7E6B47E6"/>
    <w:rsid w:val="7E6E7D9D"/>
    <w:rsid w:val="7E755665"/>
    <w:rsid w:val="7E8F65E1"/>
    <w:rsid w:val="7EA321D2"/>
    <w:rsid w:val="7EBB576E"/>
    <w:rsid w:val="7EBC14E6"/>
    <w:rsid w:val="7EC64112"/>
    <w:rsid w:val="7ECA5D9B"/>
    <w:rsid w:val="7ECB3848"/>
    <w:rsid w:val="7ED10765"/>
    <w:rsid w:val="7EE54599"/>
    <w:rsid w:val="7EF26CB5"/>
    <w:rsid w:val="7F0A2251"/>
    <w:rsid w:val="7F4339B5"/>
    <w:rsid w:val="7F4734A5"/>
    <w:rsid w:val="7F565496"/>
    <w:rsid w:val="7F637BB3"/>
    <w:rsid w:val="7F6A2CF0"/>
    <w:rsid w:val="7F747520"/>
    <w:rsid w:val="7F820039"/>
    <w:rsid w:val="7F89586C"/>
    <w:rsid w:val="7F8A3392"/>
    <w:rsid w:val="7F8E2E82"/>
    <w:rsid w:val="7F945FBF"/>
    <w:rsid w:val="7F97781F"/>
    <w:rsid w:val="7F9E4FC7"/>
    <w:rsid w:val="7FA02BB5"/>
    <w:rsid w:val="7FA846C3"/>
    <w:rsid w:val="7FAA5D63"/>
    <w:rsid w:val="7FAB27C4"/>
    <w:rsid w:val="7FAC3308"/>
    <w:rsid w:val="7FC52D49"/>
    <w:rsid w:val="7FD14B1D"/>
    <w:rsid w:val="7FE647DB"/>
    <w:rsid w:val="7FF151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line="360" w:lineRule="auto"/>
      <w:outlineLvl w:val="0"/>
    </w:pPr>
    <w:rPr>
      <w:rFonts w:ascii="仿宋" w:hAnsi="仿宋" w:eastAsia="仿宋"/>
      <w:b/>
      <w:bCs/>
      <w:sz w:val="36"/>
      <w:szCs w:val="36"/>
      <w:lang w:eastAsia="en-US"/>
    </w:rPr>
  </w:style>
  <w:style w:type="paragraph" w:styleId="3">
    <w:name w:val="heading 2"/>
    <w:basedOn w:val="1"/>
    <w:next w:val="1"/>
    <w:semiHidden/>
    <w:unhideWhenUsed/>
    <w:qFormat/>
    <w:uiPriority w:val="0"/>
    <w:pPr>
      <w:keepNext/>
      <w:keepLines/>
      <w:jc w:val="left"/>
      <w:outlineLvl w:val="1"/>
    </w:pPr>
    <w:rPr>
      <w:b/>
      <w:kern w:val="0"/>
      <w:sz w:val="30"/>
      <w:szCs w:val="30"/>
    </w:rPr>
  </w:style>
  <w:style w:type="paragraph" w:styleId="4">
    <w:name w:val="heading 3"/>
    <w:basedOn w:val="1"/>
    <w:next w:val="1"/>
    <w:semiHidden/>
    <w:unhideWhenUsed/>
    <w:qFormat/>
    <w:uiPriority w:val="0"/>
    <w:pPr>
      <w:keepNext/>
      <w:keepLines/>
      <w:spacing w:line="360" w:lineRule="auto"/>
      <w:jc w:val="left"/>
      <w:outlineLvl w:val="2"/>
    </w:pPr>
    <w:rPr>
      <w:rFonts w:eastAsia="仿宋"/>
      <w:b/>
      <w:kern w:val="0"/>
      <w:sz w:val="28"/>
      <w:szCs w:val="28"/>
    </w:rPr>
  </w:style>
  <w:style w:type="paragraph" w:styleId="5">
    <w:name w:val="heading 4"/>
    <w:basedOn w:val="1"/>
    <w:next w:val="1"/>
    <w:semiHidden/>
    <w:unhideWhenUsed/>
    <w:qFormat/>
    <w:uiPriority w:val="0"/>
    <w:pPr>
      <w:keepNext/>
      <w:keepLines/>
      <w:numPr>
        <w:ilvl w:val="3"/>
        <w:numId w:val="1"/>
      </w:numPr>
      <w:ind w:left="0" w:firstLine="0"/>
      <w:outlineLvl w:val="3"/>
    </w:pPr>
    <w:rPr>
      <w:b/>
      <w:bCs/>
      <w:sz w:val="24"/>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6">
    <w:name w:val="List 3"/>
    <w:basedOn w:val="1"/>
    <w:qFormat/>
    <w:uiPriority w:val="0"/>
    <w:pPr>
      <w:ind w:left="100" w:leftChars="400" w:hanging="200" w:hangingChars="200"/>
    </w:pPr>
  </w:style>
  <w:style w:type="paragraph" w:styleId="7">
    <w:name w:val="Normal Indent"/>
    <w:basedOn w:val="1"/>
    <w:next w:val="1"/>
    <w:qFormat/>
    <w:uiPriority w:val="0"/>
    <w:pPr>
      <w:adjustRightInd w:val="0"/>
      <w:snapToGrid w:val="0"/>
      <w:spacing w:line="460" w:lineRule="atLeast"/>
      <w:ind w:firstLine="200" w:firstLineChars="200"/>
    </w:pPr>
    <w:rPr>
      <w:sz w:val="28"/>
      <w:szCs w:val="28"/>
    </w:rPr>
  </w:style>
  <w:style w:type="paragraph" w:styleId="8">
    <w:name w:val="caption"/>
    <w:basedOn w:val="1"/>
    <w:next w:val="9"/>
    <w:semiHidden/>
    <w:unhideWhenUsed/>
    <w:qFormat/>
    <w:uiPriority w:val="0"/>
    <w:pPr>
      <w:jc w:val="center"/>
    </w:pPr>
    <w:rPr>
      <w:rFonts w:eastAsia="仿宋"/>
      <w:b/>
      <w:sz w:val="24"/>
    </w:rPr>
  </w:style>
  <w:style w:type="paragraph" w:styleId="9">
    <w:name w:val="Body Text First Indent"/>
    <w:basedOn w:val="10"/>
    <w:next w:val="13"/>
    <w:unhideWhenUsed/>
    <w:qFormat/>
    <w:uiPriority w:val="0"/>
    <w:pPr>
      <w:spacing w:after="120"/>
      <w:ind w:firstLine="420" w:firstLineChars="100"/>
    </w:pPr>
    <w:rPr>
      <w:sz w:val="21"/>
    </w:rPr>
  </w:style>
  <w:style w:type="paragraph" w:styleId="10">
    <w:name w:val="Body Text"/>
    <w:basedOn w:val="1"/>
    <w:next w:val="11"/>
    <w:unhideWhenUsed/>
    <w:qFormat/>
    <w:uiPriority w:val="99"/>
    <w:pPr>
      <w:spacing w:after="120"/>
    </w:pPr>
  </w:style>
  <w:style w:type="paragraph" w:customStyle="1" w:styleId="11">
    <w:name w:val="Normal (Web)1"/>
    <w:basedOn w:val="1"/>
    <w:next w:val="12"/>
    <w:qFormat/>
    <w:uiPriority w:val="0"/>
    <w:pPr>
      <w:widowControl/>
    </w:pPr>
    <w:rPr>
      <w:rFonts w:ascii="宋体" w:eastAsia="宋体"/>
      <w:sz w:val="24"/>
      <w:szCs w:val="21"/>
    </w:rPr>
  </w:style>
  <w:style w:type="paragraph" w:customStyle="1" w:styleId="12">
    <w:name w:val="Date1"/>
    <w:basedOn w:val="1"/>
    <w:next w:val="1"/>
    <w:qFormat/>
    <w:uiPriority w:val="0"/>
    <w:pPr>
      <w:ind w:left="2500" w:leftChars="2500"/>
    </w:pPr>
  </w:style>
  <w:style w:type="paragraph" w:styleId="13">
    <w:name w:val="table of figures"/>
    <w:basedOn w:val="1"/>
    <w:next w:val="1"/>
    <w:qFormat/>
    <w:uiPriority w:val="0"/>
    <w:pPr>
      <w:keepNext w:val="0"/>
      <w:keepLines w:val="0"/>
      <w:widowControl w:val="0"/>
      <w:suppressLineNumbers w:val="0"/>
      <w:spacing w:before="0" w:beforeAutospacing="0" w:after="0" w:afterAutospacing="0"/>
      <w:ind w:left="0" w:leftChars="200" w:right="0" w:hanging="200" w:hangingChars="200"/>
      <w:jc w:val="both"/>
    </w:pPr>
    <w:rPr>
      <w:rFonts w:hint="default" w:ascii="Times New Roman" w:hAnsi="Times New Roman" w:eastAsia="宋体" w:cs="Times New Roman"/>
      <w:kern w:val="2"/>
      <w:sz w:val="21"/>
      <w:szCs w:val="24"/>
      <w:lang w:val="en-US" w:eastAsia="zh-CN" w:bidi="ar"/>
    </w:rPr>
  </w:style>
  <w:style w:type="paragraph" w:styleId="14">
    <w:name w:val="annotation text"/>
    <w:basedOn w:val="1"/>
    <w:link w:val="53"/>
    <w:qFormat/>
    <w:uiPriority w:val="0"/>
    <w:pPr>
      <w:jc w:val="left"/>
    </w:pPr>
  </w:style>
  <w:style w:type="paragraph" w:styleId="15">
    <w:name w:val="Body Text Indent"/>
    <w:basedOn w:val="1"/>
    <w:next w:val="1"/>
    <w:qFormat/>
    <w:uiPriority w:val="99"/>
    <w:pPr>
      <w:ind w:left="420" w:leftChars="200"/>
    </w:pPr>
  </w:style>
  <w:style w:type="paragraph" w:styleId="16">
    <w:name w:val="Block Text"/>
    <w:basedOn w:val="1"/>
    <w:next w:val="1"/>
    <w:unhideWhenUsed/>
    <w:qFormat/>
    <w:uiPriority w:val="0"/>
    <w:pPr>
      <w:spacing w:after="120" w:line="360" w:lineRule="auto"/>
      <w:ind w:left="1440" w:leftChars="700" w:right="1440" w:rightChars="700" w:firstLine="200" w:firstLineChars="200"/>
      <w:jc w:val="left"/>
    </w:pPr>
    <w:rPr>
      <w:sz w:val="24"/>
      <w:lang w:val="en-GB" w:eastAsia="zh-TW"/>
    </w:rPr>
  </w:style>
  <w:style w:type="paragraph" w:styleId="17">
    <w:name w:val="Plain Text"/>
    <w:basedOn w:val="1"/>
    <w:qFormat/>
    <w:uiPriority w:val="0"/>
    <w:rPr>
      <w:rFonts w:ascii="宋体" w:hAnsi="Courier New" w:cs="Courier New"/>
      <w:szCs w:val="21"/>
    </w:rPr>
  </w:style>
  <w:style w:type="paragraph" w:styleId="18">
    <w:name w:val="List Bullet 5"/>
    <w:basedOn w:val="1"/>
    <w:qFormat/>
    <w:uiPriority w:val="0"/>
    <w:pPr>
      <w:numPr>
        <w:ilvl w:val="0"/>
        <w:numId w:val="2"/>
      </w:numPr>
    </w:pPr>
  </w:style>
  <w:style w:type="paragraph" w:styleId="19">
    <w:name w:val="Balloon Text"/>
    <w:basedOn w:val="1"/>
    <w:link w:val="54"/>
    <w:qFormat/>
    <w:uiPriority w:val="0"/>
    <w:rPr>
      <w:sz w:val="18"/>
      <w:szCs w:val="18"/>
    </w:rPr>
  </w:style>
  <w:style w:type="paragraph" w:styleId="20">
    <w:name w:val="footer"/>
    <w:basedOn w:val="1"/>
    <w:qFormat/>
    <w:uiPriority w:val="99"/>
    <w:pPr>
      <w:tabs>
        <w:tab w:val="center" w:pos="4153"/>
        <w:tab w:val="right" w:pos="8306"/>
      </w:tabs>
      <w:snapToGrid w:val="0"/>
      <w:jc w:val="left"/>
    </w:pPr>
    <w:rPr>
      <w:kern w:val="0"/>
      <w:sz w:val="18"/>
      <w:szCs w:val="20"/>
    </w:rPr>
  </w:style>
  <w:style w:type="paragraph" w:styleId="2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2">
    <w:name w:val="List"/>
    <w:basedOn w:val="1"/>
    <w:qFormat/>
    <w:uiPriority w:val="0"/>
    <w:pPr>
      <w:widowControl/>
      <w:spacing w:line="440" w:lineRule="exact"/>
      <w:ind w:left="200" w:hanging="200"/>
      <w:jc w:val="left"/>
    </w:pPr>
    <w:rPr>
      <w:kern w:val="0"/>
      <w:sz w:val="24"/>
      <w:szCs w:val="20"/>
    </w:rPr>
  </w:style>
  <w:style w:type="paragraph" w:styleId="23">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24">
    <w:name w:val="Body Text First Indent 2"/>
    <w:basedOn w:val="15"/>
    <w:next w:val="1"/>
    <w:qFormat/>
    <w:uiPriority w:val="99"/>
    <w:pPr>
      <w:ind w:firstLine="420" w:firstLineChars="200"/>
    </w:pPr>
    <w:rPr>
      <w:szCs w:val="20"/>
    </w:rPr>
  </w:style>
  <w:style w:type="table" w:styleId="26">
    <w:name w:val="Table Grid"/>
    <w:basedOn w:val="2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basedOn w:val="27"/>
    <w:qFormat/>
    <w:uiPriority w:val="0"/>
    <w:rPr>
      <w:b/>
    </w:rPr>
  </w:style>
  <w:style w:type="character" w:styleId="29">
    <w:name w:val="page number"/>
    <w:basedOn w:val="27"/>
    <w:qFormat/>
    <w:uiPriority w:val="0"/>
  </w:style>
  <w:style w:type="character" w:styleId="30">
    <w:name w:val="annotation reference"/>
    <w:basedOn w:val="27"/>
    <w:qFormat/>
    <w:uiPriority w:val="0"/>
    <w:rPr>
      <w:sz w:val="21"/>
      <w:szCs w:val="21"/>
    </w:rPr>
  </w:style>
  <w:style w:type="paragraph" w:customStyle="1" w:styleId="31">
    <w:name w:val="Default"/>
    <w:basedOn w:val="32"/>
    <w:next w:val="33"/>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2">
    <w:name w:val="纯文本1"/>
    <w:basedOn w:val="1"/>
    <w:qFormat/>
    <w:uiPriority w:val="0"/>
    <w:pPr>
      <w:adjustRightInd w:val="0"/>
    </w:pPr>
    <w:rPr>
      <w:rFonts w:ascii="宋体" w:hAnsi="Courier New"/>
      <w:szCs w:val="20"/>
    </w:rPr>
  </w:style>
  <w:style w:type="paragraph" w:customStyle="1" w:styleId="33">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customStyle="1" w:styleId="34">
    <w:name w:val="表格内容"/>
    <w:basedOn w:val="1"/>
    <w:qFormat/>
    <w:uiPriority w:val="0"/>
    <w:rPr>
      <w:rFonts w:eastAsia="仿宋"/>
      <w:kern w:val="0"/>
      <w:sz w:val="24"/>
    </w:rPr>
  </w:style>
  <w:style w:type="paragraph" w:customStyle="1" w:styleId="35">
    <w:name w:val="22"/>
    <w:basedOn w:val="1"/>
    <w:link w:val="36"/>
    <w:qFormat/>
    <w:uiPriority w:val="0"/>
    <w:pPr>
      <w:widowControl/>
      <w:spacing w:line="360" w:lineRule="auto"/>
      <w:ind w:firstLine="200" w:firstLineChars="200"/>
      <w:jc w:val="left"/>
    </w:pPr>
    <w:rPr>
      <w:sz w:val="28"/>
    </w:rPr>
  </w:style>
  <w:style w:type="character" w:customStyle="1" w:styleId="36">
    <w:name w:val="22 字符"/>
    <w:link w:val="35"/>
    <w:qFormat/>
    <w:uiPriority w:val="0"/>
    <w:rPr>
      <w:rFonts w:ascii="Times New Roman" w:hAnsi="Times New Roman" w:eastAsia="宋体" w:cs="Times New Roman"/>
      <w:kern w:val="2"/>
      <w:sz w:val="28"/>
      <w:szCs w:val="24"/>
    </w:rPr>
  </w:style>
  <w:style w:type="paragraph" w:customStyle="1" w:styleId="37">
    <w:name w:val="Default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8">
    <w:name w:val="No Spacing"/>
    <w:qFormat/>
    <w:uiPriority w:val="0"/>
    <w:pPr>
      <w:widowControl w:val="0"/>
      <w:adjustRightInd w:val="0"/>
      <w:spacing w:line="360" w:lineRule="atLeast"/>
      <w:jc w:val="both"/>
      <w:textAlignment w:val="baseline"/>
    </w:pPr>
    <w:rPr>
      <w:rFonts w:ascii="Times New Roman" w:hAnsi="Times New Roman" w:eastAsia="宋体" w:cs="Times New Roman"/>
      <w:kern w:val="2"/>
      <w:sz w:val="24"/>
      <w:szCs w:val="24"/>
      <w:lang w:val="en-US" w:eastAsia="zh-CN" w:bidi="ar-SA"/>
    </w:rPr>
  </w:style>
  <w:style w:type="paragraph" w:customStyle="1" w:styleId="39">
    <w:name w:val="Table Paragraph"/>
    <w:basedOn w:val="1"/>
    <w:qFormat/>
    <w:uiPriority w:val="1"/>
    <w:pPr>
      <w:spacing w:before="22" w:line="214" w:lineRule="exact"/>
      <w:jc w:val="center"/>
    </w:pPr>
    <w:rPr>
      <w:rFonts w:ascii="宋体" w:hAnsi="宋体" w:cs="宋体"/>
      <w:lang w:val="zh-CN" w:bidi="zh-CN"/>
    </w:rPr>
  </w:style>
  <w:style w:type="character" w:customStyle="1" w:styleId="40">
    <w:name w:val="fontstyle01"/>
    <w:basedOn w:val="27"/>
    <w:qFormat/>
    <w:uiPriority w:val="0"/>
    <w:rPr>
      <w:rFonts w:hint="eastAsia" w:ascii="宋体" w:hAnsi="宋体" w:eastAsia="宋体"/>
      <w:color w:val="000000"/>
      <w:sz w:val="24"/>
      <w:szCs w:val="24"/>
    </w:rPr>
  </w:style>
  <w:style w:type="paragraph" w:customStyle="1" w:styleId="41">
    <w:name w:val="表格"/>
    <w:basedOn w:val="22"/>
    <w:next w:val="1"/>
    <w:qFormat/>
    <w:uiPriority w:val="0"/>
    <w:pPr>
      <w:adjustRightInd w:val="0"/>
      <w:snapToGrid w:val="0"/>
      <w:spacing w:beforeLines="10" w:afterLines="10" w:line="259" w:lineRule="auto"/>
      <w:jc w:val="center"/>
    </w:pPr>
    <w:rPr>
      <w:rFonts w:ascii="宋体"/>
    </w:rPr>
  </w:style>
  <w:style w:type="character" w:customStyle="1" w:styleId="42">
    <w:name w:val="font21"/>
    <w:basedOn w:val="27"/>
    <w:qFormat/>
    <w:uiPriority w:val="0"/>
    <w:rPr>
      <w:rFonts w:hint="eastAsia" w:ascii="仿宋" w:hAnsi="仿宋" w:eastAsia="仿宋" w:cs="仿宋"/>
      <w:b/>
      <w:color w:val="000000"/>
      <w:sz w:val="21"/>
      <w:szCs w:val="21"/>
      <w:u w:val="none"/>
    </w:rPr>
  </w:style>
  <w:style w:type="paragraph" w:customStyle="1" w:styleId="43">
    <w:name w:val="正文小四"/>
    <w:basedOn w:val="1"/>
    <w:qFormat/>
    <w:uiPriority w:val="0"/>
    <w:pPr>
      <w:spacing w:line="360" w:lineRule="auto"/>
      <w:ind w:firstLine="360" w:firstLineChars="150"/>
      <w:jc w:val="left"/>
    </w:pPr>
    <w:rPr>
      <w:rFonts w:eastAsia="Century Gothic"/>
      <w:sz w:val="24"/>
      <w:szCs w:val="20"/>
    </w:rPr>
  </w:style>
  <w:style w:type="paragraph" w:customStyle="1" w:styleId="44">
    <w:name w:val="wlh表头及图尾深圳环评（新）"/>
    <w:basedOn w:val="1"/>
    <w:qFormat/>
    <w:uiPriority w:val="0"/>
    <w:pPr>
      <w:widowControl/>
      <w:tabs>
        <w:tab w:val="center" w:pos="4200"/>
        <w:tab w:val="right" w:pos="8400"/>
      </w:tabs>
      <w:adjustRightInd w:val="0"/>
      <w:snapToGrid w:val="0"/>
      <w:spacing w:line="360" w:lineRule="auto"/>
      <w:jc w:val="center"/>
    </w:pPr>
    <w:rPr>
      <w:rFonts w:ascii="Verdana" w:hAnsi="Verdana" w:eastAsia="黑体"/>
      <w:kern w:val="0"/>
      <w:szCs w:val="21"/>
    </w:rPr>
  </w:style>
  <w:style w:type="paragraph" w:customStyle="1" w:styleId="45">
    <w:name w:val="0 正文"/>
    <w:basedOn w:val="1"/>
    <w:qFormat/>
    <w:uiPriority w:val="0"/>
    <w:pPr>
      <w:spacing w:line="360" w:lineRule="auto"/>
      <w:ind w:firstLine="200" w:firstLineChars="200"/>
    </w:pPr>
    <w:rPr>
      <w:kern w:val="0"/>
      <w:sz w:val="24"/>
    </w:rPr>
  </w:style>
  <w:style w:type="paragraph" w:customStyle="1" w:styleId="46">
    <w:name w:val="正文 New"/>
    <w:qFormat/>
    <w:uiPriority w:val="0"/>
    <w:pPr>
      <w:widowControl w:val="0"/>
      <w:spacing w:line="360" w:lineRule="auto"/>
      <w:ind w:firstLine="200" w:firstLineChars="200"/>
      <w:jc w:val="both"/>
    </w:pPr>
    <w:rPr>
      <w:rFonts w:ascii="Times New Roman" w:hAnsi="Times New Roman" w:eastAsia="宋体" w:cs="Times New Roman"/>
      <w:kern w:val="2"/>
      <w:sz w:val="28"/>
      <w:szCs w:val="24"/>
      <w:lang w:val="en-US" w:eastAsia="zh-CN" w:bidi="ar-SA"/>
    </w:rPr>
  </w:style>
  <w:style w:type="paragraph" w:customStyle="1" w:styleId="47">
    <w:name w:val="0正文表内"/>
    <w:basedOn w:val="1"/>
    <w:next w:val="1"/>
    <w:qFormat/>
    <w:uiPriority w:val="0"/>
    <w:pPr>
      <w:spacing w:line="360" w:lineRule="exact"/>
      <w:jc w:val="left"/>
    </w:pPr>
    <w:rPr>
      <w:szCs w:val="22"/>
    </w:rPr>
  </w:style>
  <w:style w:type="paragraph" w:customStyle="1" w:styleId="48">
    <w:name w:val="表头-图名"/>
    <w:qFormat/>
    <w:uiPriority w:val="1"/>
    <w:pPr>
      <w:autoSpaceDE w:val="0"/>
      <w:autoSpaceDN w:val="0"/>
      <w:jc w:val="center"/>
    </w:pPr>
    <w:rPr>
      <w:rFonts w:ascii="Times New Roman" w:hAnsi="Times New Roman" w:eastAsia="宋体" w:cs="宋体"/>
      <w:b/>
      <w:sz w:val="21"/>
      <w:szCs w:val="22"/>
      <w:lang w:val="zh-CN" w:eastAsia="zh-CN" w:bidi="zh-CN"/>
    </w:rPr>
  </w:style>
  <w:style w:type="character" w:customStyle="1" w:styleId="49">
    <w:name w:val="font01"/>
    <w:basedOn w:val="27"/>
    <w:qFormat/>
    <w:uiPriority w:val="0"/>
    <w:rPr>
      <w:rFonts w:hint="default" w:ascii="Tahoma" w:hAnsi="Tahoma" w:eastAsia="Tahoma" w:cs="Tahoma"/>
      <w:color w:val="000000"/>
      <w:sz w:val="22"/>
      <w:szCs w:val="22"/>
      <w:u w:val="none"/>
    </w:rPr>
  </w:style>
  <w:style w:type="character" w:customStyle="1" w:styleId="50">
    <w:name w:val="font11"/>
    <w:basedOn w:val="27"/>
    <w:qFormat/>
    <w:uiPriority w:val="0"/>
    <w:rPr>
      <w:rFonts w:hint="eastAsia" w:ascii="宋体" w:hAnsi="宋体" w:eastAsia="宋体" w:cs="宋体"/>
      <w:color w:val="000000"/>
      <w:sz w:val="22"/>
      <w:szCs w:val="22"/>
      <w:u w:val="none"/>
    </w:rPr>
  </w:style>
  <w:style w:type="character" w:customStyle="1" w:styleId="51">
    <w:name w:val="font41"/>
    <w:basedOn w:val="27"/>
    <w:qFormat/>
    <w:uiPriority w:val="0"/>
    <w:rPr>
      <w:rFonts w:hint="default" w:ascii="Times New Roman" w:hAnsi="Times New Roman" w:cs="Times New Roman"/>
      <w:color w:val="000000"/>
      <w:sz w:val="20"/>
      <w:szCs w:val="20"/>
      <w:u w:val="none"/>
    </w:rPr>
  </w:style>
  <w:style w:type="character" w:customStyle="1" w:styleId="52">
    <w:name w:val="font31"/>
    <w:basedOn w:val="27"/>
    <w:qFormat/>
    <w:uiPriority w:val="0"/>
    <w:rPr>
      <w:rFonts w:hint="eastAsia" w:ascii="宋体" w:hAnsi="宋体" w:eastAsia="宋体" w:cs="宋体"/>
      <w:color w:val="000000"/>
      <w:sz w:val="20"/>
      <w:szCs w:val="20"/>
      <w:u w:val="none"/>
    </w:rPr>
  </w:style>
  <w:style w:type="character" w:customStyle="1" w:styleId="53">
    <w:name w:val="批注文字 字符"/>
    <w:basedOn w:val="27"/>
    <w:link w:val="14"/>
    <w:qFormat/>
    <w:uiPriority w:val="0"/>
    <w:rPr>
      <w:kern w:val="2"/>
      <w:sz w:val="21"/>
      <w:szCs w:val="24"/>
    </w:rPr>
  </w:style>
  <w:style w:type="character" w:customStyle="1" w:styleId="54">
    <w:name w:val="批注框文本 字符"/>
    <w:basedOn w:val="27"/>
    <w:link w:val="19"/>
    <w:qFormat/>
    <w:uiPriority w:val="0"/>
    <w:rPr>
      <w:kern w:val="2"/>
      <w:sz w:val="18"/>
      <w:szCs w:val="18"/>
    </w:rPr>
  </w:style>
  <w:style w:type="paragraph" w:styleId="55">
    <w:name w:val="List Paragraph"/>
    <w:basedOn w:val="1"/>
    <w:qFormat/>
    <w:uiPriority w:val="99"/>
    <w:pPr>
      <w:ind w:firstLine="420" w:firstLineChars="200"/>
    </w:pPr>
  </w:style>
  <w:style w:type="paragraph" w:customStyle="1" w:styleId="56">
    <w:name w:val="tubiaoneirong"/>
    <w:basedOn w:val="1"/>
    <w:qFormat/>
    <w:uiPriority w:val="0"/>
    <w:pPr>
      <w:widowControl/>
      <w:jc w:val="center"/>
    </w:pPr>
    <w:rPr>
      <w:color w:val="000000"/>
      <w:kern w:val="0"/>
      <w:szCs w:val="22"/>
    </w:rPr>
  </w:style>
  <w:style w:type="paragraph" w:customStyle="1" w:styleId="57">
    <w:name w:val="样式1"/>
    <w:basedOn w:val="1"/>
    <w:qFormat/>
    <w:uiPriority w:val="0"/>
    <w:pPr>
      <w:snapToGrid w:val="0"/>
      <w:jc w:val="center"/>
    </w:pPr>
    <w:rPr>
      <w:rFonts w:ascii="宋体"/>
      <w:szCs w:val="20"/>
    </w:rPr>
  </w:style>
  <w:style w:type="paragraph" w:customStyle="1" w:styleId="58">
    <w:name w:val="正文1"/>
    <w:basedOn w:val="1"/>
    <w:qFormat/>
    <w:uiPriority w:val="0"/>
    <w:pPr>
      <w:adjustRightInd w:val="0"/>
    </w:pPr>
    <w:rPr>
      <w:rFonts w:eastAsia="楷体_GB2312"/>
      <w:sz w:val="24"/>
      <w:szCs w:val="20"/>
    </w:rPr>
  </w:style>
  <w:style w:type="character" w:customStyle="1" w:styleId="59">
    <w:name w:val="font81"/>
    <w:basedOn w:val="27"/>
    <w:qFormat/>
    <w:uiPriority w:val="0"/>
    <w:rPr>
      <w:rFonts w:hint="eastAsia" w:ascii="宋体" w:hAnsi="宋体" w:eastAsia="宋体" w:cs="宋体"/>
      <w:color w:val="FF0000"/>
      <w:sz w:val="22"/>
      <w:szCs w:val="22"/>
      <w:u w:val="none"/>
    </w:rPr>
  </w:style>
  <w:style w:type="character" w:customStyle="1" w:styleId="60">
    <w:name w:val="font61"/>
    <w:basedOn w:val="27"/>
    <w:qFormat/>
    <w:uiPriority w:val="0"/>
    <w:rPr>
      <w:rFonts w:hint="default" w:ascii="Times New Roman" w:hAnsi="Times New Roman" w:cs="Times New Roman"/>
      <w:color w:val="FF0000"/>
      <w:sz w:val="22"/>
      <w:szCs w:val="22"/>
      <w:u w:val="none"/>
    </w:rPr>
  </w:style>
  <w:style w:type="character" w:customStyle="1" w:styleId="61">
    <w:name w:val="font91"/>
    <w:basedOn w:val="27"/>
    <w:qFormat/>
    <w:uiPriority w:val="0"/>
    <w:rPr>
      <w:rFonts w:hint="eastAsia" w:ascii="宋体" w:hAnsi="宋体" w:eastAsia="宋体" w:cs="宋体"/>
      <w:color w:val="00B050"/>
      <w:sz w:val="22"/>
      <w:szCs w:val="22"/>
      <w:u w:val="none"/>
    </w:rPr>
  </w:style>
  <w:style w:type="character" w:customStyle="1" w:styleId="62">
    <w:name w:val="font51"/>
    <w:basedOn w:val="27"/>
    <w:qFormat/>
    <w:uiPriority w:val="0"/>
    <w:rPr>
      <w:rFonts w:hint="default" w:ascii="Times New Roman" w:hAnsi="Times New Roman" w:cs="Times New Roman"/>
      <w:color w:val="000000"/>
      <w:sz w:val="22"/>
      <w:szCs w:val="22"/>
      <w:u w:val="none"/>
    </w:rPr>
  </w:style>
  <w:style w:type="character" w:customStyle="1" w:styleId="63">
    <w:name w:val="font101"/>
    <w:basedOn w:val="27"/>
    <w:qFormat/>
    <w:uiPriority w:val="0"/>
    <w:rPr>
      <w:rFonts w:hint="eastAsia" w:ascii="宋体" w:hAnsi="宋体" w:eastAsia="宋体" w:cs="宋体"/>
      <w:color w:val="000000"/>
      <w:sz w:val="22"/>
      <w:szCs w:val="22"/>
      <w:u w:val="none"/>
    </w:rPr>
  </w:style>
  <w:style w:type="character" w:customStyle="1" w:styleId="64">
    <w:name w:val="font71"/>
    <w:basedOn w:val="27"/>
    <w:qFormat/>
    <w:uiPriority w:val="0"/>
    <w:rPr>
      <w:rFonts w:hint="default" w:ascii="Times New Roman" w:hAnsi="Times New Roman" w:cs="Times New Roman"/>
      <w:color w:val="000000"/>
      <w:sz w:val="22"/>
      <w:szCs w:val="22"/>
      <w:u w:val="none"/>
    </w:rPr>
  </w:style>
  <w:style w:type="paragraph" w:customStyle="1" w:styleId="65">
    <w:name w:val="表、图标题"/>
    <w:basedOn w:val="1"/>
    <w:qFormat/>
    <w:uiPriority w:val="0"/>
    <w:pPr>
      <w:widowControl/>
      <w:adjustRightInd w:val="0"/>
      <w:snapToGrid w:val="0"/>
      <w:spacing w:line="360" w:lineRule="auto"/>
      <w:jc w:val="center"/>
    </w:pPr>
    <w:rPr>
      <w:rFonts w:asciiTheme="minorHAnsi" w:hAnsiTheme="minorHAnsi" w:eastAsiaTheme="minorEastAsia" w:cstheme="minorBidi"/>
      <w:b/>
      <w:bCs/>
      <w:sz w:val="24"/>
    </w:rPr>
  </w:style>
  <w:style w:type="paragraph" w:customStyle="1" w:styleId="66">
    <w:name w:val="表"/>
    <w:qFormat/>
    <w:uiPriority w:val="0"/>
    <w:pPr>
      <w:spacing w:line="440" w:lineRule="exact"/>
      <w:ind w:firstLine="200" w:firstLineChars="200"/>
      <w:jc w:val="both"/>
    </w:pPr>
    <w:rPr>
      <w:rFonts w:ascii="Times New Roman" w:hAnsi="Times New Roman" w:eastAsia="宋体" w:cs="Times New Roman"/>
      <w:sz w:val="24"/>
      <w:szCs w:val="22"/>
      <w:lang w:val="en-US" w:eastAsia="zh-CN" w:bidi="ar-SA"/>
    </w:rPr>
  </w:style>
  <w:style w:type="paragraph" w:customStyle="1" w:styleId="67">
    <w:name w:val="正文 首行缩进:  2 字符"/>
    <w:basedOn w:val="1"/>
    <w:qFormat/>
    <w:uiPriority w:val="99"/>
    <w:pPr>
      <w:ind w:firstLine="579" w:firstLineChars="200"/>
    </w:pPr>
    <w:rPr>
      <w:rFonts w:eastAsia="等线" w:cs="宋体"/>
      <w:szCs w:val="20"/>
    </w:rPr>
  </w:style>
  <w:style w:type="paragraph" w:customStyle="1" w:styleId="68">
    <w:name w:val="表内表"/>
    <w:basedOn w:val="1"/>
    <w:qFormat/>
    <w:uiPriority w:val="0"/>
    <w:pPr>
      <w:spacing w:line="240" w:lineRule="atLeast"/>
      <w:jc w:val="center"/>
    </w:pPr>
    <w:rPr>
      <w:rFonts w:asciiTheme="minorHAnsi" w:hAnsiTheme="minorHAnsi" w:eastAsiaTheme="minorEastAsia" w:cstheme="minorBidi"/>
      <w:bCs/>
      <w:szCs w:val="21"/>
    </w:rPr>
  </w:style>
  <w:style w:type="paragraph" w:customStyle="1" w:styleId="69">
    <w:name w:val="Body Text 21"/>
    <w:basedOn w:val="1"/>
    <w:qFormat/>
    <w:uiPriority w:val="0"/>
    <w:pPr>
      <w:adjustRightInd w:val="0"/>
    </w:pPr>
    <w:rPr>
      <w:rFonts w:ascii="仿宋_GB2312" w:hAnsi="Calibri" w:eastAsia="仿宋体"/>
      <w:sz w:val="24"/>
      <w:szCs w:val="20"/>
    </w:rPr>
  </w:style>
  <w:style w:type="paragraph" w:customStyle="1" w:styleId="70">
    <w:name w:val="表/图"/>
    <w:basedOn w:val="1"/>
    <w:qFormat/>
    <w:uiPriority w:val="0"/>
    <w:pPr>
      <w:adjustRightInd w:val="0"/>
      <w:snapToGrid w:val="0"/>
      <w:jc w:val="center"/>
    </w:pPr>
    <w:rPr>
      <w:rFonts w:eastAsia="仿宋"/>
    </w:rPr>
  </w:style>
  <w:style w:type="paragraph" w:customStyle="1" w:styleId="71">
    <w:name w:val="表头"/>
    <w:basedOn w:val="17"/>
    <w:qFormat/>
    <w:uiPriority w:val="0"/>
    <w:pPr>
      <w:keepNext w:val="0"/>
      <w:keepLines w:val="0"/>
      <w:widowControl w:val="0"/>
      <w:suppressLineNumbers w:val="0"/>
      <w:adjustRightInd w:val="0"/>
      <w:spacing w:before="120" w:beforeAutospacing="0" w:after="0" w:afterAutospacing="0" w:line="360" w:lineRule="auto"/>
      <w:ind w:left="0" w:right="0"/>
      <w:jc w:val="center"/>
    </w:pPr>
    <w:rPr>
      <w:rFonts w:hint="eastAsia" w:ascii="宋体" w:hAnsi="Times New Roman" w:eastAsia="宋体" w:cs="宋体"/>
      <w:spacing w:val="4"/>
      <w:kern w:val="0"/>
      <w:sz w:val="24"/>
      <w:szCs w:val="20"/>
      <w:lang w:val="en-US" w:eastAsia="zh-CN" w:bidi="ar"/>
    </w:rPr>
  </w:style>
  <w:style w:type="paragraph" w:customStyle="1" w:styleId="72">
    <w:name w:val="表格文字"/>
    <w:qFormat/>
    <w:uiPriority w:val="0"/>
    <w:pPr>
      <w:spacing w:beforeLines="10" w:line="0" w:lineRule="atLeast"/>
      <w:jc w:val="center"/>
    </w:pPr>
    <w:rPr>
      <w:rFonts w:ascii="Times New Roman" w:hAnsi="Times New Roman" w:eastAsia="宋体" w:cs="Times New Roman"/>
      <w:kern w:val="2"/>
      <w:sz w:val="18"/>
      <w:szCs w:val="21"/>
      <w:lang w:val="en-US" w:eastAsia="zh-CN" w:bidi="ar-SA"/>
    </w:rPr>
  </w:style>
  <w:style w:type="table" w:customStyle="1" w:styleId="73">
    <w:name w:val="标准表格"/>
    <w:basedOn w:val="25"/>
    <w:qFormat/>
    <w:uiPriority w:val="99"/>
    <w:pPr>
      <w:spacing w:before="74"/>
      <w:jc w:val="center"/>
    </w:pPr>
    <w:rPr>
      <w:sz w:val="18"/>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FFFFFF"/>
      <w:vAlign w:val="center"/>
    </w:tcPr>
    <w:tblStylePr w:type="firstRow">
      <w:pPr>
        <w:wordWrap/>
        <w:spacing w:line="240" w:lineRule="auto"/>
        <w:ind w:left="0" w:leftChars="0" w:right="0" w:rightChars="0" w:firstLine="0" w:firstLineChars="0"/>
        <w:jc w:val="center"/>
      </w:pPr>
      <w:rPr>
        <w:rFonts w:hint="eastAsia" w:ascii="宋体" w:hAnsi="宋体" w:eastAsia="宋体"/>
        <w:sz w:val="18"/>
        <w:szCs w:val="18"/>
      </w:rPr>
    </w:tblStylePr>
    <w:tblStylePr w:type="firstCol">
      <w:pPr>
        <w:jc w:val="center"/>
      </w:pPr>
    </w:tblStylePr>
  </w:style>
  <w:style w:type="paragraph" w:customStyle="1" w:styleId="74">
    <w:name w:val="绘图"/>
    <w:basedOn w:val="1"/>
    <w:qFormat/>
    <w:uiPriority w:val="0"/>
    <w:pPr>
      <w:jc w:val="center"/>
    </w:pPr>
    <w:rPr>
      <w:rFonts w:eastAsia="黑体"/>
      <w:sz w:val="24"/>
      <w:szCs w:val="24"/>
    </w:rPr>
  </w:style>
  <w:style w:type="paragraph" w:customStyle="1" w:styleId="75">
    <w:name w:val="【表中文字】"/>
    <w:basedOn w:val="1"/>
    <w:qFormat/>
    <w:uiPriority w:val="0"/>
    <w:pPr>
      <w:jc w:val="center"/>
    </w:pPr>
    <w:rPr>
      <w:rFonts w:ascii="Calibri" w:hAnsi="Calibri"/>
      <w:szCs w:val="20"/>
    </w:rPr>
  </w:style>
  <w:style w:type="paragraph" w:customStyle="1" w:styleId="76">
    <w:name w:val="+正文"/>
    <w:basedOn w:val="1"/>
    <w:qFormat/>
    <w:uiPriority w:val="0"/>
    <w:pPr>
      <w:adjustRightInd w:val="0"/>
      <w:snapToGrid w:val="0"/>
      <w:spacing w:line="360" w:lineRule="auto"/>
      <w:ind w:firstLine="200" w:firstLineChars="200"/>
    </w:pPr>
    <w:rPr>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jpeg"/><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jkwOTg2MDUyNzExIiwKCSJHcm91cElkIiA6ICI5OTQ3MjYzMjYiLAoJIkltYWdlIiA6ICJpVkJPUncwS0dnb0FBQUFOU1VoRVVnQUFCQU1BQUFPcENBWUFBQUJ2bnU0b0FBQUFBWE5TUjBJQXJzNGM2UUFBSUFCSlJFRlVlSnpzM1hsNEZGWFdCdkQzVkdjamhDMnNLc2dXQ0d2UzFSRWRGUVZSUVVFR2RXWlF4MUZ4QTJkQVFWRkVaNHlvNDY0b0xpQ0xDNGk0SWJzTHpDY2pvekFJcHJ1VFNCQUlHaEVCQlFNQlFyYnVPdDhmNmU3SjBwMkZBRTNJKzNzZUhsSlY5OTQ2bFRSRjZ0UmRBQ0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FQlYrbi96VW9pQVBvaEwvQUFBQUFCSlJVNUVya0pnZ2c9PSIsCgkiVGhlbWUiIDogIiIsCgkiVHlwZSIgOiAiZmxvdyIsCgkiVmVyc2lvbiIgOiAiIgp9Cg=="/>
    </extobj>
    <extobj name="ECB019B1-382A-4266-B25C-5B523AA43C14-2">
      <extobjdata type="ECB019B1-382A-4266-B25C-5B523AA43C14" data="ewoJIkZpbGVJZCIgOiAiMjkxMzg5ODM0NzU4IiwKCSJHcm91cElkIiA6ICI5OTQ3MjYzMjYiLAoJIkltYWdlIiA6ICJpVkJPUncwS0dnb0FBQUFOU1VoRVVnQUFCTXNBQUFGbENBWUFBQUQxUTIrYkFBQUFBWE5TUjBJQXJzNGM2UUFBSUFCSlJFRlVlSnpzM1hsNFUxWDZCL0R2dVRkdDAwS2hDTlNDZ01naWduWkpFRVhIQlZ6UUFVVkVSMGNHWlFSRlVLQ0tJQWhhRVhGMEJCMUZBVm1VUlVGVVFNQ2ZDb3pJRHNQV2xCWUtGY1JpSzdLMFFBdGRrM3ZQNzQ4bTE2Uko5eVdGZmovUDA2Zkp1VXRPMnZmZW5MejNuSE1C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0NKL0I5UmdmSnFNY1BHSmdBQUFBQkpSVTVFcmtKZ2dnPT0iLAoJIlRoZW1lIiA6ICIiLAoJIlR5cGUiIDogImZsb3ciLAoJIlZlcnNpb24iIDogIiIKfQo="/>
    </extobj>
  </extobj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0A3B93-C41C-43D6-A296-369E4DE34083}">
  <ds:schemaRefs/>
</ds:datastoreItem>
</file>

<file path=docProps/app.xml><?xml version="1.0" encoding="utf-8"?>
<Properties xmlns="http://schemas.openxmlformats.org/officeDocument/2006/extended-properties" xmlns:vt="http://schemas.openxmlformats.org/officeDocument/2006/docPropsVTypes">
  <Template>Normal</Template>
  <Pages>50</Pages>
  <Words>28125</Words>
  <Characters>33382</Characters>
  <Lines>189</Lines>
  <Paragraphs>53</Paragraphs>
  <TotalTime>11</TotalTime>
  <ScaleCrop>false</ScaleCrop>
  <LinksUpToDate>false</LinksUpToDate>
  <CharactersWithSpaces>33659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2021-04-09T10:59:00Z</dcterms:created>
  <dc:creator>De未_44220</dc:creator>
  <cp:lastModifiedBy>刘沁</cp:lastModifiedBy>
  <cp:lastPrinted>2021-06-28T01:05:00Z</cp:lastPrinted>
  <dcterms:modified xsi:type="dcterms:W3CDTF">2024-07-04T10:12:25Z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C0AEFE3FE1DA4830BA38DAFCD899A60F</vt:lpwstr>
  </property>
</Properties>
</file>