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right="0" w:rightChars="0"/>
        <w:jc w:val="left"/>
        <w:textAlignment w:val="auto"/>
        <w:outlineLvl w:val="9"/>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3" w:firstLineChars="200"/>
        <w:jc w:val="center"/>
        <w:textAlignment w:val="auto"/>
        <w:outlineLvl w:val="9"/>
        <w:rPr>
          <w:rFonts w:hint="eastAsia" w:ascii="方正小标宋简体" w:eastAsia="方正小标宋简体" w:cs="方正小标宋简体"/>
          <w:b/>
          <w:bCs/>
          <w:color w:val="000000" w:themeColor="text1"/>
          <w:sz w:val="44"/>
          <w:szCs w:val="44"/>
          <w:highlight w:val="none"/>
          <w14:textFill>
            <w14:solidFill>
              <w14:schemeClr w14:val="tx1"/>
            </w14:solidFill>
          </w14:textFill>
        </w:rPr>
      </w:pPr>
      <w:r>
        <w:rPr>
          <w:rFonts w:hint="eastAsia" w:ascii="方正小标宋简体" w:eastAsia="方正小标宋简体" w:cs="方正小标宋简体"/>
          <w:b/>
          <w:bCs/>
          <w:color w:val="000000" w:themeColor="text1"/>
          <w:sz w:val="44"/>
          <w:szCs w:val="44"/>
          <w:highlight w:val="none"/>
          <w14:textFill>
            <w14:solidFill>
              <w14:schemeClr w14:val="tx1"/>
            </w14:solidFill>
          </w14:textFill>
        </w:rPr>
        <w:t>本次检验项目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一、饼干</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7100-2015《食品安全国家标准饼干》。</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right="0" w:rightChars="0" w:firstLine="560" w:firstLineChars="200"/>
        <w:textAlignment w:val="auto"/>
        <w:outlineLvl w:val="9"/>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饼干的抽检项目包括环己基氨基磺酸钠(甜蜜素)、脱氢乙酸及其钠盐(以脱氢乙酸计)、铝的残留量(干样品，以Al计)、山梨酸及其钾盐(以山梨酸计)、苯甲酸及其钠盐(以苯甲酸计)、过氧化值(以脂肪计)、酸价(以脂肪计)(KOH)。</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二、餐饮食品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是</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14934-2016《食品安全国家标准消毒餐(饮)具》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left="630" w:leftChars="0" w:right="0" w:rightChars="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餐饮食品的抽检项目包括大肠菌群</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阴离子合成洗涤剂（以十二烷基苯磺酸钠计）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、铅(以Pb计)、脱氢乙酸及其钠盐(以脱氢乙酸计)、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铬(以Cr计)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苯甲酸及其钠盐(以苯甲酸计)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山梨酸及其钾盐(以山梨酸计)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、糖精钠(以糖精计)、铝的残留量(干样品，以Al计)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w:t>
      </w:r>
    </w:p>
    <w:p>
      <w:pPr>
        <w:pStyle w:val="2"/>
        <w:rPr>
          <w:rFonts w:hint="eastAsia"/>
          <w:lang w:val="en-US" w:eastAsia="zh-CN"/>
        </w:rPr>
      </w:pP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三、炒货食品及坚果制品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19300-2014《食品安全国家标准坚果与籽类食品》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2761-2017《食品安全国家标准食品中真菌毒素限量》。</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left="630" w:leftChars="0" w:right="0" w:rightChars="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firstLine="560" w:firstLineChars="200"/>
        <w:textAlignment w:val="auto"/>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炒货食品及坚果制品的抽检项目包括酸价(以脂肪计)(KOH)</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过氧化值(以脂肪计)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黄曲霉毒素B₁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环己基氨基磺酸钠(甜蜜素)</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、糖精钠(以糖精计)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四、淀粉及淀粉制品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是</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 食品中污染物限量》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国家卫生计生委关于批准β-半乳糖苷酶为食品添加剂新品种等的公告(2015年第1号)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left="630" w:leftChars="0" w:right="0" w:rightChars="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淀粉及淀粉制品的抽检项</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包括铝的残留量(干样品，以Al计)、铅(以Pb计)、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苯甲酸及其钠盐(以苯甲酸计)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山梨酸及其钾盐(以山梨酸计)。</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五、调味品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GB/T 18187-2000《酿造食醋》。</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right="0" w:rightChars="0" w:firstLine="560" w:firstLineChars="200"/>
        <w:textAlignment w:val="auto"/>
        <w:outlineLvl w:val="9"/>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调味品的抽检项目包括总酸（以乙酸计）、苯甲酸及其钠盐(以苯甲酸计)、山梨酸及其钾盐(以山梨酸计)、脱氢乙酸及其钠盐(以脱氢乙酸计)、糖精钠(以糖精计)。</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六、豆制品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right="0" w:rightChars="0" w:firstLine="560" w:firstLineChars="200"/>
        <w:textAlignment w:val="auto"/>
        <w:outlineLvl w:val="9"/>
        <w:rPr>
          <w:rFonts w:hint="eastAsia" w:ascii="仿宋_GB2312" w:eastAsia="仿宋_GB2312" w:cs="仿宋_GB2312"/>
          <w:color w:val="auto"/>
          <w:kern w:val="2"/>
          <w:sz w:val="28"/>
          <w:szCs w:val="28"/>
          <w:highlight w:val="none"/>
          <w:lang w:val="en-US" w:eastAsia="zh-CN" w:bidi="ar-SA"/>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豆制品的抽检项目包括铅(以Pb计)、苯甲酸及其钠盐(以苯甲酸计)、山梨酸及其钾盐(以山梨酸计)、脱氢乙酸及其钠盐(以脱氢乙酸计)</w:t>
      </w:r>
      <w:r>
        <w:rPr>
          <w:rFonts w:hint="eastAsia" w:ascii="仿宋_GB2312" w:eastAsia="仿宋_GB2312" w:cs="仿宋_GB2312"/>
          <w:color w:val="auto"/>
          <w:kern w:val="2"/>
          <w:sz w:val="28"/>
          <w:szCs w:val="28"/>
          <w:highlight w:val="none"/>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七、糕点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7099-2015《食品安全国家标准糕点、面包》。</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firstLine="560" w:firstLineChars="200"/>
        <w:textAlignment w:val="auto"/>
        <w:rPr>
          <w:rFonts w:hint="eastAsia" w:ascii="仿宋_GB2312" w:eastAsia="仿宋_GB2312" w:cs="仿宋_GB2312"/>
          <w:color w:val="auto"/>
          <w:kern w:val="2"/>
          <w:sz w:val="28"/>
          <w:szCs w:val="28"/>
          <w:highlight w:val="none"/>
          <w:lang w:val="en-US" w:eastAsia="zh-CN" w:bidi="ar-SA"/>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糕点的抽检项目包括铝的残留量(干样品，以Al计)、苯甲酸及其钠盐(以苯甲酸计)、山梨酸及其钾盐(以山梨酸计)、糖精钠(以糖精计)、酸价(以脂肪计)(KOH)、过氧化值(以脂肪计)、脱氢乙酸及其钠盐(以脱氢乙酸计)</w:t>
      </w:r>
      <w:r>
        <w:rPr>
          <w:rFonts w:hint="eastAsia" w:ascii="仿宋_GB2312" w:eastAsia="仿宋_GB2312" w:cs="仿宋_GB2312"/>
          <w:color w:val="auto"/>
          <w:kern w:val="2"/>
          <w:sz w:val="28"/>
          <w:szCs w:val="28"/>
          <w:highlight w:val="none"/>
          <w:lang w:val="en-US" w:eastAsia="zh-CN" w:bidi="ar-SA"/>
        </w:rPr>
        <w:t>。</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八、粮食加工品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560"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2761-2017《食品安全国家标准食品中真菌毒素限量》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卫生部公告[2011]第4号卫生部等7部门《关于撤销食品添加剂过氧化苯甲酰、过氧化钙的公告》</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leftChars="0"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粮食加工品的抽检项目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包括</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脱氧雪腐镰刀菌烯醇</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玉米赤霉烯酮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黄曲霉毒素B₁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镉(以Cd计)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过氧化苯甲酰</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、脱氢乙酸及其钠盐(以脱氢乙酸计)、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苯并（a）芘</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、铅(以Pb计)。</w:t>
      </w:r>
    </w:p>
    <w:p>
      <w:pPr>
        <w:pStyle w:val="4"/>
        <w:keepNext w:val="0"/>
        <w:keepLines w:val="0"/>
        <w:pageBreakBefore w:val="0"/>
        <w:widowControl w:val="0"/>
        <w:numPr>
          <w:ilvl w:val="0"/>
          <w:numId w:val="1"/>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t>肉制品</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抽检依据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ind w:right="0" w:rightChars="0" w:firstLine="560" w:firstLineChars="200"/>
        <w:jc w:val="both"/>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整顿办函[2011]1号《食品中可能违法添加的非食用物质和易滥用的食品添加剂品种名单(第五批)》</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检验项目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ind w:right="0" w:rightChars="0" w:firstLine="560" w:firstLineChars="200"/>
        <w:jc w:val="both"/>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肉制品</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的抽检项目包括</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铅(以Pb计)、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镉(以Cd计)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铬(以Cr计)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总砷(以As计)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亚硝酸盐(以亚硝酸钠计)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氯霉素</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、脱氢乙酸及其钠盐(以脱氢乙酸计)、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防腐剂混合使用时各自用量占其最大使用量的比例之和。</w:t>
      </w:r>
    </w:p>
    <w:p>
      <w:pPr>
        <w:pStyle w:val="4"/>
        <w:keepNext w:val="0"/>
        <w:keepLines w:val="0"/>
        <w:pageBreakBefore w:val="0"/>
        <w:widowControl w:val="0"/>
        <w:numPr>
          <w:ilvl w:val="0"/>
          <w:numId w:val="1"/>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keepNext w:val="0"/>
        <w:keepLines w:val="0"/>
        <w:pageBreakBefore w:val="0"/>
        <w:widowControl w:val="0"/>
        <w:numPr>
          <w:ilvl w:val="0"/>
          <w:numId w:val="0"/>
        </w:numPr>
        <w:kinsoku/>
        <w:wordWrap/>
        <w:overflowPunct/>
        <w:topLinePunct w:val="0"/>
        <w:autoSpaceDE/>
        <w:autoSpaceDN/>
        <w:bidi w:val="0"/>
        <w:adjustRightInd/>
        <w:snapToGrid/>
        <w:ind w:right="0" w:rightChars="0" w:firstLine="560" w:firstLineChars="200"/>
        <w:textAlignment w:val="auto"/>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19300-2014《食品安全国家标准坚果与籽类食品》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2761-2017《食品安全国家标准食品中真菌毒素限量》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国家食品药品监督管理总局农业部国家卫生和计划生育委员会关于豆芽生产过程中禁止使用6-苄基腺嘌呤等物质的公告(2015 年第 11 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2763-2021《食品安全国家标准食品中农药最大残留限量》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31650-2019《食品安全国家标准食品中兽药最大残留限量》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农业农村部公告第250号《食品动物中禁止使用的药品及其他化合物清单》</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食用农产品的抽检项目包括</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氯唑磷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乙酰甲胺磷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噻虫胺</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噻虫嗪</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、4-氯苯氧乙酸钠(以4-氯苯氧乙酸计)、6-苄基腺嘌呤(6-BA)、</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总汞(以Hg计)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、铅(以Pb计)、</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敌敌畏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水胺硫磷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吡虫啉</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腈苯唑</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苯醚甲环唑</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联苯菊酯</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甲硝唑</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呋喃唑酮代谢物（AOZ）</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、恩诺沙星（恩诺沙星与环丙沙星之和计）、</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地美硝唑</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过氧化值(以脂肪计)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酸价(以脂肪计)(KOH)</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镉(以Cd计)</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黄曲霉毒素B₁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氧乐果</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甲胺磷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氯氟氰菊酯和高效氯氟氰菊酯</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腐霉利</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甲拌磷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克百威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孔雀石绿</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地西泮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氯霉素</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甲氧苄啶</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丙溴磷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多菌灵</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啶虫脒</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甲基异柳磷</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毒死蜱</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w:t>
      </w:r>
    </w:p>
    <w:p>
      <w:pPr>
        <w:pStyle w:val="4"/>
        <w:keepNext w:val="0"/>
        <w:keepLines w:val="0"/>
        <w:pageBreakBefore w:val="0"/>
        <w:widowControl w:val="0"/>
        <w:numPr>
          <w:ilvl w:val="0"/>
          <w:numId w:val="1"/>
        </w:numPr>
        <w:kinsoku/>
        <w:wordWrap/>
        <w:overflowPunct/>
        <w:topLinePunct w:val="0"/>
        <w:autoSpaceDE/>
        <w:autoSpaceDN/>
        <w:bidi w:val="0"/>
        <w:snapToGrid/>
        <w:spacing w:after="0" w:afterLines="0" w:line="360" w:lineRule="auto"/>
        <w:ind w:leftChars="0"/>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t>食用油、油脂及其制品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keepNext w:val="0"/>
        <w:keepLines w:val="0"/>
        <w:pageBreakBefore w:val="0"/>
        <w:widowControl w:val="0"/>
        <w:kinsoku/>
        <w:wordWrap/>
        <w:overflowPunct/>
        <w:topLinePunct w:val="0"/>
        <w:autoSpaceDE/>
        <w:autoSpaceDN/>
        <w:bidi w:val="0"/>
        <w:adjustRightInd/>
        <w:snapToGrid/>
        <w:ind w:left="0" w:leftChars="0" w:right="0" w:rightChars="0"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2716-2018《食品安全国家标准 植物油》</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default" w:ascii="仿宋_GB2312" w:eastAsia="仿宋_GB2312" w:cs="仿宋_GB2312"/>
          <w:color w:val="000000" w:themeColor="text1"/>
          <w:kern w:val="2"/>
          <w:sz w:val="28"/>
          <w:szCs w:val="28"/>
          <w:highlight w:val="none"/>
          <w:lang w:val="en-US" w:eastAsia="zh-CN" w:bidi="ar-SA"/>
          <w14:textFill>
            <w14:solidFill>
              <w14:schemeClr w14:val="tx1"/>
            </w14:solidFill>
          </w14:textFill>
        </w:rPr>
        <w:t>食用油、油脂及其制品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的抽检项目包括酸价(KOH)、过氧化值(以脂肪计)、铅(以Pb计)、溶剂残</w:t>
      </w:r>
      <w:bookmarkStart w:id="0" w:name="_GoBack"/>
      <w:bookmarkEnd w:id="0"/>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留量、特丁基对苯二酚（TBHQ）、乙基麦芽酚。</w:t>
      </w:r>
    </w:p>
    <w:p>
      <w:pPr>
        <w:pStyle w:val="4"/>
        <w:keepNext w:val="0"/>
        <w:keepLines w:val="0"/>
        <w:pageBreakBefore w:val="0"/>
        <w:widowControl w:val="0"/>
        <w:numPr>
          <w:ilvl w:val="0"/>
          <w:numId w:val="1"/>
        </w:numPr>
        <w:kinsoku/>
        <w:wordWrap/>
        <w:overflowPunct/>
        <w:topLinePunct w:val="0"/>
        <w:autoSpaceDE/>
        <w:autoSpaceDN/>
        <w:bidi w:val="0"/>
        <w:snapToGrid/>
        <w:spacing w:after="0" w:afterLines="0" w:line="360" w:lineRule="auto"/>
        <w:ind w:leftChars="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蔬菜制品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黑体" w:hAnsi="黑体" w:eastAsia="黑体" w:cs="黑体"/>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（一）抽检依据</w:t>
      </w:r>
    </w:p>
    <w:p>
      <w:pPr>
        <w:pStyle w:val="2"/>
        <w:keepNext w:val="0"/>
        <w:keepLines w:val="0"/>
        <w:pageBreakBefore w:val="0"/>
        <w:widowControl w:val="0"/>
        <w:kinsoku/>
        <w:wordWrap/>
        <w:overflowPunct/>
        <w:topLinePunct w:val="0"/>
        <w:autoSpaceDE/>
        <w:autoSpaceDN/>
        <w:bidi w:val="0"/>
        <w:adjustRightInd/>
        <w:snapToGrid/>
        <w:ind w:left="0" w:leftChars="0" w:right="0" w:rightChars="0"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ind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蔬菜制品的抽检项目包括铅(以Pb计)、亚硝酸盐(以亚硝酸钠计)、苯甲酸及其钠盐(以苯甲酸计)、山梨酸及其钾盐(以山梨酸计)、脱氢乙酸及其钠盐(以脱氢乙酸计)、糖精钠(以糖精计)</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十三、水果制品</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13" w:leftChars="0" w:right="0" w:rightChars="0" w:firstLine="643" w:firstLineChars="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抽检依据</w:t>
      </w:r>
    </w:p>
    <w:p>
      <w:pPr>
        <w:pStyle w:val="2"/>
        <w:keepNext w:val="0"/>
        <w:keepLines w:val="0"/>
        <w:pageBreakBefore w:val="0"/>
        <w:widowControl w:val="0"/>
        <w:kinsoku/>
        <w:wordWrap/>
        <w:overflowPunct/>
        <w:topLinePunct w:val="0"/>
        <w:autoSpaceDE/>
        <w:autoSpaceDN/>
        <w:bidi w:val="0"/>
        <w:adjustRightInd/>
        <w:snapToGrid/>
        <w:spacing w:after="0"/>
        <w:ind w:left="0" w:leftChars="0" w:right="0" w:rightChars="0" w:firstLine="560" w:firstLineChars="200"/>
        <w:textAlignment w:val="auto"/>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（二）检验项目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right="0" w:rightChars="0" w:firstLine="560" w:firstLineChars="200"/>
        <w:textAlignment w:val="auto"/>
        <w:rPr>
          <w:rFonts w:hint="default"/>
          <w:lang w:val="en-US" w:eastAsia="zh-CN"/>
        </w:rPr>
      </w:pP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水果制品的抽检项目包括铅(以Pb计)、苯甲酸及其钠盐(以苯甲酸计)、山梨酸及其钾盐(以山梨酸计)、脱氢乙酸及其钠盐(以脱氢乙酸计)、糖精钠(以糖精计)、环己基氨基磺酸钠(甜蜜素)</w:t>
      </w:r>
    </w:p>
    <w:p>
      <w:pPr>
        <w:pStyle w:val="4"/>
        <w:keepNext w:val="0"/>
        <w:keepLines w:val="0"/>
        <w:pageBreakBefore w:val="0"/>
        <w:widowControl w:val="0"/>
        <w:numPr>
          <w:ilvl w:val="0"/>
          <w:numId w:val="0"/>
        </w:numPr>
        <w:kinsoku/>
        <w:wordWrap/>
        <w:overflowPunct/>
        <w:topLinePunct w:val="0"/>
        <w:autoSpaceDE/>
        <w:autoSpaceDN/>
        <w:bidi w:val="0"/>
        <w:snapToGrid/>
        <w:spacing w:after="0" w:afterLines="0" w:line="360" w:lineRule="auto"/>
        <w:textAlignment w:val="auto"/>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十四、</w:t>
      </w:r>
      <w:r>
        <w:rPr>
          <w:rFonts w:hint="default" w:ascii="黑体" w:hAnsi="黑体" w:eastAsia="黑体" w:cs="黑体"/>
          <w:b/>
          <w:bCs/>
          <w:color w:val="000000" w:themeColor="text1"/>
          <w:kern w:val="2"/>
          <w:sz w:val="32"/>
          <w:szCs w:val="32"/>
          <w:highlight w:val="none"/>
          <w:lang w:val="en-US" w:eastAsia="zh-CN" w:bidi="ar-SA"/>
          <w14:textFill>
            <w14:solidFill>
              <w14:schemeClr w14:val="tx1"/>
            </w14:solidFill>
          </w14:textFill>
        </w:rPr>
        <w:t>速冻食品</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630" w:leftChars="0" w:right="0" w:rightChars="0"/>
        <w:textAlignment w:val="auto"/>
        <w:outlineLvl w:val="9"/>
        <w:rPr>
          <w:rFonts w:hint="default" w:ascii="楷体_GB2312" w:hAnsi="楷体" w:eastAsia="楷体_GB2312" w:cs="楷体_GB2312"/>
          <w:b/>
          <w:bCs/>
          <w:color w:val="000000" w:themeColor="text1"/>
          <w:kern w:val="2"/>
          <w:sz w:val="32"/>
          <w:szCs w:val="32"/>
          <w:highlight w:val="none"/>
          <w:lang w:val="en-US" w:eastAsia="zh-CN" w:bidi="ar-SA"/>
          <w14:textFill>
            <w14:solidFill>
              <w14:schemeClr w14:val="tx1"/>
            </w14:solidFill>
          </w14:textFill>
        </w:rPr>
      </w:pPr>
      <w:r>
        <w:rPr>
          <w:rFonts w:hint="eastAsia" w:ascii="楷体_GB2312" w:hAnsi="楷体" w:eastAsia="楷体_GB2312" w:cs="楷体_GB2312"/>
          <w:b/>
          <w:bCs/>
          <w:color w:val="000000" w:themeColor="text1"/>
          <w:sz w:val="32"/>
          <w:szCs w:val="32"/>
          <w:highlight w:val="none"/>
          <w:lang w:val="en-US" w:eastAsia="zh-CN"/>
          <w14:textFill>
            <w14:solidFill>
              <w14:schemeClr w14:val="tx1"/>
            </w14:solidFill>
          </w14:textFill>
        </w:rPr>
        <w:t>抽检依据</w:t>
      </w:r>
    </w:p>
    <w:p>
      <w:pPr>
        <w:pStyle w:val="2"/>
        <w:keepNext w:val="0"/>
        <w:keepLines w:val="0"/>
        <w:pageBreakBefore w:val="0"/>
        <w:widowControl w:val="0"/>
        <w:kinsoku/>
        <w:wordWrap/>
        <w:overflowPunct/>
        <w:topLinePunct w:val="0"/>
        <w:autoSpaceDE/>
        <w:autoSpaceDN/>
        <w:bidi w:val="0"/>
        <w:adjustRightInd/>
        <w:snapToGrid/>
        <w:spacing w:after="0"/>
        <w:ind w:left="0" w:leftChars="0" w:right="0" w:rightChars="0" w:firstLine="560" w:firstLineChars="200"/>
        <w:textAlignment w:val="auto"/>
        <w:rPr>
          <w:rFonts w:hint="default"/>
          <w:lang w:val="en-US" w:eastAsia="zh-CN"/>
        </w:rPr>
      </w:pP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抽检依据是GB 19295-2021《食品安全国家标准速冻面米与调制食品》</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2760-2014《食品安全国家标准食品添加剂使用标准》</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GB 2762-2017《食品安全国家标准食品中污染物限量》</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630" w:leftChars="0" w:right="0" w:rightChars="0"/>
        <w:textAlignment w:val="auto"/>
        <w:outlineLvl w:val="9"/>
        <w:rPr>
          <w:rFonts w:hint="default" w:ascii="楷体_GB2312" w:hAnsi="楷体" w:eastAsia="楷体_GB2312" w:cs="楷体_GB2312"/>
          <w:b/>
          <w:bCs/>
          <w:color w:val="000000" w:themeColor="text1"/>
          <w:kern w:val="2"/>
          <w:sz w:val="32"/>
          <w:szCs w:val="32"/>
          <w:highlight w:val="none"/>
          <w:lang w:val="en-US" w:eastAsia="zh-CN" w:bidi="ar-SA"/>
          <w14:textFill>
            <w14:solidFill>
              <w14:schemeClr w14:val="tx1"/>
            </w14:solidFill>
          </w14:textFill>
        </w:rPr>
      </w:pPr>
      <w:r>
        <w:rPr>
          <w:rFonts w:hint="eastAsia" w:ascii="楷体_GB2312" w:hAnsi="楷体" w:eastAsia="楷体_GB2312" w:cs="楷体_GB2312"/>
          <w:b/>
          <w:bCs/>
          <w:color w:val="000000" w:themeColor="text1"/>
          <w:kern w:val="2"/>
          <w:sz w:val="32"/>
          <w:szCs w:val="32"/>
          <w:highlight w:val="none"/>
          <w:lang w:val="en-US" w:eastAsia="zh-CN" w:bidi="ar-SA"/>
          <w14:textFill>
            <w14:solidFill>
              <w14:schemeClr w14:val="tx1"/>
            </w14:solidFill>
          </w14:textFill>
        </w:rPr>
        <w:t>检验项目</w:t>
      </w:r>
    </w:p>
    <w:p>
      <w:pPr>
        <w:pStyle w:val="2"/>
        <w:keepNext w:val="0"/>
        <w:keepLines w:val="0"/>
        <w:pageBreakBefore w:val="0"/>
        <w:widowControl w:val="0"/>
        <w:kinsoku/>
        <w:wordWrap/>
        <w:overflowPunct/>
        <w:topLinePunct w:val="0"/>
        <w:autoSpaceDE/>
        <w:autoSpaceDN/>
        <w:bidi w:val="0"/>
        <w:adjustRightInd/>
        <w:snapToGrid/>
        <w:spacing w:after="0"/>
        <w:ind w:left="0" w:leftChars="0" w:right="0" w:rightChars="0" w:firstLine="560" w:firstLineChars="200"/>
        <w:textAlignment w:val="auto"/>
        <w:rPr>
          <w:rFonts w:hint="default"/>
          <w:lang w:val="en-US" w:eastAsia="zh-CN"/>
        </w:rPr>
      </w:pPr>
      <w:r>
        <w:rPr>
          <w:rFonts w:hint="default"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速冻食品</w:t>
      </w:r>
      <w:r>
        <w:rPr>
          <w:rFonts w:hint="eastAsia" w:ascii="仿宋_GB2312" w:hAnsi="Times New Roman" w:eastAsia="仿宋_GB2312" w:cs="仿宋_GB2312"/>
          <w:color w:val="000000" w:themeColor="text1"/>
          <w:kern w:val="2"/>
          <w:sz w:val="28"/>
          <w:szCs w:val="28"/>
          <w:highlight w:val="none"/>
          <w:lang w:val="en-US" w:eastAsia="zh-CN" w:bidi="ar-SA"/>
          <w14:textFill>
            <w14:solidFill>
              <w14:schemeClr w14:val="tx1"/>
            </w14:solidFill>
          </w14:textFill>
        </w:rPr>
        <w:t>的抽检项目</w:t>
      </w:r>
      <w:r>
        <w:rPr>
          <w:rFonts w:hint="eastAsia" w:ascii="仿宋_GB2312" w:eastAsia="仿宋_GB2312" w:cs="仿宋_GB2312"/>
          <w:color w:val="000000" w:themeColor="text1"/>
          <w:kern w:val="2"/>
          <w:sz w:val="28"/>
          <w:szCs w:val="28"/>
          <w:highlight w:val="none"/>
          <w:lang w:val="en-US" w:eastAsia="zh-CN" w:bidi="ar-SA"/>
          <w14:textFill>
            <w14:solidFill>
              <w14:schemeClr w14:val="tx1"/>
            </w14:solidFill>
          </w14:textFill>
        </w:rPr>
        <w:t>包括过氧化值(以脂肪计)、糖精钠(以糖精计)、铅(以Pb计)。</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D3F6B"/>
    <w:multiLevelType w:val="singleLevel"/>
    <w:tmpl w:val="851D3F6B"/>
    <w:lvl w:ilvl="0" w:tentative="0">
      <w:start w:val="1"/>
      <w:numFmt w:val="chineseCounting"/>
      <w:suff w:val="nothing"/>
      <w:lvlText w:val="（%1）"/>
      <w:lvlJc w:val="left"/>
      <w:pPr>
        <w:ind w:left="-13"/>
      </w:pPr>
      <w:rPr>
        <w:rFonts w:hint="eastAsia"/>
      </w:rPr>
    </w:lvl>
  </w:abstractNum>
  <w:abstractNum w:abstractNumId="1">
    <w:nsid w:val="89930C46"/>
    <w:multiLevelType w:val="singleLevel"/>
    <w:tmpl w:val="89930C46"/>
    <w:lvl w:ilvl="0" w:tentative="0">
      <w:start w:val="1"/>
      <w:numFmt w:val="chineseCounting"/>
      <w:suff w:val="nothing"/>
      <w:lvlText w:val="（%1）"/>
      <w:lvlJc w:val="left"/>
      <w:rPr>
        <w:rFonts w:hint="eastAsia"/>
      </w:rPr>
    </w:lvl>
  </w:abstractNum>
  <w:abstractNum w:abstractNumId="2">
    <w:nsid w:val="1EB16771"/>
    <w:multiLevelType w:val="singleLevel"/>
    <w:tmpl w:val="1EB16771"/>
    <w:lvl w:ilvl="0" w:tentative="0">
      <w:start w:val="9"/>
      <w:numFmt w:val="chineseCounting"/>
      <w:suff w:val="nothing"/>
      <w:lvlText w:val="%1、"/>
      <w:lvlJc w:val="left"/>
      <w:rPr>
        <w:rFonts w:hint="eastAsia"/>
      </w:rPr>
    </w:lvl>
  </w:abstractNum>
  <w:abstractNum w:abstractNumId="3">
    <w:nsid w:val="55B14DC3"/>
    <w:multiLevelType w:val="singleLevel"/>
    <w:tmpl w:val="55B14DC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N2Y1YmRmZWE4ZWQwYjhlZWRjMjZlNDg5ODI3NzEifQ=="/>
  </w:docVars>
  <w:rsids>
    <w:rsidRoot w:val="5214018F"/>
    <w:rsid w:val="00030A28"/>
    <w:rsid w:val="00091E48"/>
    <w:rsid w:val="000C5FE7"/>
    <w:rsid w:val="00264675"/>
    <w:rsid w:val="00365575"/>
    <w:rsid w:val="004972F2"/>
    <w:rsid w:val="00683CF4"/>
    <w:rsid w:val="00721982"/>
    <w:rsid w:val="008834C2"/>
    <w:rsid w:val="00A3510C"/>
    <w:rsid w:val="00A80BE0"/>
    <w:rsid w:val="00CF517A"/>
    <w:rsid w:val="00E13B43"/>
    <w:rsid w:val="010F206C"/>
    <w:rsid w:val="01C460F1"/>
    <w:rsid w:val="01CA09AA"/>
    <w:rsid w:val="01F95075"/>
    <w:rsid w:val="02733F83"/>
    <w:rsid w:val="0277632E"/>
    <w:rsid w:val="02861682"/>
    <w:rsid w:val="02975F32"/>
    <w:rsid w:val="029B50D4"/>
    <w:rsid w:val="02DB4B28"/>
    <w:rsid w:val="030B2A3C"/>
    <w:rsid w:val="036D6E8A"/>
    <w:rsid w:val="039B791C"/>
    <w:rsid w:val="039D4956"/>
    <w:rsid w:val="03BB7C8F"/>
    <w:rsid w:val="03CA6B13"/>
    <w:rsid w:val="03EA019C"/>
    <w:rsid w:val="04200163"/>
    <w:rsid w:val="046128A5"/>
    <w:rsid w:val="047D218A"/>
    <w:rsid w:val="04B2678A"/>
    <w:rsid w:val="050C70D3"/>
    <w:rsid w:val="052A5555"/>
    <w:rsid w:val="05345422"/>
    <w:rsid w:val="053541C8"/>
    <w:rsid w:val="05361CAF"/>
    <w:rsid w:val="05693921"/>
    <w:rsid w:val="05926700"/>
    <w:rsid w:val="059C6C30"/>
    <w:rsid w:val="05BB7139"/>
    <w:rsid w:val="065931C8"/>
    <w:rsid w:val="06A36EB6"/>
    <w:rsid w:val="06BA70A8"/>
    <w:rsid w:val="06C6122C"/>
    <w:rsid w:val="06C929F2"/>
    <w:rsid w:val="06CE1EF9"/>
    <w:rsid w:val="06EF00DE"/>
    <w:rsid w:val="070D1475"/>
    <w:rsid w:val="07155C37"/>
    <w:rsid w:val="07317B7D"/>
    <w:rsid w:val="07502AD8"/>
    <w:rsid w:val="076135A0"/>
    <w:rsid w:val="077A141D"/>
    <w:rsid w:val="078B43FA"/>
    <w:rsid w:val="07C21B23"/>
    <w:rsid w:val="07D143F1"/>
    <w:rsid w:val="07DA312E"/>
    <w:rsid w:val="07E07A68"/>
    <w:rsid w:val="07FD7231"/>
    <w:rsid w:val="080D10E6"/>
    <w:rsid w:val="083E37C8"/>
    <w:rsid w:val="087042BB"/>
    <w:rsid w:val="08B8037D"/>
    <w:rsid w:val="08DD60E0"/>
    <w:rsid w:val="08E50B53"/>
    <w:rsid w:val="08EC01A0"/>
    <w:rsid w:val="08FD193C"/>
    <w:rsid w:val="093D487A"/>
    <w:rsid w:val="096A703F"/>
    <w:rsid w:val="099A724A"/>
    <w:rsid w:val="09AF6258"/>
    <w:rsid w:val="09B01FFB"/>
    <w:rsid w:val="09B54C24"/>
    <w:rsid w:val="09B567BD"/>
    <w:rsid w:val="09B74D83"/>
    <w:rsid w:val="09C217D5"/>
    <w:rsid w:val="09D73F1C"/>
    <w:rsid w:val="09DC0C8E"/>
    <w:rsid w:val="09E84E06"/>
    <w:rsid w:val="09EB2988"/>
    <w:rsid w:val="09EE3997"/>
    <w:rsid w:val="0A0C672F"/>
    <w:rsid w:val="0A1047B1"/>
    <w:rsid w:val="0AAA0C95"/>
    <w:rsid w:val="0AF8014C"/>
    <w:rsid w:val="0B0C60DD"/>
    <w:rsid w:val="0B275F39"/>
    <w:rsid w:val="0B4204F8"/>
    <w:rsid w:val="0B7A5CBE"/>
    <w:rsid w:val="0BB86771"/>
    <w:rsid w:val="0BE9632B"/>
    <w:rsid w:val="0BF90CD4"/>
    <w:rsid w:val="0BFC0541"/>
    <w:rsid w:val="0C2A553C"/>
    <w:rsid w:val="0C2F1AFF"/>
    <w:rsid w:val="0C361A2E"/>
    <w:rsid w:val="0C4562E4"/>
    <w:rsid w:val="0C476893"/>
    <w:rsid w:val="0C7A3C79"/>
    <w:rsid w:val="0CDE4F25"/>
    <w:rsid w:val="0CFE29CF"/>
    <w:rsid w:val="0D2A41BB"/>
    <w:rsid w:val="0D352B8F"/>
    <w:rsid w:val="0D42677B"/>
    <w:rsid w:val="0D4F7AD5"/>
    <w:rsid w:val="0DE52EA2"/>
    <w:rsid w:val="0E0252AE"/>
    <w:rsid w:val="0E1514B9"/>
    <w:rsid w:val="0E710A41"/>
    <w:rsid w:val="0E771310"/>
    <w:rsid w:val="0E837ECC"/>
    <w:rsid w:val="0EB75E78"/>
    <w:rsid w:val="0EBA4906"/>
    <w:rsid w:val="0EC053AD"/>
    <w:rsid w:val="0ECE5DC1"/>
    <w:rsid w:val="0ECF610D"/>
    <w:rsid w:val="0ED43D0B"/>
    <w:rsid w:val="0EE16291"/>
    <w:rsid w:val="0F1A27B7"/>
    <w:rsid w:val="0F5E25C2"/>
    <w:rsid w:val="0F6C5737"/>
    <w:rsid w:val="0FA30E6F"/>
    <w:rsid w:val="0FBD2D54"/>
    <w:rsid w:val="0FC3057C"/>
    <w:rsid w:val="0FEA1482"/>
    <w:rsid w:val="10127F12"/>
    <w:rsid w:val="101B5D73"/>
    <w:rsid w:val="10274C2E"/>
    <w:rsid w:val="1037759C"/>
    <w:rsid w:val="103D4831"/>
    <w:rsid w:val="10654157"/>
    <w:rsid w:val="10780801"/>
    <w:rsid w:val="10911B91"/>
    <w:rsid w:val="10B6439B"/>
    <w:rsid w:val="10C94122"/>
    <w:rsid w:val="10D40BE4"/>
    <w:rsid w:val="11166F2F"/>
    <w:rsid w:val="113B1DB1"/>
    <w:rsid w:val="11664F14"/>
    <w:rsid w:val="117B3BCF"/>
    <w:rsid w:val="1192733C"/>
    <w:rsid w:val="11B62EEF"/>
    <w:rsid w:val="11CF3483"/>
    <w:rsid w:val="11DA00E3"/>
    <w:rsid w:val="11EA4F9D"/>
    <w:rsid w:val="11ED753A"/>
    <w:rsid w:val="120014F3"/>
    <w:rsid w:val="12227EC6"/>
    <w:rsid w:val="12604C47"/>
    <w:rsid w:val="127B38CB"/>
    <w:rsid w:val="12E05168"/>
    <w:rsid w:val="12E22503"/>
    <w:rsid w:val="130A04A4"/>
    <w:rsid w:val="133E3AE6"/>
    <w:rsid w:val="13660AA2"/>
    <w:rsid w:val="137C6577"/>
    <w:rsid w:val="139E5861"/>
    <w:rsid w:val="13E32984"/>
    <w:rsid w:val="13E933C8"/>
    <w:rsid w:val="1411483B"/>
    <w:rsid w:val="141E6C5C"/>
    <w:rsid w:val="141F16A1"/>
    <w:rsid w:val="14357340"/>
    <w:rsid w:val="143E7388"/>
    <w:rsid w:val="14563F61"/>
    <w:rsid w:val="1470633B"/>
    <w:rsid w:val="147A357D"/>
    <w:rsid w:val="149B7CE2"/>
    <w:rsid w:val="14C76DBB"/>
    <w:rsid w:val="14D737D0"/>
    <w:rsid w:val="14EC03DD"/>
    <w:rsid w:val="14FB63E3"/>
    <w:rsid w:val="150843CC"/>
    <w:rsid w:val="150B5DB7"/>
    <w:rsid w:val="15162270"/>
    <w:rsid w:val="151C180B"/>
    <w:rsid w:val="15473320"/>
    <w:rsid w:val="15694ABE"/>
    <w:rsid w:val="15AB483F"/>
    <w:rsid w:val="15D05D4D"/>
    <w:rsid w:val="1628082C"/>
    <w:rsid w:val="16B21C72"/>
    <w:rsid w:val="16BA583C"/>
    <w:rsid w:val="16D54CF2"/>
    <w:rsid w:val="171E4846"/>
    <w:rsid w:val="17231411"/>
    <w:rsid w:val="174A1FA3"/>
    <w:rsid w:val="1753464C"/>
    <w:rsid w:val="175E26F4"/>
    <w:rsid w:val="177475FB"/>
    <w:rsid w:val="17831671"/>
    <w:rsid w:val="178D18AD"/>
    <w:rsid w:val="17AD63F9"/>
    <w:rsid w:val="17B309EE"/>
    <w:rsid w:val="17C420AA"/>
    <w:rsid w:val="17F67233"/>
    <w:rsid w:val="17FD72DB"/>
    <w:rsid w:val="17FF6EB8"/>
    <w:rsid w:val="18145769"/>
    <w:rsid w:val="18155A97"/>
    <w:rsid w:val="181837E6"/>
    <w:rsid w:val="182279FE"/>
    <w:rsid w:val="182470A2"/>
    <w:rsid w:val="182C46BD"/>
    <w:rsid w:val="184D2CC7"/>
    <w:rsid w:val="18601BEC"/>
    <w:rsid w:val="186C02C4"/>
    <w:rsid w:val="189472EC"/>
    <w:rsid w:val="18D019BE"/>
    <w:rsid w:val="18E77310"/>
    <w:rsid w:val="18F16C54"/>
    <w:rsid w:val="190667E7"/>
    <w:rsid w:val="197A01E7"/>
    <w:rsid w:val="197A390E"/>
    <w:rsid w:val="19AC58B7"/>
    <w:rsid w:val="19B62D03"/>
    <w:rsid w:val="19BD2A89"/>
    <w:rsid w:val="19CC5EED"/>
    <w:rsid w:val="19D54021"/>
    <w:rsid w:val="19F57D53"/>
    <w:rsid w:val="1A0D03C5"/>
    <w:rsid w:val="1A371634"/>
    <w:rsid w:val="1A3B484E"/>
    <w:rsid w:val="1A48382E"/>
    <w:rsid w:val="1A676352"/>
    <w:rsid w:val="1A787464"/>
    <w:rsid w:val="1A9B09E8"/>
    <w:rsid w:val="1ABB3989"/>
    <w:rsid w:val="1AD015DE"/>
    <w:rsid w:val="1B2C1DD3"/>
    <w:rsid w:val="1B5F5EE5"/>
    <w:rsid w:val="1B661BE7"/>
    <w:rsid w:val="1B760331"/>
    <w:rsid w:val="1BAB2BA7"/>
    <w:rsid w:val="1BCE699F"/>
    <w:rsid w:val="1BEC4E2B"/>
    <w:rsid w:val="1BFB4C41"/>
    <w:rsid w:val="1C37500F"/>
    <w:rsid w:val="1C5632B9"/>
    <w:rsid w:val="1C9D4874"/>
    <w:rsid w:val="1CE750A9"/>
    <w:rsid w:val="1CEA57A5"/>
    <w:rsid w:val="1D262139"/>
    <w:rsid w:val="1D482603"/>
    <w:rsid w:val="1D643994"/>
    <w:rsid w:val="1D713F13"/>
    <w:rsid w:val="1D9C68CF"/>
    <w:rsid w:val="1DB850B9"/>
    <w:rsid w:val="1DC2099A"/>
    <w:rsid w:val="1DC43CB7"/>
    <w:rsid w:val="1DE452D9"/>
    <w:rsid w:val="1DED6D5F"/>
    <w:rsid w:val="1E1229EB"/>
    <w:rsid w:val="1E1E4211"/>
    <w:rsid w:val="1E9670FF"/>
    <w:rsid w:val="1E981776"/>
    <w:rsid w:val="1E9E39DF"/>
    <w:rsid w:val="1EAE31C3"/>
    <w:rsid w:val="1EB10611"/>
    <w:rsid w:val="1ED81336"/>
    <w:rsid w:val="1EE96FD4"/>
    <w:rsid w:val="1F1B3869"/>
    <w:rsid w:val="1F2A2CDB"/>
    <w:rsid w:val="1F444BD8"/>
    <w:rsid w:val="1FB30A45"/>
    <w:rsid w:val="1FC86C92"/>
    <w:rsid w:val="1FD72663"/>
    <w:rsid w:val="20077A9F"/>
    <w:rsid w:val="202373A9"/>
    <w:rsid w:val="203326A8"/>
    <w:rsid w:val="2054459F"/>
    <w:rsid w:val="20887022"/>
    <w:rsid w:val="208D7CAE"/>
    <w:rsid w:val="2099739C"/>
    <w:rsid w:val="20C5684B"/>
    <w:rsid w:val="2135071F"/>
    <w:rsid w:val="213F4328"/>
    <w:rsid w:val="217237C2"/>
    <w:rsid w:val="21850B2C"/>
    <w:rsid w:val="21887091"/>
    <w:rsid w:val="21CE4250"/>
    <w:rsid w:val="21E26473"/>
    <w:rsid w:val="21E5368D"/>
    <w:rsid w:val="21E95B1D"/>
    <w:rsid w:val="22174162"/>
    <w:rsid w:val="2226645B"/>
    <w:rsid w:val="224239F4"/>
    <w:rsid w:val="2248379C"/>
    <w:rsid w:val="22565957"/>
    <w:rsid w:val="2296016F"/>
    <w:rsid w:val="231E4C05"/>
    <w:rsid w:val="23202EC0"/>
    <w:rsid w:val="23217FE2"/>
    <w:rsid w:val="23377957"/>
    <w:rsid w:val="234D3200"/>
    <w:rsid w:val="23621A67"/>
    <w:rsid w:val="23910742"/>
    <w:rsid w:val="23AB7A85"/>
    <w:rsid w:val="23BC1DC9"/>
    <w:rsid w:val="23CA10BD"/>
    <w:rsid w:val="23D84C31"/>
    <w:rsid w:val="242740A5"/>
    <w:rsid w:val="246A1C0D"/>
    <w:rsid w:val="248C3C7B"/>
    <w:rsid w:val="24977E6E"/>
    <w:rsid w:val="249920BA"/>
    <w:rsid w:val="24A0025B"/>
    <w:rsid w:val="24EF57C0"/>
    <w:rsid w:val="250E4D9C"/>
    <w:rsid w:val="25107735"/>
    <w:rsid w:val="257F7258"/>
    <w:rsid w:val="259F0975"/>
    <w:rsid w:val="25B6018D"/>
    <w:rsid w:val="25C87134"/>
    <w:rsid w:val="25CC0720"/>
    <w:rsid w:val="261A071C"/>
    <w:rsid w:val="26413D08"/>
    <w:rsid w:val="26712A28"/>
    <w:rsid w:val="268C198B"/>
    <w:rsid w:val="26D57A75"/>
    <w:rsid w:val="26F60889"/>
    <w:rsid w:val="27085BA3"/>
    <w:rsid w:val="271103E5"/>
    <w:rsid w:val="2723736A"/>
    <w:rsid w:val="273E00BA"/>
    <w:rsid w:val="27455508"/>
    <w:rsid w:val="27886551"/>
    <w:rsid w:val="278F7809"/>
    <w:rsid w:val="27B92C6D"/>
    <w:rsid w:val="27BB6D57"/>
    <w:rsid w:val="27BC1BFC"/>
    <w:rsid w:val="27C43035"/>
    <w:rsid w:val="27D35EB4"/>
    <w:rsid w:val="27E63AFA"/>
    <w:rsid w:val="27F32784"/>
    <w:rsid w:val="2801196E"/>
    <w:rsid w:val="28445183"/>
    <w:rsid w:val="28466FD4"/>
    <w:rsid w:val="286B15D4"/>
    <w:rsid w:val="28981A00"/>
    <w:rsid w:val="28A07AA9"/>
    <w:rsid w:val="28B4024F"/>
    <w:rsid w:val="28C0369D"/>
    <w:rsid w:val="28DE12D7"/>
    <w:rsid w:val="28F136C6"/>
    <w:rsid w:val="28FE5E96"/>
    <w:rsid w:val="29284441"/>
    <w:rsid w:val="29342134"/>
    <w:rsid w:val="293F112D"/>
    <w:rsid w:val="294E2787"/>
    <w:rsid w:val="295A589C"/>
    <w:rsid w:val="29682ED6"/>
    <w:rsid w:val="29A80C19"/>
    <w:rsid w:val="29C1603E"/>
    <w:rsid w:val="2A27590E"/>
    <w:rsid w:val="2A666CBB"/>
    <w:rsid w:val="2A77466A"/>
    <w:rsid w:val="2A8E5716"/>
    <w:rsid w:val="2A9F0556"/>
    <w:rsid w:val="2AC53B80"/>
    <w:rsid w:val="2AD70610"/>
    <w:rsid w:val="2AE636CE"/>
    <w:rsid w:val="2B12637D"/>
    <w:rsid w:val="2B1731BC"/>
    <w:rsid w:val="2B3207F8"/>
    <w:rsid w:val="2B5E674A"/>
    <w:rsid w:val="2B677C5F"/>
    <w:rsid w:val="2B725F53"/>
    <w:rsid w:val="2B9F7B03"/>
    <w:rsid w:val="2BA72569"/>
    <w:rsid w:val="2BA836A8"/>
    <w:rsid w:val="2BD4340B"/>
    <w:rsid w:val="2BDF0B7B"/>
    <w:rsid w:val="2BF4358F"/>
    <w:rsid w:val="2C1D5DFB"/>
    <w:rsid w:val="2C444D7B"/>
    <w:rsid w:val="2C641F51"/>
    <w:rsid w:val="2C891ED6"/>
    <w:rsid w:val="2C962956"/>
    <w:rsid w:val="2C9A3275"/>
    <w:rsid w:val="2CCB74BA"/>
    <w:rsid w:val="2CE54D5A"/>
    <w:rsid w:val="2D0B1525"/>
    <w:rsid w:val="2D2D1B82"/>
    <w:rsid w:val="2D412A32"/>
    <w:rsid w:val="2D5605BA"/>
    <w:rsid w:val="2D621D0B"/>
    <w:rsid w:val="2D6C4DBF"/>
    <w:rsid w:val="2D6E5936"/>
    <w:rsid w:val="2D7E3D9E"/>
    <w:rsid w:val="2D897692"/>
    <w:rsid w:val="2DB40F4B"/>
    <w:rsid w:val="2DB72CF5"/>
    <w:rsid w:val="2E05213B"/>
    <w:rsid w:val="2E1D507E"/>
    <w:rsid w:val="2E9943B1"/>
    <w:rsid w:val="2E9A5AF3"/>
    <w:rsid w:val="2EA8297D"/>
    <w:rsid w:val="2EB11CA2"/>
    <w:rsid w:val="2EB207D8"/>
    <w:rsid w:val="2EB67A5C"/>
    <w:rsid w:val="2EDA2120"/>
    <w:rsid w:val="2F0F5FD2"/>
    <w:rsid w:val="2F1B17CB"/>
    <w:rsid w:val="2F3B34B0"/>
    <w:rsid w:val="2F612655"/>
    <w:rsid w:val="2F667A1F"/>
    <w:rsid w:val="2F945B6D"/>
    <w:rsid w:val="2FA94A4B"/>
    <w:rsid w:val="2FCA2730"/>
    <w:rsid w:val="2FE34E69"/>
    <w:rsid w:val="300038D2"/>
    <w:rsid w:val="30226B2A"/>
    <w:rsid w:val="307F1FC2"/>
    <w:rsid w:val="3082703A"/>
    <w:rsid w:val="308E75B8"/>
    <w:rsid w:val="30920BFA"/>
    <w:rsid w:val="30993736"/>
    <w:rsid w:val="30BF2787"/>
    <w:rsid w:val="30BF59BD"/>
    <w:rsid w:val="30D047F9"/>
    <w:rsid w:val="30DA7F03"/>
    <w:rsid w:val="30E63298"/>
    <w:rsid w:val="30FA2C47"/>
    <w:rsid w:val="31037871"/>
    <w:rsid w:val="310964D9"/>
    <w:rsid w:val="310D1576"/>
    <w:rsid w:val="311436B1"/>
    <w:rsid w:val="31A7235C"/>
    <w:rsid w:val="322410BC"/>
    <w:rsid w:val="324923D5"/>
    <w:rsid w:val="32557D3C"/>
    <w:rsid w:val="3268393D"/>
    <w:rsid w:val="3275602C"/>
    <w:rsid w:val="32877D0B"/>
    <w:rsid w:val="32897FCC"/>
    <w:rsid w:val="330A1A82"/>
    <w:rsid w:val="331D28ED"/>
    <w:rsid w:val="332A6757"/>
    <w:rsid w:val="33537AF6"/>
    <w:rsid w:val="33A56CB2"/>
    <w:rsid w:val="33BF7120"/>
    <w:rsid w:val="33C6104D"/>
    <w:rsid w:val="33CC3428"/>
    <w:rsid w:val="33E255DC"/>
    <w:rsid w:val="33FC0E5F"/>
    <w:rsid w:val="34075E92"/>
    <w:rsid w:val="340E4E41"/>
    <w:rsid w:val="342C0CA2"/>
    <w:rsid w:val="343602A0"/>
    <w:rsid w:val="343A5D43"/>
    <w:rsid w:val="34932E3C"/>
    <w:rsid w:val="34A35231"/>
    <w:rsid w:val="34B43D8B"/>
    <w:rsid w:val="34BA76E1"/>
    <w:rsid w:val="34CC4C2A"/>
    <w:rsid w:val="34E302AD"/>
    <w:rsid w:val="351976D4"/>
    <w:rsid w:val="351E5E85"/>
    <w:rsid w:val="35284DDE"/>
    <w:rsid w:val="353062B0"/>
    <w:rsid w:val="35390131"/>
    <w:rsid w:val="356F6271"/>
    <w:rsid w:val="35917957"/>
    <w:rsid w:val="3596690B"/>
    <w:rsid w:val="359E706C"/>
    <w:rsid w:val="35A061B9"/>
    <w:rsid w:val="35AC0BEF"/>
    <w:rsid w:val="35AF2A8C"/>
    <w:rsid w:val="35B37795"/>
    <w:rsid w:val="35DF6F03"/>
    <w:rsid w:val="36370E76"/>
    <w:rsid w:val="36461B4A"/>
    <w:rsid w:val="365A70CA"/>
    <w:rsid w:val="366A58E5"/>
    <w:rsid w:val="366D2DE9"/>
    <w:rsid w:val="369E113B"/>
    <w:rsid w:val="36A201E0"/>
    <w:rsid w:val="36AF11F0"/>
    <w:rsid w:val="36C86864"/>
    <w:rsid w:val="36DB4AD1"/>
    <w:rsid w:val="36DC3513"/>
    <w:rsid w:val="36E01FE0"/>
    <w:rsid w:val="36F347AA"/>
    <w:rsid w:val="372A7A73"/>
    <w:rsid w:val="372F0A8C"/>
    <w:rsid w:val="37572D6D"/>
    <w:rsid w:val="37742AD5"/>
    <w:rsid w:val="377F5AB5"/>
    <w:rsid w:val="37871D89"/>
    <w:rsid w:val="37A46B2A"/>
    <w:rsid w:val="37B75881"/>
    <w:rsid w:val="37C055EC"/>
    <w:rsid w:val="381871BD"/>
    <w:rsid w:val="3848271C"/>
    <w:rsid w:val="384D2DC6"/>
    <w:rsid w:val="385D5C99"/>
    <w:rsid w:val="388107EE"/>
    <w:rsid w:val="388F7868"/>
    <w:rsid w:val="38AA609A"/>
    <w:rsid w:val="39427CA4"/>
    <w:rsid w:val="398610D3"/>
    <w:rsid w:val="399F590C"/>
    <w:rsid w:val="39C3314D"/>
    <w:rsid w:val="39C80947"/>
    <w:rsid w:val="3A0E09AC"/>
    <w:rsid w:val="3A0E7A3A"/>
    <w:rsid w:val="3A2E307A"/>
    <w:rsid w:val="3A7D03B3"/>
    <w:rsid w:val="3A813E86"/>
    <w:rsid w:val="3A9D32C7"/>
    <w:rsid w:val="3AA61F44"/>
    <w:rsid w:val="3AB81A71"/>
    <w:rsid w:val="3ABC7F98"/>
    <w:rsid w:val="3AC5016F"/>
    <w:rsid w:val="3AE77F14"/>
    <w:rsid w:val="3AE96BD7"/>
    <w:rsid w:val="3AEF4708"/>
    <w:rsid w:val="3B0752BB"/>
    <w:rsid w:val="3B6700E9"/>
    <w:rsid w:val="3B982024"/>
    <w:rsid w:val="3BB03FA8"/>
    <w:rsid w:val="3BF27092"/>
    <w:rsid w:val="3C005BA9"/>
    <w:rsid w:val="3C1630D6"/>
    <w:rsid w:val="3C363E1C"/>
    <w:rsid w:val="3C4E7C1B"/>
    <w:rsid w:val="3C520C37"/>
    <w:rsid w:val="3C992CD6"/>
    <w:rsid w:val="3CBD200E"/>
    <w:rsid w:val="3CC66DBC"/>
    <w:rsid w:val="3CE41605"/>
    <w:rsid w:val="3D1D297B"/>
    <w:rsid w:val="3D210DFB"/>
    <w:rsid w:val="3D4E119F"/>
    <w:rsid w:val="3D6C6F0A"/>
    <w:rsid w:val="3DD731BD"/>
    <w:rsid w:val="3DE46A83"/>
    <w:rsid w:val="3DEA337D"/>
    <w:rsid w:val="3DF859AA"/>
    <w:rsid w:val="3DF97CC1"/>
    <w:rsid w:val="3E1D4268"/>
    <w:rsid w:val="3E255D1D"/>
    <w:rsid w:val="3E293FBC"/>
    <w:rsid w:val="3E3F21AE"/>
    <w:rsid w:val="3E5B5648"/>
    <w:rsid w:val="3E930D36"/>
    <w:rsid w:val="3E9F77AF"/>
    <w:rsid w:val="3EA11170"/>
    <w:rsid w:val="3ED27D76"/>
    <w:rsid w:val="3ED47E92"/>
    <w:rsid w:val="3EFE1FE0"/>
    <w:rsid w:val="3F375A43"/>
    <w:rsid w:val="3F510FC3"/>
    <w:rsid w:val="3F5114FE"/>
    <w:rsid w:val="3F5A304C"/>
    <w:rsid w:val="3F89502B"/>
    <w:rsid w:val="3F9A5A44"/>
    <w:rsid w:val="3FA41114"/>
    <w:rsid w:val="3FB30153"/>
    <w:rsid w:val="3FCF3F64"/>
    <w:rsid w:val="40195E74"/>
    <w:rsid w:val="401A271B"/>
    <w:rsid w:val="40636B2C"/>
    <w:rsid w:val="409F2EDB"/>
    <w:rsid w:val="40A81216"/>
    <w:rsid w:val="40BF129D"/>
    <w:rsid w:val="40C15530"/>
    <w:rsid w:val="410E1F3E"/>
    <w:rsid w:val="412166A8"/>
    <w:rsid w:val="413379BE"/>
    <w:rsid w:val="413B32F2"/>
    <w:rsid w:val="41414818"/>
    <w:rsid w:val="41D8023A"/>
    <w:rsid w:val="428A638C"/>
    <w:rsid w:val="42F92F60"/>
    <w:rsid w:val="42FB1EE0"/>
    <w:rsid w:val="430551C1"/>
    <w:rsid w:val="43311C41"/>
    <w:rsid w:val="4335673E"/>
    <w:rsid w:val="43385246"/>
    <w:rsid w:val="433E238F"/>
    <w:rsid w:val="435B2C56"/>
    <w:rsid w:val="435C265C"/>
    <w:rsid w:val="438035ED"/>
    <w:rsid w:val="43DC1C8D"/>
    <w:rsid w:val="43DF111F"/>
    <w:rsid w:val="4411022D"/>
    <w:rsid w:val="44661ADD"/>
    <w:rsid w:val="447A29CE"/>
    <w:rsid w:val="449B252A"/>
    <w:rsid w:val="44C31132"/>
    <w:rsid w:val="44C64DC5"/>
    <w:rsid w:val="44F34392"/>
    <w:rsid w:val="45344128"/>
    <w:rsid w:val="456B3941"/>
    <w:rsid w:val="457176F9"/>
    <w:rsid w:val="45790EDF"/>
    <w:rsid w:val="458142B9"/>
    <w:rsid w:val="458562B9"/>
    <w:rsid w:val="458634CF"/>
    <w:rsid w:val="459A46A5"/>
    <w:rsid w:val="45C00171"/>
    <w:rsid w:val="45E22665"/>
    <w:rsid w:val="45F0428F"/>
    <w:rsid w:val="45F619F9"/>
    <w:rsid w:val="464E3618"/>
    <w:rsid w:val="46833F93"/>
    <w:rsid w:val="4685435B"/>
    <w:rsid w:val="46906BA5"/>
    <w:rsid w:val="46CD560B"/>
    <w:rsid w:val="46EA09CA"/>
    <w:rsid w:val="47062523"/>
    <w:rsid w:val="470D7CD1"/>
    <w:rsid w:val="471C535D"/>
    <w:rsid w:val="47356D0C"/>
    <w:rsid w:val="473808CA"/>
    <w:rsid w:val="47770401"/>
    <w:rsid w:val="478C11D2"/>
    <w:rsid w:val="479B7017"/>
    <w:rsid w:val="47B23EBB"/>
    <w:rsid w:val="47B727F3"/>
    <w:rsid w:val="48123B1E"/>
    <w:rsid w:val="481C622D"/>
    <w:rsid w:val="48846921"/>
    <w:rsid w:val="48893B06"/>
    <w:rsid w:val="489130C1"/>
    <w:rsid w:val="48D0653E"/>
    <w:rsid w:val="48E0634C"/>
    <w:rsid w:val="49025314"/>
    <w:rsid w:val="49254246"/>
    <w:rsid w:val="49301E81"/>
    <w:rsid w:val="498009F5"/>
    <w:rsid w:val="49891669"/>
    <w:rsid w:val="499F46E5"/>
    <w:rsid w:val="49B44093"/>
    <w:rsid w:val="49B72B37"/>
    <w:rsid w:val="49FF4D8A"/>
    <w:rsid w:val="4A101AF6"/>
    <w:rsid w:val="4A112B5F"/>
    <w:rsid w:val="4A347AE9"/>
    <w:rsid w:val="4A7A4870"/>
    <w:rsid w:val="4A7E19ED"/>
    <w:rsid w:val="4A8E50B1"/>
    <w:rsid w:val="4A8F2CE5"/>
    <w:rsid w:val="4AD41C7D"/>
    <w:rsid w:val="4B15755A"/>
    <w:rsid w:val="4B1C323D"/>
    <w:rsid w:val="4B8F4FA7"/>
    <w:rsid w:val="4B94246A"/>
    <w:rsid w:val="4BC93686"/>
    <w:rsid w:val="4BF71D40"/>
    <w:rsid w:val="4BFD5D0F"/>
    <w:rsid w:val="4C017B05"/>
    <w:rsid w:val="4C0E0B71"/>
    <w:rsid w:val="4C2817EE"/>
    <w:rsid w:val="4C2E3FA5"/>
    <w:rsid w:val="4C4555C2"/>
    <w:rsid w:val="4C721578"/>
    <w:rsid w:val="4C910EEB"/>
    <w:rsid w:val="4CCC673A"/>
    <w:rsid w:val="4CD365AD"/>
    <w:rsid w:val="4CEE6E31"/>
    <w:rsid w:val="4CF9051F"/>
    <w:rsid w:val="4D670A49"/>
    <w:rsid w:val="4D7762D0"/>
    <w:rsid w:val="4DA31884"/>
    <w:rsid w:val="4DB301EA"/>
    <w:rsid w:val="4DC35387"/>
    <w:rsid w:val="4DCE3A17"/>
    <w:rsid w:val="4DEB10CC"/>
    <w:rsid w:val="4DF20231"/>
    <w:rsid w:val="4DF51EF0"/>
    <w:rsid w:val="4E7F20D4"/>
    <w:rsid w:val="4E825C4C"/>
    <w:rsid w:val="4EEA6869"/>
    <w:rsid w:val="4F0E3E76"/>
    <w:rsid w:val="4F1850A8"/>
    <w:rsid w:val="4F1A0729"/>
    <w:rsid w:val="4F3147DA"/>
    <w:rsid w:val="4F6E4FA0"/>
    <w:rsid w:val="4F9D2B0D"/>
    <w:rsid w:val="4FA61921"/>
    <w:rsid w:val="4FA81BD7"/>
    <w:rsid w:val="4FBD1F95"/>
    <w:rsid w:val="4FD004B8"/>
    <w:rsid w:val="4FD70AD3"/>
    <w:rsid w:val="500F60FB"/>
    <w:rsid w:val="502C08F0"/>
    <w:rsid w:val="502C65A1"/>
    <w:rsid w:val="503D7CDE"/>
    <w:rsid w:val="50F11B7D"/>
    <w:rsid w:val="51072C85"/>
    <w:rsid w:val="51184486"/>
    <w:rsid w:val="512F2A3E"/>
    <w:rsid w:val="51623047"/>
    <w:rsid w:val="516E4552"/>
    <w:rsid w:val="51B650F5"/>
    <w:rsid w:val="51F67BD9"/>
    <w:rsid w:val="520E5057"/>
    <w:rsid w:val="520F6BFA"/>
    <w:rsid w:val="5214018F"/>
    <w:rsid w:val="52240D06"/>
    <w:rsid w:val="529F6E3D"/>
    <w:rsid w:val="52A96774"/>
    <w:rsid w:val="52C87073"/>
    <w:rsid w:val="52D62088"/>
    <w:rsid w:val="52E47B0E"/>
    <w:rsid w:val="52EC31AB"/>
    <w:rsid w:val="534D7664"/>
    <w:rsid w:val="537863BA"/>
    <w:rsid w:val="538277C4"/>
    <w:rsid w:val="53861684"/>
    <w:rsid w:val="539002A8"/>
    <w:rsid w:val="5399211F"/>
    <w:rsid w:val="539C3490"/>
    <w:rsid w:val="539D4FD9"/>
    <w:rsid w:val="53AE5A62"/>
    <w:rsid w:val="53B3698A"/>
    <w:rsid w:val="53DD1FF4"/>
    <w:rsid w:val="53FC6F3E"/>
    <w:rsid w:val="542A3106"/>
    <w:rsid w:val="5431324B"/>
    <w:rsid w:val="544A7F86"/>
    <w:rsid w:val="544E7811"/>
    <w:rsid w:val="547C020E"/>
    <w:rsid w:val="547E0220"/>
    <w:rsid w:val="550148DA"/>
    <w:rsid w:val="55193EE6"/>
    <w:rsid w:val="5519624F"/>
    <w:rsid w:val="55661BB6"/>
    <w:rsid w:val="55E41F7D"/>
    <w:rsid w:val="55ED3E77"/>
    <w:rsid w:val="55F01C4F"/>
    <w:rsid w:val="55F722C7"/>
    <w:rsid w:val="561F106F"/>
    <w:rsid w:val="564D4072"/>
    <w:rsid w:val="566D6EC2"/>
    <w:rsid w:val="567E4E28"/>
    <w:rsid w:val="56DC7584"/>
    <w:rsid w:val="56E204A4"/>
    <w:rsid w:val="5736486C"/>
    <w:rsid w:val="57471845"/>
    <w:rsid w:val="577A58B8"/>
    <w:rsid w:val="578E15CF"/>
    <w:rsid w:val="57EF7D7F"/>
    <w:rsid w:val="5803282E"/>
    <w:rsid w:val="58441720"/>
    <w:rsid w:val="58571970"/>
    <w:rsid w:val="585A52C0"/>
    <w:rsid w:val="586B6A32"/>
    <w:rsid w:val="587868EA"/>
    <w:rsid w:val="58963C5F"/>
    <w:rsid w:val="589B3BD6"/>
    <w:rsid w:val="58B71761"/>
    <w:rsid w:val="591619D0"/>
    <w:rsid w:val="591732B3"/>
    <w:rsid w:val="59193BCE"/>
    <w:rsid w:val="59667064"/>
    <w:rsid w:val="59670950"/>
    <w:rsid w:val="59A0766B"/>
    <w:rsid w:val="59C15F15"/>
    <w:rsid w:val="59C74840"/>
    <w:rsid w:val="5A13386E"/>
    <w:rsid w:val="5A1B4AF4"/>
    <w:rsid w:val="5A1E534A"/>
    <w:rsid w:val="5A976492"/>
    <w:rsid w:val="5A976AC8"/>
    <w:rsid w:val="5A9D4B0C"/>
    <w:rsid w:val="5AAC3B6A"/>
    <w:rsid w:val="5AAC7F77"/>
    <w:rsid w:val="5AC55525"/>
    <w:rsid w:val="5AE068CD"/>
    <w:rsid w:val="5AEB5538"/>
    <w:rsid w:val="5B3540F9"/>
    <w:rsid w:val="5B3A1190"/>
    <w:rsid w:val="5B3C2DD1"/>
    <w:rsid w:val="5B650CD2"/>
    <w:rsid w:val="5B6A63AF"/>
    <w:rsid w:val="5B742BB4"/>
    <w:rsid w:val="5B9D6814"/>
    <w:rsid w:val="5BA517B5"/>
    <w:rsid w:val="5BA83CAD"/>
    <w:rsid w:val="5C0F2997"/>
    <w:rsid w:val="5C283570"/>
    <w:rsid w:val="5C2D0A9F"/>
    <w:rsid w:val="5C3645E8"/>
    <w:rsid w:val="5C6D7A7F"/>
    <w:rsid w:val="5C6E089F"/>
    <w:rsid w:val="5CDD12F6"/>
    <w:rsid w:val="5CEE1294"/>
    <w:rsid w:val="5CF367DB"/>
    <w:rsid w:val="5D0066F2"/>
    <w:rsid w:val="5D044EDC"/>
    <w:rsid w:val="5D0631CD"/>
    <w:rsid w:val="5D06587A"/>
    <w:rsid w:val="5D166F66"/>
    <w:rsid w:val="5D204E7D"/>
    <w:rsid w:val="5D2A738A"/>
    <w:rsid w:val="5D333F9E"/>
    <w:rsid w:val="5D4D5DBE"/>
    <w:rsid w:val="5D4E3B57"/>
    <w:rsid w:val="5D5749A7"/>
    <w:rsid w:val="5D750BAC"/>
    <w:rsid w:val="5D830D5E"/>
    <w:rsid w:val="5D920820"/>
    <w:rsid w:val="5D9621E4"/>
    <w:rsid w:val="5DB62DE9"/>
    <w:rsid w:val="5DCE1F1E"/>
    <w:rsid w:val="5DDF5FFC"/>
    <w:rsid w:val="5DF71BC6"/>
    <w:rsid w:val="5E205F54"/>
    <w:rsid w:val="5E343B62"/>
    <w:rsid w:val="5E3E7A1C"/>
    <w:rsid w:val="5E5563C9"/>
    <w:rsid w:val="5E780E5B"/>
    <w:rsid w:val="5EB46990"/>
    <w:rsid w:val="5EB66937"/>
    <w:rsid w:val="5ED6097D"/>
    <w:rsid w:val="5F083FC2"/>
    <w:rsid w:val="5F094E3B"/>
    <w:rsid w:val="5F0E6369"/>
    <w:rsid w:val="5F6F1A2E"/>
    <w:rsid w:val="5FBC4C89"/>
    <w:rsid w:val="60261188"/>
    <w:rsid w:val="602F280E"/>
    <w:rsid w:val="606B5656"/>
    <w:rsid w:val="60B2176C"/>
    <w:rsid w:val="60CB7550"/>
    <w:rsid w:val="60CC5403"/>
    <w:rsid w:val="60EA46C8"/>
    <w:rsid w:val="610F3169"/>
    <w:rsid w:val="61434F59"/>
    <w:rsid w:val="61A47237"/>
    <w:rsid w:val="61AA6976"/>
    <w:rsid w:val="61E40DBE"/>
    <w:rsid w:val="61E65359"/>
    <w:rsid w:val="61EF7CFA"/>
    <w:rsid w:val="620515F5"/>
    <w:rsid w:val="6227045A"/>
    <w:rsid w:val="62377A15"/>
    <w:rsid w:val="624F4C16"/>
    <w:rsid w:val="625330E4"/>
    <w:rsid w:val="62553094"/>
    <w:rsid w:val="626F4062"/>
    <w:rsid w:val="627870AF"/>
    <w:rsid w:val="629B1606"/>
    <w:rsid w:val="62CC39A1"/>
    <w:rsid w:val="63032701"/>
    <w:rsid w:val="632673F4"/>
    <w:rsid w:val="636E3209"/>
    <w:rsid w:val="637D021F"/>
    <w:rsid w:val="639F7DF4"/>
    <w:rsid w:val="63AD483A"/>
    <w:rsid w:val="63C81B5F"/>
    <w:rsid w:val="63E80BA0"/>
    <w:rsid w:val="640956CA"/>
    <w:rsid w:val="64310040"/>
    <w:rsid w:val="64317A6F"/>
    <w:rsid w:val="64446F75"/>
    <w:rsid w:val="645F740B"/>
    <w:rsid w:val="6472265E"/>
    <w:rsid w:val="64931966"/>
    <w:rsid w:val="64A0440D"/>
    <w:rsid w:val="64AC465A"/>
    <w:rsid w:val="64C8499A"/>
    <w:rsid w:val="64C95437"/>
    <w:rsid w:val="65082B89"/>
    <w:rsid w:val="650F1DFE"/>
    <w:rsid w:val="65113424"/>
    <w:rsid w:val="65136F6D"/>
    <w:rsid w:val="652C21BE"/>
    <w:rsid w:val="652D1B5C"/>
    <w:rsid w:val="65355DF9"/>
    <w:rsid w:val="65382F11"/>
    <w:rsid w:val="656C536A"/>
    <w:rsid w:val="65767745"/>
    <w:rsid w:val="65872767"/>
    <w:rsid w:val="659E68F3"/>
    <w:rsid w:val="65AE39EB"/>
    <w:rsid w:val="6610356E"/>
    <w:rsid w:val="66B14411"/>
    <w:rsid w:val="66B63ADA"/>
    <w:rsid w:val="66D57C50"/>
    <w:rsid w:val="66E35C73"/>
    <w:rsid w:val="66E40869"/>
    <w:rsid w:val="670F3B6C"/>
    <w:rsid w:val="675B1BC4"/>
    <w:rsid w:val="675D530E"/>
    <w:rsid w:val="67675864"/>
    <w:rsid w:val="677F4125"/>
    <w:rsid w:val="67863EC6"/>
    <w:rsid w:val="678907CB"/>
    <w:rsid w:val="67E60098"/>
    <w:rsid w:val="67E66C3F"/>
    <w:rsid w:val="67F325A4"/>
    <w:rsid w:val="68134A00"/>
    <w:rsid w:val="682014CD"/>
    <w:rsid w:val="683735EC"/>
    <w:rsid w:val="68461EF7"/>
    <w:rsid w:val="684A01B4"/>
    <w:rsid w:val="68595336"/>
    <w:rsid w:val="685E14A6"/>
    <w:rsid w:val="68967484"/>
    <w:rsid w:val="68E50325"/>
    <w:rsid w:val="68FD6917"/>
    <w:rsid w:val="690816A3"/>
    <w:rsid w:val="690B3078"/>
    <w:rsid w:val="6931506C"/>
    <w:rsid w:val="69633744"/>
    <w:rsid w:val="69CC2E9C"/>
    <w:rsid w:val="69CD06F5"/>
    <w:rsid w:val="69D5399A"/>
    <w:rsid w:val="6A0C57B8"/>
    <w:rsid w:val="6A356EA0"/>
    <w:rsid w:val="6A545628"/>
    <w:rsid w:val="6A5F4BF7"/>
    <w:rsid w:val="6A9176D4"/>
    <w:rsid w:val="6AFB40EB"/>
    <w:rsid w:val="6B0A2C53"/>
    <w:rsid w:val="6B760A1A"/>
    <w:rsid w:val="6C2E7407"/>
    <w:rsid w:val="6C932D68"/>
    <w:rsid w:val="6CDF772E"/>
    <w:rsid w:val="6D0A0B8E"/>
    <w:rsid w:val="6D33004D"/>
    <w:rsid w:val="6D3B7F4E"/>
    <w:rsid w:val="6D6964CD"/>
    <w:rsid w:val="6D773BD8"/>
    <w:rsid w:val="6D7E7FC3"/>
    <w:rsid w:val="6D8447B5"/>
    <w:rsid w:val="6DB441DE"/>
    <w:rsid w:val="6DE14848"/>
    <w:rsid w:val="6E1532E0"/>
    <w:rsid w:val="6E1C3CC0"/>
    <w:rsid w:val="6E616AFF"/>
    <w:rsid w:val="6E8B104F"/>
    <w:rsid w:val="6EAF3B61"/>
    <w:rsid w:val="6EBC3070"/>
    <w:rsid w:val="6EE65B92"/>
    <w:rsid w:val="6F2E3871"/>
    <w:rsid w:val="6F5943EF"/>
    <w:rsid w:val="70177566"/>
    <w:rsid w:val="701F2E9C"/>
    <w:rsid w:val="703E5F69"/>
    <w:rsid w:val="70706E37"/>
    <w:rsid w:val="7080197D"/>
    <w:rsid w:val="70925786"/>
    <w:rsid w:val="709F7CF4"/>
    <w:rsid w:val="70DC2D64"/>
    <w:rsid w:val="70E131CE"/>
    <w:rsid w:val="70EE581C"/>
    <w:rsid w:val="71134A38"/>
    <w:rsid w:val="71161C7D"/>
    <w:rsid w:val="71285F3D"/>
    <w:rsid w:val="713760EF"/>
    <w:rsid w:val="71935EFB"/>
    <w:rsid w:val="719C1EF7"/>
    <w:rsid w:val="71CC2111"/>
    <w:rsid w:val="71FC3EAD"/>
    <w:rsid w:val="72057F08"/>
    <w:rsid w:val="72092BFB"/>
    <w:rsid w:val="720C2BDC"/>
    <w:rsid w:val="72643269"/>
    <w:rsid w:val="72807432"/>
    <w:rsid w:val="72915C55"/>
    <w:rsid w:val="729B399B"/>
    <w:rsid w:val="72B16F6C"/>
    <w:rsid w:val="72B65EB8"/>
    <w:rsid w:val="72C7796F"/>
    <w:rsid w:val="72E60F84"/>
    <w:rsid w:val="72F45FE5"/>
    <w:rsid w:val="731B4DF1"/>
    <w:rsid w:val="732E4875"/>
    <w:rsid w:val="73423989"/>
    <w:rsid w:val="73452E15"/>
    <w:rsid w:val="73557C57"/>
    <w:rsid w:val="73685544"/>
    <w:rsid w:val="736968C6"/>
    <w:rsid w:val="73A12DA7"/>
    <w:rsid w:val="73AD496D"/>
    <w:rsid w:val="73B7056E"/>
    <w:rsid w:val="73C803C0"/>
    <w:rsid w:val="73DC69D3"/>
    <w:rsid w:val="740E77B5"/>
    <w:rsid w:val="74263BAF"/>
    <w:rsid w:val="74431752"/>
    <w:rsid w:val="74451857"/>
    <w:rsid w:val="74A86445"/>
    <w:rsid w:val="74E811DC"/>
    <w:rsid w:val="74FD327C"/>
    <w:rsid w:val="75072379"/>
    <w:rsid w:val="755E380F"/>
    <w:rsid w:val="757B749C"/>
    <w:rsid w:val="75B84B45"/>
    <w:rsid w:val="75E366BE"/>
    <w:rsid w:val="75FD020C"/>
    <w:rsid w:val="760B4758"/>
    <w:rsid w:val="761979DD"/>
    <w:rsid w:val="76264ABA"/>
    <w:rsid w:val="766913CE"/>
    <w:rsid w:val="76793892"/>
    <w:rsid w:val="76A837CD"/>
    <w:rsid w:val="76AF4209"/>
    <w:rsid w:val="76B61838"/>
    <w:rsid w:val="76B80988"/>
    <w:rsid w:val="76BF6642"/>
    <w:rsid w:val="76D4402E"/>
    <w:rsid w:val="76EC70A4"/>
    <w:rsid w:val="770B595E"/>
    <w:rsid w:val="770D22D9"/>
    <w:rsid w:val="77783A35"/>
    <w:rsid w:val="779D6084"/>
    <w:rsid w:val="77A86D16"/>
    <w:rsid w:val="77AB38A0"/>
    <w:rsid w:val="77B3277F"/>
    <w:rsid w:val="77BA0563"/>
    <w:rsid w:val="77ED1312"/>
    <w:rsid w:val="77F72344"/>
    <w:rsid w:val="78250C39"/>
    <w:rsid w:val="785D08A5"/>
    <w:rsid w:val="78BC2189"/>
    <w:rsid w:val="78CF4963"/>
    <w:rsid w:val="78D71E1A"/>
    <w:rsid w:val="78ED7EB7"/>
    <w:rsid w:val="78F15A22"/>
    <w:rsid w:val="78F23295"/>
    <w:rsid w:val="795C621C"/>
    <w:rsid w:val="795D73B4"/>
    <w:rsid w:val="796B5AEC"/>
    <w:rsid w:val="79A87C47"/>
    <w:rsid w:val="79C65B67"/>
    <w:rsid w:val="79DE38F1"/>
    <w:rsid w:val="79E83F42"/>
    <w:rsid w:val="79F93FCC"/>
    <w:rsid w:val="7A3B5F9D"/>
    <w:rsid w:val="7A5B1460"/>
    <w:rsid w:val="7A6F443F"/>
    <w:rsid w:val="7A7A5580"/>
    <w:rsid w:val="7A944A4B"/>
    <w:rsid w:val="7AA76532"/>
    <w:rsid w:val="7ABC74D2"/>
    <w:rsid w:val="7AD5254C"/>
    <w:rsid w:val="7B005523"/>
    <w:rsid w:val="7B480312"/>
    <w:rsid w:val="7B4A207F"/>
    <w:rsid w:val="7B731194"/>
    <w:rsid w:val="7B973483"/>
    <w:rsid w:val="7BAD7A3F"/>
    <w:rsid w:val="7BB1183B"/>
    <w:rsid w:val="7BE97E6E"/>
    <w:rsid w:val="7BEC3D1E"/>
    <w:rsid w:val="7C1D3C48"/>
    <w:rsid w:val="7C670577"/>
    <w:rsid w:val="7C7F6281"/>
    <w:rsid w:val="7CA53B99"/>
    <w:rsid w:val="7CAF6B09"/>
    <w:rsid w:val="7CCC5FAF"/>
    <w:rsid w:val="7CD350B3"/>
    <w:rsid w:val="7CD8239D"/>
    <w:rsid w:val="7D383A94"/>
    <w:rsid w:val="7D61676F"/>
    <w:rsid w:val="7D636FB6"/>
    <w:rsid w:val="7D7B5DF3"/>
    <w:rsid w:val="7DAD23DB"/>
    <w:rsid w:val="7DB4431C"/>
    <w:rsid w:val="7DCA70CB"/>
    <w:rsid w:val="7DED58D1"/>
    <w:rsid w:val="7E000370"/>
    <w:rsid w:val="7E11626D"/>
    <w:rsid w:val="7E48635A"/>
    <w:rsid w:val="7E5D3A10"/>
    <w:rsid w:val="7E7502EB"/>
    <w:rsid w:val="7EB96483"/>
    <w:rsid w:val="7EBA3206"/>
    <w:rsid w:val="7EC14D4E"/>
    <w:rsid w:val="7EDA643C"/>
    <w:rsid w:val="7EE663F1"/>
    <w:rsid w:val="7F3A2D05"/>
    <w:rsid w:val="7F4078B1"/>
    <w:rsid w:val="7F7306FE"/>
    <w:rsid w:val="7F820E28"/>
    <w:rsid w:val="7FDD1C2E"/>
    <w:rsid w:val="7FEE65B7"/>
    <w:rsid w:val="7FF0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paragraph" w:styleId="3">
    <w:name w:val="heading 2"/>
    <w:basedOn w:val="1"/>
    <w:next w:val="1"/>
    <w:qFormat/>
    <w:uiPriority w:val="1"/>
    <w:pPr>
      <w:spacing w:before="167"/>
      <w:ind w:left="550" w:hanging="320"/>
      <w:outlineLvl w:val="2"/>
    </w:pPr>
    <w:rPr>
      <w:rFonts w:ascii="宋体" w:hAnsi="宋体" w:eastAsia="宋体" w:cs="宋体"/>
      <w:sz w:val="32"/>
      <w:szCs w:val="32"/>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2602</Words>
  <Characters>2986</Characters>
  <Lines>0</Lines>
  <Paragraphs>0</Paragraphs>
  <TotalTime>5</TotalTime>
  <ScaleCrop>false</ScaleCrop>
  <LinksUpToDate>false</LinksUpToDate>
  <CharactersWithSpaces>3029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再也没有</cp:lastModifiedBy>
  <dcterms:modified xsi:type="dcterms:W3CDTF">2023-03-15T06:06:59Z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CE6F25650DA94A718D69F50BE5ADCAFB</vt:lpwstr>
  </property>
</Properties>
</file>