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auto"/>
          <w:sz w:val="36"/>
          <w:szCs w:val="36"/>
          <w:highlight w:val="none"/>
        </w:rPr>
      </w:pPr>
    </w:p>
    <w:p>
      <w:pPr>
        <w:adjustRightInd w:val="0"/>
        <w:snapToGrid w:val="0"/>
        <w:jc w:val="center"/>
        <w:outlineLvl w:val="0"/>
        <w:rPr>
          <w:rFonts w:ascii="方正小标宋_GBK" w:eastAsia="方正小标宋_GBK"/>
          <w:bCs/>
          <w:color w:val="auto"/>
          <w:sz w:val="72"/>
          <w:szCs w:val="72"/>
          <w:highlight w:val="none"/>
        </w:rPr>
      </w:pPr>
      <w:r>
        <w:rPr>
          <w:rFonts w:hint="eastAsia" w:ascii="方正小标宋_GBK" w:eastAsia="方正小标宋_GBK"/>
          <w:bCs/>
          <w:color w:val="auto"/>
          <w:sz w:val="72"/>
          <w:szCs w:val="72"/>
          <w:highlight w:val="none"/>
        </w:rPr>
        <w:t>建设项目环境影响报告表</w:t>
      </w:r>
    </w:p>
    <w:p>
      <w:pPr>
        <w:adjustRightInd w:val="0"/>
        <w:snapToGrid w:val="0"/>
        <w:spacing w:before="192" w:beforeLines="80"/>
        <w:jc w:val="center"/>
        <w:rPr>
          <w:rFonts w:ascii="楷体_GB2312" w:eastAsia="楷体_GB2312"/>
          <w:b w:val="0"/>
          <w:bCs/>
          <w:color w:val="auto"/>
          <w:sz w:val="48"/>
          <w:szCs w:val="48"/>
          <w:highlight w:val="none"/>
        </w:rPr>
      </w:pPr>
      <w:r>
        <w:rPr>
          <w:rFonts w:hint="eastAsia" w:ascii="楷体_GB2312" w:eastAsia="楷体_GB2312"/>
          <w:b w:val="0"/>
          <w:bCs/>
          <w:color w:val="auto"/>
          <w:sz w:val="48"/>
          <w:szCs w:val="48"/>
          <w:highlight w:val="none"/>
        </w:rPr>
        <w:t>（污染影响类）</w:t>
      </w:r>
    </w:p>
    <w:p>
      <w:pPr>
        <w:jc w:val="center"/>
        <w:rPr>
          <w:rFonts w:eastAsia="仿宋"/>
          <w:color w:val="auto"/>
          <w:sz w:val="52"/>
          <w:szCs w:val="52"/>
          <w:highlight w:val="none"/>
        </w:rPr>
      </w:pPr>
    </w:p>
    <w:p>
      <w:pPr>
        <w:ind w:firstLine="1040"/>
        <w:rPr>
          <w:rFonts w:eastAsia="仿宋"/>
          <w:color w:val="auto"/>
          <w:sz w:val="40"/>
          <w:szCs w:val="40"/>
          <w:highlight w:val="none"/>
        </w:rPr>
      </w:pPr>
    </w:p>
    <w:p>
      <w:pPr>
        <w:pStyle w:val="33"/>
        <w:rPr>
          <w:rFonts w:eastAsia="仿宋"/>
          <w:color w:val="auto"/>
          <w:sz w:val="40"/>
          <w:szCs w:val="40"/>
          <w:highlight w:val="none"/>
        </w:rPr>
      </w:pPr>
    </w:p>
    <w:p>
      <w:pPr>
        <w:pStyle w:val="33"/>
        <w:rPr>
          <w:rFonts w:eastAsia="仿宋"/>
          <w:color w:val="auto"/>
          <w:sz w:val="40"/>
          <w:szCs w:val="40"/>
          <w:highlight w:val="none"/>
        </w:rPr>
      </w:pPr>
    </w:p>
    <w:p>
      <w:pPr>
        <w:pStyle w:val="33"/>
        <w:rPr>
          <w:rFonts w:eastAsia="仿宋"/>
          <w:color w:val="auto"/>
          <w:sz w:val="40"/>
          <w:szCs w:val="40"/>
          <w:highlight w:val="none"/>
        </w:rPr>
      </w:pPr>
    </w:p>
    <w:p>
      <w:pPr>
        <w:pStyle w:val="33"/>
        <w:rPr>
          <w:rFonts w:eastAsia="仿宋"/>
          <w:color w:val="auto"/>
          <w:sz w:val="40"/>
          <w:szCs w:val="40"/>
          <w:highlight w:val="none"/>
        </w:rPr>
      </w:pPr>
    </w:p>
    <w:p>
      <w:pPr>
        <w:pStyle w:val="33"/>
        <w:rPr>
          <w:rFonts w:eastAsia="仿宋"/>
          <w:color w:val="auto"/>
          <w:sz w:val="40"/>
          <w:szCs w:val="40"/>
          <w:highlight w:val="none"/>
        </w:rPr>
      </w:pPr>
    </w:p>
    <w:p>
      <w:pPr>
        <w:pStyle w:val="33"/>
        <w:rPr>
          <w:rFonts w:eastAsia="仿宋"/>
          <w:color w:val="auto"/>
          <w:sz w:val="40"/>
          <w:szCs w:val="40"/>
          <w:highlight w:val="none"/>
        </w:rPr>
      </w:pPr>
      <w:bookmarkStart w:id="38" w:name="_GoBack"/>
      <w:bookmarkEnd w:id="38"/>
    </w:p>
    <w:p>
      <w:pPr>
        <w:ind w:firstLine="1040"/>
        <w:rPr>
          <w:rFonts w:eastAsia="仿宋"/>
          <w:color w:val="auto"/>
          <w:sz w:val="44"/>
          <w:szCs w:val="44"/>
          <w:highlight w:val="none"/>
        </w:rPr>
      </w:pPr>
    </w:p>
    <w:p>
      <w:pPr>
        <w:ind w:firstLine="1040"/>
        <w:rPr>
          <w:rFonts w:eastAsia="仿宋"/>
          <w:color w:val="auto"/>
          <w:sz w:val="44"/>
          <w:szCs w:val="44"/>
          <w:highlight w:val="none"/>
        </w:rPr>
      </w:pPr>
    </w:p>
    <w:p>
      <w:pPr>
        <w:ind w:firstLine="1040"/>
        <w:rPr>
          <w:rFonts w:eastAsia="仿宋"/>
          <w:color w:val="auto"/>
          <w:sz w:val="44"/>
          <w:szCs w:val="44"/>
          <w:highlight w:val="none"/>
        </w:rPr>
      </w:pPr>
    </w:p>
    <w:p>
      <w:pPr>
        <w:adjustRightInd w:val="0"/>
        <w:snapToGrid w:val="0"/>
        <w:spacing w:line="288" w:lineRule="auto"/>
        <w:ind w:firstLine="640" w:firstLineChars="200"/>
        <w:rPr>
          <w:rFonts w:ascii="仿宋_GB2312" w:eastAsia="仿宋_GB2312"/>
          <w:b w:val="0"/>
          <w:bCs w:val="0"/>
          <w:color w:val="auto"/>
          <w:sz w:val="32"/>
          <w:szCs w:val="32"/>
          <w:highlight w:val="none"/>
          <w:u w:val="single"/>
        </w:rPr>
      </w:pPr>
      <w:r>
        <w:rPr>
          <w:rFonts w:hint="eastAsia" w:ascii="仿宋_GB2312" w:eastAsia="仿宋_GB2312"/>
          <w:b w:val="0"/>
          <w:bCs w:val="0"/>
          <w:color w:val="auto"/>
          <w:sz w:val="32"/>
          <w:szCs w:val="32"/>
          <w:highlight w:val="none"/>
        </w:rPr>
        <w:t xml:space="preserve">项目名称： </w:t>
      </w:r>
      <w:r>
        <w:rPr>
          <w:rFonts w:hint="eastAsia" w:ascii="仿宋_GB2312" w:eastAsia="仿宋_GB2312"/>
          <w:b w:val="0"/>
          <w:bCs w:val="0"/>
          <w:color w:val="auto"/>
          <w:sz w:val="32"/>
          <w:szCs w:val="32"/>
          <w:highlight w:val="none"/>
          <w:u w:val="single"/>
        </w:rPr>
        <w:t xml:space="preserve">        临建西院北楼、西楼工程           </w:t>
      </w:r>
    </w:p>
    <w:p>
      <w:pPr>
        <w:adjustRightInd w:val="0"/>
        <w:snapToGrid w:val="0"/>
        <w:spacing w:line="288" w:lineRule="auto"/>
        <w:ind w:firstLine="1040"/>
        <w:rPr>
          <w:rFonts w:ascii="仿宋_GB2312" w:eastAsia="仿宋_GB2312"/>
          <w:b w:val="0"/>
          <w:bCs w:val="0"/>
          <w:color w:val="auto"/>
          <w:sz w:val="32"/>
          <w:szCs w:val="32"/>
          <w:highlight w:val="none"/>
        </w:rPr>
      </w:pPr>
    </w:p>
    <w:p>
      <w:pPr>
        <w:adjustRightInd w:val="0"/>
        <w:snapToGrid w:val="0"/>
        <w:spacing w:line="288" w:lineRule="auto"/>
        <w:ind w:left="638" w:leftChars="304"/>
        <w:rPr>
          <w:rFonts w:ascii="仿宋_GB2312" w:eastAsia="仿宋_GB2312"/>
          <w:b w:val="0"/>
          <w:bCs w:val="0"/>
          <w:color w:val="auto"/>
          <w:sz w:val="32"/>
          <w:szCs w:val="32"/>
          <w:highlight w:val="none"/>
          <w:u w:val="single"/>
        </w:rPr>
      </w:pPr>
      <w:r>
        <w:rPr>
          <w:rFonts w:hint="eastAsia" w:ascii="仿宋_GB2312" w:eastAsia="仿宋_GB2312"/>
          <w:b w:val="0"/>
          <w:bCs w:val="0"/>
          <w:color w:val="auto"/>
          <w:sz w:val="32"/>
          <w:szCs w:val="32"/>
          <w:highlight w:val="none"/>
        </w:rPr>
        <w:t>建设单位（盖章）：</w:t>
      </w:r>
      <w:r>
        <w:rPr>
          <w:rFonts w:hint="eastAsia" w:ascii="仿宋_GB2312" w:eastAsia="仿宋_GB2312"/>
          <w:b w:val="0"/>
          <w:bCs w:val="0"/>
          <w:color w:val="auto"/>
          <w:sz w:val="32"/>
          <w:szCs w:val="32"/>
          <w:highlight w:val="none"/>
          <w:u w:val="single"/>
        </w:rPr>
        <w:t xml:space="preserve">        通用医疗西安医院         </w:t>
      </w:r>
    </w:p>
    <w:p>
      <w:pPr>
        <w:adjustRightInd w:val="0"/>
        <w:snapToGrid w:val="0"/>
        <w:spacing w:line="288" w:lineRule="auto"/>
        <w:ind w:firstLine="1040"/>
        <w:rPr>
          <w:rFonts w:ascii="仿宋_GB2312" w:eastAsia="仿宋_GB2312"/>
          <w:b w:val="0"/>
          <w:bCs w:val="0"/>
          <w:color w:val="auto"/>
          <w:sz w:val="32"/>
          <w:szCs w:val="32"/>
          <w:highlight w:val="none"/>
        </w:rPr>
      </w:pPr>
    </w:p>
    <w:p>
      <w:pPr>
        <w:adjustRightInd w:val="0"/>
        <w:snapToGrid w:val="0"/>
        <w:spacing w:line="288" w:lineRule="auto"/>
        <w:ind w:firstLine="640" w:firstLineChars="200"/>
        <w:rPr>
          <w:rFonts w:ascii="仿宋_GB2312" w:eastAsia="仿宋_GB2312"/>
          <w:b w:val="0"/>
          <w:bCs w:val="0"/>
          <w:color w:val="auto"/>
          <w:sz w:val="32"/>
          <w:szCs w:val="32"/>
          <w:highlight w:val="none"/>
          <w:u w:val="single"/>
        </w:rPr>
      </w:pPr>
      <w:r>
        <w:rPr>
          <w:rFonts w:hint="eastAsia" w:ascii="仿宋_GB2312" w:eastAsia="仿宋_GB2312"/>
          <w:b w:val="0"/>
          <w:bCs w:val="0"/>
          <w:color w:val="auto"/>
          <w:sz w:val="32"/>
          <w:szCs w:val="32"/>
          <w:highlight w:val="none"/>
        </w:rPr>
        <w:t>编制日期：</w:t>
      </w:r>
      <w:r>
        <w:rPr>
          <w:rFonts w:ascii="仿宋_GB2312" w:eastAsia="仿宋_GB2312"/>
          <w:b w:val="0"/>
          <w:bCs w:val="0"/>
          <w:color w:val="auto"/>
          <w:sz w:val="32"/>
          <w:szCs w:val="32"/>
          <w:highlight w:val="none"/>
          <w:u w:val="single"/>
        </w:rPr>
        <w:t xml:space="preserve">            </w:t>
      </w:r>
      <w:r>
        <w:rPr>
          <w:rFonts w:hint="eastAsia" w:ascii="仿宋_GB2312" w:eastAsia="仿宋_GB2312"/>
          <w:b w:val="0"/>
          <w:bCs w:val="0"/>
          <w:color w:val="auto"/>
          <w:sz w:val="32"/>
          <w:szCs w:val="32"/>
          <w:highlight w:val="none"/>
          <w:u w:val="single"/>
        </w:rPr>
        <w:t>二〇二</w:t>
      </w:r>
      <w:r>
        <w:rPr>
          <w:rFonts w:hint="eastAsia" w:ascii="仿宋_GB2312" w:eastAsia="仿宋_GB2312"/>
          <w:b w:val="0"/>
          <w:bCs w:val="0"/>
          <w:color w:val="auto"/>
          <w:sz w:val="32"/>
          <w:szCs w:val="32"/>
          <w:highlight w:val="none"/>
          <w:u w:val="single"/>
          <w:lang w:val="en-US" w:eastAsia="zh-CN"/>
        </w:rPr>
        <w:t>三</w:t>
      </w:r>
      <w:r>
        <w:rPr>
          <w:rFonts w:hint="eastAsia" w:ascii="仿宋_GB2312" w:eastAsia="仿宋_GB2312"/>
          <w:b w:val="0"/>
          <w:bCs w:val="0"/>
          <w:color w:val="auto"/>
          <w:sz w:val="32"/>
          <w:szCs w:val="32"/>
          <w:highlight w:val="none"/>
          <w:u w:val="single"/>
        </w:rPr>
        <w:t>年</w:t>
      </w:r>
      <w:r>
        <w:rPr>
          <w:rFonts w:hint="eastAsia" w:ascii="仿宋_GB2312" w:eastAsia="仿宋_GB2312"/>
          <w:b w:val="0"/>
          <w:bCs w:val="0"/>
          <w:color w:val="auto"/>
          <w:sz w:val="32"/>
          <w:szCs w:val="32"/>
          <w:highlight w:val="none"/>
          <w:u w:val="single"/>
          <w:lang w:val="en-US" w:eastAsia="zh-CN"/>
        </w:rPr>
        <w:t>七</w:t>
      </w:r>
      <w:r>
        <w:rPr>
          <w:rFonts w:hint="eastAsia" w:ascii="仿宋_GB2312" w:eastAsia="仿宋_GB2312"/>
          <w:b w:val="0"/>
          <w:bCs w:val="0"/>
          <w:color w:val="auto"/>
          <w:sz w:val="32"/>
          <w:szCs w:val="32"/>
          <w:highlight w:val="none"/>
          <w:u w:val="single"/>
        </w:rPr>
        <w:t xml:space="preserve">月             </w:t>
      </w:r>
    </w:p>
    <w:p>
      <w:pPr>
        <w:adjustRightInd w:val="0"/>
        <w:snapToGrid w:val="0"/>
        <w:spacing w:line="288" w:lineRule="auto"/>
        <w:ind w:firstLine="1040"/>
        <w:rPr>
          <w:rFonts w:ascii="仿宋_GB2312" w:eastAsia="仿宋_GB2312"/>
          <w:color w:val="auto"/>
          <w:sz w:val="36"/>
          <w:szCs w:val="36"/>
          <w:highlight w:val="none"/>
        </w:rPr>
      </w:pPr>
      <w:bookmarkStart w:id="0" w:name="_Hlk57884087"/>
    </w:p>
    <w:bookmarkEnd w:id="0"/>
    <w:p>
      <w:pPr>
        <w:adjustRightInd w:val="0"/>
        <w:snapToGrid w:val="0"/>
        <w:spacing w:line="288" w:lineRule="auto"/>
        <w:jc w:val="center"/>
        <w:rPr>
          <w:rFonts w:ascii="楷体_GB2312" w:eastAsia="楷体_GB2312"/>
          <w:color w:val="auto"/>
          <w:sz w:val="36"/>
          <w:szCs w:val="36"/>
          <w:highlight w:val="none"/>
        </w:rPr>
      </w:pPr>
      <w:r>
        <w:rPr>
          <w:rFonts w:hint="eastAsia" w:ascii="楷体_GB2312" w:eastAsia="楷体_GB2312"/>
          <w:b/>
          <w:bCs/>
          <w:color w:val="auto"/>
          <w:sz w:val="32"/>
          <w:szCs w:val="32"/>
          <w:highlight w:val="none"/>
        </w:rPr>
        <w:t>中华人民共和国生态环境部制</w:t>
      </w:r>
    </w:p>
    <w:p>
      <w:pPr>
        <w:adjustRightInd w:val="0"/>
        <w:snapToGrid w:val="0"/>
        <w:spacing w:line="288" w:lineRule="auto"/>
        <w:ind w:firstLine="1040"/>
        <w:rPr>
          <w:rFonts w:ascii="仿宋_GB2312" w:eastAsia="仿宋_GB2312"/>
          <w:color w:val="auto"/>
          <w:sz w:val="36"/>
          <w:szCs w:val="36"/>
          <w:highlight w:val="none"/>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17"/>
        <w:jc w:val="both"/>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一、建设项目基本情况</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670"/>
        <w:gridCol w:w="1712"/>
        <w:gridCol w:w="2070"/>
        <w:gridCol w:w="1779"/>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建设项目名称</w:t>
            </w:r>
          </w:p>
        </w:tc>
        <w:tc>
          <w:tcPr>
            <w:tcW w:w="6488" w:type="dxa"/>
            <w:gridSpan w:val="3"/>
            <w:vAlign w:val="center"/>
          </w:tcPr>
          <w:p>
            <w:pPr>
              <w:adjustRightInd w:val="0"/>
              <w:snapToGrid w:val="0"/>
              <w:jc w:val="center"/>
              <w:rPr>
                <w:rFonts w:ascii="Times New Roman" w:hAnsi="Times New Roman"/>
                <w:color w:val="auto"/>
                <w:highlight w:val="none"/>
              </w:rPr>
            </w:pPr>
            <w:r>
              <w:rPr>
                <w:rFonts w:hint="eastAsia"/>
                <w:color w:val="auto"/>
                <w:highlight w:val="none"/>
              </w:rPr>
              <w:t>临建西院北楼、西楼工程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项目代码</w:t>
            </w:r>
          </w:p>
        </w:tc>
        <w:tc>
          <w:tcPr>
            <w:tcW w:w="6488" w:type="dxa"/>
            <w:gridSpan w:val="3"/>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建设单位联系人</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白杨</w:t>
            </w:r>
          </w:p>
        </w:tc>
        <w:tc>
          <w:tcPr>
            <w:tcW w:w="1779" w:type="dxa"/>
            <w:vAlign w:val="center"/>
          </w:tcPr>
          <w:p>
            <w:pPr>
              <w:adjustRightInd w:val="0"/>
              <w:snapToGrid w:val="0"/>
              <w:jc w:val="center"/>
              <w:rPr>
                <w:rFonts w:ascii="Times New Roman" w:hAnsi="Times New Roman"/>
                <w:color w:val="auto"/>
                <w:highlight w:val="none"/>
              </w:rPr>
            </w:pPr>
            <w:r>
              <w:rPr>
                <w:rFonts w:hint="eastAsia" w:ascii="Times New Roman" w:hAnsi="Times New Roman"/>
                <w:b w:val="0"/>
                <w:bCs w:val="0"/>
                <w:color w:val="auto"/>
                <w:highlight w:val="none"/>
              </w:rPr>
              <w:t>联系方式</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18629016311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建设地点</w:t>
            </w:r>
          </w:p>
        </w:tc>
        <w:tc>
          <w:tcPr>
            <w:tcW w:w="6488" w:type="dxa"/>
            <w:gridSpan w:val="3"/>
            <w:vAlign w:val="center"/>
          </w:tcPr>
          <w:p>
            <w:pPr>
              <w:adjustRightInd w:val="0"/>
              <w:snapToGrid w:val="0"/>
              <w:jc w:val="center"/>
              <w:rPr>
                <w:rFonts w:ascii="Times New Roman" w:hAnsi="Times New Roman"/>
                <w:color w:val="auto"/>
                <w:highlight w:val="none"/>
              </w:rPr>
            </w:pPr>
            <w:bookmarkStart w:id="1" w:name="OLE_LINK1"/>
            <w:r>
              <w:rPr>
                <w:rFonts w:hint="eastAsia" w:ascii="Times New Roman" w:hAnsi="Times New Roman"/>
                <w:color w:val="auto"/>
                <w:highlight w:val="none"/>
              </w:rPr>
              <w:t>西安市莲湖区大庆路636号通用医疗西安医院内</w:t>
            </w:r>
            <w:bookmarkEnd w:id="1"/>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地理坐标</w:t>
            </w:r>
          </w:p>
        </w:tc>
        <w:tc>
          <w:tcPr>
            <w:tcW w:w="6488" w:type="dxa"/>
            <w:gridSpan w:val="3"/>
            <w:vAlign w:val="center"/>
          </w:tcPr>
          <w:p>
            <w:pPr>
              <w:jc w:val="center"/>
              <w:rPr>
                <w:rFonts w:ascii="Times New Roman" w:hAnsi="Times New Roman"/>
                <w:color w:val="auto"/>
                <w:highlight w:val="none"/>
              </w:rPr>
            </w:pPr>
            <w:r>
              <w:rPr>
                <w:rFonts w:ascii="Times New Roman" w:hAnsi="Times New Roman"/>
                <w:color w:val="auto"/>
                <w:highlight w:val="none"/>
              </w:rPr>
              <w:t>E</w:t>
            </w:r>
            <w:r>
              <w:rPr>
                <w:rFonts w:hint="eastAsia" w:ascii="宋体" w:hAnsi="宋体" w:cs="宋体"/>
                <w:color w:val="auto"/>
                <w:highlight w:val="none"/>
              </w:rPr>
              <w:t>:</w:t>
            </w:r>
            <w:r>
              <w:rPr>
                <w:rFonts w:ascii="Times New Roman" w:hAnsi="Times New Roman"/>
                <w:color w:val="auto"/>
                <w:highlight w:val="none"/>
              </w:rPr>
              <w:t>108°</w:t>
            </w:r>
            <w:r>
              <w:rPr>
                <w:rFonts w:hint="eastAsia" w:ascii="Times New Roman" w:hAnsi="Times New Roman"/>
                <w:color w:val="auto"/>
                <w:highlight w:val="none"/>
              </w:rPr>
              <w:t>52</w:t>
            </w:r>
            <w:r>
              <w:rPr>
                <w:rFonts w:ascii="Times New Roman" w:hAnsi="Times New Roman"/>
                <w:color w:val="auto"/>
                <w:highlight w:val="none"/>
              </w:rPr>
              <w:t>′</w:t>
            </w:r>
            <w:r>
              <w:rPr>
                <w:rFonts w:hint="eastAsia" w:ascii="Times New Roman" w:hAnsi="Times New Roman"/>
                <w:color w:val="auto"/>
                <w:highlight w:val="none"/>
              </w:rPr>
              <w:t>44.254</w:t>
            </w:r>
            <w:r>
              <w:rPr>
                <w:rFonts w:ascii="Times New Roman" w:hAnsi="Times New Roman"/>
                <w:color w:val="auto"/>
                <w:highlight w:val="none"/>
              </w:rPr>
              <w:t>″，N</w:t>
            </w:r>
            <w:r>
              <w:rPr>
                <w:rFonts w:hint="eastAsia" w:ascii="宋体" w:hAnsi="宋体" w:cs="宋体"/>
                <w:color w:val="auto"/>
                <w:highlight w:val="none"/>
              </w:rPr>
              <w:t>:</w:t>
            </w:r>
            <w:r>
              <w:rPr>
                <w:rFonts w:ascii="Times New Roman" w:hAnsi="Times New Roman"/>
                <w:color w:val="auto"/>
                <w:highlight w:val="none"/>
              </w:rPr>
              <w:t>34°1</w:t>
            </w:r>
            <w:r>
              <w:rPr>
                <w:rFonts w:hint="eastAsia" w:ascii="Times New Roman" w:hAnsi="Times New Roman"/>
                <w:color w:val="auto"/>
                <w:highlight w:val="none"/>
              </w:rPr>
              <w:t>5</w:t>
            </w:r>
            <w:r>
              <w:rPr>
                <w:rFonts w:ascii="Times New Roman" w:hAnsi="Times New Roman"/>
                <w:color w:val="auto"/>
                <w:highlight w:val="none"/>
              </w:rPr>
              <w:t>′</w:t>
            </w:r>
            <w:r>
              <w:rPr>
                <w:rFonts w:hint="eastAsia" w:ascii="Times New Roman" w:hAnsi="Times New Roman"/>
                <w:color w:val="auto"/>
                <w:highlight w:val="none"/>
              </w:rPr>
              <w:t>30.336</w:t>
            </w:r>
            <w:r>
              <w:rPr>
                <w:rFonts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国民经济</w:t>
            </w:r>
          </w:p>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行业类别</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O8411综合医院</w:t>
            </w:r>
          </w:p>
        </w:tc>
        <w:tc>
          <w:tcPr>
            <w:tcW w:w="1779" w:type="dxa"/>
            <w:vAlign w:val="center"/>
          </w:tcPr>
          <w:p>
            <w:pPr>
              <w:adjustRightInd w:val="0"/>
              <w:snapToGrid w:val="0"/>
              <w:jc w:val="center"/>
              <w:rPr>
                <w:rFonts w:ascii="Times New Roman" w:hAnsi="Times New Roman"/>
                <w:b w:val="0"/>
                <w:bCs w:val="0"/>
                <w:color w:val="auto"/>
                <w:highlight w:val="none"/>
              </w:rPr>
            </w:pPr>
            <w:bookmarkStart w:id="2" w:name="_Hlk49843745"/>
            <w:r>
              <w:rPr>
                <w:rFonts w:hint="eastAsia" w:ascii="Times New Roman" w:hAnsi="Times New Roman"/>
                <w:b w:val="0"/>
                <w:bCs w:val="0"/>
                <w:color w:val="auto"/>
                <w:highlight w:val="none"/>
              </w:rPr>
              <w:t>建设项目</w:t>
            </w:r>
          </w:p>
          <w:p>
            <w:pPr>
              <w:adjustRightInd w:val="0"/>
              <w:snapToGrid w:val="0"/>
              <w:jc w:val="center"/>
              <w:rPr>
                <w:rFonts w:ascii="Times New Roman" w:hAnsi="Times New Roman"/>
                <w:color w:val="auto"/>
                <w:highlight w:val="none"/>
              </w:rPr>
            </w:pPr>
            <w:r>
              <w:rPr>
                <w:rFonts w:hint="eastAsia" w:ascii="Times New Roman" w:hAnsi="Times New Roman"/>
                <w:b w:val="0"/>
                <w:bCs w:val="0"/>
                <w:color w:val="auto"/>
                <w:highlight w:val="none"/>
              </w:rPr>
              <w:t>行业类别</w:t>
            </w:r>
            <w:bookmarkEnd w:id="2"/>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108医院其他</w:t>
            </w:r>
            <w:r>
              <w:rPr>
                <w:rFonts w:ascii="Times New Roman" w:hAnsi="Times New Roman"/>
                <w:color w:val="auto"/>
                <w:highlight w:val="none"/>
              </w:rPr>
              <w:t>（</w:t>
            </w:r>
            <w:r>
              <w:rPr>
                <w:rFonts w:hint="eastAsia" w:ascii="Times New Roman" w:hAnsi="Times New Roman"/>
                <w:color w:val="auto"/>
                <w:highlight w:val="none"/>
              </w:rPr>
              <w:t>住院床位20~500张之间</w:t>
            </w:r>
            <w:r>
              <w:rPr>
                <w:rFonts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hint="eastAsia" w:ascii="Times New Roman" w:hAnsi="Times New Roman"/>
                <w:b w:val="0"/>
                <w:bCs w:val="0"/>
                <w:color w:val="auto"/>
                <w:highlight w:val="none"/>
              </w:rPr>
              <w:t>建设性质</w:t>
            </w:r>
          </w:p>
        </w:tc>
        <w:tc>
          <w:tcPr>
            <w:tcW w:w="2070" w:type="dxa"/>
            <w:vAlign w:val="center"/>
          </w:tcPr>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新建（迁建）</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改建</w:t>
            </w:r>
          </w:p>
          <w:p>
            <w:pPr>
              <w:jc w:val="left"/>
              <w:rPr>
                <w:rFonts w:ascii="Times New Roman" w:hAnsi="Times New Roman"/>
                <w:color w:val="auto"/>
                <w:highlight w:val="none"/>
              </w:rPr>
            </w:pPr>
            <w:r>
              <w:rPr>
                <w:rFonts w:ascii="Times New Roman" w:hAnsi="Times New Roman"/>
                <w:color w:val="auto"/>
                <w:highlight w:val="none"/>
              </w:rPr>
              <w:sym w:font="Wingdings 2" w:char="0052"/>
            </w:r>
            <w:r>
              <w:rPr>
                <w:rFonts w:ascii="Times New Roman" w:hAnsi="Times New Roman"/>
                <w:color w:val="auto"/>
                <w:highlight w:val="none"/>
              </w:rPr>
              <w:t>扩建</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技术改造</w:t>
            </w:r>
          </w:p>
        </w:tc>
        <w:tc>
          <w:tcPr>
            <w:tcW w:w="1779" w:type="dxa"/>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建设项目</w:t>
            </w:r>
          </w:p>
          <w:p>
            <w:pPr>
              <w:adjustRightInd w:val="0"/>
              <w:snapToGrid w:val="0"/>
              <w:jc w:val="center"/>
              <w:rPr>
                <w:rFonts w:ascii="Times New Roman" w:hAnsi="Times New Roman"/>
                <w:color w:val="auto"/>
                <w:highlight w:val="none"/>
              </w:rPr>
            </w:pPr>
            <w:r>
              <w:rPr>
                <w:rFonts w:hint="eastAsia" w:ascii="Times New Roman" w:hAnsi="Times New Roman"/>
                <w:b w:val="0"/>
                <w:bCs w:val="0"/>
                <w:color w:val="auto"/>
                <w:highlight w:val="none"/>
              </w:rPr>
              <w:t>申报情形</w:t>
            </w:r>
          </w:p>
        </w:tc>
        <w:tc>
          <w:tcPr>
            <w:tcW w:w="2639" w:type="dxa"/>
            <w:vAlign w:val="center"/>
          </w:tcPr>
          <w:p>
            <w:pPr>
              <w:jc w:val="left"/>
              <w:rPr>
                <w:rFonts w:ascii="Times New Roman" w:hAnsi="Times New Roman"/>
                <w:color w:val="auto"/>
                <w:highlight w:val="none"/>
              </w:rPr>
            </w:pPr>
            <w:r>
              <w:rPr>
                <w:rFonts w:ascii="Times New Roman" w:hAnsi="Times New Roman"/>
                <w:color w:val="auto"/>
                <w:highlight w:val="none"/>
              </w:rPr>
              <w:sym w:font="Wingdings 2" w:char="0052"/>
            </w:r>
            <w:r>
              <w:rPr>
                <w:rFonts w:ascii="Times New Roman" w:hAnsi="Times New Roman"/>
                <w:color w:val="auto"/>
                <w:highlight w:val="none"/>
              </w:rPr>
              <w:t>首次申报项目</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不予批准后再次申报项目</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超五年重新审核项目</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hint="eastAsia" w:ascii="Times New Roman" w:hAnsi="Times New Roman"/>
                <w:b w:val="0"/>
                <w:bCs w:val="0"/>
                <w:color w:val="auto"/>
                <w:highlight w:val="none"/>
              </w:rPr>
              <w:t>项目审批部门</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w:t>
            </w:r>
          </w:p>
        </w:tc>
        <w:tc>
          <w:tcPr>
            <w:tcW w:w="1779" w:type="dxa"/>
            <w:vAlign w:val="center"/>
          </w:tcPr>
          <w:p>
            <w:pPr>
              <w:adjustRightInd w:val="0"/>
              <w:snapToGrid w:val="0"/>
              <w:jc w:val="center"/>
              <w:rPr>
                <w:rFonts w:ascii="Times New Roman" w:hAnsi="Times New Roman"/>
                <w:color w:val="auto"/>
                <w:highlight w:val="none"/>
              </w:rPr>
            </w:pPr>
            <w:r>
              <w:rPr>
                <w:rFonts w:hint="eastAsia" w:ascii="Times New Roman" w:hAnsi="Times New Roman"/>
                <w:b w:val="0"/>
                <w:bCs w:val="0"/>
                <w:color w:val="auto"/>
                <w:highlight w:val="none"/>
              </w:rPr>
              <w:t>项目审批文号</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总投资（万元）</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2300</w:t>
            </w:r>
          </w:p>
        </w:tc>
        <w:tc>
          <w:tcPr>
            <w:tcW w:w="1779" w:type="dxa"/>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环保投资（万元）</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环保投资占比（%）</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0.1%</w:t>
            </w:r>
          </w:p>
        </w:tc>
        <w:tc>
          <w:tcPr>
            <w:tcW w:w="1779" w:type="dxa"/>
            <w:tcMar>
              <w:top w:w="16" w:type="dxa"/>
              <w:left w:w="16" w:type="dxa"/>
              <w:right w:w="16" w:type="dxa"/>
            </w:tcMar>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施工工期</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已于2021年1月建成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hint="eastAsia" w:ascii="Times New Roman" w:hAnsi="Times New Roman"/>
                <w:b w:val="0"/>
                <w:bCs w:val="0"/>
                <w:color w:val="auto"/>
                <w:highlight w:val="none"/>
              </w:rPr>
              <w:t>是否开工建设</w:t>
            </w:r>
          </w:p>
        </w:tc>
        <w:tc>
          <w:tcPr>
            <w:tcW w:w="2070" w:type="dxa"/>
            <w:vAlign w:val="center"/>
          </w:tcPr>
          <w:p>
            <w:pPr>
              <w:adjustRightInd w:val="0"/>
              <w:snapToGrid w:val="0"/>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否</w:t>
            </w:r>
          </w:p>
          <w:p>
            <w:pPr>
              <w:adjustRightInd w:val="0"/>
              <w:snapToGrid w:val="0"/>
              <w:rPr>
                <w:rFonts w:ascii="Times New Roman" w:hAnsi="Times New Roman"/>
                <w:color w:val="auto"/>
                <w:highlight w:val="none"/>
              </w:rPr>
            </w:pPr>
            <w:r>
              <w:rPr>
                <w:rFonts w:ascii="Times New Roman" w:hAnsi="Times New Roman"/>
                <w:color w:val="auto"/>
                <w:highlight w:val="none"/>
              </w:rPr>
              <w:sym w:font="Wingdings 2" w:char="0052"/>
            </w:r>
            <w:r>
              <w:rPr>
                <w:rFonts w:ascii="Times New Roman" w:hAnsi="Times New Roman"/>
                <w:color w:val="auto"/>
                <w:highlight w:val="none"/>
              </w:rPr>
              <w:t>是：</w:t>
            </w:r>
            <w:r>
              <w:rPr>
                <w:rFonts w:ascii="Times New Roman" w:hAnsi="Times New Roman"/>
                <w:color w:val="auto"/>
                <w:highlight w:val="none"/>
                <w:u w:val="single"/>
              </w:rPr>
              <w:t xml:space="preserve"> </w:t>
            </w:r>
            <w:r>
              <w:rPr>
                <w:rFonts w:hint="eastAsia" w:ascii="Times New Roman" w:hAnsi="Times New Roman"/>
                <w:color w:val="auto"/>
                <w:highlight w:val="none"/>
                <w:u w:val="single"/>
              </w:rPr>
              <w:t>已建成</w:t>
            </w:r>
            <w:r>
              <w:rPr>
                <w:rFonts w:hint="eastAsia" w:ascii="Times New Roman" w:hAnsi="Times New Roman"/>
                <w:color w:val="auto"/>
                <w:highlight w:val="none"/>
                <w:u w:val="single"/>
                <w:lang w:val="en-US" w:eastAsia="zh-CN"/>
              </w:rPr>
              <w:t>运行，</w:t>
            </w:r>
            <w:r>
              <w:rPr>
                <w:rFonts w:hint="eastAsia" w:ascii="Times New Roman" w:hAnsi="Times New Roman"/>
                <w:color w:val="auto"/>
                <w:highlight w:val="none"/>
              </w:rPr>
              <w:t>属于</w:t>
            </w:r>
            <w:r>
              <w:rPr>
                <w:rFonts w:hint="eastAsia" w:ascii="Times New Roman" w:hAnsi="Times New Roman"/>
                <w:color w:val="auto"/>
                <w:highlight w:val="none"/>
                <w:lang w:val="en-US" w:eastAsia="zh-CN"/>
              </w:rPr>
              <w:t>疫情防控需要的临时性的三类</w:t>
            </w:r>
            <w:r>
              <w:rPr>
                <w:rFonts w:hint="eastAsia" w:ascii="Times New Roman" w:hAnsi="Times New Roman"/>
                <w:color w:val="auto"/>
                <w:highlight w:val="none"/>
              </w:rPr>
              <w:t>项目</w:t>
            </w:r>
            <w:r>
              <w:rPr>
                <w:rFonts w:hint="eastAsia" w:ascii="Times New Roman" w:hAnsi="Times New Roman"/>
                <w:color w:val="auto"/>
                <w:highlight w:val="none"/>
                <w:lang w:eastAsia="zh-CN"/>
              </w:rPr>
              <w:t>，</w:t>
            </w:r>
            <w:r>
              <w:rPr>
                <w:rFonts w:hint="eastAsia" w:ascii="Times New Roman" w:hAnsi="Times New Roman"/>
                <w:color w:val="auto"/>
                <w:highlight w:val="none"/>
                <w:u w:val="single"/>
                <w:lang w:val="en-US" w:eastAsia="zh-CN"/>
              </w:rPr>
              <w:t>豁免处罚</w:t>
            </w:r>
            <w:r>
              <w:rPr>
                <w:rFonts w:hint="eastAsia" w:ascii="Times New Roman" w:hAnsi="Times New Roman"/>
                <w:color w:val="auto"/>
                <w:highlight w:val="none"/>
                <w:u w:val="single"/>
              </w:rPr>
              <w:t xml:space="preserve"> </w:t>
            </w:r>
            <w:r>
              <w:rPr>
                <w:rFonts w:ascii="Times New Roman" w:hAnsi="Times New Roman"/>
                <w:color w:val="auto"/>
                <w:highlight w:val="none"/>
                <w:u w:val="single"/>
              </w:rPr>
              <w:t xml:space="preserve"> </w:t>
            </w:r>
          </w:p>
        </w:tc>
        <w:tc>
          <w:tcPr>
            <w:tcW w:w="1779" w:type="dxa"/>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hint="eastAsia" w:ascii="Times New Roman" w:hAnsi="Times New Roman"/>
                <w:b w:val="0"/>
                <w:bCs w:val="0"/>
                <w:color w:val="auto"/>
                <w:spacing w:val="-6"/>
                <w:highlight w:val="none"/>
              </w:rPr>
              <w:t>用地面积（m</w:t>
            </w:r>
            <w:r>
              <w:rPr>
                <w:rFonts w:ascii="Times New Roman" w:hAnsi="Times New Roman"/>
                <w:b w:val="0"/>
                <w:bCs w:val="0"/>
                <w:color w:val="auto"/>
                <w:spacing w:val="-6"/>
                <w:highlight w:val="none"/>
                <w:vertAlign w:val="superscript"/>
              </w:rPr>
              <w:t>2</w:t>
            </w:r>
            <w:r>
              <w:rPr>
                <w:rFonts w:hint="eastAsia" w:ascii="Times New Roman" w:hAnsi="Times New Roman"/>
                <w:b w:val="0"/>
                <w:bCs w:val="0"/>
                <w:color w:val="auto"/>
                <w:spacing w:val="-6"/>
                <w:highlight w:val="none"/>
              </w:rPr>
              <w:t>）</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1568.6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2382" w:type="dxa"/>
            <w:gridSpan w:val="2"/>
            <w:vAlign w:val="center"/>
          </w:tcPr>
          <w:p>
            <w:pPr>
              <w:autoSpaceDE w:val="0"/>
              <w:autoSpaceDN w:val="0"/>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专项评价设置情况</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2382" w:type="dxa"/>
            <w:gridSpan w:val="2"/>
            <w:vAlign w:val="center"/>
          </w:tcPr>
          <w:p>
            <w:pPr>
              <w:autoSpaceDE w:val="0"/>
              <w:autoSpaceDN w:val="0"/>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规划情况</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2382" w:type="dxa"/>
            <w:gridSpan w:val="2"/>
            <w:vAlign w:val="center"/>
          </w:tcPr>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规划环境影响</w:t>
            </w:r>
          </w:p>
          <w:p>
            <w:pPr>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评价情况</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2382" w:type="dxa"/>
            <w:gridSpan w:val="2"/>
            <w:vAlign w:val="center"/>
          </w:tcPr>
          <w:p>
            <w:pPr>
              <w:autoSpaceDE w:val="0"/>
              <w:autoSpaceDN w:val="0"/>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规划及规划环境</w:t>
            </w:r>
          </w:p>
          <w:p>
            <w:pPr>
              <w:autoSpaceDE w:val="0"/>
              <w:autoSpaceDN w:val="0"/>
              <w:adjustRightInd w:val="0"/>
              <w:snapToGrid w:val="0"/>
              <w:jc w:val="center"/>
              <w:rPr>
                <w:rFonts w:ascii="Times New Roman" w:hAnsi="Times New Roman"/>
                <w:b w:val="0"/>
                <w:bCs w:val="0"/>
                <w:color w:val="auto"/>
                <w:highlight w:val="none"/>
              </w:rPr>
            </w:pPr>
            <w:r>
              <w:rPr>
                <w:rFonts w:hint="eastAsia" w:ascii="Times New Roman" w:hAnsi="Times New Roman"/>
                <w:b w:val="0"/>
                <w:bCs w:val="0"/>
                <w:color w:val="auto"/>
                <w:highlight w:val="none"/>
              </w:rPr>
              <w:t>影响评价符合性分析</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3" w:hRule="atLeast"/>
          <w:jc w:val="center"/>
        </w:trPr>
        <w:tc>
          <w:tcPr>
            <w:tcW w:w="670" w:type="dxa"/>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b/>
                <w:bCs/>
                <w:color w:val="auto"/>
                <w:highlight w:val="none"/>
              </w:rPr>
              <w:t>其他符合性分析</w:t>
            </w:r>
          </w:p>
        </w:tc>
        <w:tc>
          <w:tcPr>
            <w:tcW w:w="8200" w:type="dxa"/>
            <w:gridSpan w:val="4"/>
            <w:vAlign w:val="center"/>
          </w:tcPr>
          <w:p>
            <w:pPr>
              <w:pStyle w:val="2"/>
              <w:spacing w:line="360" w:lineRule="auto"/>
              <w:jc w:val="left"/>
              <w:rPr>
                <w:color w:val="auto"/>
                <w:highlight w:val="none"/>
              </w:rPr>
            </w:pPr>
            <w:r>
              <w:rPr>
                <w:rFonts w:hint="eastAsia"/>
                <w:color w:val="auto"/>
                <w:highlight w:val="none"/>
              </w:rPr>
              <w:t>1、产业政策符合性</w:t>
            </w:r>
          </w:p>
          <w:p>
            <w:pPr>
              <w:pStyle w:val="2"/>
              <w:spacing w:line="360" w:lineRule="auto"/>
              <w:jc w:val="left"/>
              <w:rPr>
                <w:color w:val="auto"/>
                <w:highlight w:val="none"/>
              </w:rPr>
            </w:pPr>
            <w:r>
              <w:rPr>
                <w:rFonts w:hint="eastAsia"/>
                <w:color w:val="auto"/>
                <w:highlight w:val="none"/>
              </w:rPr>
              <w:t>根据《产业结构调整指导目录（</w:t>
            </w:r>
            <w:r>
              <w:rPr>
                <w:color w:val="auto"/>
                <w:highlight w:val="none"/>
              </w:rPr>
              <w:t>2019</w:t>
            </w:r>
            <w:r>
              <w:rPr>
                <w:rFonts w:hint="eastAsia"/>
                <w:color w:val="auto"/>
                <w:highlight w:val="none"/>
              </w:rPr>
              <w:t>年本）》，本项目属于鼓励类项目（鼓励类中三十七、卫生健康5、医疗卫生服务设施建设），符合国家产业政策的要求。</w:t>
            </w:r>
          </w:p>
          <w:p>
            <w:pPr>
              <w:pStyle w:val="2"/>
              <w:spacing w:line="360" w:lineRule="auto"/>
              <w:jc w:val="left"/>
              <w:rPr>
                <w:color w:val="auto"/>
                <w:highlight w:val="none"/>
              </w:rPr>
            </w:pPr>
            <w:r>
              <w:rPr>
                <w:rFonts w:hint="eastAsia"/>
                <w:color w:val="auto"/>
                <w:highlight w:val="none"/>
              </w:rPr>
              <w:t>2、相关生态环境保护政策及规划</w:t>
            </w:r>
            <w:r>
              <w:rPr>
                <w:color w:val="auto"/>
                <w:highlight w:val="none"/>
              </w:rPr>
              <w:t>符合性</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（1）“三线一单”符合性分析</w:t>
            </w:r>
          </w:p>
          <w:p>
            <w:pPr>
              <w:spacing w:line="360" w:lineRule="auto"/>
              <w:jc w:val="center"/>
              <w:rPr>
                <w:rFonts w:ascii="Times New Roman" w:hAnsi="Times New Roman"/>
                <w:b/>
                <w:color w:val="auto"/>
                <w:highlight w:val="none"/>
              </w:rPr>
            </w:pPr>
            <w:r>
              <w:rPr>
                <w:rFonts w:ascii="Times New Roman" w:hAnsi="Times New Roman"/>
                <w:b/>
                <w:color w:val="auto"/>
                <w:highlight w:val="none"/>
              </w:rPr>
              <w:t>表1</w:t>
            </w:r>
            <w:r>
              <w:rPr>
                <w:rFonts w:hint="eastAsia" w:ascii="Times New Roman" w:hAnsi="Times New Roman"/>
                <w:b/>
                <w:color w:val="auto"/>
                <w:highlight w:val="none"/>
              </w:rPr>
              <w:t>-1</w:t>
            </w:r>
            <w:r>
              <w:rPr>
                <w:rFonts w:ascii="Times New Roman" w:hAnsi="Times New Roman"/>
                <w:b/>
                <w:color w:val="auto"/>
                <w:highlight w:val="none"/>
              </w:rPr>
              <w:t xml:space="preserve">  项目</w:t>
            </w:r>
            <w:r>
              <w:rPr>
                <w:rFonts w:hint="eastAsia" w:ascii="Times New Roman" w:hAnsi="Times New Roman"/>
                <w:b/>
                <w:color w:val="auto"/>
                <w:highlight w:val="none"/>
              </w:rPr>
              <w:t>“三线一单”</w:t>
            </w:r>
            <w:r>
              <w:rPr>
                <w:rFonts w:ascii="Times New Roman" w:hAnsi="Times New Roman"/>
                <w:b/>
                <w:color w:val="auto"/>
                <w:highlight w:val="none"/>
              </w:rPr>
              <w:t>符合性分析</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3022"/>
              <w:gridCol w:w="3201"/>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Align w:val="center"/>
                </w:tcPr>
                <w:p>
                  <w:pPr>
                    <w:pStyle w:val="17"/>
                    <w:widowControl w:val="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名称</w:t>
                  </w:r>
                </w:p>
              </w:tc>
              <w:tc>
                <w:tcPr>
                  <w:tcW w:w="1895" w:type="pct"/>
                  <w:vAlign w:val="center"/>
                </w:tcPr>
                <w:p>
                  <w:pPr>
                    <w:pStyle w:val="17"/>
                    <w:widowControl w:val="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要求</w:t>
                  </w:r>
                </w:p>
              </w:tc>
              <w:tc>
                <w:tcPr>
                  <w:tcW w:w="2007" w:type="pct"/>
                  <w:vAlign w:val="center"/>
                </w:tcPr>
                <w:p>
                  <w:pPr>
                    <w:pStyle w:val="17"/>
                    <w:widowControl w:val="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本项目情况</w:t>
                  </w:r>
                </w:p>
              </w:tc>
              <w:tc>
                <w:tcPr>
                  <w:tcW w:w="434" w:type="pct"/>
                  <w:vAlign w:val="center"/>
                </w:tcPr>
                <w:p>
                  <w:pPr>
                    <w:pStyle w:val="17"/>
                    <w:widowControl w:val="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restar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“三线一单”符合性</w:t>
                  </w:r>
                </w:p>
              </w:tc>
              <w:tc>
                <w:tcPr>
                  <w:tcW w:w="1895"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生态保护红线</w:t>
                  </w:r>
                </w:p>
              </w:tc>
              <w:tc>
                <w:tcPr>
                  <w:tcW w:w="3201" w:type="dxa"/>
                  <w:vAlign w:val="center"/>
                </w:tcPr>
                <w:p>
                  <w:pPr>
                    <w:pStyle w:val="2"/>
                    <w:ind w:firstLine="0" w:firstLineChars="0"/>
                    <w:jc w:val="left"/>
                    <w:rPr>
                      <w:rFonts w:ascii="Times New Roman" w:hAnsi="Times New Roman"/>
                      <w:color w:val="auto"/>
                      <w:sz w:val="21"/>
                      <w:szCs w:val="21"/>
                      <w:highlight w:val="none"/>
                    </w:rPr>
                  </w:pPr>
                  <w:r>
                    <w:rPr>
                      <w:rFonts w:hint="eastAsia"/>
                      <w:bCs/>
                      <w:color w:val="auto"/>
                      <w:highlight w:val="none"/>
                    </w:rPr>
                    <w:t>本项目位于</w:t>
                  </w:r>
                  <w:r>
                    <w:rPr>
                      <w:rFonts w:hint="eastAsia"/>
                      <w:color w:val="auto"/>
                      <w:highlight w:val="none"/>
                    </w:rPr>
                    <w:t>西安市莲湖区大庆路636号通用医疗西安医院内</w:t>
                  </w:r>
                  <w:r>
                    <w:rPr>
                      <w:rFonts w:hint="eastAsia"/>
                      <w:bCs/>
                      <w:color w:val="auto"/>
                      <w:highlight w:val="none"/>
                    </w:rPr>
                    <w:t>，不在陕西省生态保护红线范围内</w:t>
                  </w:r>
                </w:p>
              </w:tc>
              <w:tc>
                <w:tcPr>
                  <w:tcW w:w="434"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7"/>
                    <w:widowControl w:val="0"/>
                    <w:jc w:val="center"/>
                    <w:rPr>
                      <w:rFonts w:ascii="Times New Roman" w:hAnsi="Times New Roman"/>
                      <w:color w:val="auto"/>
                      <w:sz w:val="21"/>
                      <w:szCs w:val="21"/>
                      <w:highlight w:val="none"/>
                    </w:rPr>
                  </w:pPr>
                </w:p>
              </w:tc>
              <w:tc>
                <w:tcPr>
                  <w:tcW w:w="1895"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环境质量底线</w:t>
                  </w:r>
                </w:p>
              </w:tc>
              <w:tc>
                <w:tcPr>
                  <w:tcW w:w="3201" w:type="dxa"/>
                  <w:vAlign w:val="center"/>
                </w:tcPr>
                <w:p>
                  <w:pPr>
                    <w:pStyle w:val="2"/>
                    <w:ind w:firstLine="0" w:firstLineChars="0"/>
                    <w:jc w:val="left"/>
                    <w:rPr>
                      <w:rFonts w:ascii="Times New Roman" w:hAnsi="Times New Roman"/>
                      <w:color w:val="auto"/>
                      <w:sz w:val="21"/>
                      <w:szCs w:val="21"/>
                      <w:highlight w:val="none"/>
                    </w:rPr>
                  </w:pPr>
                  <w:r>
                    <w:rPr>
                      <w:rFonts w:hint="eastAsia"/>
                      <w:bCs/>
                      <w:color w:val="auto"/>
                      <w:highlight w:val="none"/>
                    </w:rPr>
                    <w:t>本项目为医院项目，项目所在区域环境质量良好，项目产生的各类污染物均可实现达标排放和总量控制的要求，不会改变当地环境质量现状</w:t>
                  </w:r>
                </w:p>
              </w:tc>
              <w:tc>
                <w:tcPr>
                  <w:tcW w:w="434"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7"/>
                    <w:widowControl w:val="0"/>
                    <w:jc w:val="center"/>
                    <w:rPr>
                      <w:rFonts w:ascii="Times New Roman" w:hAnsi="Times New Roman"/>
                      <w:color w:val="auto"/>
                      <w:sz w:val="21"/>
                      <w:szCs w:val="21"/>
                      <w:highlight w:val="none"/>
                    </w:rPr>
                  </w:pPr>
                </w:p>
              </w:tc>
              <w:tc>
                <w:tcPr>
                  <w:tcW w:w="1895"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资源利用上线</w:t>
                  </w:r>
                </w:p>
              </w:tc>
              <w:tc>
                <w:tcPr>
                  <w:tcW w:w="3201" w:type="dxa"/>
                  <w:vAlign w:val="center"/>
                </w:tcPr>
                <w:p>
                  <w:pPr>
                    <w:pStyle w:val="2"/>
                    <w:ind w:firstLine="0" w:firstLineChars="0"/>
                    <w:jc w:val="left"/>
                    <w:rPr>
                      <w:rFonts w:ascii="Times New Roman" w:hAnsi="Times New Roman"/>
                      <w:color w:val="auto"/>
                      <w:sz w:val="21"/>
                      <w:szCs w:val="21"/>
                      <w:highlight w:val="none"/>
                    </w:rPr>
                  </w:pPr>
                  <w:r>
                    <w:rPr>
                      <w:rFonts w:hint="eastAsia"/>
                      <w:bCs/>
                      <w:color w:val="auto"/>
                      <w:highlight w:val="none"/>
                    </w:rPr>
                    <w:t>本项目为医院类项目，运营过程中涉及能源主要为水、电能，本项目属于低能耗项目，</w:t>
                  </w:r>
                  <w:r>
                    <w:rPr>
                      <w:color w:val="auto"/>
                      <w:highlight w:val="none"/>
                    </w:rPr>
                    <w:t>项目资源利用不会突破区域的资源利用上线。</w:t>
                  </w:r>
                </w:p>
              </w:tc>
              <w:tc>
                <w:tcPr>
                  <w:tcW w:w="434"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7"/>
                    <w:widowControl w:val="0"/>
                    <w:jc w:val="center"/>
                    <w:rPr>
                      <w:rFonts w:ascii="Times New Roman" w:hAnsi="Times New Roman"/>
                      <w:color w:val="auto"/>
                      <w:sz w:val="21"/>
                      <w:szCs w:val="21"/>
                      <w:highlight w:val="none"/>
                    </w:rPr>
                  </w:pPr>
                </w:p>
              </w:tc>
              <w:tc>
                <w:tcPr>
                  <w:tcW w:w="1895" w:type="pct"/>
                  <w:vAlign w:val="center"/>
                </w:tcPr>
                <w:p>
                  <w:pPr>
                    <w:pStyle w:val="17"/>
                    <w:widowControl w:val="0"/>
                    <w:jc w:val="center"/>
                    <w:rPr>
                      <w:color w:val="auto"/>
                      <w:spacing w:val="4"/>
                      <w:sz w:val="21"/>
                      <w:szCs w:val="21"/>
                      <w:highlight w:val="none"/>
                    </w:rPr>
                  </w:pPr>
                  <w:r>
                    <w:rPr>
                      <w:rFonts w:hint="eastAsia"/>
                      <w:color w:val="auto"/>
                      <w:spacing w:val="4"/>
                      <w:sz w:val="21"/>
                      <w:szCs w:val="21"/>
                      <w:highlight w:val="none"/>
                    </w:rPr>
                    <w:t>环境准入负面清单</w:t>
                  </w:r>
                </w:p>
              </w:tc>
              <w:tc>
                <w:tcPr>
                  <w:tcW w:w="3201" w:type="dxa"/>
                  <w:vAlign w:val="center"/>
                </w:tcPr>
                <w:p>
                  <w:pPr>
                    <w:pStyle w:val="2"/>
                    <w:ind w:firstLine="0" w:firstLineChars="0"/>
                    <w:jc w:val="left"/>
                    <w:rPr>
                      <w:color w:val="auto"/>
                      <w:spacing w:val="4"/>
                      <w:sz w:val="21"/>
                      <w:szCs w:val="21"/>
                      <w:highlight w:val="none"/>
                    </w:rPr>
                  </w:pPr>
                  <w:r>
                    <w:rPr>
                      <w:color w:val="auto"/>
                      <w:kern w:val="2"/>
                      <w:highlight w:val="none"/>
                    </w:rPr>
                    <w:t>本项目不属于陕西省国家重点生态功能区产业准入负面清单（第一批、第二批）</w:t>
                  </w:r>
                </w:p>
              </w:tc>
              <w:tc>
                <w:tcPr>
                  <w:tcW w:w="434" w:type="pct"/>
                  <w:vAlign w:val="center"/>
                </w:tcPr>
                <w:p>
                  <w:pPr>
                    <w:pStyle w:val="17"/>
                    <w:widowControl w:val="0"/>
                    <w:rPr>
                      <w:color w:val="auto"/>
                      <w:spacing w:val="4"/>
                      <w:sz w:val="21"/>
                      <w:szCs w:val="21"/>
                      <w:highlight w:val="none"/>
                    </w:rPr>
                  </w:pPr>
                  <w:r>
                    <w:rPr>
                      <w:rFonts w:hint="eastAsia"/>
                      <w:color w:val="auto"/>
                      <w:spacing w:val="4"/>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7"/>
                    <w:widowControl w:val="0"/>
                    <w:jc w:val="center"/>
                    <w:rPr>
                      <w:rFonts w:ascii="Times New Roman" w:hAnsi="Times New Roman"/>
                      <w:color w:val="auto"/>
                      <w:sz w:val="21"/>
                      <w:szCs w:val="21"/>
                      <w:highlight w:val="none"/>
                    </w:rPr>
                  </w:pPr>
                </w:p>
              </w:tc>
              <w:tc>
                <w:tcPr>
                  <w:tcW w:w="1895"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《陕西省国家重点生态功能区产业准入负面清单(试行)》</w:t>
                  </w:r>
                </w:p>
              </w:tc>
              <w:tc>
                <w:tcPr>
                  <w:tcW w:w="3201" w:type="dxa"/>
                  <w:vAlign w:val="center"/>
                </w:tcPr>
                <w:p>
                  <w:pPr>
                    <w:pStyle w:val="2"/>
                    <w:ind w:firstLine="0" w:firstLineChars="0"/>
                    <w:jc w:val="left"/>
                    <w:rPr>
                      <w:rFonts w:ascii="Times New Roman" w:hAnsi="Times New Roman"/>
                      <w:color w:val="auto"/>
                      <w:sz w:val="21"/>
                      <w:szCs w:val="21"/>
                      <w:highlight w:val="none"/>
                    </w:rPr>
                  </w:pPr>
                  <w:r>
                    <w:rPr>
                      <w:rFonts w:hint="eastAsia"/>
                      <w:bCs/>
                      <w:color w:val="auto"/>
                      <w:highlight w:val="none"/>
                    </w:rPr>
                    <w:t>本项目位于</w:t>
                  </w:r>
                  <w:r>
                    <w:rPr>
                      <w:rFonts w:hint="eastAsia"/>
                      <w:color w:val="auto"/>
                      <w:highlight w:val="none"/>
                    </w:rPr>
                    <w:t>西安市莲湖区大庆路636号通用医疗西安医院内</w:t>
                  </w:r>
                  <w:r>
                    <w:rPr>
                      <w:rFonts w:hint="eastAsia"/>
                      <w:bCs/>
                      <w:color w:val="auto"/>
                      <w:highlight w:val="none"/>
                    </w:rPr>
                    <w:t>，不在陕西省生态保护红线范围内</w:t>
                  </w:r>
                </w:p>
              </w:tc>
              <w:tc>
                <w:tcPr>
                  <w:tcW w:w="434" w:type="pct"/>
                  <w:vAlign w:val="center"/>
                </w:tcPr>
                <w:p>
                  <w:pPr>
                    <w:pStyle w:val="17"/>
                    <w:widowControl w:val="0"/>
                    <w:jc w:val="center"/>
                    <w:rPr>
                      <w:rFonts w:ascii="Times New Roman" w:hAnsi="Times New Roman"/>
                      <w:color w:val="auto"/>
                      <w:sz w:val="21"/>
                      <w:szCs w:val="21"/>
                      <w:highlight w:val="none"/>
                    </w:rPr>
                  </w:pPr>
                  <w:r>
                    <w:rPr>
                      <w:rFonts w:ascii="Times New Roman" w:hAnsi="Times New Roman"/>
                      <w:color w:val="auto"/>
                      <w:sz w:val="21"/>
                      <w:szCs w:val="21"/>
                      <w:highlight w:val="none"/>
                    </w:rPr>
                    <w:t>符合</w:t>
                  </w:r>
                </w:p>
              </w:tc>
            </w:tr>
          </w:tbl>
          <w:p>
            <w:pPr>
              <w:adjustRightInd w:val="0"/>
              <w:snapToGrid w:val="0"/>
              <w:spacing w:line="336" w:lineRule="auto"/>
              <w:ind w:firstLine="420" w:firstLineChars="200"/>
              <w:rPr>
                <w:rFonts w:ascii="Times New Roman" w:hAnsi="Times New Roman"/>
                <w:bCs/>
                <w:color w:val="auto"/>
                <w:highlight w:val="none"/>
              </w:rPr>
            </w:pPr>
            <w:r>
              <w:rPr>
                <w:rFonts w:ascii="Times New Roman" w:hAnsi="Times New Roman"/>
                <w:color w:val="auto"/>
                <w:highlight w:val="none"/>
              </w:rPr>
              <w:t>根据</w:t>
            </w:r>
            <w:r>
              <w:rPr>
                <w:rFonts w:ascii="Times New Roman" w:hAnsi="Times New Roman"/>
                <w:bCs/>
                <w:color w:val="auto"/>
                <w:highlight w:val="none"/>
              </w:rPr>
              <w:t>《陕西省“三线一单”生态环境分区管控应用技术指南：环境影响评价（试行）》（陕环办发[2022]76号文）、《西安市“三线一单”生态环境分区管控方案》，项目生态环境管控分区对照分析内容为：本项目位于</w:t>
            </w:r>
            <w:r>
              <w:rPr>
                <w:rFonts w:hint="eastAsia"/>
                <w:color w:val="auto"/>
                <w:highlight w:val="none"/>
              </w:rPr>
              <w:t>西安市莲湖区</w:t>
            </w:r>
            <w:r>
              <w:rPr>
                <w:rFonts w:hint="default" w:ascii="Times New Roman" w:hAnsi="Times New Roman" w:cs="Times New Roman"/>
                <w:color w:val="auto"/>
                <w:highlight w:val="none"/>
              </w:rPr>
              <w:t>大庆路636号</w:t>
            </w:r>
            <w:r>
              <w:rPr>
                <w:rFonts w:hint="eastAsia"/>
                <w:color w:val="auto"/>
                <w:highlight w:val="none"/>
              </w:rPr>
              <w:t>通用医疗西安医院内</w:t>
            </w:r>
            <w:r>
              <w:rPr>
                <w:rFonts w:ascii="Times New Roman" w:hAnsi="Times New Roman"/>
                <w:bCs/>
                <w:color w:val="auto"/>
                <w:highlight w:val="none"/>
              </w:rPr>
              <w:t>，不涉及生态环境敏感区，根据西安市生态环境管控单元分布示意图确定本项目位于重点管控单元，</w:t>
            </w:r>
            <w:r>
              <w:rPr>
                <w:rFonts w:ascii="Times New Roman" w:hAnsi="Times New Roman"/>
                <w:color w:val="auto"/>
                <w:highlight w:val="none"/>
              </w:rPr>
              <w:t>本项目为</w:t>
            </w:r>
            <w:r>
              <w:rPr>
                <w:rFonts w:hint="eastAsia"/>
                <w:bCs/>
                <w:color w:val="auto"/>
                <w:highlight w:val="none"/>
              </w:rPr>
              <w:t>医院类项目</w:t>
            </w:r>
            <w:r>
              <w:rPr>
                <w:rFonts w:hint="eastAsia" w:ascii="Times New Roman" w:hAnsi="Times New Roman"/>
                <w:color w:val="auto"/>
                <w:highlight w:val="none"/>
              </w:rPr>
              <w:t>，项目产生的各类污染物均可实现达标排放和总量控制的要求，不涉及环境风险问题，不涉及突出生态环境问题</w:t>
            </w:r>
            <w:r>
              <w:rPr>
                <w:rFonts w:ascii="Times New Roman" w:hAnsi="Times New Roman"/>
                <w:color w:val="auto"/>
                <w:highlight w:val="none"/>
              </w:rPr>
              <w:t>，符合重点管控单元防控目标要求</w:t>
            </w:r>
            <w:r>
              <w:rPr>
                <w:rFonts w:ascii="Times New Roman" w:hAnsi="Times New Roman"/>
                <w:bCs/>
                <w:color w:val="auto"/>
                <w:highlight w:val="none"/>
              </w:rPr>
              <w:t>。项目生态环境准入清单分析</w:t>
            </w:r>
            <w:r>
              <w:rPr>
                <w:rFonts w:hint="eastAsia" w:ascii="Times New Roman" w:hAnsi="Times New Roman"/>
                <w:bCs/>
                <w:color w:val="auto"/>
                <w:highlight w:val="none"/>
                <w:lang w:val="en-US" w:eastAsia="zh-CN"/>
              </w:rPr>
              <w:t>说明</w:t>
            </w:r>
            <w:r>
              <w:rPr>
                <w:rFonts w:ascii="Times New Roman" w:hAnsi="Times New Roman"/>
                <w:bCs/>
                <w:color w:val="auto"/>
                <w:highlight w:val="none"/>
              </w:rPr>
              <w:t>见表1-</w:t>
            </w:r>
            <w:r>
              <w:rPr>
                <w:rFonts w:hint="eastAsia" w:ascii="Times New Roman" w:hAnsi="Times New Roman"/>
                <w:bCs/>
                <w:color w:val="auto"/>
                <w:highlight w:val="none"/>
              </w:rPr>
              <w:t>2</w:t>
            </w:r>
            <w:r>
              <w:rPr>
                <w:rFonts w:ascii="Times New Roman" w:hAnsi="Times New Roman"/>
                <w:bCs/>
                <w:color w:val="auto"/>
                <w:highlight w:val="none"/>
              </w:rPr>
              <w:t>。</w:t>
            </w:r>
          </w:p>
          <w:p>
            <w:pPr>
              <w:spacing w:line="360" w:lineRule="auto"/>
              <w:jc w:val="center"/>
              <w:rPr>
                <w:rFonts w:ascii="Times New Roman" w:hAnsi="Times New Roman"/>
                <w:b/>
                <w:color w:val="auto"/>
                <w:highlight w:val="none"/>
              </w:rPr>
            </w:pPr>
            <w:r>
              <w:rPr>
                <w:rFonts w:hint="eastAsia" w:ascii="Times New Roman" w:hAnsi="Times New Roman"/>
                <w:b/>
                <w:color w:val="auto"/>
                <w:highlight w:val="none"/>
              </w:rPr>
              <w:t xml:space="preserve">表1-2  </w:t>
            </w:r>
            <w:r>
              <w:rPr>
                <w:rFonts w:hint="eastAsia" w:ascii="Times New Roman" w:hAnsi="Times New Roman" w:eastAsia="宋体" w:cs="Times New Roman"/>
                <w:b/>
                <w:color w:val="auto"/>
                <w:highlight w:val="none"/>
              </w:rPr>
              <w:t>项目生态环境准入清单分析</w:t>
            </w:r>
            <w:r>
              <w:rPr>
                <w:rFonts w:hint="eastAsia" w:ascii="Times New Roman" w:hAnsi="Times New Roman" w:eastAsia="宋体" w:cs="Times New Roman"/>
                <w:b/>
                <w:color w:val="auto"/>
                <w:highlight w:val="none"/>
                <w:lang w:val="en-US" w:eastAsia="zh-CN"/>
              </w:rPr>
              <w:t>说明表</w:t>
            </w:r>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822"/>
              <w:gridCol w:w="680"/>
              <w:gridCol w:w="750"/>
              <w:gridCol w:w="649"/>
              <w:gridCol w:w="2173"/>
              <w:gridCol w:w="1687"/>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Align w:val="center"/>
                </w:tcPr>
                <w:p>
                  <w:pPr>
                    <w:adjustRightInd w:val="0"/>
                    <w:snapToGrid w:val="0"/>
                    <w:jc w:val="center"/>
                    <w:rPr>
                      <w:b/>
                      <w:bCs/>
                      <w:color w:val="auto"/>
                      <w:highlight w:val="none"/>
                    </w:rPr>
                  </w:pPr>
                  <w:r>
                    <w:rPr>
                      <w:rFonts w:hint="eastAsia"/>
                      <w:b/>
                      <w:bCs/>
                      <w:color w:val="auto"/>
                      <w:highlight w:val="none"/>
                    </w:rPr>
                    <w:t>市区县</w:t>
                  </w:r>
                </w:p>
              </w:tc>
              <w:tc>
                <w:tcPr>
                  <w:tcW w:w="515" w:type="pct"/>
                  <w:vAlign w:val="center"/>
                </w:tcPr>
                <w:p>
                  <w:pPr>
                    <w:adjustRightInd w:val="0"/>
                    <w:snapToGrid w:val="0"/>
                    <w:jc w:val="center"/>
                    <w:rPr>
                      <w:b/>
                      <w:bCs/>
                      <w:color w:val="auto"/>
                      <w:highlight w:val="none"/>
                    </w:rPr>
                  </w:pPr>
                  <w:r>
                    <w:rPr>
                      <w:rFonts w:hint="eastAsia"/>
                      <w:b/>
                      <w:bCs/>
                      <w:color w:val="auto"/>
                      <w:highlight w:val="none"/>
                    </w:rPr>
                    <w:t>环境管控单位名称</w:t>
                  </w:r>
                </w:p>
              </w:tc>
              <w:tc>
                <w:tcPr>
                  <w:tcW w:w="426" w:type="pct"/>
                  <w:vAlign w:val="center"/>
                </w:tcPr>
                <w:p>
                  <w:pPr>
                    <w:adjustRightInd w:val="0"/>
                    <w:snapToGrid w:val="0"/>
                    <w:jc w:val="center"/>
                    <w:rPr>
                      <w:b/>
                      <w:bCs/>
                      <w:color w:val="auto"/>
                      <w:highlight w:val="none"/>
                    </w:rPr>
                  </w:pPr>
                  <w:r>
                    <w:rPr>
                      <w:rFonts w:hint="eastAsia"/>
                      <w:b/>
                      <w:bCs/>
                      <w:color w:val="auto"/>
                      <w:highlight w:val="none"/>
                    </w:rPr>
                    <w:t>管控单元分类</w:t>
                  </w:r>
                </w:p>
              </w:tc>
              <w:tc>
                <w:tcPr>
                  <w:tcW w:w="470" w:type="pct"/>
                  <w:vAlign w:val="center"/>
                </w:tcPr>
                <w:p>
                  <w:pPr>
                    <w:adjustRightInd w:val="0"/>
                    <w:snapToGrid w:val="0"/>
                    <w:jc w:val="center"/>
                    <w:rPr>
                      <w:b/>
                      <w:bCs/>
                      <w:color w:val="auto"/>
                      <w:highlight w:val="none"/>
                    </w:rPr>
                  </w:pPr>
                  <w:r>
                    <w:rPr>
                      <w:rFonts w:hint="eastAsia"/>
                      <w:b/>
                      <w:bCs/>
                      <w:color w:val="auto"/>
                      <w:highlight w:val="none"/>
                    </w:rPr>
                    <w:t>单元要素属性</w:t>
                  </w:r>
                </w:p>
              </w:tc>
              <w:tc>
                <w:tcPr>
                  <w:tcW w:w="1769" w:type="pct"/>
                  <w:gridSpan w:val="2"/>
                  <w:vAlign w:val="center"/>
                </w:tcPr>
                <w:p>
                  <w:pPr>
                    <w:adjustRightInd w:val="0"/>
                    <w:snapToGrid w:val="0"/>
                    <w:jc w:val="center"/>
                    <w:rPr>
                      <w:b/>
                      <w:bCs/>
                      <w:color w:val="auto"/>
                      <w:highlight w:val="none"/>
                    </w:rPr>
                  </w:pPr>
                  <w:r>
                    <w:rPr>
                      <w:rFonts w:hint="eastAsia"/>
                      <w:b/>
                      <w:bCs/>
                      <w:color w:val="auto"/>
                      <w:highlight w:val="none"/>
                    </w:rPr>
                    <w:t>管控要求</w:t>
                  </w:r>
                </w:p>
              </w:tc>
              <w:tc>
                <w:tcPr>
                  <w:tcW w:w="1057" w:type="pct"/>
                  <w:vAlign w:val="center"/>
                </w:tcPr>
                <w:p>
                  <w:pPr>
                    <w:adjustRightInd w:val="0"/>
                    <w:snapToGrid w:val="0"/>
                    <w:jc w:val="center"/>
                    <w:rPr>
                      <w:b/>
                      <w:bCs/>
                      <w:color w:val="auto"/>
                      <w:highlight w:val="none"/>
                    </w:rPr>
                  </w:pPr>
                  <w:r>
                    <w:rPr>
                      <w:rFonts w:ascii="宋体" w:hAnsi="宋体" w:cs="宋体"/>
                      <w:b/>
                      <w:bCs/>
                      <w:color w:val="auto"/>
                      <w:spacing w:val="8"/>
                      <w:highlight w:val="none"/>
                    </w:rPr>
                    <w:t>项</w:t>
                  </w:r>
                  <w:r>
                    <w:rPr>
                      <w:rFonts w:ascii="宋体" w:hAnsi="宋体" w:cs="宋体"/>
                      <w:b/>
                      <w:bCs/>
                      <w:color w:val="auto"/>
                      <w:spacing w:val="6"/>
                      <w:highlight w:val="none"/>
                    </w:rPr>
                    <w:t>目情况</w:t>
                  </w:r>
                </w:p>
              </w:tc>
              <w:tc>
                <w:tcPr>
                  <w:tcW w:w="485" w:type="pct"/>
                  <w:vAlign w:val="center"/>
                </w:tcPr>
                <w:p>
                  <w:pPr>
                    <w:adjustRightInd w:val="0"/>
                    <w:snapToGrid w:val="0"/>
                    <w:jc w:val="center"/>
                    <w:rPr>
                      <w:b/>
                      <w:bCs/>
                      <w:color w:val="auto"/>
                      <w:highlight w:val="none"/>
                    </w:rPr>
                  </w:pPr>
                  <w:r>
                    <w:rPr>
                      <w:rFonts w:hint="eastAsia"/>
                      <w:b/>
                      <w:bCs/>
                      <w:color w:val="auto"/>
                      <w:highlight w:val="none"/>
                    </w:rPr>
                    <w:t>面积/长度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restart"/>
                  <w:vAlign w:val="center"/>
                </w:tcPr>
                <w:p>
                  <w:pPr>
                    <w:adjustRightInd w:val="0"/>
                    <w:snapToGrid w:val="0"/>
                    <w:jc w:val="center"/>
                    <w:rPr>
                      <w:color w:val="auto"/>
                      <w:highlight w:val="none"/>
                    </w:rPr>
                  </w:pPr>
                  <w:r>
                    <w:rPr>
                      <w:rFonts w:hint="eastAsia"/>
                      <w:color w:val="auto"/>
                      <w:highlight w:val="none"/>
                    </w:rPr>
                    <w:t>西安市</w:t>
                  </w:r>
                </w:p>
                <w:p>
                  <w:pPr>
                    <w:adjustRightInd w:val="0"/>
                    <w:snapToGrid w:val="0"/>
                    <w:jc w:val="center"/>
                    <w:rPr>
                      <w:color w:val="auto"/>
                      <w:highlight w:val="none"/>
                    </w:rPr>
                  </w:pPr>
                  <w:r>
                    <w:rPr>
                      <w:rFonts w:hint="eastAsia"/>
                      <w:color w:val="auto"/>
                      <w:highlight w:val="none"/>
                    </w:rPr>
                    <w:t>莲湖区</w:t>
                  </w:r>
                </w:p>
              </w:tc>
              <w:tc>
                <w:tcPr>
                  <w:tcW w:w="515" w:type="pct"/>
                  <w:vMerge w:val="restart"/>
                  <w:vAlign w:val="center"/>
                </w:tcPr>
                <w:p>
                  <w:pPr>
                    <w:adjustRightInd w:val="0"/>
                    <w:snapToGrid w:val="0"/>
                    <w:jc w:val="center"/>
                    <w:rPr>
                      <w:color w:val="auto"/>
                      <w:highlight w:val="none"/>
                    </w:rPr>
                  </w:pPr>
                  <w:r>
                    <w:rPr>
                      <w:rFonts w:hint="eastAsia"/>
                      <w:color w:val="auto"/>
                      <w:highlight w:val="none"/>
                    </w:rPr>
                    <w:t>西安市重点管控区</w:t>
                  </w:r>
                </w:p>
              </w:tc>
              <w:tc>
                <w:tcPr>
                  <w:tcW w:w="426" w:type="pct"/>
                  <w:vMerge w:val="restart"/>
                  <w:vAlign w:val="center"/>
                </w:tcPr>
                <w:p>
                  <w:pPr>
                    <w:adjustRightInd w:val="0"/>
                    <w:snapToGrid w:val="0"/>
                    <w:jc w:val="center"/>
                    <w:rPr>
                      <w:color w:val="auto"/>
                      <w:highlight w:val="none"/>
                    </w:rPr>
                  </w:pPr>
                  <w:r>
                    <w:rPr>
                      <w:rFonts w:hint="eastAsia"/>
                      <w:color w:val="auto"/>
                      <w:highlight w:val="none"/>
                    </w:rPr>
                    <w:t>重点管控单元</w:t>
                  </w:r>
                </w:p>
              </w:tc>
              <w:tc>
                <w:tcPr>
                  <w:tcW w:w="470" w:type="pct"/>
                  <w:vMerge w:val="restart"/>
                  <w:vAlign w:val="center"/>
                </w:tcPr>
                <w:p>
                  <w:pPr>
                    <w:adjustRightInd w:val="0"/>
                    <w:snapToGrid w:val="0"/>
                    <w:jc w:val="center"/>
                    <w:rPr>
                      <w:color w:val="auto"/>
                      <w:highlight w:val="none"/>
                    </w:rPr>
                  </w:pPr>
                  <w:r>
                    <w:rPr>
                      <w:rFonts w:hint="eastAsia"/>
                      <w:color w:val="auto"/>
                      <w:highlight w:val="none"/>
                    </w:rPr>
                    <w:t>大气环境</w:t>
                  </w:r>
                </w:p>
              </w:tc>
              <w:tc>
                <w:tcPr>
                  <w:tcW w:w="407" w:type="pct"/>
                  <w:vAlign w:val="center"/>
                </w:tcPr>
                <w:p>
                  <w:pPr>
                    <w:adjustRightInd w:val="0"/>
                    <w:snapToGrid w:val="0"/>
                    <w:jc w:val="center"/>
                    <w:rPr>
                      <w:color w:val="auto"/>
                      <w:highlight w:val="none"/>
                    </w:rPr>
                  </w:pPr>
                  <w:r>
                    <w:rPr>
                      <w:rFonts w:hint="eastAsia"/>
                      <w:color w:val="auto"/>
                      <w:highlight w:val="none"/>
                    </w:rPr>
                    <w:t>空间布局约束</w:t>
                  </w:r>
                </w:p>
              </w:tc>
              <w:tc>
                <w:tcPr>
                  <w:tcW w:w="1362" w:type="pct"/>
                  <w:vAlign w:val="center"/>
                </w:tcPr>
                <w:p>
                  <w:pPr>
                    <w:adjustRightInd w:val="0"/>
                    <w:snapToGrid w:val="0"/>
                    <w:jc w:val="left"/>
                    <w:rPr>
                      <w:color w:val="auto"/>
                      <w:highlight w:val="none"/>
                    </w:rPr>
                  </w:pPr>
                  <w:r>
                    <w:rPr>
                      <w:rFonts w:ascii="Times New Roman" w:hAnsi="Times New Roman"/>
                      <w:bCs/>
                      <w:color w:val="auto"/>
                      <w:highlight w:val="none"/>
                    </w:rPr>
                    <w:t>大气污染防治重点区域严禁新增钢铁、水泥熟料、平板玻璃、炼化产能。</w:t>
                  </w:r>
                </w:p>
              </w:tc>
              <w:tc>
                <w:tcPr>
                  <w:tcW w:w="1057" w:type="pct"/>
                  <w:vAlign w:val="center"/>
                </w:tcPr>
                <w:p>
                  <w:pPr>
                    <w:adjustRightInd w:val="0"/>
                    <w:snapToGrid w:val="0"/>
                    <w:jc w:val="left"/>
                    <w:rPr>
                      <w:color w:val="auto"/>
                      <w:highlight w:val="none"/>
                    </w:rPr>
                  </w:pPr>
                  <w:r>
                    <w:rPr>
                      <w:rFonts w:ascii="Times New Roman" w:hAnsi="Times New Roman"/>
                      <w:bCs/>
                      <w:color w:val="auto"/>
                      <w:highlight w:val="none"/>
                    </w:rPr>
                    <w:t>项目属于</w:t>
                  </w:r>
                  <w:r>
                    <w:rPr>
                      <w:rFonts w:hint="eastAsia" w:ascii="Times New Roman" w:hAnsi="Times New Roman"/>
                      <w:bCs/>
                      <w:color w:val="auto"/>
                      <w:highlight w:val="none"/>
                    </w:rPr>
                    <w:t>医院项目</w:t>
                  </w:r>
                  <w:r>
                    <w:rPr>
                      <w:rFonts w:ascii="Times New Roman" w:hAnsi="Times New Roman"/>
                      <w:bCs/>
                      <w:color w:val="auto"/>
                      <w:highlight w:val="none"/>
                    </w:rPr>
                    <w:t>，不属于重点管控区所列的严禁新增行业</w:t>
                  </w:r>
                  <w:r>
                    <w:rPr>
                      <w:rFonts w:hint="eastAsia" w:ascii="Times New Roman" w:hAnsi="Times New Roman"/>
                      <w:bCs/>
                      <w:color w:val="auto"/>
                      <w:highlight w:val="none"/>
                    </w:rPr>
                    <w:t>。</w:t>
                  </w:r>
                </w:p>
              </w:tc>
              <w:tc>
                <w:tcPr>
                  <w:tcW w:w="485" w:type="pct"/>
                  <w:vMerge w:val="restart"/>
                  <w:vAlign w:val="center"/>
                </w:tcPr>
                <w:p>
                  <w:pPr>
                    <w:adjustRightInd w:val="0"/>
                    <w:snapToGrid w:val="0"/>
                    <w:jc w:val="center"/>
                    <w:rPr>
                      <w:color w:val="auto"/>
                      <w:highlight w:val="none"/>
                    </w:rPr>
                  </w:pPr>
                  <w:r>
                    <w:rPr>
                      <w:rFonts w:hint="default" w:ascii="Times New Roman" w:hAnsi="Times New Roman" w:cs="Times New Roman"/>
                      <w:color w:val="auto"/>
                      <w:highlight w:val="none"/>
                    </w:rPr>
                    <w:t>1568.6m</w:t>
                  </w:r>
                  <w:r>
                    <w:rPr>
                      <w:rFonts w:hint="default" w:ascii="Times New Roman" w:hAnsi="Times New Roman" w:cs="Times New Roman"/>
                      <w:color w:val="auto"/>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continue"/>
                  <w:vAlign w:val="center"/>
                </w:tcPr>
                <w:p>
                  <w:pPr>
                    <w:adjustRightInd w:val="0"/>
                    <w:snapToGrid w:val="0"/>
                    <w:jc w:val="center"/>
                    <w:rPr>
                      <w:color w:val="auto"/>
                      <w:highlight w:val="none"/>
                    </w:rPr>
                  </w:pPr>
                </w:p>
              </w:tc>
              <w:tc>
                <w:tcPr>
                  <w:tcW w:w="515" w:type="pct"/>
                  <w:vMerge w:val="continue"/>
                  <w:vAlign w:val="center"/>
                </w:tcPr>
                <w:p>
                  <w:pPr>
                    <w:adjustRightInd w:val="0"/>
                    <w:snapToGrid w:val="0"/>
                    <w:jc w:val="center"/>
                    <w:rPr>
                      <w:color w:val="auto"/>
                      <w:highlight w:val="none"/>
                    </w:rPr>
                  </w:pPr>
                </w:p>
              </w:tc>
              <w:tc>
                <w:tcPr>
                  <w:tcW w:w="426" w:type="pct"/>
                  <w:vMerge w:val="continue"/>
                  <w:vAlign w:val="center"/>
                </w:tcPr>
                <w:p>
                  <w:pPr>
                    <w:adjustRightInd w:val="0"/>
                    <w:snapToGrid w:val="0"/>
                    <w:jc w:val="center"/>
                    <w:rPr>
                      <w:color w:val="auto"/>
                      <w:highlight w:val="none"/>
                    </w:rPr>
                  </w:pPr>
                </w:p>
              </w:tc>
              <w:tc>
                <w:tcPr>
                  <w:tcW w:w="470" w:type="pct"/>
                  <w:vMerge w:val="continue"/>
                  <w:vAlign w:val="center"/>
                </w:tcPr>
                <w:p>
                  <w:pPr>
                    <w:adjustRightInd w:val="0"/>
                    <w:snapToGrid w:val="0"/>
                    <w:jc w:val="center"/>
                    <w:rPr>
                      <w:color w:val="auto"/>
                      <w:highlight w:val="none"/>
                    </w:rPr>
                  </w:pPr>
                </w:p>
              </w:tc>
              <w:tc>
                <w:tcPr>
                  <w:tcW w:w="407" w:type="pct"/>
                  <w:vAlign w:val="center"/>
                </w:tcPr>
                <w:p>
                  <w:pPr>
                    <w:adjustRightInd w:val="0"/>
                    <w:snapToGrid w:val="0"/>
                    <w:jc w:val="center"/>
                    <w:rPr>
                      <w:color w:val="auto"/>
                      <w:highlight w:val="none"/>
                    </w:rPr>
                  </w:pPr>
                  <w:r>
                    <w:rPr>
                      <w:rFonts w:hint="eastAsia"/>
                      <w:color w:val="auto"/>
                      <w:highlight w:val="none"/>
                    </w:rPr>
                    <w:t>污染物排放管控</w:t>
                  </w:r>
                </w:p>
              </w:tc>
              <w:tc>
                <w:tcPr>
                  <w:tcW w:w="1362" w:type="pct"/>
                  <w:vAlign w:val="center"/>
                </w:tcPr>
                <w:p>
                  <w:pPr>
                    <w:adjustRightInd w:val="0"/>
                    <w:snapToGrid w:val="0"/>
                    <w:jc w:val="left"/>
                    <w:rPr>
                      <w:rFonts w:ascii="Times New Roman" w:hAnsi="Times New Roman"/>
                      <w:bCs/>
                      <w:color w:val="auto"/>
                      <w:highlight w:val="none"/>
                      <w:shd w:val="clear" w:color="auto" w:fill="FFFFFF"/>
                    </w:rPr>
                  </w:pPr>
                  <w:r>
                    <w:rPr>
                      <w:rFonts w:hint="eastAsia" w:ascii="Times New Roman" w:hAnsi="Times New Roman"/>
                      <w:bCs/>
                      <w:color w:val="auto"/>
                      <w:highlight w:val="none"/>
                      <w:shd w:val="clear" w:color="auto" w:fill="FFFFFF"/>
                    </w:rPr>
                    <w:t>1、</w:t>
                  </w:r>
                  <w:r>
                    <w:rPr>
                      <w:rFonts w:ascii="Times New Roman" w:hAnsi="Times New Roman"/>
                      <w:bCs/>
                      <w:color w:val="auto"/>
                      <w:highlight w:val="none"/>
                      <w:shd w:val="clear" w:color="auto" w:fill="FFFFFF"/>
                    </w:rPr>
                    <w:t>控制氮氧化物、颗粒物、挥发性有机物的排放，特别是挥发性有机物的排放。</w:t>
                  </w:r>
                </w:p>
                <w:p>
                  <w:pPr>
                    <w:adjustRightInd w:val="0"/>
                    <w:snapToGrid w:val="0"/>
                    <w:jc w:val="left"/>
                    <w:rPr>
                      <w:color w:val="auto"/>
                      <w:highlight w:val="none"/>
                    </w:rPr>
                  </w:pPr>
                  <w:r>
                    <w:rPr>
                      <w:rFonts w:hint="eastAsia" w:ascii="Times New Roman" w:hAnsi="Times New Roman"/>
                      <w:bCs/>
                      <w:color w:val="auto"/>
                      <w:highlight w:val="none"/>
                      <w:shd w:val="clear" w:color="auto" w:fill="FFFFFF"/>
                    </w:rPr>
                    <w:t>2、</w:t>
                  </w:r>
                  <w:r>
                    <w:rPr>
                      <w:rFonts w:ascii="Times New Roman" w:hAnsi="Times New Roman"/>
                      <w:bCs/>
                      <w:color w:val="auto"/>
                      <w:highlight w:val="none"/>
                      <w:shd w:val="clear" w:color="auto" w:fill="FFFFFF"/>
                    </w:rPr>
                    <w:t>污染物执行超低排放或特别排放限值。</w:t>
                  </w:r>
                </w:p>
              </w:tc>
              <w:tc>
                <w:tcPr>
                  <w:tcW w:w="1057" w:type="pct"/>
                  <w:vAlign w:val="center"/>
                </w:tcPr>
                <w:p>
                  <w:pPr>
                    <w:adjustRightInd w:val="0"/>
                    <w:snapToGrid w:val="0"/>
                    <w:jc w:val="left"/>
                    <w:rPr>
                      <w:rFonts w:hint="eastAsia" w:eastAsia="宋体"/>
                      <w:color w:val="auto"/>
                      <w:highlight w:val="none"/>
                      <w:lang w:eastAsia="zh-CN"/>
                    </w:rPr>
                  </w:pPr>
                  <w:r>
                    <w:rPr>
                      <w:rFonts w:hint="eastAsia" w:ascii="Times New Roman" w:hAnsi="Times New Roman"/>
                      <w:bCs/>
                      <w:color w:val="auto"/>
                      <w:highlight w:val="none"/>
                    </w:rPr>
                    <w:t>本</w:t>
                  </w:r>
                  <w:r>
                    <w:rPr>
                      <w:rFonts w:ascii="Times New Roman" w:hAnsi="Times New Roman"/>
                      <w:bCs/>
                      <w:color w:val="auto"/>
                      <w:highlight w:val="none"/>
                    </w:rPr>
                    <w:t>项目</w:t>
                  </w:r>
                  <w:r>
                    <w:rPr>
                      <w:rFonts w:hint="eastAsia" w:ascii="Times New Roman" w:hAnsi="Times New Roman"/>
                      <w:bCs/>
                      <w:color w:val="auto"/>
                      <w:highlight w:val="none"/>
                    </w:rPr>
                    <w:t>不涉及</w:t>
                  </w:r>
                  <w:r>
                    <w:rPr>
                      <w:rFonts w:ascii="Times New Roman" w:hAnsi="Times New Roman"/>
                      <w:bCs/>
                      <w:color w:val="auto"/>
                      <w:highlight w:val="none"/>
                      <w:shd w:val="clear" w:color="auto" w:fill="FFFFFF"/>
                    </w:rPr>
                    <w:t>氮氧化物、颗粒物、挥发性有机物</w:t>
                  </w:r>
                  <w:r>
                    <w:rPr>
                      <w:rFonts w:hint="eastAsia" w:ascii="Times New Roman" w:hAnsi="Times New Roman"/>
                      <w:bCs/>
                      <w:color w:val="auto"/>
                      <w:highlight w:val="none"/>
                      <w:shd w:val="clear" w:color="auto" w:fill="FFFFFF"/>
                    </w:rPr>
                    <w:t>排放</w:t>
                  </w:r>
                  <w:r>
                    <w:rPr>
                      <w:rFonts w:hint="eastAsia" w:ascii="Times New Roman" w:hAnsi="Times New Roman"/>
                      <w:bCs/>
                      <w:color w:val="auto"/>
                      <w:highlight w:val="none"/>
                      <w:shd w:val="clear" w:color="auto" w:fill="FFFFFF"/>
                      <w:lang w:eastAsia="zh-CN"/>
                    </w:rPr>
                    <w:t>。</w:t>
                  </w:r>
                </w:p>
              </w:tc>
              <w:tc>
                <w:tcPr>
                  <w:tcW w:w="485" w:type="pct"/>
                  <w:vMerge w:val="continue"/>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continue"/>
                  <w:vAlign w:val="center"/>
                </w:tcPr>
                <w:p>
                  <w:pPr>
                    <w:adjustRightInd w:val="0"/>
                    <w:snapToGrid w:val="0"/>
                    <w:jc w:val="center"/>
                    <w:rPr>
                      <w:color w:val="auto"/>
                      <w:highlight w:val="none"/>
                    </w:rPr>
                  </w:pPr>
                </w:p>
              </w:tc>
              <w:tc>
                <w:tcPr>
                  <w:tcW w:w="515" w:type="pct"/>
                  <w:vMerge w:val="continue"/>
                  <w:vAlign w:val="center"/>
                </w:tcPr>
                <w:p>
                  <w:pPr>
                    <w:adjustRightInd w:val="0"/>
                    <w:snapToGrid w:val="0"/>
                    <w:jc w:val="center"/>
                    <w:rPr>
                      <w:color w:val="auto"/>
                      <w:highlight w:val="none"/>
                    </w:rPr>
                  </w:pPr>
                </w:p>
              </w:tc>
              <w:tc>
                <w:tcPr>
                  <w:tcW w:w="426" w:type="pct"/>
                  <w:vMerge w:val="continue"/>
                  <w:vAlign w:val="center"/>
                </w:tcPr>
                <w:p>
                  <w:pPr>
                    <w:adjustRightInd w:val="0"/>
                    <w:snapToGrid w:val="0"/>
                    <w:jc w:val="center"/>
                    <w:rPr>
                      <w:color w:val="auto"/>
                      <w:highlight w:val="none"/>
                    </w:rPr>
                  </w:pPr>
                </w:p>
              </w:tc>
              <w:tc>
                <w:tcPr>
                  <w:tcW w:w="470" w:type="pct"/>
                  <w:vMerge w:val="restart"/>
                  <w:vAlign w:val="center"/>
                </w:tcPr>
                <w:p>
                  <w:pPr>
                    <w:adjustRightInd w:val="0"/>
                    <w:snapToGrid w:val="0"/>
                    <w:jc w:val="center"/>
                    <w:rPr>
                      <w:color w:val="auto"/>
                      <w:highlight w:val="none"/>
                    </w:rPr>
                  </w:pPr>
                  <w:r>
                    <w:rPr>
                      <w:rFonts w:hint="eastAsia"/>
                      <w:color w:val="auto"/>
                      <w:highlight w:val="none"/>
                    </w:rPr>
                    <w:t>水环境</w:t>
                  </w:r>
                </w:p>
              </w:tc>
              <w:tc>
                <w:tcPr>
                  <w:tcW w:w="407" w:type="pct"/>
                  <w:vAlign w:val="center"/>
                </w:tcPr>
                <w:p>
                  <w:pPr>
                    <w:adjustRightInd w:val="0"/>
                    <w:snapToGrid w:val="0"/>
                    <w:jc w:val="center"/>
                    <w:rPr>
                      <w:color w:val="auto"/>
                      <w:highlight w:val="none"/>
                    </w:rPr>
                  </w:pPr>
                  <w:r>
                    <w:rPr>
                      <w:rFonts w:hint="eastAsia"/>
                      <w:color w:val="auto"/>
                      <w:highlight w:val="none"/>
                    </w:rPr>
                    <w:t>空间布局约束</w:t>
                  </w:r>
                </w:p>
              </w:tc>
              <w:tc>
                <w:tcPr>
                  <w:tcW w:w="1362" w:type="pct"/>
                  <w:vAlign w:val="center"/>
                </w:tcPr>
                <w:p>
                  <w:pPr>
                    <w:pStyle w:val="5"/>
                    <w:adjustRightInd w:val="0"/>
                    <w:snapToGrid w:val="0"/>
                    <w:ind w:firstLine="0"/>
                    <w:jc w:val="left"/>
                    <w:rPr>
                      <w:bCs/>
                      <w:color w:val="auto"/>
                      <w:sz w:val="21"/>
                      <w:szCs w:val="21"/>
                      <w:highlight w:val="none"/>
                      <w:shd w:val="clear" w:color="auto" w:fill="FFFFFF"/>
                    </w:rPr>
                  </w:pPr>
                  <w:r>
                    <w:rPr>
                      <w:bCs/>
                      <w:color w:val="auto"/>
                      <w:sz w:val="21"/>
                      <w:szCs w:val="21"/>
                      <w:highlight w:val="none"/>
                      <w:shd w:val="clear" w:color="auto" w:fill="FFFFFF"/>
                    </w:rPr>
                    <w:t>严格控制新建、扩建化学制浆造纸、化工、印染、果汁和淀粉加工等高耗水、高污染项目。水污染排放企业严格执行排污许可制度，实施“持证排水”。</w:t>
                  </w:r>
                </w:p>
              </w:tc>
              <w:tc>
                <w:tcPr>
                  <w:tcW w:w="1057" w:type="pct"/>
                  <w:vAlign w:val="center"/>
                </w:tcPr>
                <w:p>
                  <w:pPr>
                    <w:pStyle w:val="5"/>
                    <w:adjustRightInd w:val="0"/>
                    <w:snapToGrid w:val="0"/>
                    <w:ind w:firstLine="0"/>
                    <w:jc w:val="left"/>
                    <w:rPr>
                      <w:bCs/>
                      <w:color w:val="auto"/>
                      <w:sz w:val="21"/>
                      <w:szCs w:val="21"/>
                      <w:highlight w:val="none"/>
                    </w:rPr>
                  </w:pPr>
                  <w:r>
                    <w:rPr>
                      <w:bCs/>
                      <w:color w:val="auto"/>
                      <w:sz w:val="21"/>
                      <w:szCs w:val="21"/>
                      <w:highlight w:val="none"/>
                    </w:rPr>
                    <w:t>项目不属于重点管控区所列的高耗水、高污染项目，评价按要求建设单位</w:t>
                  </w:r>
                  <w:r>
                    <w:rPr>
                      <w:bCs/>
                      <w:color w:val="auto"/>
                      <w:sz w:val="21"/>
                      <w:szCs w:val="21"/>
                      <w:highlight w:val="none"/>
                      <w:shd w:val="clear" w:color="auto" w:fill="FFFFFF"/>
                    </w:rPr>
                    <w:t>严格执行排污许可制度，实施“持证排水”。</w:t>
                  </w:r>
                </w:p>
              </w:tc>
              <w:tc>
                <w:tcPr>
                  <w:tcW w:w="485" w:type="pct"/>
                  <w:vMerge w:val="continue"/>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continue"/>
                  <w:vAlign w:val="center"/>
                </w:tcPr>
                <w:p>
                  <w:pPr>
                    <w:adjustRightInd w:val="0"/>
                    <w:snapToGrid w:val="0"/>
                    <w:jc w:val="center"/>
                    <w:rPr>
                      <w:color w:val="auto"/>
                      <w:highlight w:val="none"/>
                    </w:rPr>
                  </w:pPr>
                </w:p>
              </w:tc>
              <w:tc>
                <w:tcPr>
                  <w:tcW w:w="515" w:type="pct"/>
                  <w:vMerge w:val="continue"/>
                  <w:vAlign w:val="center"/>
                </w:tcPr>
                <w:p>
                  <w:pPr>
                    <w:adjustRightInd w:val="0"/>
                    <w:snapToGrid w:val="0"/>
                    <w:jc w:val="center"/>
                    <w:rPr>
                      <w:color w:val="auto"/>
                      <w:highlight w:val="none"/>
                    </w:rPr>
                  </w:pPr>
                </w:p>
              </w:tc>
              <w:tc>
                <w:tcPr>
                  <w:tcW w:w="426" w:type="pct"/>
                  <w:vMerge w:val="continue"/>
                  <w:vAlign w:val="center"/>
                </w:tcPr>
                <w:p>
                  <w:pPr>
                    <w:adjustRightInd w:val="0"/>
                    <w:snapToGrid w:val="0"/>
                    <w:jc w:val="center"/>
                    <w:rPr>
                      <w:color w:val="auto"/>
                      <w:highlight w:val="none"/>
                    </w:rPr>
                  </w:pPr>
                </w:p>
              </w:tc>
              <w:tc>
                <w:tcPr>
                  <w:tcW w:w="470" w:type="pct"/>
                  <w:vMerge w:val="continue"/>
                  <w:vAlign w:val="center"/>
                </w:tcPr>
                <w:p>
                  <w:pPr>
                    <w:adjustRightInd w:val="0"/>
                    <w:snapToGrid w:val="0"/>
                    <w:jc w:val="center"/>
                    <w:rPr>
                      <w:color w:val="auto"/>
                      <w:highlight w:val="none"/>
                    </w:rPr>
                  </w:pPr>
                </w:p>
              </w:tc>
              <w:tc>
                <w:tcPr>
                  <w:tcW w:w="407" w:type="pct"/>
                  <w:vAlign w:val="center"/>
                </w:tcPr>
                <w:p>
                  <w:pPr>
                    <w:adjustRightInd w:val="0"/>
                    <w:snapToGrid w:val="0"/>
                    <w:jc w:val="center"/>
                    <w:rPr>
                      <w:color w:val="auto"/>
                      <w:highlight w:val="none"/>
                    </w:rPr>
                  </w:pPr>
                  <w:r>
                    <w:rPr>
                      <w:rFonts w:hint="eastAsia"/>
                      <w:color w:val="auto"/>
                      <w:highlight w:val="none"/>
                    </w:rPr>
                    <w:t>污染物排放管控</w:t>
                  </w:r>
                </w:p>
              </w:tc>
              <w:tc>
                <w:tcPr>
                  <w:tcW w:w="1362" w:type="pct"/>
                  <w:vAlign w:val="center"/>
                </w:tcPr>
                <w:p>
                  <w:pPr>
                    <w:adjustRightInd w:val="0"/>
                    <w:snapToGrid w:val="0"/>
                    <w:jc w:val="left"/>
                    <w:rPr>
                      <w:rFonts w:ascii="Times New Roman" w:hAnsi="Times New Roman"/>
                      <w:bCs/>
                      <w:color w:val="auto"/>
                      <w:highlight w:val="none"/>
                      <w:shd w:val="clear" w:color="auto" w:fill="FFFFFF"/>
                    </w:rPr>
                  </w:pPr>
                  <w:r>
                    <w:rPr>
                      <w:rFonts w:ascii="Times New Roman" w:hAnsi="Times New Roman"/>
                      <w:bCs/>
                      <w:color w:val="auto"/>
                      <w:highlight w:val="none"/>
                      <w:shd w:val="clear" w:color="auto" w:fill="FFFFFF"/>
                    </w:rPr>
                    <w:t>到2025年，基本消除城市建成区生活污水直排口和收集处理设施空白区，城市和县城污水处理能力基本满足经济社会发展需要，县城污水处理率达到95%以上。</w:t>
                  </w:r>
                </w:p>
              </w:tc>
              <w:tc>
                <w:tcPr>
                  <w:tcW w:w="1057" w:type="pct"/>
                  <w:vAlign w:val="center"/>
                </w:tcPr>
                <w:p>
                  <w:pPr>
                    <w:adjustRightInd w:val="0"/>
                    <w:snapToGrid w:val="0"/>
                    <w:jc w:val="left"/>
                    <w:rPr>
                      <w:rFonts w:ascii="Times New Roman" w:hAnsi="Times New Roman"/>
                      <w:bCs/>
                      <w:color w:val="auto"/>
                      <w:highlight w:val="none"/>
                    </w:rPr>
                  </w:pPr>
                  <w:r>
                    <w:rPr>
                      <w:rFonts w:hint="eastAsia"/>
                      <w:color w:val="auto"/>
                      <w:highlight w:val="none"/>
                    </w:rPr>
                    <w:t>发热门诊废水集中收集，经预处理后排入医院污水站，达标处理后排入市政污水管网，最终进入西安市第一污水处理厂集中处理</w:t>
                  </w:r>
                </w:p>
              </w:tc>
              <w:tc>
                <w:tcPr>
                  <w:tcW w:w="485" w:type="pct"/>
                  <w:vMerge w:val="continue"/>
                  <w:vAlign w:val="center"/>
                </w:tcPr>
                <w:p>
                  <w:pPr>
                    <w:adjustRightInd w:val="0"/>
                    <w:snapToGrid w:val="0"/>
                    <w:jc w:val="center"/>
                    <w:rPr>
                      <w:color w:val="auto"/>
                      <w:highlight w:val="none"/>
                    </w:rPr>
                  </w:pPr>
                </w:p>
              </w:tc>
            </w:tr>
          </w:tbl>
          <w:p>
            <w:pPr>
              <w:pStyle w:val="2"/>
              <w:spacing w:line="360" w:lineRule="auto"/>
              <w:jc w:val="left"/>
              <w:rPr>
                <w:color w:val="auto"/>
                <w:highlight w:val="none"/>
              </w:rPr>
            </w:pPr>
            <w:r>
              <w:rPr>
                <w:rFonts w:ascii="Times New Roman" w:hAnsi="Times New Roman"/>
                <w:color w:val="auto"/>
                <w:highlight w:val="none"/>
              </w:rPr>
              <w:t>综上，项目符合“三线一单”及《西安市“三线一单”生态环境分区管控方案》要求</w:t>
            </w:r>
            <w:r>
              <w:rPr>
                <w:rFonts w:hint="eastAsia" w:ascii="Times New Roman" w:hAnsi="Times New Roman"/>
                <w:color w:val="auto"/>
                <w:highlight w:val="none"/>
                <w:lang w:eastAsia="zh-CN"/>
              </w:rPr>
              <w:t>，</w:t>
            </w:r>
            <w:r>
              <w:rPr>
                <w:rFonts w:ascii="Times New Roman" w:hAnsi="Times New Roman"/>
                <w:color w:val="auto"/>
                <w:highlight w:val="none"/>
              </w:rPr>
              <w:t>“三线一单”</w:t>
            </w:r>
            <w:r>
              <w:rPr>
                <w:rFonts w:hint="eastAsia" w:ascii="Times New Roman" w:hAnsi="Times New Roman"/>
                <w:color w:val="auto"/>
                <w:highlight w:val="none"/>
                <w:lang w:val="en-US" w:eastAsia="zh-CN"/>
              </w:rPr>
              <w:t>空间分布图见图1-1</w:t>
            </w:r>
            <w:r>
              <w:rPr>
                <w:rFonts w:ascii="Times New Roman" w:hAnsi="Times New Roman"/>
                <w:color w:val="auto"/>
                <w:highlight w:val="none"/>
              </w:rPr>
              <w:t>。</w:t>
            </w:r>
          </w:p>
          <w:p>
            <w:pPr>
              <w:pStyle w:val="2"/>
              <w:spacing w:line="360" w:lineRule="auto"/>
              <w:ind w:left="0" w:leftChars="0" w:firstLine="0" w:firstLineChars="0"/>
              <w:jc w:val="left"/>
              <w:rPr>
                <w:rFonts w:hint="eastAsia"/>
                <w:color w:val="auto"/>
                <w:highlight w:val="none"/>
                <w:lang w:eastAsia="zh-CN"/>
              </w:rPr>
            </w:pPr>
            <w:r>
              <w:rPr>
                <w:color w:val="auto"/>
                <w:highlight w:val="none"/>
              </w:rPr>
              <w:drawing>
                <wp:inline distT="0" distB="0" distL="114300" distR="114300">
                  <wp:extent cx="5065395" cy="2971800"/>
                  <wp:effectExtent l="9525" t="9525" r="15240" b="20955"/>
                  <wp:docPr id="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pic:cNvPicPr>
                            <a:picLocks noChangeAspect="1"/>
                          </pic:cNvPicPr>
                        </pic:nvPicPr>
                        <pic:blipFill>
                          <a:blip r:embed="rId9"/>
                          <a:stretch>
                            <a:fillRect/>
                          </a:stretch>
                        </pic:blipFill>
                        <pic:spPr>
                          <a:xfrm>
                            <a:off x="0" y="0"/>
                            <a:ext cx="5065395" cy="2971800"/>
                          </a:xfrm>
                          <a:prstGeom prst="rect">
                            <a:avLst/>
                          </a:prstGeom>
                          <a:noFill/>
                          <a:ln>
                            <a:solidFill>
                              <a:schemeClr val="tx1"/>
                            </a:solidFill>
                          </a:ln>
                        </pic:spPr>
                      </pic:pic>
                    </a:graphicData>
                  </a:graphic>
                </wp:inline>
              </w:drawing>
            </w:r>
          </w:p>
          <w:p>
            <w:pPr>
              <w:pStyle w:val="2"/>
              <w:spacing w:line="360" w:lineRule="auto"/>
              <w:ind w:left="0" w:leftChars="0" w:firstLine="0" w:firstLineChars="0"/>
              <w:jc w:val="center"/>
              <w:rPr>
                <w:rFonts w:hint="eastAsia"/>
                <w:color w:val="auto"/>
                <w:highlight w:val="none"/>
                <w:lang w:eastAsia="zh-CN"/>
              </w:rPr>
            </w:pPr>
            <w:r>
              <w:rPr>
                <w:rFonts w:hint="eastAsia" w:ascii="Times New Roman" w:hAnsi="Times New Roman"/>
                <w:b/>
                <w:color w:val="auto"/>
                <w:highlight w:val="none"/>
                <w:lang w:val="en-US" w:eastAsia="zh-CN"/>
              </w:rPr>
              <w:t>图1</w:t>
            </w:r>
            <w:r>
              <w:rPr>
                <w:rFonts w:hint="eastAsia" w:ascii="Times New Roman" w:hAnsi="Times New Roman"/>
                <w:b/>
                <w:color w:val="auto"/>
                <w:highlight w:val="none"/>
              </w:rPr>
              <w:t>-</w:t>
            </w:r>
            <w:r>
              <w:rPr>
                <w:rFonts w:hint="eastAsia" w:ascii="Times New Roman" w:hAnsi="Times New Roman"/>
                <w:b/>
                <w:color w:val="auto"/>
                <w:highlight w:val="none"/>
                <w:lang w:val="en-US" w:eastAsia="zh-CN"/>
              </w:rPr>
              <w:t>1</w:t>
            </w:r>
            <w:r>
              <w:rPr>
                <w:rFonts w:ascii="Times New Roman" w:hAnsi="Times New Roman"/>
                <w:b/>
                <w:color w:val="auto"/>
                <w:highlight w:val="none"/>
              </w:rPr>
              <w:t xml:space="preserve">  项目</w:t>
            </w:r>
            <w:r>
              <w:rPr>
                <w:rFonts w:hint="eastAsia" w:ascii="Times New Roman" w:hAnsi="Times New Roman"/>
                <w:b/>
                <w:color w:val="auto"/>
                <w:highlight w:val="none"/>
                <w:lang w:val="en-US" w:eastAsia="zh-CN"/>
              </w:rPr>
              <w:t>所在地理</w:t>
            </w:r>
            <w:r>
              <w:rPr>
                <w:rFonts w:hint="eastAsia" w:ascii="Times New Roman" w:hAnsi="Times New Roman" w:eastAsia="宋体" w:cs="Times New Roman"/>
                <w:b/>
                <w:color w:val="auto"/>
                <w:highlight w:val="none"/>
                <w:lang w:val="en-US" w:eastAsia="zh-CN"/>
              </w:rPr>
              <w:t>位置“三线一单”空间分布图</w:t>
            </w:r>
          </w:p>
          <w:p>
            <w:pPr>
              <w:pStyle w:val="2"/>
              <w:spacing w:line="360" w:lineRule="auto"/>
              <w:jc w:val="left"/>
              <w:rPr>
                <w:rFonts w:hint="eastAsia" w:eastAsia="宋体"/>
                <w:color w:val="auto"/>
                <w:highlight w:val="none"/>
                <w:lang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ascii="Times New Roman" w:hAnsi="Times New Roman"/>
                <w:color w:val="auto"/>
                <w:highlight w:val="none"/>
              </w:rPr>
              <w:t>相关生态环境保护政策符合性</w:t>
            </w:r>
          </w:p>
          <w:p>
            <w:pPr>
              <w:pStyle w:val="2"/>
              <w:spacing w:line="360" w:lineRule="auto"/>
              <w:jc w:val="left"/>
              <w:rPr>
                <w:color w:val="auto"/>
                <w:highlight w:val="none"/>
              </w:rPr>
            </w:pPr>
            <w:r>
              <w:rPr>
                <w:color w:val="auto"/>
                <w:highlight w:val="none"/>
              </w:rPr>
              <w:t>本项目</w:t>
            </w:r>
            <w:r>
              <w:rPr>
                <w:rFonts w:hint="eastAsia"/>
                <w:color w:val="auto"/>
                <w:highlight w:val="none"/>
              </w:rPr>
              <w:t>与其他相关生态环境保护政策及规划</w:t>
            </w:r>
            <w:r>
              <w:rPr>
                <w:color w:val="auto"/>
                <w:highlight w:val="none"/>
              </w:rPr>
              <w:t>符合性分析见下表。</w:t>
            </w:r>
          </w:p>
          <w:p>
            <w:pPr>
              <w:spacing w:line="360" w:lineRule="auto"/>
              <w:jc w:val="center"/>
              <w:rPr>
                <w:rFonts w:ascii="Times New Roman" w:hAnsi="Times New Roman"/>
                <w:b/>
                <w:color w:val="auto"/>
                <w:highlight w:val="none"/>
              </w:rPr>
            </w:pPr>
            <w:r>
              <w:rPr>
                <w:rFonts w:ascii="Times New Roman" w:hAnsi="Times New Roman"/>
                <w:b/>
                <w:color w:val="auto"/>
                <w:highlight w:val="none"/>
              </w:rPr>
              <w:t>表1</w:t>
            </w:r>
            <w:r>
              <w:rPr>
                <w:rFonts w:hint="eastAsia" w:ascii="Times New Roman" w:hAnsi="Times New Roman"/>
                <w:b/>
                <w:color w:val="auto"/>
                <w:highlight w:val="none"/>
              </w:rPr>
              <w:t>-</w:t>
            </w:r>
            <w:r>
              <w:rPr>
                <w:rFonts w:hint="eastAsia" w:ascii="Times New Roman" w:hAnsi="Times New Roman"/>
                <w:b/>
                <w:color w:val="auto"/>
                <w:highlight w:val="none"/>
                <w:lang w:val="en-US" w:eastAsia="zh-CN"/>
              </w:rPr>
              <w:t>3</w:t>
            </w:r>
            <w:r>
              <w:rPr>
                <w:rFonts w:ascii="Times New Roman" w:hAnsi="Times New Roman"/>
                <w:b/>
                <w:color w:val="auto"/>
                <w:highlight w:val="none"/>
              </w:rPr>
              <w:t xml:space="preserve">  项目</w:t>
            </w:r>
            <w:r>
              <w:rPr>
                <w:rFonts w:hint="eastAsia" w:ascii="Times New Roman" w:hAnsi="Times New Roman"/>
                <w:b/>
                <w:color w:val="auto"/>
                <w:highlight w:val="none"/>
              </w:rPr>
              <w:t>其他相关生态环境保护政策及规划</w:t>
            </w:r>
            <w:r>
              <w:rPr>
                <w:rFonts w:ascii="Times New Roman" w:hAnsi="Times New Roman"/>
                <w:b/>
                <w:color w:val="auto"/>
                <w:highlight w:val="none"/>
              </w:rPr>
              <w:t>符合性分析</w:t>
            </w:r>
          </w:p>
          <w:tbl>
            <w:tblPr>
              <w:tblStyle w:val="20"/>
              <w:tblW w:w="7968"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3045"/>
              <w:gridCol w:w="3225"/>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vAlign w:val="center"/>
                </w:tcPr>
                <w:p>
                  <w:pPr>
                    <w:pStyle w:val="2"/>
                    <w:ind w:firstLine="0" w:firstLineChars="0"/>
                    <w:jc w:val="center"/>
                    <w:rPr>
                      <w:b/>
                      <w:color w:val="auto"/>
                      <w:highlight w:val="none"/>
                    </w:rPr>
                  </w:pPr>
                  <w:r>
                    <w:rPr>
                      <w:b/>
                      <w:color w:val="auto"/>
                      <w:highlight w:val="none"/>
                    </w:rPr>
                    <w:t>名称</w:t>
                  </w:r>
                </w:p>
              </w:tc>
              <w:tc>
                <w:tcPr>
                  <w:tcW w:w="3045" w:type="dxa"/>
                  <w:vAlign w:val="center"/>
                </w:tcPr>
                <w:p>
                  <w:pPr>
                    <w:pStyle w:val="2"/>
                    <w:ind w:firstLine="0" w:firstLineChars="0"/>
                    <w:jc w:val="center"/>
                    <w:rPr>
                      <w:b/>
                      <w:color w:val="auto"/>
                      <w:highlight w:val="none"/>
                    </w:rPr>
                  </w:pPr>
                  <w:r>
                    <w:rPr>
                      <w:b/>
                      <w:color w:val="auto"/>
                      <w:highlight w:val="none"/>
                    </w:rPr>
                    <w:t>要求</w:t>
                  </w:r>
                </w:p>
              </w:tc>
              <w:tc>
                <w:tcPr>
                  <w:tcW w:w="3225" w:type="dxa"/>
                  <w:vAlign w:val="center"/>
                </w:tcPr>
                <w:p>
                  <w:pPr>
                    <w:pStyle w:val="2"/>
                    <w:ind w:firstLine="0" w:firstLineChars="0"/>
                    <w:jc w:val="center"/>
                    <w:rPr>
                      <w:b/>
                      <w:color w:val="auto"/>
                      <w:highlight w:val="none"/>
                    </w:rPr>
                  </w:pPr>
                  <w:r>
                    <w:rPr>
                      <w:b/>
                      <w:color w:val="auto"/>
                      <w:highlight w:val="none"/>
                    </w:rPr>
                    <w:t>本项目情况</w:t>
                  </w:r>
                </w:p>
              </w:tc>
              <w:tc>
                <w:tcPr>
                  <w:tcW w:w="719" w:type="dxa"/>
                  <w:vAlign w:val="center"/>
                </w:tcPr>
                <w:p>
                  <w:pPr>
                    <w:pStyle w:val="2"/>
                    <w:ind w:firstLine="0" w:firstLineChars="0"/>
                    <w:jc w:val="center"/>
                    <w:rPr>
                      <w:b/>
                      <w:color w:val="auto"/>
                      <w:highlight w:val="none"/>
                    </w:rPr>
                  </w:pPr>
                  <w:r>
                    <w:rPr>
                      <w:b/>
                      <w:color w:val="auto"/>
                      <w:highlight w:val="none"/>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vAlign w:val="center"/>
                </w:tcPr>
                <w:p>
                  <w:pPr>
                    <w:jc w:val="center"/>
                    <w:rPr>
                      <w:color w:val="auto"/>
                      <w:highlight w:val="none"/>
                    </w:rPr>
                  </w:pPr>
                  <w:r>
                    <w:rPr>
                      <w:rFonts w:hint="eastAsia" w:ascii="Times New Roman" w:hAnsi="Times New Roman"/>
                      <w:color w:val="auto"/>
                      <w:kern w:val="2"/>
                      <w:highlight w:val="none"/>
                    </w:rPr>
                    <w:t>《</w:t>
                  </w:r>
                  <w:r>
                    <w:rPr>
                      <w:rFonts w:ascii="Times New Roman" w:hAnsi="Times New Roman"/>
                      <w:color w:val="auto"/>
                      <w:kern w:val="2"/>
                      <w:highlight w:val="none"/>
                    </w:rPr>
                    <w:t>西安市人民政府办公厅关于印发西安市蓝天碧水净土保卫战2022年工作方案的通知</w:t>
                  </w:r>
                  <w:r>
                    <w:rPr>
                      <w:rFonts w:hint="eastAsia" w:ascii="Times New Roman" w:hAnsi="Times New Roman"/>
                      <w:color w:val="auto"/>
                      <w:kern w:val="2"/>
                      <w:highlight w:val="none"/>
                    </w:rPr>
                    <w:t>》（</w:t>
                  </w:r>
                  <w:r>
                    <w:rPr>
                      <w:rFonts w:ascii="Times New Roman" w:hAnsi="Times New Roman"/>
                      <w:color w:val="auto"/>
                      <w:kern w:val="2"/>
                      <w:highlight w:val="none"/>
                    </w:rPr>
                    <w:t>市政办发〔2022〕18号</w:t>
                  </w:r>
                </w:p>
              </w:tc>
              <w:tc>
                <w:tcPr>
                  <w:tcW w:w="3045" w:type="dxa"/>
                  <w:vAlign w:val="center"/>
                </w:tcPr>
                <w:p>
                  <w:pPr>
                    <w:jc w:val="left"/>
                    <w:rPr>
                      <w:color w:val="auto"/>
                      <w:highlight w:val="none"/>
                    </w:rPr>
                  </w:pPr>
                  <w:r>
                    <w:rPr>
                      <w:color w:val="auto"/>
                      <w:highlight w:val="none"/>
                    </w:rPr>
                    <w:t>加强医疗废水管控。加快补齐医疗机构污水处理设施短板，提高污染治理能力。</w:t>
                  </w:r>
                  <w:r>
                    <w:rPr>
                      <w:rFonts w:hint="default" w:ascii="Times New Roman" w:hAnsi="Times New Roman" w:cs="Times New Roman"/>
                      <w:color w:val="auto"/>
                      <w:highlight w:val="none"/>
                    </w:rPr>
                    <w:t>2022年</w:t>
                  </w:r>
                  <w:r>
                    <w:rPr>
                      <w:color w:val="auto"/>
                      <w:highlight w:val="none"/>
                    </w:rPr>
                    <w:t>底前，传染病医疗机构、二级及以上的医疗机构应完成满足污水处理需求的设施建设。医疗机构建成投运前要因地制宜建设污水应急收集设施（或化粪池）、临时性污水处理设施等，杜绝医疗污水未经处理直接排放。加强对医疗机构污水排放的环境执法监督工作，医疗机构应依法取得排污许可证，按证排污，并依法开展自行监测。</w:t>
                  </w:r>
                </w:p>
              </w:tc>
              <w:tc>
                <w:tcPr>
                  <w:tcW w:w="3225" w:type="dxa"/>
                  <w:vAlign w:val="center"/>
                </w:tcPr>
                <w:p>
                  <w:pPr>
                    <w:jc w:val="left"/>
                    <w:rPr>
                      <w:color w:val="auto"/>
                      <w:highlight w:val="none"/>
                    </w:rPr>
                  </w:pPr>
                  <w:r>
                    <w:rPr>
                      <w:rFonts w:hint="eastAsia"/>
                      <w:color w:val="auto"/>
                      <w:highlight w:val="none"/>
                    </w:rPr>
                    <w:t>本项目医疗废水，依托医院现有污水处理站达标处理后，经市政管网排入西安市第一污水处理厂集中处理。</w:t>
                  </w:r>
                </w:p>
              </w:tc>
              <w:tc>
                <w:tcPr>
                  <w:tcW w:w="719" w:type="dxa"/>
                  <w:vAlign w:val="center"/>
                </w:tcPr>
                <w:p>
                  <w:pPr>
                    <w:pStyle w:val="2"/>
                    <w:ind w:firstLine="0" w:firstLineChars="0"/>
                    <w:jc w:val="center"/>
                    <w:rPr>
                      <w:color w:val="auto"/>
                      <w:highlight w:val="none"/>
                    </w:rPr>
                  </w:pPr>
                  <w:r>
                    <w:rPr>
                      <w:rFonts w:hint="eastAsia"/>
                      <w:color w:val="auto"/>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dxa"/>
                  <w:vAlign w:val="center"/>
                </w:tcPr>
                <w:p>
                  <w:pPr>
                    <w:jc w:val="center"/>
                    <w:rPr>
                      <w:rFonts w:hint="eastAsia" w:ascii="Times New Roman" w:hAnsi="Times New Roman"/>
                      <w:color w:val="auto"/>
                      <w:kern w:val="2"/>
                      <w:highlight w:val="none"/>
                    </w:rPr>
                  </w:pPr>
                  <w:r>
                    <w:rPr>
                      <w:rFonts w:hint="eastAsia" w:ascii="Times New Roman" w:hAnsi="Times New Roman" w:eastAsia="宋体" w:cs="Times New Roman"/>
                      <w:color w:val="auto"/>
                      <w:kern w:val="2"/>
                      <w:highlight w:val="none"/>
                    </w:rPr>
                    <w:t>关于印发发热门诊建筑装备技术导则（试行）的通知</w:t>
                  </w:r>
                  <w:r>
                    <w:rPr>
                      <w:rFonts w:ascii="Times New Roman" w:hAnsi="Times New Roman" w:eastAsia="宋体" w:cs="Times New Roman"/>
                      <w:color w:val="auto"/>
                      <w:kern w:val="2"/>
                      <w:highlight w:val="none"/>
                    </w:rPr>
                    <w:t>国卫办规划函〔2020〕683号</w:t>
                  </w:r>
                </w:p>
              </w:tc>
              <w:tc>
                <w:tcPr>
                  <w:tcW w:w="3045" w:type="dxa"/>
                  <w:vAlign w:val="center"/>
                </w:tcPr>
                <w:p>
                  <w:pPr>
                    <w:jc w:val="left"/>
                    <w:rPr>
                      <w:color w:val="auto"/>
                      <w:highlight w:val="none"/>
                    </w:rPr>
                  </w:pPr>
                  <w:r>
                    <w:rPr>
                      <w:rFonts w:hint="default" w:ascii="Times New Roman" w:hAnsi="Times New Roman" w:eastAsia="宋体" w:cs="Times New Roman"/>
                      <w:color w:val="auto"/>
                      <w:highlight w:val="none"/>
                    </w:rPr>
                    <w:t>2.1</w:t>
                  </w:r>
                  <w:r>
                    <w:rPr>
                      <w:rFonts w:hint="eastAsia" w:eastAsia="宋体" w:cs="Times New Roman"/>
                      <w:color w:val="auto"/>
                      <w:highlight w:val="none"/>
                    </w:rPr>
                    <w:t>发热门诊选址</w:t>
                  </w:r>
                  <w:r>
                    <w:rPr>
                      <w:rFonts w:hint="eastAsia" w:eastAsia="宋体" w:cs="Times New Roman"/>
                      <w:color w:val="auto"/>
                      <w:highlight w:val="none"/>
                      <w:lang w:eastAsia="zh-CN"/>
                    </w:rPr>
                    <w:t>：</w:t>
                  </w:r>
                  <w:r>
                    <w:rPr>
                      <w:rFonts w:hint="eastAsia" w:eastAsia="宋体" w:cs="Times New Roman"/>
                      <w:color w:val="auto"/>
                      <w:highlight w:val="none"/>
                    </w:rPr>
                    <w:t>发热门诊应当设置在医疗机构内相对独立的区域，与普通门（急）诊相对隔离，并宜临近急诊，设立相对独立的出入口，便于患者筛查、转运。</w:t>
                  </w:r>
                </w:p>
              </w:tc>
              <w:tc>
                <w:tcPr>
                  <w:tcW w:w="3225" w:type="dxa"/>
                  <w:vAlign w:val="center"/>
                </w:tcPr>
                <w:p>
                  <w:pPr>
                    <w:jc w:val="left"/>
                    <w:rPr>
                      <w:rFonts w:hint="default" w:eastAsia="宋体"/>
                      <w:color w:val="auto"/>
                      <w:highlight w:val="none"/>
                      <w:lang w:val="en-US" w:eastAsia="zh-CN"/>
                    </w:rPr>
                  </w:pPr>
                  <w:r>
                    <w:rPr>
                      <w:rFonts w:hint="eastAsia"/>
                      <w:color w:val="auto"/>
                      <w:highlight w:val="none"/>
                      <w:lang w:val="en-US" w:eastAsia="zh-CN"/>
                    </w:rPr>
                    <w:t>本项目发热门诊设置在医院西北角相对独立区域，设置独立的出入口，符合选址要求。</w:t>
                  </w:r>
                </w:p>
              </w:tc>
              <w:tc>
                <w:tcPr>
                  <w:tcW w:w="719" w:type="dxa"/>
                  <w:vAlign w:val="center"/>
                </w:tcPr>
                <w:p>
                  <w:pPr>
                    <w:pStyle w:val="2"/>
                    <w:ind w:firstLine="0" w:firstLineChars="0"/>
                    <w:jc w:val="center"/>
                    <w:rPr>
                      <w:rFonts w:hint="eastAsia"/>
                      <w:color w:val="auto"/>
                      <w:highlight w:val="none"/>
                    </w:rPr>
                  </w:pPr>
                  <w:r>
                    <w:rPr>
                      <w:rFonts w:hint="eastAsia"/>
                      <w:color w:val="auto"/>
                      <w:highlight w:val="none"/>
                    </w:rPr>
                    <w:t>符合</w:t>
                  </w:r>
                </w:p>
              </w:tc>
            </w:tr>
          </w:tbl>
          <w:p>
            <w:pPr>
              <w:pStyle w:val="2"/>
              <w:spacing w:line="360" w:lineRule="auto"/>
              <w:jc w:val="left"/>
              <w:rPr>
                <w:color w:val="auto"/>
                <w:highlight w:val="none"/>
              </w:rPr>
            </w:pPr>
            <w:r>
              <w:rPr>
                <w:rFonts w:hint="eastAsia"/>
                <w:color w:val="auto"/>
                <w:highlight w:val="none"/>
              </w:rPr>
              <w:t>3、选址合理性分析</w:t>
            </w:r>
          </w:p>
          <w:p>
            <w:pPr>
              <w:pStyle w:val="2"/>
              <w:spacing w:line="360" w:lineRule="auto"/>
              <w:jc w:val="left"/>
              <w:rPr>
                <w:color w:val="auto"/>
                <w:highlight w:val="none"/>
              </w:rPr>
            </w:pPr>
            <w:r>
              <w:rPr>
                <w:rFonts w:hint="eastAsia"/>
                <w:color w:val="auto"/>
                <w:highlight w:val="none"/>
              </w:rPr>
              <w:t>本项目位于西安市莲湖区大庆路636号通用医疗西安医院内</w:t>
            </w:r>
            <w:r>
              <w:rPr>
                <w:color w:val="auto"/>
                <w:highlight w:val="none"/>
              </w:rPr>
              <w:t>，</w:t>
            </w:r>
            <w:r>
              <w:rPr>
                <w:rFonts w:hint="eastAsia"/>
                <w:color w:val="auto"/>
                <w:highlight w:val="none"/>
              </w:rPr>
              <w:t>不新增占地。评价范围内</w:t>
            </w:r>
            <w:r>
              <w:rPr>
                <w:color w:val="auto"/>
                <w:highlight w:val="none"/>
              </w:rPr>
              <w:t>不涉及饮用水水源保护区、自然保护区、文物保护单位以及特殊地下水资源等敏感目标</w:t>
            </w:r>
            <w:r>
              <w:rPr>
                <w:rFonts w:hint="eastAsia"/>
                <w:color w:val="auto"/>
                <w:highlight w:val="none"/>
              </w:rPr>
              <w:t>。项目运营期间产生的噪声、废水等污染在采取本报告提出的相应环保措施后，项目产生的各类污染物均可实现达标排放和总量控制的要求，不会改变当地环境质量现状，不会对周围环境产生明显影响。因此，从环保角度分析，本项目选址合理。</w:t>
            </w:r>
          </w:p>
          <w:p>
            <w:pPr>
              <w:pStyle w:val="8"/>
              <w:rPr>
                <w:color w:val="auto"/>
                <w:highlight w:val="none"/>
              </w:rPr>
            </w:pPr>
          </w:p>
          <w:p>
            <w:pPr>
              <w:pStyle w:val="8"/>
              <w:rPr>
                <w:color w:val="auto"/>
                <w:highlight w:val="none"/>
              </w:rPr>
            </w:pPr>
          </w:p>
          <w:p>
            <w:pPr>
              <w:pStyle w:val="8"/>
              <w:rPr>
                <w:color w:val="auto"/>
                <w:highlight w:val="none"/>
              </w:rPr>
            </w:pPr>
          </w:p>
          <w:p>
            <w:pPr>
              <w:pStyle w:val="8"/>
              <w:rPr>
                <w:color w:val="auto"/>
                <w:highlight w:val="none"/>
              </w:rPr>
            </w:pPr>
          </w:p>
          <w:p>
            <w:pPr>
              <w:pStyle w:val="2"/>
              <w:spacing w:line="360" w:lineRule="auto"/>
              <w:jc w:val="left"/>
              <w:rPr>
                <w:color w:val="auto"/>
                <w:highlight w:val="none"/>
              </w:rPr>
            </w:pPr>
          </w:p>
          <w:p>
            <w:pPr>
              <w:autoSpaceDE w:val="0"/>
              <w:autoSpaceDN w:val="0"/>
              <w:adjustRightInd w:val="0"/>
              <w:snapToGrid w:val="0"/>
              <w:rPr>
                <w:rFonts w:ascii="Times New Roman" w:hAnsi="Times New Roman"/>
                <w:color w:val="auto"/>
                <w:highlight w:val="none"/>
              </w:rPr>
            </w:pPr>
          </w:p>
        </w:tc>
      </w:tr>
    </w:tbl>
    <w:p>
      <w:pPr>
        <w:spacing w:line="360" w:lineRule="auto"/>
        <w:outlineLvl w:val="0"/>
        <w:rPr>
          <w:rFonts w:eastAsia="黑体"/>
          <w:color w:val="auto"/>
          <w:sz w:val="30"/>
          <w:highlight w:val="none"/>
        </w:rPr>
        <w:sectPr>
          <w:footerReference r:id="rId5" w:type="default"/>
          <w:pgSz w:w="11906" w:h="16838"/>
          <w:pgMar w:top="1701" w:right="1531" w:bottom="1701" w:left="1531" w:header="851" w:footer="1077" w:gutter="0"/>
          <w:pgNumType w:start="1"/>
          <w:cols w:space="720" w:num="1"/>
          <w:docGrid w:linePitch="312" w:charSpace="0"/>
        </w:sectPr>
      </w:pPr>
    </w:p>
    <w:p>
      <w:pPr>
        <w:pStyle w:val="17"/>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二、建设项目工程分析</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81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823" w:type="dxa"/>
            <w:vAlign w:val="center"/>
          </w:tcPr>
          <w:p>
            <w:pPr>
              <w:pStyle w:val="17"/>
              <w:adjustRightInd w:val="0"/>
              <w:snapToGrid w:val="0"/>
              <w:spacing w:before="0" w:beforeAutospacing="0" w:after="0" w:afterAutospacing="0"/>
              <w:jc w:val="center"/>
              <w:rPr>
                <w:rFonts w:cs="宋体"/>
                <w:color w:val="auto"/>
                <w:sz w:val="21"/>
                <w:szCs w:val="21"/>
                <w:highlight w:val="none"/>
              </w:rPr>
            </w:pPr>
            <w:r>
              <w:rPr>
                <w:rFonts w:hint="eastAsia" w:cs="宋体"/>
                <w:b/>
                <w:bCs/>
                <w:color w:val="auto"/>
                <w:sz w:val="21"/>
                <w:szCs w:val="21"/>
                <w:highlight w:val="none"/>
              </w:rPr>
              <w:t>建设内容</w:t>
            </w:r>
          </w:p>
        </w:tc>
        <w:tc>
          <w:tcPr>
            <w:tcW w:w="8161" w:type="dxa"/>
          </w:tcPr>
          <w:p>
            <w:pPr>
              <w:adjustRightInd w:val="0"/>
              <w:snapToGrid w:val="0"/>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1、项目背景</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通用医疗西安医院（中航工业西安医院）前身为庆安医院，为厂办医院，1954年庆安医院分为两所医院，分别为庆安医院和远东医院。2009年5月庆安医院和远东医院合并为中航工业西安医院。中航工业西安医院是一所集临床医疗、教学科研、预防保健、院前急救于一体的综合性二级甲等医院</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2022年4月</w:t>
            </w:r>
            <w:r>
              <w:rPr>
                <w:rFonts w:hint="eastAsia" w:ascii="Times New Roman" w:hAnsi="Times New Roman"/>
                <w:color w:val="auto"/>
                <w:highlight w:val="none"/>
              </w:rPr>
              <w:t>中航工业西安医院</w:t>
            </w:r>
            <w:r>
              <w:rPr>
                <w:rFonts w:hint="eastAsia" w:ascii="Times New Roman" w:hAnsi="Times New Roman"/>
                <w:color w:val="auto"/>
                <w:highlight w:val="none"/>
                <w:lang w:val="en-US" w:eastAsia="zh-CN"/>
              </w:rPr>
              <w:t>更名为</w:t>
            </w:r>
            <w:r>
              <w:rPr>
                <w:rFonts w:hint="eastAsia" w:ascii="Times New Roman" w:hAnsi="Times New Roman"/>
                <w:color w:val="auto"/>
                <w:highlight w:val="none"/>
              </w:rPr>
              <w:t>通用医疗西安医院</w:t>
            </w:r>
            <w:r>
              <w:rPr>
                <w:rFonts w:hint="eastAsia" w:ascii="Times New Roman" w:hAnsi="Times New Roman"/>
                <w:color w:val="auto"/>
                <w:highlight w:val="none"/>
                <w:lang w:val="en-US" w:eastAsia="zh-CN"/>
              </w:rPr>
              <w:t>。</w:t>
            </w:r>
            <w:r>
              <w:rPr>
                <w:rFonts w:ascii="Times New Roman" w:hAnsi="Times New Roman"/>
                <w:color w:val="auto"/>
                <w:highlight w:val="none"/>
              </w:rPr>
              <w:t>20</w:t>
            </w:r>
            <w:r>
              <w:rPr>
                <w:rFonts w:hint="eastAsia" w:ascii="Times New Roman" w:hAnsi="Times New Roman"/>
                <w:color w:val="auto"/>
                <w:highlight w:val="none"/>
              </w:rPr>
              <w:t>19</w:t>
            </w:r>
            <w:r>
              <w:rPr>
                <w:rFonts w:ascii="Times New Roman" w:hAnsi="Times New Roman"/>
                <w:color w:val="auto"/>
                <w:highlight w:val="none"/>
              </w:rPr>
              <w:t>年</w:t>
            </w:r>
            <w:r>
              <w:rPr>
                <w:rFonts w:hint="eastAsia" w:ascii="Times New Roman" w:hAnsi="Times New Roman"/>
                <w:color w:val="auto"/>
                <w:highlight w:val="none"/>
              </w:rPr>
              <w:t>12</w:t>
            </w:r>
            <w:r>
              <w:rPr>
                <w:rFonts w:ascii="Times New Roman" w:hAnsi="Times New Roman"/>
                <w:color w:val="auto"/>
                <w:highlight w:val="none"/>
              </w:rPr>
              <w:t>月编制了《</w:t>
            </w:r>
            <w:r>
              <w:rPr>
                <w:rFonts w:hint="eastAsia" w:ascii="Times New Roman" w:hAnsi="Times New Roman"/>
                <w:color w:val="auto"/>
                <w:highlight w:val="none"/>
              </w:rPr>
              <w:t>中航工业西安医院污水工作站</w:t>
            </w:r>
            <w:r>
              <w:rPr>
                <w:rFonts w:ascii="Times New Roman" w:hAnsi="Times New Roman"/>
                <w:color w:val="auto"/>
                <w:highlight w:val="none"/>
              </w:rPr>
              <w:t>项目环评报告表》，</w:t>
            </w:r>
            <w:r>
              <w:rPr>
                <w:rFonts w:hint="eastAsia" w:ascii="Times New Roman" w:hAnsi="Times New Roman"/>
                <w:color w:val="auto"/>
                <w:highlight w:val="none"/>
              </w:rPr>
              <w:t>并于</w:t>
            </w:r>
            <w:r>
              <w:rPr>
                <w:rFonts w:ascii="Times New Roman" w:hAnsi="Times New Roman"/>
                <w:color w:val="auto"/>
                <w:highlight w:val="none"/>
              </w:rPr>
              <w:t>20</w:t>
            </w:r>
            <w:r>
              <w:rPr>
                <w:rFonts w:hint="eastAsia" w:ascii="Times New Roman" w:hAnsi="Times New Roman"/>
                <w:color w:val="auto"/>
                <w:highlight w:val="none"/>
              </w:rPr>
              <w:t>20</w:t>
            </w:r>
            <w:r>
              <w:rPr>
                <w:rFonts w:ascii="Times New Roman" w:hAnsi="Times New Roman"/>
                <w:color w:val="auto"/>
                <w:highlight w:val="none"/>
              </w:rPr>
              <w:t>年7月</w:t>
            </w:r>
            <w:r>
              <w:rPr>
                <w:rFonts w:hint="eastAsia" w:ascii="Times New Roman" w:hAnsi="Times New Roman"/>
                <w:color w:val="auto"/>
                <w:highlight w:val="none"/>
              </w:rPr>
              <w:t>28日取得</w:t>
            </w:r>
            <w:r>
              <w:rPr>
                <w:rFonts w:ascii="Times New Roman" w:hAnsi="Times New Roman"/>
                <w:color w:val="auto"/>
                <w:highlight w:val="none"/>
              </w:rPr>
              <w:t>该工程环评</w:t>
            </w:r>
            <w:r>
              <w:rPr>
                <w:rFonts w:hint="eastAsia" w:ascii="Times New Roman" w:hAnsi="Times New Roman"/>
                <w:color w:val="auto"/>
                <w:highlight w:val="none"/>
              </w:rPr>
              <w:t>批复</w:t>
            </w:r>
            <w:r>
              <w:rPr>
                <w:rFonts w:ascii="Times New Roman" w:hAnsi="Times New Roman"/>
                <w:color w:val="auto"/>
                <w:highlight w:val="none"/>
              </w:rPr>
              <w:t>（</w:t>
            </w:r>
            <w:r>
              <w:rPr>
                <w:rFonts w:hint="eastAsia" w:ascii="Times New Roman" w:hAnsi="Times New Roman"/>
                <w:color w:val="auto"/>
                <w:highlight w:val="none"/>
              </w:rPr>
              <w:t>市环莲湖批复[2020]9</w:t>
            </w:r>
            <w:r>
              <w:rPr>
                <w:rFonts w:ascii="Times New Roman" w:hAnsi="Times New Roman"/>
                <w:color w:val="auto"/>
                <w:highlight w:val="none"/>
              </w:rPr>
              <w:t>号）。20</w:t>
            </w:r>
            <w:r>
              <w:rPr>
                <w:rFonts w:hint="eastAsia" w:ascii="Times New Roman" w:hAnsi="Times New Roman"/>
                <w:color w:val="auto"/>
                <w:highlight w:val="none"/>
              </w:rPr>
              <w:t>20</w:t>
            </w:r>
            <w:r>
              <w:rPr>
                <w:rFonts w:ascii="Times New Roman" w:hAnsi="Times New Roman"/>
                <w:color w:val="auto"/>
                <w:highlight w:val="none"/>
              </w:rPr>
              <w:t>年</w:t>
            </w:r>
            <w:r>
              <w:rPr>
                <w:rFonts w:hint="eastAsia" w:ascii="Times New Roman" w:hAnsi="Times New Roman"/>
                <w:color w:val="auto"/>
                <w:highlight w:val="none"/>
              </w:rPr>
              <w:t>10</w:t>
            </w:r>
            <w:r>
              <w:rPr>
                <w:rFonts w:ascii="Times New Roman" w:hAnsi="Times New Roman"/>
                <w:color w:val="auto"/>
                <w:highlight w:val="none"/>
              </w:rPr>
              <w:t>月</w:t>
            </w:r>
            <w:r>
              <w:rPr>
                <w:rFonts w:hint="eastAsia" w:ascii="Times New Roman" w:hAnsi="Times New Roman"/>
                <w:color w:val="auto"/>
                <w:highlight w:val="none"/>
              </w:rPr>
              <w:t>中航工业西安医院组织</w:t>
            </w:r>
            <w:r>
              <w:rPr>
                <w:rFonts w:ascii="Times New Roman" w:hAnsi="Times New Roman"/>
                <w:color w:val="auto"/>
                <w:highlight w:val="none"/>
              </w:rPr>
              <w:t>对“</w:t>
            </w:r>
            <w:r>
              <w:rPr>
                <w:rFonts w:hint="eastAsia" w:ascii="Times New Roman" w:hAnsi="Times New Roman"/>
                <w:color w:val="auto"/>
                <w:highlight w:val="none"/>
              </w:rPr>
              <w:t>中航工业西安医院污水工作站</w:t>
            </w:r>
            <w:r>
              <w:rPr>
                <w:rFonts w:ascii="Times New Roman" w:hAnsi="Times New Roman"/>
                <w:color w:val="auto"/>
                <w:highlight w:val="none"/>
              </w:rPr>
              <w:t>项目”进行了竣工环境保护验收，</w:t>
            </w:r>
            <w:r>
              <w:rPr>
                <w:rFonts w:hint="eastAsia" w:ascii="Times New Roman" w:hAnsi="Times New Roman"/>
                <w:color w:val="auto"/>
                <w:highlight w:val="none"/>
              </w:rPr>
              <w:t>经专家现场验收讨论</w:t>
            </w:r>
            <w:r>
              <w:rPr>
                <w:rFonts w:ascii="Times New Roman" w:hAnsi="Times New Roman"/>
                <w:color w:val="auto"/>
                <w:highlight w:val="none"/>
              </w:rPr>
              <w:t>通过了该工程竣工环境保护验收。</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针对目前发热类疾病的发病率逐年升高，而且在新冠疫情防控中，发热筛查也是一道重要防线，为进一步完善通用医疗西安医院医疗结构体系，提高发热类疾病就诊接待能力，通用医疗西安医院投资2300万元，在医院内西北侧建设</w:t>
            </w:r>
            <w:r>
              <w:rPr>
                <w:rFonts w:hint="eastAsia"/>
                <w:color w:val="auto"/>
                <w:highlight w:val="none"/>
              </w:rPr>
              <w:t>临建西院北楼、西楼工程，</w:t>
            </w:r>
            <w:r>
              <w:rPr>
                <w:rFonts w:hint="eastAsia" w:ascii="Times New Roman" w:hAnsi="Times New Roman"/>
                <w:color w:val="auto"/>
                <w:highlight w:val="none"/>
              </w:rPr>
              <w:t>扩建</w:t>
            </w:r>
            <w:r>
              <w:rPr>
                <w:rFonts w:hint="eastAsia" w:ascii="Times New Roman" w:hAnsi="Times New Roman"/>
                <w:color w:val="auto"/>
                <w:highlight w:val="none"/>
                <w:lang w:val="en-US" w:eastAsia="zh-CN"/>
              </w:rPr>
              <w:t>2</w:t>
            </w:r>
            <w:r>
              <w:rPr>
                <w:rFonts w:hint="eastAsia" w:ascii="Times New Roman" w:hAnsi="Times New Roman"/>
                <w:color w:val="auto"/>
                <w:highlight w:val="none"/>
              </w:rPr>
              <w:t>栋发热门诊楼。</w:t>
            </w:r>
            <w:r>
              <w:rPr>
                <w:rFonts w:ascii="Times New Roman" w:hAnsi="Times New Roman"/>
                <w:color w:val="auto"/>
                <w:highlight w:val="none"/>
              </w:rPr>
              <w:t>对照生态环境部令第16号《建设项目环境影响评价分类管理名录》（2021年版），本项目属于“</w:t>
            </w:r>
            <w:r>
              <w:rPr>
                <w:rFonts w:hint="eastAsia" w:ascii="Times New Roman" w:hAnsi="Times New Roman"/>
                <w:color w:val="auto"/>
                <w:highlight w:val="none"/>
              </w:rPr>
              <w:t>四十九</w:t>
            </w:r>
            <w:r>
              <w:rPr>
                <w:rFonts w:ascii="Times New Roman" w:hAnsi="Times New Roman"/>
                <w:color w:val="auto"/>
                <w:highlight w:val="none"/>
              </w:rPr>
              <w:t>、</w:t>
            </w:r>
            <w:r>
              <w:rPr>
                <w:rFonts w:hint="eastAsia" w:ascii="Times New Roman" w:hAnsi="Times New Roman"/>
                <w:color w:val="auto"/>
                <w:highlight w:val="none"/>
              </w:rPr>
              <w:t>卫生</w:t>
            </w:r>
            <w:r>
              <w:rPr>
                <w:rFonts w:ascii="Times New Roman" w:hAnsi="Times New Roman"/>
                <w:color w:val="auto"/>
                <w:highlight w:val="none"/>
              </w:rPr>
              <w:t>；1</w:t>
            </w:r>
            <w:r>
              <w:rPr>
                <w:rFonts w:hint="eastAsia" w:ascii="Times New Roman" w:hAnsi="Times New Roman"/>
                <w:color w:val="auto"/>
                <w:highlight w:val="none"/>
              </w:rPr>
              <w:t>08</w:t>
            </w:r>
            <w:r>
              <w:rPr>
                <w:rFonts w:ascii="Times New Roman" w:hAnsi="Times New Roman"/>
                <w:color w:val="auto"/>
                <w:highlight w:val="none"/>
              </w:rPr>
              <w:t>.医院</w:t>
            </w:r>
            <w:r>
              <w:rPr>
                <w:rFonts w:hint="eastAsia" w:ascii="Times New Roman" w:hAnsi="Times New Roman"/>
                <w:color w:val="auto"/>
                <w:highlight w:val="none"/>
              </w:rPr>
              <w:t xml:space="preserve"> 其他</w:t>
            </w:r>
            <w:r>
              <w:rPr>
                <w:rFonts w:ascii="Times New Roman" w:hAnsi="Times New Roman"/>
                <w:color w:val="auto"/>
                <w:highlight w:val="none"/>
              </w:rPr>
              <w:t>（</w:t>
            </w:r>
            <w:r>
              <w:rPr>
                <w:rFonts w:hint="eastAsia" w:ascii="Times New Roman" w:hAnsi="Times New Roman"/>
                <w:color w:val="auto"/>
                <w:highlight w:val="none"/>
              </w:rPr>
              <w:t>住院床位20~500张之间</w:t>
            </w:r>
            <w:r>
              <w:rPr>
                <w:rFonts w:ascii="Times New Roman" w:hAnsi="Times New Roman"/>
                <w:color w:val="auto"/>
                <w:highlight w:val="none"/>
              </w:rPr>
              <w:t>）”应编制环境影响报告表。</w:t>
            </w:r>
          </w:p>
          <w:p>
            <w:pPr>
              <w:adjustRightInd w:val="0"/>
              <w:snapToGrid w:val="0"/>
              <w:spacing w:line="360" w:lineRule="auto"/>
              <w:ind w:firstLine="420" w:firstLineChars="200"/>
              <w:rPr>
                <w:rFonts w:hint="default" w:ascii="Times New Roman" w:hAnsi="Times New Roman" w:eastAsia="宋体"/>
                <w:color w:val="auto"/>
                <w:highlight w:val="none"/>
                <w:lang w:val="en-US" w:eastAsia="zh-CN"/>
              </w:rPr>
            </w:pPr>
            <w:r>
              <w:rPr>
                <w:rFonts w:hint="eastAsia" w:ascii="Times New Roman" w:hAnsi="Times New Roman"/>
                <w:color w:val="auto"/>
                <w:highlight w:val="none"/>
              </w:rPr>
              <w:t>根据现场调查该发热门诊楼已于2021年1月建成运行，</w:t>
            </w:r>
            <w:r>
              <w:rPr>
                <w:rFonts w:hint="eastAsia" w:ascii="Times New Roman" w:hAnsi="Times New Roman"/>
                <w:color w:val="auto"/>
                <w:highlight w:val="none"/>
                <w:lang w:val="en-US" w:eastAsia="zh-CN"/>
              </w:rPr>
              <w:t>根据陕西省生态环境厅关于做好新冠肺炎疫情防控期间建设项目环评审批及管理工作的通知（陕环环评函</w:t>
            </w:r>
            <w:r>
              <w:rPr>
                <w:rFonts w:hint="eastAsia" w:ascii="Times New Roman" w:hAnsi="Times New Roman"/>
                <w:color w:val="auto"/>
                <w:highlight w:val="none"/>
              </w:rPr>
              <w:t>[2020]</w:t>
            </w:r>
            <w:r>
              <w:rPr>
                <w:rFonts w:hint="eastAsia" w:ascii="Times New Roman" w:hAnsi="Times New Roman"/>
                <w:color w:val="auto"/>
                <w:highlight w:val="none"/>
                <w:lang w:val="en-US" w:eastAsia="zh-CN"/>
              </w:rPr>
              <w:t>7</w:t>
            </w:r>
            <w:r>
              <w:rPr>
                <w:rFonts w:ascii="Times New Roman" w:hAnsi="Times New Roman"/>
                <w:color w:val="auto"/>
                <w:highlight w:val="none"/>
              </w:rPr>
              <w:t>号</w:t>
            </w:r>
            <w:r>
              <w:rPr>
                <w:rFonts w:hint="eastAsia" w:ascii="Times New Roman" w:hAnsi="Times New Roman"/>
                <w:color w:val="auto"/>
                <w:highlight w:val="none"/>
                <w:lang w:val="en-US" w:eastAsia="zh-CN"/>
              </w:rPr>
              <w:t>），项目</w:t>
            </w:r>
            <w:r>
              <w:rPr>
                <w:rFonts w:hint="eastAsia" w:ascii="Times New Roman" w:hAnsi="Times New Roman"/>
                <w:color w:val="auto"/>
                <w:highlight w:val="none"/>
              </w:rPr>
              <w:t>属于</w:t>
            </w:r>
            <w:r>
              <w:rPr>
                <w:rFonts w:hint="eastAsia" w:ascii="Times New Roman" w:hAnsi="Times New Roman"/>
                <w:color w:val="auto"/>
                <w:highlight w:val="none"/>
                <w:lang w:val="en-US" w:eastAsia="zh-CN"/>
              </w:rPr>
              <w:t>疫情防控需要的临时性的三类</w:t>
            </w:r>
            <w:r>
              <w:rPr>
                <w:rFonts w:hint="eastAsia" w:ascii="Times New Roman" w:hAnsi="Times New Roman"/>
                <w:color w:val="auto"/>
                <w:highlight w:val="none"/>
              </w:rPr>
              <w:t>项目。</w:t>
            </w:r>
            <w:r>
              <w:rPr>
                <w:rFonts w:hint="eastAsia" w:ascii="Times New Roman" w:hAnsi="Times New Roman"/>
                <w:color w:val="auto"/>
                <w:highlight w:val="none"/>
                <w:lang w:val="en-US" w:eastAsia="zh-CN"/>
              </w:rPr>
              <w:t>本项目属于疫情后继续实施的项目，根据通知要求，在疫情结束后按规定补办环评相关手续。</w:t>
            </w:r>
          </w:p>
          <w:p>
            <w:pPr>
              <w:adjustRightInd w:val="0"/>
              <w:snapToGrid w:val="0"/>
              <w:spacing w:line="360" w:lineRule="auto"/>
              <w:ind w:firstLine="420" w:firstLineChars="200"/>
              <w:rPr>
                <w:rFonts w:ascii="Times New Roman" w:hAnsi="Times New Roman"/>
                <w:b/>
                <w:color w:val="auto"/>
                <w:highlight w:val="none"/>
              </w:rPr>
            </w:pPr>
            <w:r>
              <w:rPr>
                <w:rFonts w:ascii="Times New Roman" w:hAnsi="Times New Roman"/>
                <w:color w:val="auto"/>
                <w:highlight w:val="none"/>
              </w:rPr>
              <w:t>202</w:t>
            </w:r>
            <w:r>
              <w:rPr>
                <w:rFonts w:hint="eastAsia" w:ascii="Times New Roman" w:hAnsi="Times New Roman"/>
                <w:color w:val="auto"/>
                <w:highlight w:val="none"/>
              </w:rPr>
              <w:t>2</w:t>
            </w:r>
            <w:r>
              <w:rPr>
                <w:rFonts w:ascii="Times New Roman" w:hAnsi="Times New Roman"/>
                <w:color w:val="auto"/>
                <w:highlight w:val="none"/>
              </w:rPr>
              <w:t>年</w:t>
            </w:r>
            <w:r>
              <w:rPr>
                <w:rFonts w:hint="eastAsia" w:ascii="Times New Roman" w:hAnsi="Times New Roman"/>
                <w:color w:val="auto"/>
                <w:highlight w:val="none"/>
              </w:rPr>
              <w:t>6</w:t>
            </w:r>
            <w:r>
              <w:rPr>
                <w:rFonts w:ascii="Times New Roman" w:hAnsi="Times New Roman"/>
                <w:color w:val="auto"/>
                <w:highlight w:val="none"/>
              </w:rPr>
              <w:t>月</w:t>
            </w:r>
            <w:r>
              <w:rPr>
                <w:rFonts w:hint="eastAsia" w:ascii="Times New Roman" w:hAnsi="Times New Roman"/>
                <w:color w:val="auto"/>
                <w:highlight w:val="none"/>
              </w:rPr>
              <w:t>通用医疗西安医院</w:t>
            </w:r>
            <w:r>
              <w:rPr>
                <w:rFonts w:ascii="Times New Roman" w:hAnsi="Times New Roman"/>
                <w:color w:val="auto"/>
                <w:highlight w:val="none"/>
              </w:rPr>
              <w:t>委托我公司承担该项目的环境影响评价工作（委托书见附件1）。我公司在深入研究项目相关资料、调研、现场踏勘的基础上，依据国家环境保护有关法律、法规文件和环境影响评价技术导则，编制完成了《</w:t>
            </w:r>
            <w:r>
              <w:rPr>
                <w:rFonts w:hint="eastAsia" w:ascii="Times New Roman" w:hAnsi="Times New Roman"/>
                <w:color w:val="auto"/>
                <w:highlight w:val="none"/>
              </w:rPr>
              <w:t>通用医疗西安医院</w:t>
            </w:r>
            <w:r>
              <w:rPr>
                <w:rFonts w:hint="eastAsia"/>
                <w:color w:val="auto"/>
                <w:highlight w:val="none"/>
              </w:rPr>
              <w:t>临建西院北楼、西楼工程</w:t>
            </w:r>
            <w:r>
              <w:rPr>
                <w:rFonts w:ascii="Times New Roman" w:hAnsi="Times New Roman"/>
                <w:color w:val="auto"/>
                <w:highlight w:val="none"/>
              </w:rPr>
              <w:t>环境影响报告表》。</w:t>
            </w:r>
          </w:p>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2</w:t>
            </w:r>
            <w:r>
              <w:rPr>
                <w:rFonts w:ascii="Times New Roman" w:hAnsi="Times New Roman"/>
                <w:b/>
                <w:color w:val="auto"/>
                <w:highlight w:val="none"/>
              </w:rPr>
              <w:t>、主要建设内容</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kern w:val="2"/>
                <w:highlight w:val="none"/>
              </w:rPr>
              <w:t>本项目位于</w:t>
            </w:r>
            <w:r>
              <w:rPr>
                <w:rFonts w:hint="eastAsia" w:ascii="Times New Roman" w:hAnsi="Times New Roman"/>
                <w:color w:val="auto"/>
                <w:highlight w:val="none"/>
              </w:rPr>
              <w:t>西安市莲湖区大庆路636号通用医疗西安医院内西北角</w:t>
            </w:r>
            <w:r>
              <w:rPr>
                <w:rFonts w:ascii="Times New Roman" w:hAnsi="Times New Roman"/>
                <w:color w:val="auto"/>
                <w:kern w:val="2"/>
                <w:highlight w:val="none"/>
              </w:rPr>
              <w:t>，</w:t>
            </w:r>
            <w:r>
              <w:rPr>
                <w:rFonts w:hint="eastAsia" w:ascii="Times New Roman" w:hAnsi="Times New Roman"/>
                <w:color w:val="auto"/>
                <w:kern w:val="2"/>
                <w:highlight w:val="none"/>
              </w:rPr>
              <w:t>项目总占地面积</w:t>
            </w:r>
            <w:r>
              <w:rPr>
                <w:rFonts w:hint="eastAsia" w:ascii="Times New Roman" w:hAnsi="Times New Roman"/>
                <w:color w:val="auto"/>
                <w:highlight w:val="none"/>
              </w:rPr>
              <w:t>1568.6m</w:t>
            </w:r>
            <w:r>
              <w:rPr>
                <w:rFonts w:hint="eastAsia" w:ascii="Times New Roman" w:hAnsi="Times New Roman"/>
                <w:color w:val="auto"/>
                <w:highlight w:val="none"/>
                <w:vertAlign w:val="superscript"/>
              </w:rPr>
              <w:t>2</w:t>
            </w:r>
            <w:r>
              <w:rPr>
                <w:rFonts w:hint="eastAsia" w:ascii="Times New Roman" w:hAnsi="Times New Roman"/>
                <w:color w:val="auto"/>
                <w:kern w:val="2"/>
                <w:highlight w:val="none"/>
              </w:rPr>
              <w:t>，</w:t>
            </w:r>
            <w:r>
              <w:rPr>
                <w:rFonts w:ascii="Times New Roman" w:hAnsi="Times New Roman"/>
                <w:color w:val="auto"/>
                <w:kern w:val="2"/>
                <w:highlight w:val="none"/>
              </w:rPr>
              <w:t>建设</w:t>
            </w:r>
            <w:r>
              <w:rPr>
                <w:rFonts w:hint="eastAsia" w:ascii="Times New Roman" w:hAnsi="Times New Roman"/>
                <w:color w:val="auto"/>
                <w:kern w:val="2"/>
                <w:highlight w:val="none"/>
                <w:lang w:val="en-US" w:eastAsia="zh-CN"/>
              </w:rPr>
              <w:t>2</w:t>
            </w:r>
            <w:r>
              <w:rPr>
                <w:rFonts w:hint="eastAsia" w:ascii="Times New Roman" w:hAnsi="Times New Roman"/>
                <w:color w:val="auto"/>
                <w:kern w:val="2"/>
                <w:highlight w:val="none"/>
              </w:rPr>
              <w:t>栋发热</w:t>
            </w:r>
            <w:r>
              <w:rPr>
                <w:rFonts w:ascii="Times New Roman" w:hAnsi="Times New Roman"/>
                <w:color w:val="auto"/>
                <w:kern w:val="2"/>
                <w:highlight w:val="none"/>
              </w:rPr>
              <w:t>门诊</w:t>
            </w:r>
            <w:r>
              <w:rPr>
                <w:rFonts w:hint="eastAsia" w:ascii="Times New Roman" w:hAnsi="Times New Roman"/>
                <w:color w:val="auto"/>
                <w:kern w:val="2"/>
                <w:highlight w:val="none"/>
              </w:rPr>
              <w:t>楼</w:t>
            </w:r>
            <w:r>
              <w:rPr>
                <w:rFonts w:ascii="Times New Roman" w:hAnsi="Times New Roman"/>
                <w:color w:val="auto"/>
                <w:kern w:val="2"/>
                <w:highlight w:val="none"/>
              </w:rPr>
              <w:t>，</w:t>
            </w:r>
            <w:r>
              <w:rPr>
                <w:rFonts w:hint="eastAsia" w:ascii="Times New Roman" w:hAnsi="Times New Roman"/>
                <w:color w:val="auto"/>
                <w:kern w:val="2"/>
                <w:highlight w:val="none"/>
              </w:rPr>
              <w:t>主要功能为发热类疾病（尤其是新冠）就诊，</w:t>
            </w:r>
            <w:r>
              <w:rPr>
                <w:rFonts w:hint="eastAsia" w:ascii="Times New Roman" w:hAnsi="Times New Roman"/>
                <w:color w:val="auto"/>
                <w:kern w:val="2"/>
                <w:highlight w:val="none"/>
                <w:lang w:val="en-US" w:eastAsia="zh-CN"/>
              </w:rPr>
              <w:t>其中：北楼</w:t>
            </w:r>
            <w:r>
              <w:rPr>
                <w:rFonts w:hint="eastAsia" w:ascii="Times New Roman" w:hAnsi="Times New Roman"/>
                <w:color w:val="auto"/>
                <w:kern w:val="2"/>
                <w:highlight w:val="none"/>
              </w:rPr>
              <w:t>主要设置有候诊室、发热门诊室、留观室、DR室、住院病房、药房、医护站等</w:t>
            </w:r>
            <w:r>
              <w:rPr>
                <w:rFonts w:hint="eastAsia" w:ascii="Times New Roman" w:hAnsi="Times New Roman"/>
                <w:color w:val="auto"/>
                <w:kern w:val="2"/>
                <w:highlight w:val="none"/>
                <w:lang w:eastAsia="zh-CN"/>
              </w:rPr>
              <w:t>；</w:t>
            </w:r>
            <w:r>
              <w:rPr>
                <w:rFonts w:hint="eastAsia" w:ascii="Times New Roman" w:hAnsi="Times New Roman"/>
                <w:color w:val="auto"/>
                <w:kern w:val="2"/>
                <w:highlight w:val="none"/>
                <w:lang w:val="en-US" w:eastAsia="zh-CN"/>
              </w:rPr>
              <w:t>西楼主要设置诊室、输液区、雾化室、检查室、药房及住院病房</w:t>
            </w:r>
            <w:r>
              <w:rPr>
                <w:rFonts w:hint="eastAsia" w:ascii="Times New Roman" w:hAnsi="Times New Roman"/>
                <w:color w:val="auto"/>
                <w:kern w:val="2"/>
                <w:highlight w:val="none"/>
              </w:rPr>
              <w:t>，共设住院床位</w:t>
            </w:r>
            <w:r>
              <w:rPr>
                <w:rFonts w:hint="eastAsia" w:ascii="Times New Roman" w:hAnsi="Times New Roman"/>
                <w:color w:val="auto"/>
                <w:kern w:val="2"/>
                <w:highlight w:val="none"/>
                <w:lang w:val="en-US" w:eastAsia="zh-CN"/>
              </w:rPr>
              <w:t>90</w:t>
            </w:r>
            <w:r>
              <w:rPr>
                <w:rFonts w:hint="eastAsia" w:ascii="Times New Roman" w:hAnsi="Times New Roman"/>
                <w:color w:val="auto"/>
                <w:kern w:val="2"/>
                <w:highlight w:val="none"/>
              </w:rPr>
              <w:t>张。</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本项目涉及辐射性设施（DR室），按照《关于印发&lt;医疗器械分类目录&gt;的通知》（国药监械[2002]302号）中X射线设备或高能射线设备，该设备</w:t>
            </w:r>
            <w:r>
              <w:rPr>
                <w:rFonts w:hint="eastAsia" w:ascii="Times New Roman" w:hAnsi="Times New Roman"/>
                <w:color w:val="auto"/>
                <w:highlight w:val="none"/>
                <w:lang w:eastAsia="zh-CN"/>
              </w:rPr>
              <w:t>需</w:t>
            </w:r>
            <w:r>
              <w:rPr>
                <w:rFonts w:hint="eastAsia" w:ascii="Times New Roman" w:hAnsi="Times New Roman"/>
                <w:color w:val="auto"/>
                <w:highlight w:val="none"/>
              </w:rPr>
              <w:t>另做辐射环评，本项目不予评价。项目建设内容详见表2-1，项目平面布置情况见附图3。</w:t>
            </w:r>
          </w:p>
          <w:p>
            <w:pPr>
              <w:adjustRightInd w:val="0"/>
              <w:snapToGrid w:val="0"/>
              <w:jc w:val="center"/>
              <w:rPr>
                <w:rFonts w:ascii="Times New Roman" w:hAnsi="Times New Roman"/>
                <w:b/>
                <w:color w:val="auto"/>
                <w:highlight w:val="none"/>
              </w:rPr>
            </w:pPr>
            <w:r>
              <w:rPr>
                <w:rFonts w:ascii="Times New Roman" w:hAnsi="Times New Roman"/>
                <w:b/>
                <w:color w:val="auto"/>
                <w:highlight w:val="none"/>
              </w:rPr>
              <w:t>表</w:t>
            </w:r>
            <w:r>
              <w:rPr>
                <w:rFonts w:hint="eastAsia" w:ascii="Times New Roman" w:hAnsi="Times New Roman"/>
                <w:b/>
                <w:color w:val="auto"/>
                <w:highlight w:val="none"/>
              </w:rPr>
              <w:t>2</w:t>
            </w:r>
            <w:r>
              <w:rPr>
                <w:rFonts w:ascii="Times New Roman" w:hAnsi="Times New Roman"/>
                <w:b/>
                <w:color w:val="auto"/>
                <w:highlight w:val="none"/>
              </w:rPr>
              <w:t>-</w:t>
            </w:r>
            <w:r>
              <w:rPr>
                <w:rFonts w:hint="eastAsia" w:ascii="Times New Roman" w:hAnsi="Times New Roman"/>
                <w:b/>
                <w:color w:val="auto"/>
                <w:highlight w:val="none"/>
              </w:rPr>
              <w:t>1</w:t>
            </w:r>
            <w:r>
              <w:rPr>
                <w:rFonts w:ascii="Times New Roman" w:hAnsi="Times New Roman"/>
                <w:b/>
                <w:color w:val="auto"/>
                <w:highlight w:val="none"/>
              </w:rPr>
              <w:t xml:space="preserve">  项目建设内容一览表</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
              <w:gridCol w:w="1625"/>
              <w:gridCol w:w="4213"/>
              <w:gridCol w:w="1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1068" w:type="dxa"/>
                  <w:tcMar>
                    <w:left w:w="28" w:type="dxa"/>
                    <w:right w:w="28" w:type="dxa"/>
                  </w:tcMar>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项目名称</w:t>
                  </w:r>
                </w:p>
              </w:tc>
              <w:tc>
                <w:tcPr>
                  <w:tcW w:w="1625" w:type="dxa"/>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建（构）筑</w:t>
                  </w:r>
                </w:p>
                <w:p>
                  <w:pPr>
                    <w:adjustRightInd w:val="0"/>
                    <w:snapToGrid w:val="0"/>
                    <w:jc w:val="center"/>
                    <w:rPr>
                      <w:rFonts w:ascii="Times New Roman" w:hAnsi="Times New Roman"/>
                      <w:b/>
                      <w:color w:val="auto"/>
                      <w:highlight w:val="none"/>
                    </w:rPr>
                  </w:pPr>
                  <w:r>
                    <w:rPr>
                      <w:rFonts w:ascii="Times New Roman" w:hAnsi="Times New Roman"/>
                      <w:b/>
                      <w:color w:val="auto"/>
                      <w:highlight w:val="none"/>
                    </w:rPr>
                    <w:t>物名称</w:t>
                  </w:r>
                </w:p>
              </w:tc>
              <w:tc>
                <w:tcPr>
                  <w:tcW w:w="4213" w:type="dxa"/>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工程建设内容</w:t>
                  </w:r>
                </w:p>
              </w:tc>
              <w:tc>
                <w:tcPr>
                  <w:tcW w:w="1023" w:type="dxa"/>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068" w:type="dxa"/>
                  <w:vMerge w:val="restart"/>
                  <w:tcMar>
                    <w:left w:w="28" w:type="dxa"/>
                    <w:right w:w="28" w:type="dxa"/>
                  </w:tcMar>
                  <w:vAlign w:val="center"/>
                </w:tcPr>
                <w:p>
                  <w:pPr>
                    <w:adjustRightInd w:val="0"/>
                    <w:snapToGrid w:val="0"/>
                    <w:jc w:val="center"/>
                    <w:rPr>
                      <w:rFonts w:ascii="Times New Roman" w:hAnsi="Times New Roman"/>
                      <w:bCs/>
                      <w:color w:val="auto"/>
                      <w:highlight w:val="none"/>
                    </w:rPr>
                  </w:pPr>
                  <w:r>
                    <w:rPr>
                      <w:rFonts w:ascii="Times New Roman" w:hAnsi="Times New Roman"/>
                      <w:bCs/>
                      <w:color w:val="auto"/>
                      <w:highlight w:val="none"/>
                    </w:rPr>
                    <w:t>主体工程</w:t>
                  </w:r>
                </w:p>
              </w:tc>
              <w:tc>
                <w:tcPr>
                  <w:tcW w:w="162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门诊</w:t>
                  </w:r>
                  <w:r>
                    <w:rPr>
                      <w:rFonts w:hint="eastAsia" w:ascii="Times New Roman" w:hAnsi="Times New Roman"/>
                      <w:color w:val="auto"/>
                      <w:highlight w:val="none"/>
                      <w:lang w:val="en-US" w:eastAsia="zh-CN"/>
                    </w:rPr>
                    <w:t>北</w:t>
                  </w:r>
                  <w:r>
                    <w:rPr>
                      <w:rFonts w:hint="eastAsia" w:ascii="Times New Roman" w:hAnsi="Times New Roman"/>
                      <w:color w:val="auto"/>
                      <w:highlight w:val="none"/>
                    </w:rPr>
                    <w:t>楼</w:t>
                  </w:r>
                </w:p>
              </w:tc>
              <w:tc>
                <w:tcPr>
                  <w:tcW w:w="4213" w:type="dxa"/>
                  <w:vAlign w:val="center"/>
                </w:tcPr>
                <w:p>
                  <w:pPr>
                    <w:adjustRightInd w:val="0"/>
                    <w:snapToGrid w:val="0"/>
                    <w:jc w:val="left"/>
                    <w:rPr>
                      <w:rFonts w:ascii="Times New Roman" w:hAnsi="Times New Roman"/>
                      <w:color w:val="auto"/>
                      <w:highlight w:val="none"/>
                    </w:rPr>
                  </w:pPr>
                  <w:r>
                    <w:rPr>
                      <w:rFonts w:hint="eastAsia" w:ascii="Times New Roman" w:hAnsi="Times New Roman"/>
                      <w:color w:val="auto"/>
                      <w:highlight w:val="none"/>
                    </w:rPr>
                    <w:t>门诊</w:t>
                  </w:r>
                  <w:r>
                    <w:rPr>
                      <w:rFonts w:hint="eastAsia" w:ascii="Times New Roman" w:hAnsi="Times New Roman"/>
                      <w:color w:val="auto"/>
                      <w:highlight w:val="none"/>
                      <w:lang w:val="en-US" w:eastAsia="zh-CN"/>
                    </w:rPr>
                    <w:t>北</w:t>
                  </w:r>
                  <w:r>
                    <w:rPr>
                      <w:rFonts w:hint="eastAsia" w:ascii="Times New Roman" w:hAnsi="Times New Roman"/>
                      <w:color w:val="auto"/>
                      <w:highlight w:val="none"/>
                    </w:rPr>
                    <w:t>楼</w:t>
                  </w:r>
                  <w:r>
                    <w:rPr>
                      <w:rFonts w:hint="eastAsia" w:ascii="Times New Roman" w:hAnsi="Times New Roman"/>
                      <w:color w:val="auto"/>
                      <w:highlight w:val="none"/>
                      <w:lang w:val="en-US" w:eastAsia="zh-CN"/>
                    </w:rPr>
                    <w:t>总建筑</w:t>
                  </w:r>
                  <w:r>
                    <w:rPr>
                      <w:rFonts w:hint="eastAsia" w:ascii="Times New Roman" w:hAnsi="Times New Roman"/>
                      <w:color w:val="auto"/>
                      <w:highlight w:val="none"/>
                    </w:rPr>
                    <w:t>面积</w:t>
                  </w:r>
                  <w:r>
                    <w:rPr>
                      <w:rFonts w:ascii="Times New Roman" w:hAnsi="Times New Roman"/>
                      <w:color w:val="auto"/>
                      <w:highlight w:val="none"/>
                    </w:rPr>
                    <w:t>约</w:t>
                  </w:r>
                  <w:r>
                    <w:rPr>
                      <w:rFonts w:hint="eastAsia" w:ascii="Times New Roman" w:hAnsi="Times New Roman"/>
                      <w:color w:val="auto"/>
                      <w:highlight w:val="none"/>
                      <w:lang w:val="en-US" w:eastAsia="zh-CN"/>
                    </w:rPr>
                    <w:t>1379</w:t>
                  </w:r>
                  <w:r>
                    <w:rPr>
                      <w:rFonts w:ascii="Times New Roman" w:hAnsi="Times New Roman"/>
                      <w:color w:val="auto"/>
                      <w:highlight w:val="none"/>
                    </w:rPr>
                    <w:t>m</w:t>
                  </w:r>
                  <w:r>
                    <w:rPr>
                      <w:rFonts w:ascii="Times New Roman" w:hAnsi="Times New Roman"/>
                      <w:color w:val="auto"/>
                      <w:highlight w:val="none"/>
                      <w:vertAlign w:val="superscript"/>
                    </w:rPr>
                    <w:t>2</w:t>
                  </w:r>
                  <w:r>
                    <w:rPr>
                      <w:rFonts w:ascii="Times New Roman" w:hAnsi="Times New Roman"/>
                      <w:color w:val="auto"/>
                      <w:highlight w:val="none"/>
                    </w:rPr>
                    <w:t>，</w:t>
                  </w:r>
                  <w:r>
                    <w:rPr>
                      <w:rFonts w:hint="eastAsia" w:ascii="Times New Roman" w:hAnsi="Times New Roman"/>
                      <w:color w:val="auto"/>
                      <w:highlight w:val="none"/>
                    </w:rPr>
                    <w:t>共两层</w:t>
                  </w:r>
                  <w:r>
                    <w:rPr>
                      <w:rFonts w:hint="eastAsia" w:ascii="Times New Roman" w:hAnsi="Times New Roman"/>
                      <w:color w:val="auto"/>
                      <w:highlight w:val="none"/>
                      <w:lang w:val="en-US" w:eastAsia="zh-CN"/>
                    </w:rPr>
                    <w:t>7</w:t>
                  </w:r>
                  <w:r>
                    <w:rPr>
                      <w:rFonts w:hint="eastAsia" w:ascii="Times New Roman" w:hAnsi="Times New Roman"/>
                      <w:color w:val="auto"/>
                      <w:highlight w:val="none"/>
                    </w:rPr>
                    <w:t>m高，其中：1F主要为候诊室、门诊室、留观室、DR室、药房、办公室等；2F主要为病房、抢救室、治疗室、办公室以及库房等</w:t>
                  </w:r>
                </w:p>
              </w:tc>
              <w:tc>
                <w:tcPr>
                  <w:tcW w:w="1023"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已建成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625"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门诊</w:t>
                  </w:r>
                  <w:r>
                    <w:rPr>
                      <w:rFonts w:hint="eastAsia" w:ascii="Times New Roman" w:hAnsi="Times New Roman"/>
                      <w:color w:val="auto"/>
                      <w:highlight w:val="none"/>
                      <w:lang w:val="en-US" w:eastAsia="zh-CN"/>
                    </w:rPr>
                    <w:t>西</w:t>
                  </w:r>
                  <w:r>
                    <w:rPr>
                      <w:rFonts w:hint="eastAsia" w:ascii="Times New Roman" w:hAnsi="Times New Roman"/>
                      <w:color w:val="auto"/>
                      <w:highlight w:val="none"/>
                    </w:rPr>
                    <w:t>楼</w:t>
                  </w:r>
                </w:p>
              </w:tc>
              <w:tc>
                <w:tcPr>
                  <w:tcW w:w="4213" w:type="dxa"/>
                  <w:vAlign w:val="center"/>
                </w:tcPr>
                <w:p>
                  <w:pPr>
                    <w:adjustRightInd w:val="0"/>
                    <w:snapToGrid w:val="0"/>
                    <w:jc w:val="left"/>
                    <w:rPr>
                      <w:rFonts w:hint="eastAsia" w:ascii="Times New Roman" w:hAnsi="Times New Roman"/>
                      <w:color w:val="auto"/>
                      <w:highlight w:val="none"/>
                    </w:rPr>
                  </w:pPr>
                  <w:r>
                    <w:rPr>
                      <w:rFonts w:hint="eastAsia" w:ascii="Times New Roman" w:hAnsi="Times New Roman"/>
                      <w:color w:val="auto"/>
                      <w:highlight w:val="none"/>
                    </w:rPr>
                    <w:t>门诊</w:t>
                  </w:r>
                  <w:r>
                    <w:rPr>
                      <w:rFonts w:hint="eastAsia" w:ascii="Times New Roman" w:hAnsi="Times New Roman"/>
                      <w:color w:val="auto"/>
                      <w:highlight w:val="none"/>
                      <w:lang w:val="en-US" w:eastAsia="zh-CN"/>
                    </w:rPr>
                    <w:t>西</w:t>
                  </w:r>
                  <w:r>
                    <w:rPr>
                      <w:rFonts w:hint="eastAsia" w:ascii="Times New Roman" w:hAnsi="Times New Roman"/>
                      <w:color w:val="auto"/>
                      <w:highlight w:val="none"/>
                    </w:rPr>
                    <w:t>楼</w:t>
                  </w:r>
                  <w:r>
                    <w:rPr>
                      <w:rFonts w:hint="eastAsia" w:ascii="Times New Roman" w:hAnsi="Times New Roman"/>
                      <w:color w:val="auto"/>
                      <w:highlight w:val="none"/>
                      <w:lang w:val="en-US" w:eastAsia="zh-CN"/>
                    </w:rPr>
                    <w:t>总建筑</w:t>
                  </w:r>
                  <w:r>
                    <w:rPr>
                      <w:rFonts w:hint="eastAsia" w:ascii="Times New Roman" w:hAnsi="Times New Roman"/>
                      <w:color w:val="auto"/>
                      <w:highlight w:val="none"/>
                    </w:rPr>
                    <w:t>面积</w:t>
                  </w:r>
                  <w:r>
                    <w:rPr>
                      <w:rFonts w:ascii="Times New Roman" w:hAnsi="Times New Roman"/>
                      <w:color w:val="auto"/>
                      <w:highlight w:val="none"/>
                    </w:rPr>
                    <w:t>约</w:t>
                  </w:r>
                  <w:r>
                    <w:rPr>
                      <w:rFonts w:hint="eastAsia" w:ascii="Times New Roman" w:hAnsi="Times New Roman"/>
                      <w:color w:val="auto"/>
                      <w:highlight w:val="none"/>
                      <w:lang w:val="en-US" w:eastAsia="zh-CN"/>
                    </w:rPr>
                    <w:t>1873</w:t>
                  </w:r>
                  <w:r>
                    <w:rPr>
                      <w:rFonts w:ascii="Times New Roman" w:hAnsi="Times New Roman"/>
                      <w:color w:val="auto"/>
                      <w:highlight w:val="none"/>
                    </w:rPr>
                    <w:t>m</w:t>
                  </w:r>
                  <w:r>
                    <w:rPr>
                      <w:rFonts w:ascii="Times New Roman" w:hAnsi="Times New Roman"/>
                      <w:color w:val="auto"/>
                      <w:highlight w:val="none"/>
                      <w:vertAlign w:val="superscript"/>
                    </w:rPr>
                    <w:t>2</w:t>
                  </w:r>
                  <w:r>
                    <w:rPr>
                      <w:rFonts w:ascii="Times New Roman" w:hAnsi="Times New Roman"/>
                      <w:color w:val="auto"/>
                      <w:highlight w:val="none"/>
                    </w:rPr>
                    <w:t>，</w:t>
                  </w:r>
                  <w:r>
                    <w:rPr>
                      <w:rFonts w:hint="eastAsia" w:ascii="Times New Roman" w:hAnsi="Times New Roman"/>
                      <w:color w:val="auto"/>
                      <w:highlight w:val="none"/>
                    </w:rPr>
                    <w:t>共两层</w:t>
                  </w:r>
                  <w:r>
                    <w:rPr>
                      <w:rFonts w:hint="eastAsia" w:ascii="Times New Roman" w:hAnsi="Times New Roman"/>
                      <w:color w:val="auto"/>
                      <w:highlight w:val="none"/>
                      <w:lang w:val="en-US" w:eastAsia="zh-CN"/>
                    </w:rPr>
                    <w:t>7</w:t>
                  </w:r>
                  <w:r>
                    <w:rPr>
                      <w:rFonts w:hint="eastAsia" w:ascii="Times New Roman" w:hAnsi="Times New Roman"/>
                      <w:color w:val="auto"/>
                      <w:highlight w:val="none"/>
                    </w:rPr>
                    <w:t>m高，其中：1F主要为诊室、</w:t>
                  </w:r>
                  <w:r>
                    <w:rPr>
                      <w:rFonts w:hint="eastAsia" w:ascii="Times New Roman" w:hAnsi="Times New Roman"/>
                      <w:color w:val="auto"/>
                      <w:highlight w:val="none"/>
                      <w:lang w:val="en-US" w:eastAsia="zh-CN"/>
                    </w:rPr>
                    <w:t>雾化室</w:t>
                  </w:r>
                  <w:r>
                    <w:rPr>
                      <w:rFonts w:hint="eastAsia" w:ascii="Times New Roman" w:hAnsi="Times New Roman"/>
                      <w:color w:val="auto"/>
                      <w:highlight w:val="none"/>
                    </w:rPr>
                    <w:t>、</w:t>
                  </w:r>
                  <w:r>
                    <w:rPr>
                      <w:rFonts w:hint="eastAsia" w:ascii="Times New Roman" w:hAnsi="Times New Roman"/>
                      <w:color w:val="auto"/>
                      <w:highlight w:val="none"/>
                      <w:lang w:val="en-US" w:eastAsia="zh-CN"/>
                    </w:rPr>
                    <w:t>检查</w:t>
                  </w:r>
                  <w:r>
                    <w:rPr>
                      <w:rFonts w:hint="eastAsia" w:ascii="Times New Roman" w:hAnsi="Times New Roman"/>
                      <w:color w:val="auto"/>
                      <w:highlight w:val="none"/>
                    </w:rPr>
                    <w:t>室、药房、</w:t>
                  </w:r>
                  <w:r>
                    <w:rPr>
                      <w:rFonts w:hint="eastAsia" w:ascii="Times New Roman" w:hAnsi="Times New Roman"/>
                      <w:color w:val="auto"/>
                      <w:highlight w:val="none"/>
                      <w:lang w:val="en-US" w:eastAsia="zh-CN"/>
                    </w:rPr>
                    <w:t>输液室</w:t>
                  </w:r>
                  <w:r>
                    <w:rPr>
                      <w:rFonts w:hint="eastAsia" w:ascii="Times New Roman" w:hAnsi="Times New Roman"/>
                      <w:color w:val="auto"/>
                      <w:highlight w:val="none"/>
                    </w:rPr>
                    <w:t>等；2F主要为病房、</w:t>
                  </w:r>
                  <w:r>
                    <w:rPr>
                      <w:rFonts w:hint="eastAsia" w:ascii="Times New Roman" w:hAnsi="Times New Roman"/>
                      <w:color w:val="auto"/>
                      <w:highlight w:val="none"/>
                      <w:lang w:val="en-US" w:eastAsia="zh-CN"/>
                    </w:rPr>
                    <w:t>护士站</w:t>
                  </w:r>
                  <w:r>
                    <w:rPr>
                      <w:rFonts w:hint="eastAsia" w:ascii="Times New Roman" w:hAnsi="Times New Roman"/>
                      <w:color w:val="auto"/>
                      <w:highlight w:val="none"/>
                    </w:rPr>
                    <w:t>、办公室以及库房等</w:t>
                  </w:r>
                </w:p>
              </w:tc>
              <w:tc>
                <w:tcPr>
                  <w:tcW w:w="1023"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已建成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1068" w:type="dxa"/>
                  <w:tcMar>
                    <w:left w:w="28" w:type="dxa"/>
                    <w:right w:w="28" w:type="dxa"/>
                  </w:tcMar>
                  <w:vAlign w:val="center"/>
                </w:tcPr>
                <w:p>
                  <w:pPr>
                    <w:adjustRightInd w:val="0"/>
                    <w:snapToGrid w:val="0"/>
                    <w:jc w:val="center"/>
                    <w:rPr>
                      <w:rFonts w:ascii="Times New Roman" w:hAnsi="Times New Roman"/>
                      <w:bCs/>
                      <w:color w:val="auto"/>
                      <w:highlight w:val="none"/>
                    </w:rPr>
                  </w:pPr>
                  <w:r>
                    <w:rPr>
                      <w:rFonts w:hint="eastAsia" w:ascii="Times New Roman" w:hAnsi="Times New Roman"/>
                      <w:bCs/>
                      <w:color w:val="auto"/>
                      <w:highlight w:val="none"/>
                    </w:rPr>
                    <w:t>辅助工程</w:t>
                  </w:r>
                </w:p>
              </w:tc>
              <w:tc>
                <w:tcPr>
                  <w:tcW w:w="162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办公室</w:t>
                  </w:r>
                </w:p>
              </w:tc>
              <w:tc>
                <w:tcPr>
                  <w:tcW w:w="4213" w:type="dxa"/>
                  <w:vAlign w:val="center"/>
                </w:tcPr>
                <w:p>
                  <w:pPr>
                    <w:adjustRightInd w:val="0"/>
                    <w:snapToGrid w:val="0"/>
                    <w:jc w:val="left"/>
                    <w:rPr>
                      <w:rFonts w:ascii="Times New Roman" w:hAnsi="Times New Roman"/>
                      <w:color w:val="auto"/>
                      <w:highlight w:val="none"/>
                    </w:rPr>
                  </w:pPr>
                  <w:r>
                    <w:rPr>
                      <w:rFonts w:hint="eastAsia" w:ascii="Times New Roman" w:hAnsi="Times New Roman"/>
                      <w:color w:val="auto"/>
                      <w:highlight w:val="none"/>
                    </w:rPr>
                    <w:t>门诊楼</w:t>
                  </w:r>
                  <w:r>
                    <w:rPr>
                      <w:rFonts w:hint="eastAsia" w:ascii="Times New Roman" w:hAnsi="Times New Roman"/>
                      <w:color w:val="auto"/>
                      <w:highlight w:val="none"/>
                      <w:lang w:val="en-US" w:eastAsia="zh-CN"/>
                    </w:rPr>
                    <w:t>共</w:t>
                  </w:r>
                  <w:r>
                    <w:rPr>
                      <w:rFonts w:hint="eastAsia" w:ascii="Times New Roman" w:hAnsi="Times New Roman"/>
                      <w:color w:val="auto"/>
                      <w:highlight w:val="none"/>
                    </w:rPr>
                    <w:t>设置行政及医疗办公室</w:t>
                  </w:r>
                  <w:r>
                    <w:rPr>
                      <w:rFonts w:hint="eastAsia" w:ascii="Times New Roman" w:hAnsi="Times New Roman"/>
                      <w:color w:val="auto"/>
                      <w:highlight w:val="none"/>
                      <w:lang w:val="en-US" w:eastAsia="zh-CN"/>
                    </w:rPr>
                    <w:t>约4</w:t>
                  </w:r>
                  <w:r>
                    <w:rPr>
                      <w:rFonts w:hint="eastAsia" w:ascii="Times New Roman" w:hAnsi="Times New Roman"/>
                      <w:color w:val="auto"/>
                      <w:highlight w:val="none"/>
                    </w:rPr>
                    <w:t>间，不新增劳动定员，劳动定员由医院现有医护人员调度，用人约</w:t>
                  </w:r>
                  <w:r>
                    <w:rPr>
                      <w:rFonts w:hint="eastAsia" w:ascii="Times New Roman" w:hAnsi="Times New Roman"/>
                      <w:color w:val="auto"/>
                      <w:highlight w:val="none"/>
                      <w:lang w:val="en-US" w:eastAsia="zh-CN"/>
                    </w:rPr>
                    <w:t>2</w:t>
                  </w:r>
                  <w:r>
                    <w:rPr>
                      <w:rFonts w:hint="eastAsia" w:ascii="Times New Roman" w:hAnsi="Times New Roman"/>
                      <w:color w:val="auto"/>
                      <w:highlight w:val="none"/>
                    </w:rPr>
                    <w:t>0人</w:t>
                  </w:r>
                </w:p>
              </w:tc>
              <w:tc>
                <w:tcPr>
                  <w:tcW w:w="1023"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已建成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68" w:type="dxa"/>
                  <w:vMerge w:val="restart"/>
                  <w:tcMar>
                    <w:left w:w="28" w:type="dxa"/>
                    <w:right w:w="28" w:type="dxa"/>
                  </w:tcMar>
                  <w:vAlign w:val="center"/>
                </w:tcPr>
                <w:p>
                  <w:pPr>
                    <w:adjustRightInd w:val="0"/>
                    <w:snapToGrid w:val="0"/>
                    <w:jc w:val="center"/>
                    <w:rPr>
                      <w:rFonts w:ascii="Times New Roman" w:hAnsi="Times New Roman"/>
                      <w:bCs/>
                      <w:color w:val="auto"/>
                      <w:highlight w:val="none"/>
                    </w:rPr>
                  </w:pPr>
                  <w:r>
                    <w:rPr>
                      <w:rFonts w:ascii="Times New Roman" w:hAnsi="Times New Roman"/>
                      <w:bCs/>
                      <w:color w:val="auto"/>
                      <w:highlight w:val="none"/>
                    </w:rPr>
                    <w:t>公用工程</w:t>
                  </w:r>
                </w:p>
              </w:tc>
              <w:tc>
                <w:tcPr>
                  <w:tcW w:w="1625" w:type="dxa"/>
                  <w:vAlign w:val="center"/>
                </w:tcPr>
                <w:p>
                  <w:pPr>
                    <w:pStyle w:val="5"/>
                    <w:widowControl/>
                    <w:adjustRightInd w:val="0"/>
                    <w:snapToGrid w:val="0"/>
                    <w:ind w:firstLine="0"/>
                    <w:jc w:val="center"/>
                    <w:rPr>
                      <w:color w:val="auto"/>
                      <w:sz w:val="21"/>
                      <w:szCs w:val="21"/>
                      <w:highlight w:val="none"/>
                    </w:rPr>
                  </w:pPr>
                  <w:r>
                    <w:rPr>
                      <w:color w:val="auto"/>
                      <w:sz w:val="21"/>
                      <w:szCs w:val="21"/>
                      <w:highlight w:val="none"/>
                    </w:rPr>
                    <w:t>给水</w:t>
                  </w:r>
                </w:p>
              </w:tc>
              <w:tc>
                <w:tcPr>
                  <w:tcW w:w="4213" w:type="dxa"/>
                  <w:vAlign w:val="center"/>
                </w:tcPr>
                <w:p>
                  <w:pPr>
                    <w:pStyle w:val="5"/>
                    <w:widowControl/>
                    <w:adjustRightInd w:val="0"/>
                    <w:snapToGrid w:val="0"/>
                    <w:ind w:firstLine="0"/>
                    <w:jc w:val="center"/>
                    <w:rPr>
                      <w:color w:val="auto"/>
                      <w:sz w:val="21"/>
                      <w:szCs w:val="21"/>
                      <w:highlight w:val="none"/>
                    </w:rPr>
                  </w:pPr>
                  <w:r>
                    <w:rPr>
                      <w:color w:val="auto"/>
                      <w:sz w:val="21"/>
                      <w:szCs w:val="21"/>
                      <w:highlight w:val="none"/>
                    </w:rPr>
                    <w:t>由</w:t>
                  </w:r>
                  <w:r>
                    <w:rPr>
                      <w:rFonts w:hint="eastAsia"/>
                      <w:color w:val="auto"/>
                      <w:sz w:val="21"/>
                      <w:szCs w:val="21"/>
                      <w:highlight w:val="none"/>
                    </w:rPr>
                    <w:t>医院</w:t>
                  </w:r>
                  <w:r>
                    <w:rPr>
                      <w:color w:val="auto"/>
                      <w:sz w:val="21"/>
                      <w:szCs w:val="21"/>
                      <w:highlight w:val="none"/>
                    </w:rPr>
                    <w:t>自来水管网供给</w:t>
                  </w:r>
                </w:p>
              </w:tc>
              <w:tc>
                <w:tcPr>
                  <w:tcW w:w="1023" w:type="dxa"/>
                  <w:vAlign w:val="center"/>
                </w:tcPr>
                <w:p>
                  <w:pPr>
                    <w:pStyle w:val="5"/>
                    <w:widowControl/>
                    <w:adjustRightInd w:val="0"/>
                    <w:snapToGrid w:val="0"/>
                    <w:ind w:firstLine="0"/>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625"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排水</w:t>
                  </w:r>
                </w:p>
              </w:tc>
              <w:tc>
                <w:tcPr>
                  <w:tcW w:w="4213" w:type="dxa"/>
                  <w:vAlign w:val="center"/>
                </w:tcPr>
                <w:p>
                  <w:pPr>
                    <w:pStyle w:val="5"/>
                    <w:widowControl/>
                    <w:adjustRightInd w:val="0"/>
                    <w:snapToGrid w:val="0"/>
                    <w:ind w:firstLine="0"/>
                    <w:jc w:val="left"/>
                    <w:rPr>
                      <w:color w:val="auto"/>
                      <w:sz w:val="21"/>
                      <w:szCs w:val="21"/>
                      <w:highlight w:val="none"/>
                    </w:rPr>
                  </w:pPr>
                  <w:r>
                    <w:rPr>
                      <w:rFonts w:hint="eastAsia"/>
                      <w:color w:val="auto"/>
                      <w:sz w:val="21"/>
                      <w:szCs w:val="21"/>
                      <w:highlight w:val="none"/>
                    </w:rPr>
                    <w:t>发热门诊废水集中收集，经预处理后排入医院污水站，达标处理后排入市政污水管网，最终进入西安市第一污水处理厂集中处理</w:t>
                  </w:r>
                </w:p>
              </w:tc>
              <w:tc>
                <w:tcPr>
                  <w:tcW w:w="1023" w:type="dxa"/>
                  <w:vAlign w:val="center"/>
                </w:tcPr>
                <w:p>
                  <w:pPr>
                    <w:adjustRightInd w:val="0"/>
                    <w:snapToGrid w:val="0"/>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625"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供电</w:t>
                  </w:r>
                </w:p>
              </w:tc>
              <w:tc>
                <w:tcPr>
                  <w:tcW w:w="4213" w:type="dxa"/>
                  <w:vAlign w:val="center"/>
                </w:tcPr>
                <w:p>
                  <w:pPr>
                    <w:pStyle w:val="5"/>
                    <w:widowControl/>
                    <w:adjustRightInd w:val="0"/>
                    <w:snapToGrid w:val="0"/>
                    <w:ind w:firstLine="0"/>
                    <w:jc w:val="center"/>
                    <w:rPr>
                      <w:color w:val="auto"/>
                      <w:sz w:val="21"/>
                      <w:szCs w:val="21"/>
                      <w:highlight w:val="none"/>
                    </w:rPr>
                  </w:pPr>
                  <w:r>
                    <w:rPr>
                      <w:color w:val="auto"/>
                      <w:sz w:val="21"/>
                      <w:szCs w:val="21"/>
                      <w:highlight w:val="none"/>
                    </w:rPr>
                    <w:t>由</w:t>
                  </w:r>
                  <w:r>
                    <w:rPr>
                      <w:rFonts w:hint="eastAsia"/>
                      <w:color w:val="auto"/>
                      <w:sz w:val="21"/>
                      <w:szCs w:val="21"/>
                      <w:highlight w:val="none"/>
                    </w:rPr>
                    <w:t>医院</w:t>
                  </w:r>
                  <w:r>
                    <w:rPr>
                      <w:color w:val="auto"/>
                      <w:sz w:val="21"/>
                      <w:szCs w:val="21"/>
                      <w:highlight w:val="none"/>
                    </w:rPr>
                    <w:t>电网供给</w:t>
                  </w:r>
                </w:p>
              </w:tc>
              <w:tc>
                <w:tcPr>
                  <w:tcW w:w="1023" w:type="dxa"/>
                  <w:vAlign w:val="center"/>
                </w:tcPr>
                <w:p>
                  <w:pPr>
                    <w:adjustRightInd w:val="0"/>
                    <w:snapToGrid w:val="0"/>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62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采暖制冷</w:t>
                  </w:r>
                </w:p>
              </w:tc>
              <w:tc>
                <w:tcPr>
                  <w:tcW w:w="4213" w:type="dxa"/>
                  <w:vAlign w:val="center"/>
                </w:tcPr>
                <w:p>
                  <w:pPr>
                    <w:pStyle w:val="5"/>
                    <w:widowControl/>
                    <w:adjustRightInd w:val="0"/>
                    <w:snapToGrid w:val="0"/>
                    <w:ind w:firstLine="0"/>
                    <w:jc w:val="center"/>
                    <w:rPr>
                      <w:color w:val="auto"/>
                      <w:sz w:val="21"/>
                      <w:szCs w:val="21"/>
                      <w:highlight w:val="none"/>
                    </w:rPr>
                  </w:pPr>
                  <w:r>
                    <w:rPr>
                      <w:rFonts w:hint="eastAsia"/>
                      <w:color w:val="auto"/>
                      <w:sz w:val="21"/>
                      <w:szCs w:val="21"/>
                      <w:highlight w:val="none"/>
                    </w:rPr>
                    <w:t>采暖采用市政供暖，制冷采用分体式空调</w:t>
                  </w:r>
                </w:p>
              </w:tc>
              <w:tc>
                <w:tcPr>
                  <w:tcW w:w="1023" w:type="dxa"/>
                  <w:vAlign w:val="center"/>
                </w:tcPr>
                <w:p>
                  <w:pPr>
                    <w:adjustRightInd w:val="0"/>
                    <w:snapToGrid w:val="0"/>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68" w:type="dxa"/>
                  <w:vMerge w:val="restart"/>
                  <w:tcMar>
                    <w:left w:w="28" w:type="dxa"/>
                    <w:right w:w="28" w:type="dxa"/>
                  </w:tcMar>
                  <w:vAlign w:val="center"/>
                </w:tcPr>
                <w:p>
                  <w:pPr>
                    <w:adjustRightInd w:val="0"/>
                    <w:snapToGrid w:val="0"/>
                    <w:jc w:val="center"/>
                    <w:rPr>
                      <w:rFonts w:ascii="Times New Roman" w:hAnsi="Times New Roman"/>
                      <w:bCs/>
                      <w:color w:val="auto"/>
                      <w:highlight w:val="none"/>
                    </w:rPr>
                  </w:pPr>
                  <w:r>
                    <w:rPr>
                      <w:rFonts w:ascii="Times New Roman" w:hAnsi="Times New Roman"/>
                      <w:bCs/>
                      <w:color w:val="auto"/>
                      <w:highlight w:val="none"/>
                    </w:rPr>
                    <w:t>环保工程</w:t>
                  </w:r>
                </w:p>
              </w:tc>
              <w:tc>
                <w:tcPr>
                  <w:tcW w:w="1625"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废水</w:t>
                  </w:r>
                </w:p>
              </w:tc>
              <w:tc>
                <w:tcPr>
                  <w:tcW w:w="4213" w:type="dxa"/>
                  <w:vAlign w:val="center"/>
                </w:tcPr>
                <w:p>
                  <w:pPr>
                    <w:adjustRightInd w:val="0"/>
                    <w:snapToGrid w:val="0"/>
                    <w:jc w:val="left"/>
                    <w:rPr>
                      <w:rFonts w:ascii="Times New Roman" w:hAnsi="Times New Roman"/>
                      <w:color w:val="auto"/>
                      <w:highlight w:val="none"/>
                    </w:rPr>
                  </w:pPr>
                  <w:r>
                    <w:rPr>
                      <w:rFonts w:hint="eastAsia"/>
                      <w:color w:val="auto"/>
                      <w:highlight w:val="none"/>
                    </w:rPr>
                    <w:t>发热门诊废水集中收集，</w:t>
                  </w:r>
                  <w:r>
                    <w:rPr>
                      <w:rFonts w:hint="eastAsia"/>
                      <w:color w:val="auto"/>
                      <w:highlight w:val="none"/>
                      <w:lang w:val="en-US" w:eastAsia="zh-CN"/>
                    </w:rPr>
                    <w:t>医疗废水</w:t>
                  </w:r>
                  <w:r>
                    <w:rPr>
                      <w:rFonts w:hint="eastAsia"/>
                      <w:color w:val="auto"/>
                      <w:highlight w:val="none"/>
                    </w:rPr>
                    <w:t>经</w:t>
                  </w:r>
                  <w:r>
                    <w:rPr>
                      <w:rFonts w:hint="eastAsia"/>
                      <w:color w:val="auto"/>
                      <w:highlight w:val="none"/>
                      <w:lang w:val="en-US" w:eastAsia="zh-CN"/>
                    </w:rPr>
                    <w:t>加氯消毒</w:t>
                  </w:r>
                  <w:r>
                    <w:rPr>
                      <w:rFonts w:hint="eastAsia"/>
                      <w:color w:val="auto"/>
                      <w:highlight w:val="none"/>
                    </w:rPr>
                    <w:t>预处理后排入医院污水站，达标处理后排入市政污水管网，最终进入西安市第一污水处理厂集中处理</w:t>
                  </w:r>
                </w:p>
              </w:tc>
              <w:tc>
                <w:tcPr>
                  <w:tcW w:w="1023"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2"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625"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噪声</w:t>
                  </w:r>
                </w:p>
              </w:tc>
              <w:tc>
                <w:tcPr>
                  <w:tcW w:w="4213" w:type="dxa"/>
                  <w:vAlign w:val="center"/>
                </w:tcPr>
                <w:p>
                  <w:pPr>
                    <w:adjustRightInd w:val="0"/>
                    <w:snapToGrid w:val="0"/>
                    <w:jc w:val="left"/>
                    <w:rPr>
                      <w:rFonts w:ascii="Times New Roman" w:hAnsi="Times New Roman"/>
                      <w:color w:val="auto"/>
                      <w:highlight w:val="none"/>
                    </w:rPr>
                  </w:pPr>
                  <w:r>
                    <w:rPr>
                      <w:rFonts w:hint="eastAsia"/>
                      <w:color w:val="auto"/>
                      <w:highlight w:val="none"/>
                    </w:rPr>
                    <w:t>选用低噪设备，采用隔声、</w:t>
                  </w:r>
                  <w:r>
                    <w:rPr>
                      <w:color w:val="auto"/>
                      <w:highlight w:val="none"/>
                    </w:rPr>
                    <w:t>减振</w:t>
                  </w:r>
                  <w:r>
                    <w:rPr>
                      <w:rFonts w:hint="eastAsia"/>
                      <w:color w:val="auto"/>
                      <w:highlight w:val="none"/>
                    </w:rPr>
                    <w:t>等</w:t>
                  </w:r>
                  <w:r>
                    <w:rPr>
                      <w:color w:val="auto"/>
                      <w:highlight w:val="none"/>
                    </w:rPr>
                    <w:t>降噪措施</w:t>
                  </w:r>
                </w:p>
              </w:tc>
              <w:tc>
                <w:tcPr>
                  <w:tcW w:w="1023" w:type="dxa"/>
                  <w:vAlign w:val="center"/>
                </w:tcPr>
                <w:p>
                  <w:pPr>
                    <w:adjustRightInd w:val="0"/>
                    <w:snapToGrid w:val="0"/>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625" w:type="dxa"/>
                  <w:vMerge w:val="restart"/>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固废</w:t>
                  </w:r>
                </w:p>
              </w:tc>
              <w:tc>
                <w:tcPr>
                  <w:tcW w:w="4213" w:type="dxa"/>
                  <w:vAlign w:val="center"/>
                </w:tcPr>
                <w:p>
                  <w:pPr>
                    <w:adjustRightInd w:val="0"/>
                    <w:snapToGrid w:val="0"/>
                    <w:jc w:val="left"/>
                    <w:rPr>
                      <w:rFonts w:hint="default" w:ascii="Times New Roman" w:hAnsi="Times New Roman" w:eastAsia="宋体"/>
                      <w:color w:val="auto"/>
                      <w:highlight w:val="none"/>
                      <w:lang w:val="en-US" w:eastAsia="zh-CN"/>
                    </w:rPr>
                  </w:pPr>
                  <w:r>
                    <w:rPr>
                      <w:rFonts w:hint="eastAsia" w:ascii="Times New Roman" w:hAnsi="Times New Roman"/>
                      <w:color w:val="auto"/>
                      <w:highlight w:val="none"/>
                    </w:rPr>
                    <w:t>发热门诊</w:t>
                  </w:r>
                  <w:r>
                    <w:rPr>
                      <w:rFonts w:ascii="Times New Roman" w:hAnsi="Times New Roman"/>
                      <w:color w:val="auto"/>
                      <w:highlight w:val="none"/>
                    </w:rPr>
                    <w:t>生活垃圾</w:t>
                  </w:r>
                  <w:r>
                    <w:rPr>
                      <w:rFonts w:hint="eastAsia" w:ascii="Times New Roman" w:hAnsi="Times New Roman"/>
                      <w:color w:val="auto"/>
                      <w:highlight w:val="none"/>
                      <w:lang w:val="en-US" w:eastAsia="zh-CN"/>
                    </w:rPr>
                    <w:t>消毒后</w:t>
                  </w:r>
                  <w:r>
                    <w:rPr>
                      <w:rFonts w:hint="eastAsia" w:ascii="Times New Roman" w:hAnsi="Times New Roman"/>
                      <w:color w:val="auto"/>
                      <w:highlight w:val="none"/>
                    </w:rPr>
                    <w:t>，分类收集，</w:t>
                  </w:r>
                  <w:r>
                    <w:rPr>
                      <w:rFonts w:hint="eastAsia" w:ascii="Times New Roman" w:hAnsi="Times New Roman"/>
                      <w:bCs/>
                      <w:color w:val="auto"/>
                      <w:kern w:val="2"/>
                      <w:highlight w:val="none"/>
                      <w:lang w:val="en-US" w:eastAsia="zh-CN"/>
                    </w:rPr>
                    <w:t>由环卫部门定期清运</w:t>
                  </w:r>
                </w:p>
              </w:tc>
              <w:tc>
                <w:tcPr>
                  <w:tcW w:w="1023" w:type="dxa"/>
                  <w:vAlign w:val="center"/>
                </w:tcPr>
                <w:p>
                  <w:pPr>
                    <w:adjustRightInd w:val="0"/>
                    <w:snapToGrid w:val="0"/>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625" w:type="dxa"/>
                  <w:vMerge w:val="continue"/>
                  <w:vAlign w:val="center"/>
                </w:tcPr>
                <w:p>
                  <w:pPr>
                    <w:adjustRightInd w:val="0"/>
                    <w:snapToGrid w:val="0"/>
                    <w:jc w:val="center"/>
                    <w:rPr>
                      <w:rFonts w:ascii="Times New Roman" w:hAnsi="Times New Roman"/>
                      <w:color w:val="auto"/>
                      <w:highlight w:val="none"/>
                    </w:rPr>
                  </w:pPr>
                </w:p>
              </w:tc>
              <w:tc>
                <w:tcPr>
                  <w:tcW w:w="4213" w:type="dxa"/>
                  <w:vAlign w:val="center"/>
                </w:tcPr>
                <w:p>
                  <w:pPr>
                    <w:adjustRightInd w:val="0"/>
                    <w:snapToGrid w:val="0"/>
                    <w:jc w:val="left"/>
                    <w:rPr>
                      <w:rFonts w:ascii="Times New Roman" w:hAnsi="Times New Roman"/>
                      <w:color w:val="auto"/>
                      <w:highlight w:val="none"/>
                    </w:rPr>
                  </w:pPr>
                  <w:r>
                    <w:rPr>
                      <w:rFonts w:hint="eastAsia" w:ascii="Times New Roman" w:hAnsi="Times New Roman"/>
                      <w:color w:val="auto"/>
                      <w:highlight w:val="none"/>
                    </w:rPr>
                    <w:t>发热门诊</w:t>
                  </w:r>
                  <w:r>
                    <w:rPr>
                      <w:rFonts w:hint="eastAsia" w:ascii="Times New Roman" w:hAnsi="Times New Roman"/>
                      <w:bCs/>
                      <w:color w:val="auto"/>
                      <w:kern w:val="2"/>
                      <w:highlight w:val="none"/>
                    </w:rPr>
                    <w:t>医疗废物采取医疗废物垃圾桶收集，暂置于</w:t>
                  </w:r>
                  <w:r>
                    <w:rPr>
                      <w:rFonts w:hint="eastAsia" w:ascii="Times New Roman" w:hAnsi="Times New Roman"/>
                      <w:bCs/>
                      <w:color w:val="auto"/>
                      <w:kern w:val="2"/>
                      <w:highlight w:val="none"/>
                      <w:lang w:val="en-US" w:eastAsia="zh-CN"/>
                    </w:rPr>
                    <w:t>医院现有</w:t>
                  </w:r>
                  <w:r>
                    <w:rPr>
                      <w:rFonts w:hint="eastAsia" w:ascii="Times New Roman" w:hAnsi="Times New Roman"/>
                      <w:bCs/>
                      <w:color w:val="auto"/>
                      <w:kern w:val="2"/>
                      <w:highlight w:val="none"/>
                    </w:rPr>
                    <w:t>医废暂存间，定期交</w:t>
                  </w:r>
                  <w:r>
                    <w:rPr>
                      <w:rFonts w:hint="eastAsia" w:ascii="Times New Roman" w:hAnsi="Times New Roman"/>
                      <w:bCs/>
                      <w:color w:val="auto"/>
                      <w:kern w:val="2"/>
                      <w:highlight w:val="none"/>
                      <w:lang w:val="en-US" w:eastAsia="zh-CN"/>
                    </w:rPr>
                    <w:t>由陕西宏恩等离子技术有限责任公司</w:t>
                  </w:r>
                  <w:r>
                    <w:rPr>
                      <w:rFonts w:hint="eastAsia" w:ascii="Times New Roman" w:hAnsi="Times New Roman"/>
                      <w:bCs/>
                      <w:color w:val="auto"/>
                      <w:kern w:val="2"/>
                      <w:highlight w:val="none"/>
                    </w:rPr>
                    <w:t>收集处置</w:t>
                  </w:r>
                </w:p>
              </w:tc>
              <w:tc>
                <w:tcPr>
                  <w:tcW w:w="1023"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restart"/>
                  <w:tcMar>
                    <w:left w:w="28" w:type="dxa"/>
                    <w:right w:w="28" w:type="dxa"/>
                  </w:tcMar>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依托工程</w:t>
                  </w:r>
                </w:p>
              </w:tc>
              <w:tc>
                <w:tcPr>
                  <w:tcW w:w="162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污水处理站</w:t>
                  </w:r>
                </w:p>
              </w:tc>
              <w:tc>
                <w:tcPr>
                  <w:tcW w:w="4213" w:type="dxa"/>
                  <w:vAlign w:val="center"/>
                </w:tcPr>
                <w:p>
                  <w:pPr>
                    <w:wordWrap w:val="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废水排放</w:t>
                  </w:r>
                  <w:r>
                    <w:rPr>
                      <w:rFonts w:ascii="Times New Roman" w:hAnsi="Times New Roman"/>
                      <w:color w:val="auto"/>
                      <w:highlight w:val="none"/>
                    </w:rPr>
                    <w:t>依托</w:t>
                  </w:r>
                  <w:r>
                    <w:rPr>
                      <w:rFonts w:hint="eastAsia" w:ascii="Times New Roman" w:hAnsi="Times New Roman"/>
                      <w:color w:val="auto"/>
                      <w:highlight w:val="none"/>
                    </w:rPr>
                    <w:t>医院现有1座污水站</w:t>
                  </w:r>
                  <w:r>
                    <w:rPr>
                      <w:rFonts w:ascii="Times New Roman" w:hAnsi="Times New Roman"/>
                      <w:color w:val="auto"/>
                      <w:highlight w:val="none"/>
                    </w:rPr>
                    <w:t>进行处理</w:t>
                  </w:r>
                  <w:r>
                    <w:rPr>
                      <w:rFonts w:hint="eastAsia" w:ascii="Times New Roman" w:hAnsi="Times New Roman"/>
                      <w:color w:val="auto"/>
                      <w:highlight w:val="none"/>
                    </w:rPr>
                    <w:t>，该</w:t>
                  </w:r>
                  <w:r>
                    <w:rPr>
                      <w:rFonts w:ascii="Times New Roman" w:hAnsi="Times New Roman"/>
                      <w:color w:val="auto"/>
                      <w:highlight w:val="none"/>
                    </w:rPr>
                    <w:t>污水处理站</w:t>
                  </w:r>
                  <w:r>
                    <w:rPr>
                      <w:rFonts w:hint="eastAsia" w:ascii="Times New Roman" w:hAnsi="Times New Roman"/>
                      <w:color w:val="auto"/>
                      <w:highlight w:val="none"/>
                    </w:rPr>
                    <w:t>设计日处理规模35</w:t>
                  </w:r>
                  <w:r>
                    <w:rPr>
                      <w:rFonts w:ascii="Times New Roman" w:hAnsi="Times New Roman"/>
                      <w:color w:val="auto"/>
                      <w:highlight w:val="none"/>
                    </w:rPr>
                    <w:t>0m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，处理工艺为“二级处理</w:t>
                  </w:r>
                  <w:r>
                    <w:rPr>
                      <w:rFonts w:ascii="Times New Roman" w:hAnsi="Times New Roman"/>
                      <w:color w:val="auto"/>
                      <w:highlight w:val="none"/>
                    </w:rPr>
                    <w:t>+</w:t>
                  </w:r>
                  <w:r>
                    <w:rPr>
                      <w:rFonts w:hint="eastAsia" w:ascii="Times New Roman" w:hAnsi="Times New Roman"/>
                      <w:color w:val="auto"/>
                      <w:highlight w:val="none"/>
                    </w:rPr>
                    <w:t>二氧化氯消毒”，属</w:t>
                  </w:r>
                  <w:r>
                    <w:rPr>
                      <w:rFonts w:ascii="Times New Roman" w:hAnsi="Times New Roman"/>
                      <w:color w:val="auto"/>
                      <w:highlight w:val="none"/>
                    </w:rPr>
                    <w:t>排污许可</w:t>
                  </w:r>
                  <w:r>
                    <w:rPr>
                      <w:rFonts w:hint="eastAsia" w:ascii="Times New Roman" w:hAnsi="Times New Roman"/>
                      <w:color w:val="auto"/>
                      <w:highlight w:val="none"/>
                    </w:rPr>
                    <w:t>中“可行技术，现日处理水量约</w:t>
                  </w:r>
                  <w:r>
                    <w:rPr>
                      <w:rFonts w:hint="eastAsia" w:ascii="Times New Roman" w:hAnsi="Times New Roman"/>
                      <w:color w:val="auto"/>
                      <w:highlight w:val="none"/>
                      <w:lang w:eastAsia="zh-CN"/>
                    </w:rPr>
                    <w:t>247</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本项目污水产生量</w:t>
                  </w:r>
                  <w:r>
                    <w:rPr>
                      <w:rFonts w:hint="eastAsia" w:ascii="Times New Roman" w:hAnsi="Times New Roman"/>
                      <w:color w:val="auto"/>
                      <w:highlight w:val="none"/>
                      <w:lang w:val="en-US" w:eastAsia="zh-CN"/>
                    </w:rPr>
                    <w:t>约19</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污水站处理能力余量充足。</w:t>
                  </w:r>
                </w:p>
              </w:tc>
              <w:tc>
                <w:tcPr>
                  <w:tcW w:w="1023"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依托</w:t>
                  </w:r>
                </w:p>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hint="eastAsia" w:ascii="Times New Roman" w:hAnsi="Times New Roman"/>
                      <w:color w:val="auto"/>
                      <w:highlight w:val="none"/>
                    </w:rPr>
                  </w:pPr>
                </w:p>
              </w:tc>
              <w:tc>
                <w:tcPr>
                  <w:tcW w:w="1625" w:type="dxa"/>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危废暂存间</w:t>
                  </w:r>
                </w:p>
              </w:tc>
              <w:tc>
                <w:tcPr>
                  <w:tcW w:w="4213" w:type="dxa"/>
                  <w:vAlign w:val="center"/>
                </w:tcPr>
                <w:p>
                  <w:pPr>
                    <w:wordWrap w:val="0"/>
                    <w:rPr>
                      <w:rFonts w:hint="default" w:ascii="Times New Roman" w:hAnsi="Times New Roman" w:eastAsia="宋体"/>
                      <w:color w:val="auto"/>
                      <w:highlight w:val="none"/>
                      <w:lang w:val="en-US" w:eastAsia="zh-CN"/>
                    </w:rPr>
                  </w:pPr>
                  <w:r>
                    <w:rPr>
                      <w:rFonts w:hint="eastAsia" w:ascii="Times New Roman" w:hAnsi="Times New Roman"/>
                      <w:bCs/>
                      <w:color w:val="auto"/>
                      <w:kern w:val="2"/>
                      <w:highlight w:val="none"/>
                      <w:lang w:val="en-US" w:eastAsia="zh-CN"/>
                    </w:rPr>
                    <w:t>医院现有</w:t>
                  </w:r>
                  <w:r>
                    <w:rPr>
                      <w:rFonts w:hint="eastAsia" w:ascii="Times New Roman" w:hAnsi="Times New Roman"/>
                      <w:bCs/>
                      <w:color w:val="auto"/>
                      <w:kern w:val="2"/>
                      <w:highlight w:val="none"/>
                    </w:rPr>
                    <w:t>医废暂存间</w:t>
                  </w:r>
                  <w:r>
                    <w:rPr>
                      <w:rFonts w:hint="eastAsia" w:ascii="Times New Roman" w:hAnsi="Times New Roman"/>
                      <w:bCs/>
                      <w:color w:val="auto"/>
                      <w:kern w:val="2"/>
                      <w:highlight w:val="none"/>
                      <w:lang w:val="en-US" w:eastAsia="zh-CN"/>
                    </w:rPr>
                    <w:t>1座，位于医院南侧，面积25m</w:t>
                  </w:r>
                  <w:r>
                    <w:rPr>
                      <w:rFonts w:hint="eastAsia" w:ascii="Times New Roman" w:hAnsi="Times New Roman"/>
                      <w:bCs/>
                      <w:color w:val="auto"/>
                      <w:kern w:val="2"/>
                      <w:highlight w:val="none"/>
                      <w:vertAlign w:val="superscript"/>
                      <w:lang w:val="en-US" w:eastAsia="zh-CN"/>
                    </w:rPr>
                    <w:t>2</w:t>
                  </w:r>
                  <w:r>
                    <w:rPr>
                      <w:rFonts w:hint="eastAsia" w:ascii="Times New Roman" w:hAnsi="Times New Roman"/>
                      <w:bCs/>
                      <w:color w:val="auto"/>
                      <w:kern w:val="2"/>
                      <w:highlight w:val="none"/>
                      <w:lang w:val="en-US" w:eastAsia="zh-CN"/>
                    </w:rPr>
                    <w:t>，有足够的的空间容纳本项目</w:t>
                  </w:r>
                  <w:r>
                    <w:rPr>
                      <w:rFonts w:hint="eastAsia" w:ascii="Times New Roman" w:hAnsi="Times New Roman"/>
                      <w:color w:val="auto"/>
                      <w:highlight w:val="none"/>
                    </w:rPr>
                    <w:t>发热门诊</w:t>
                  </w:r>
                  <w:r>
                    <w:rPr>
                      <w:rFonts w:hint="eastAsia" w:ascii="Times New Roman" w:hAnsi="Times New Roman"/>
                      <w:bCs/>
                      <w:color w:val="auto"/>
                      <w:kern w:val="2"/>
                      <w:highlight w:val="none"/>
                    </w:rPr>
                    <w:t>医疗废物</w:t>
                  </w:r>
                  <w:r>
                    <w:rPr>
                      <w:rFonts w:hint="eastAsia" w:ascii="Times New Roman" w:hAnsi="Times New Roman"/>
                      <w:bCs/>
                      <w:color w:val="auto"/>
                      <w:kern w:val="2"/>
                      <w:highlight w:val="none"/>
                      <w:lang w:eastAsia="zh-CN"/>
                    </w:rPr>
                    <w:t>，</w:t>
                  </w:r>
                  <w:r>
                    <w:rPr>
                      <w:rFonts w:hint="eastAsia" w:ascii="Times New Roman" w:hAnsi="Times New Roman"/>
                      <w:bCs/>
                      <w:color w:val="auto"/>
                      <w:kern w:val="2"/>
                      <w:highlight w:val="none"/>
                      <w:lang w:val="en-US" w:eastAsia="zh-CN"/>
                    </w:rPr>
                    <w:t>依托可行。</w:t>
                  </w:r>
                </w:p>
              </w:tc>
              <w:tc>
                <w:tcPr>
                  <w:tcW w:w="1023"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依托</w:t>
                  </w:r>
                </w:p>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可行</w:t>
                  </w:r>
                </w:p>
              </w:tc>
            </w:tr>
          </w:tbl>
          <w:p>
            <w:pPr>
              <w:adjustRightInd w:val="0"/>
              <w:snapToGrid w:val="0"/>
              <w:ind w:firstLine="422" w:firstLineChars="200"/>
              <w:rPr>
                <w:rFonts w:ascii="Times New Roman" w:hAnsi="Times New Roman"/>
                <w:b/>
                <w:color w:val="auto"/>
                <w:highlight w:val="none"/>
              </w:rPr>
            </w:pPr>
            <w:r>
              <w:rPr>
                <w:rFonts w:hint="eastAsia" w:ascii="Times New Roman" w:hAnsi="Times New Roman"/>
                <w:b/>
                <w:color w:val="auto"/>
                <w:highlight w:val="none"/>
              </w:rPr>
              <w:t>3</w:t>
            </w:r>
            <w:r>
              <w:rPr>
                <w:rFonts w:ascii="Times New Roman" w:hAnsi="Times New Roman"/>
                <w:b/>
                <w:color w:val="auto"/>
                <w:highlight w:val="none"/>
              </w:rPr>
              <w:t>、</w:t>
            </w:r>
            <w:r>
              <w:rPr>
                <w:rFonts w:hint="eastAsia" w:ascii="Times New Roman" w:hAnsi="Times New Roman"/>
                <w:b/>
                <w:color w:val="auto"/>
                <w:highlight w:val="none"/>
              </w:rPr>
              <w:t>项目主要医疗用品</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项目主要医疗用品</w:t>
            </w:r>
            <w:r>
              <w:rPr>
                <w:rFonts w:hint="eastAsia" w:ascii="Times New Roman" w:hAnsi="Times New Roman"/>
                <w:color w:val="auto"/>
                <w:highlight w:val="none"/>
                <w:lang w:val="en-US" w:eastAsia="zh-CN"/>
              </w:rPr>
              <w:t>及能源消耗</w:t>
            </w:r>
            <w:r>
              <w:rPr>
                <w:rFonts w:ascii="Times New Roman" w:hAnsi="Times New Roman"/>
                <w:color w:val="auto"/>
                <w:highlight w:val="none"/>
              </w:rPr>
              <w:t>情况见表</w:t>
            </w:r>
            <w:r>
              <w:rPr>
                <w:rFonts w:hint="eastAsia" w:ascii="Times New Roman" w:hAnsi="Times New Roman"/>
                <w:color w:val="auto"/>
                <w:highlight w:val="none"/>
              </w:rPr>
              <w:t>2-2</w:t>
            </w:r>
            <w:r>
              <w:rPr>
                <w:rFonts w:ascii="Times New Roman" w:hAnsi="Times New Roman"/>
                <w:color w:val="auto"/>
                <w:highlight w:val="none"/>
              </w:rPr>
              <w:t>。</w:t>
            </w:r>
          </w:p>
          <w:p>
            <w:pPr>
              <w:jc w:val="center"/>
              <w:rPr>
                <w:rFonts w:ascii="Times New Roman" w:hAnsi="Times New Roman"/>
                <w:b/>
                <w:color w:val="auto"/>
                <w:highlight w:val="none"/>
              </w:rPr>
            </w:pPr>
            <w:r>
              <w:rPr>
                <w:rFonts w:ascii="Times New Roman" w:hAnsi="Times New Roman"/>
                <w:b/>
                <w:color w:val="auto"/>
                <w:highlight w:val="none"/>
              </w:rPr>
              <w:t>表</w:t>
            </w:r>
            <w:r>
              <w:rPr>
                <w:rFonts w:hint="eastAsia" w:ascii="Times New Roman" w:hAnsi="Times New Roman"/>
                <w:b/>
                <w:color w:val="auto"/>
                <w:highlight w:val="none"/>
              </w:rPr>
              <w:t>2</w:t>
            </w:r>
            <w:r>
              <w:rPr>
                <w:rFonts w:ascii="Times New Roman" w:hAnsi="Times New Roman"/>
                <w:b/>
                <w:color w:val="auto"/>
                <w:highlight w:val="none"/>
              </w:rPr>
              <w:t>-</w:t>
            </w:r>
            <w:r>
              <w:rPr>
                <w:rFonts w:hint="eastAsia" w:ascii="Times New Roman" w:hAnsi="Times New Roman"/>
                <w:b/>
                <w:color w:val="auto"/>
                <w:highlight w:val="none"/>
              </w:rPr>
              <w:t>2</w:t>
            </w:r>
            <w:r>
              <w:rPr>
                <w:rFonts w:ascii="Times New Roman" w:hAnsi="Times New Roman"/>
                <w:b/>
                <w:color w:val="auto"/>
                <w:highlight w:val="none"/>
              </w:rPr>
              <w:t xml:space="preserve">  </w:t>
            </w:r>
            <w:r>
              <w:rPr>
                <w:rFonts w:hint="eastAsia" w:ascii="Times New Roman" w:hAnsi="Times New Roman"/>
                <w:b/>
                <w:color w:val="auto"/>
                <w:highlight w:val="none"/>
              </w:rPr>
              <w:t>项目</w:t>
            </w:r>
            <w:r>
              <w:rPr>
                <w:rFonts w:ascii="Times New Roman" w:hAnsi="Times New Roman"/>
                <w:b/>
                <w:color w:val="auto"/>
                <w:highlight w:val="none"/>
                <w:lang w:val="en-GB"/>
              </w:rPr>
              <w:t>主要医疗用品</w:t>
            </w:r>
            <w:r>
              <w:rPr>
                <w:rFonts w:hint="eastAsia" w:ascii="Times New Roman" w:hAnsi="Times New Roman"/>
                <w:b/>
                <w:color w:val="auto"/>
                <w:highlight w:val="none"/>
                <w:lang w:val="en-US" w:eastAsia="zh-CN"/>
              </w:rPr>
              <w:t>及能源消耗</w:t>
            </w:r>
            <w:r>
              <w:rPr>
                <w:rFonts w:ascii="Times New Roman" w:hAnsi="Times New Roman"/>
                <w:b/>
                <w:color w:val="auto"/>
                <w:highlight w:val="none"/>
                <w:lang w:val="en-GB"/>
              </w:rPr>
              <w:t>情况</w:t>
            </w:r>
            <w:r>
              <w:rPr>
                <w:rFonts w:hint="eastAsia" w:ascii="Times New Roman" w:hAnsi="Times New Roman"/>
                <w:b/>
                <w:color w:val="auto"/>
                <w:highlight w:val="none"/>
              </w:rPr>
              <w:t>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68"/>
              <w:gridCol w:w="1726"/>
              <w:gridCol w:w="2673"/>
              <w:gridCol w:w="1225"/>
              <w:gridCol w:w="144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序号</w:t>
                  </w:r>
                </w:p>
              </w:tc>
              <w:tc>
                <w:tcPr>
                  <w:tcW w:w="1087"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名称</w:t>
                  </w:r>
                </w:p>
              </w:tc>
              <w:tc>
                <w:tcPr>
                  <w:tcW w:w="1684"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规格</w:t>
                  </w:r>
                </w:p>
              </w:tc>
              <w:tc>
                <w:tcPr>
                  <w:tcW w:w="772"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年用量</w:t>
                  </w:r>
                </w:p>
              </w:tc>
              <w:tc>
                <w:tcPr>
                  <w:tcW w:w="907"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用途</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医用酒精</w:t>
                  </w:r>
                </w:p>
              </w:tc>
              <w:tc>
                <w:tcPr>
                  <w:tcW w:w="1684"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500ml/瓶75%酒精</w:t>
                  </w: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120瓶</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消毒</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防护服</w:t>
                  </w:r>
                </w:p>
              </w:tc>
              <w:tc>
                <w:tcPr>
                  <w:tcW w:w="1684" w:type="pct"/>
                </w:tcPr>
                <w:p>
                  <w:pPr>
                    <w:adjustRightInd w:val="0"/>
                    <w:snapToGrid w:val="0"/>
                    <w:jc w:val="center"/>
                    <w:rPr>
                      <w:rFonts w:ascii="Times New Roman" w:hAnsi="Times New Roman"/>
                      <w:color w:val="auto"/>
                      <w:highlight w:val="none"/>
                    </w:rPr>
                  </w:pP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2000套</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防护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3</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输液器</w:t>
                  </w:r>
                </w:p>
              </w:tc>
              <w:tc>
                <w:tcPr>
                  <w:tcW w:w="1684" w:type="pct"/>
                </w:tcPr>
                <w:p>
                  <w:pPr>
                    <w:adjustRightInd w:val="0"/>
                    <w:snapToGrid w:val="0"/>
                    <w:jc w:val="center"/>
                    <w:rPr>
                      <w:rFonts w:ascii="Times New Roman" w:hAnsi="Times New Roman"/>
                      <w:color w:val="auto"/>
                      <w:highlight w:val="none"/>
                    </w:rPr>
                  </w:pP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2000套</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输液</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注射器</w:t>
                  </w:r>
                </w:p>
              </w:tc>
              <w:tc>
                <w:tcPr>
                  <w:tcW w:w="1684"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1ml\2.5ml\5ml\20ml</w:t>
                  </w: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3000支</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输液</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医用口罩</w:t>
                  </w:r>
                </w:p>
              </w:tc>
              <w:tc>
                <w:tcPr>
                  <w:tcW w:w="1684" w:type="pct"/>
                </w:tcPr>
                <w:p>
                  <w:pPr>
                    <w:adjustRightInd w:val="0"/>
                    <w:snapToGrid w:val="0"/>
                    <w:jc w:val="center"/>
                    <w:rPr>
                      <w:rFonts w:ascii="Times New Roman" w:hAnsi="Times New Roman"/>
                      <w:color w:val="auto"/>
                      <w:highlight w:val="none"/>
                    </w:rPr>
                  </w:pP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5000只</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防护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6</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医用棉签</w:t>
                  </w:r>
                </w:p>
              </w:tc>
              <w:tc>
                <w:tcPr>
                  <w:tcW w:w="1684" w:type="pct"/>
                </w:tcPr>
                <w:p>
                  <w:pPr>
                    <w:adjustRightInd w:val="0"/>
                    <w:snapToGrid w:val="0"/>
                    <w:jc w:val="center"/>
                    <w:rPr>
                      <w:rFonts w:ascii="Times New Roman" w:hAnsi="Times New Roman"/>
                      <w:color w:val="auto"/>
                      <w:highlight w:val="none"/>
                    </w:rPr>
                  </w:pP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500包</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治疗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7</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针剂药品</w:t>
                  </w:r>
                </w:p>
              </w:tc>
              <w:tc>
                <w:tcPr>
                  <w:tcW w:w="1684"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多种规格</w:t>
                  </w: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按需购入</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治疗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8</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口服药剂</w:t>
                  </w:r>
                </w:p>
              </w:tc>
              <w:tc>
                <w:tcPr>
                  <w:tcW w:w="1684"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多种规格</w:t>
                  </w: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按需购入</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治疗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9</w:t>
                  </w:r>
                </w:p>
              </w:tc>
              <w:tc>
                <w:tcPr>
                  <w:tcW w:w="108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核酸检测试剂</w:t>
                  </w:r>
                </w:p>
              </w:tc>
              <w:tc>
                <w:tcPr>
                  <w:tcW w:w="1684" w:type="pct"/>
                </w:tcPr>
                <w:p>
                  <w:pPr>
                    <w:adjustRightInd w:val="0"/>
                    <w:snapToGrid w:val="0"/>
                    <w:jc w:val="center"/>
                    <w:rPr>
                      <w:rFonts w:ascii="Times New Roman" w:hAnsi="Times New Roman"/>
                      <w:color w:val="auto"/>
                      <w:highlight w:val="none"/>
                    </w:rPr>
                  </w:pPr>
                </w:p>
              </w:tc>
              <w:tc>
                <w:tcPr>
                  <w:tcW w:w="772"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按需购入</w:t>
                  </w:r>
                </w:p>
              </w:tc>
              <w:tc>
                <w:tcPr>
                  <w:tcW w:w="90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检测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10</w:t>
                  </w:r>
                </w:p>
              </w:tc>
              <w:tc>
                <w:tcPr>
                  <w:tcW w:w="1087" w:type="pct"/>
                </w:tcPr>
                <w:p>
                  <w:pPr>
                    <w:adjustRightInd w:val="0"/>
                    <w:snapToGrid w:val="0"/>
                    <w:jc w:val="center"/>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水</w:t>
                  </w:r>
                </w:p>
              </w:tc>
              <w:tc>
                <w:tcPr>
                  <w:tcW w:w="1684" w:type="pct"/>
                </w:tcPr>
                <w:p>
                  <w:pPr>
                    <w:adjustRightInd w:val="0"/>
                    <w:snapToGrid w:val="0"/>
                    <w:jc w:val="center"/>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w:t>
                  </w:r>
                </w:p>
              </w:tc>
              <w:tc>
                <w:tcPr>
                  <w:tcW w:w="772" w:type="pct"/>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8475m</w:t>
                  </w:r>
                  <w:r>
                    <w:rPr>
                      <w:rFonts w:hint="eastAsia" w:ascii="Times New Roman" w:hAnsi="Times New Roman"/>
                      <w:color w:val="auto"/>
                      <w:highlight w:val="none"/>
                      <w:vertAlign w:val="superscript"/>
                      <w:lang w:val="en-US" w:eastAsia="zh-CN"/>
                    </w:rPr>
                    <w:t>3</w:t>
                  </w:r>
                </w:p>
              </w:tc>
              <w:tc>
                <w:tcPr>
                  <w:tcW w:w="907" w:type="pct"/>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47" w:type="pct"/>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11</w:t>
                  </w:r>
                </w:p>
              </w:tc>
              <w:tc>
                <w:tcPr>
                  <w:tcW w:w="1087" w:type="pct"/>
                </w:tcPr>
                <w:p>
                  <w:pPr>
                    <w:adjustRightInd w:val="0"/>
                    <w:snapToGrid w:val="0"/>
                    <w:jc w:val="center"/>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电</w:t>
                  </w:r>
                </w:p>
              </w:tc>
              <w:tc>
                <w:tcPr>
                  <w:tcW w:w="1684" w:type="pct"/>
                </w:tcPr>
                <w:p>
                  <w:pPr>
                    <w:adjustRightInd w:val="0"/>
                    <w:snapToGrid w:val="0"/>
                    <w:jc w:val="center"/>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w:t>
                  </w:r>
                </w:p>
              </w:tc>
              <w:tc>
                <w:tcPr>
                  <w:tcW w:w="772" w:type="pct"/>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20万Kw/h</w:t>
                  </w:r>
                </w:p>
              </w:tc>
              <w:tc>
                <w:tcPr>
                  <w:tcW w:w="907" w:type="pct"/>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w:t>
                  </w:r>
                </w:p>
              </w:tc>
            </w:tr>
          </w:tbl>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4、</w:t>
            </w:r>
            <w:r>
              <w:rPr>
                <w:rFonts w:ascii="Times New Roman" w:hAnsi="Times New Roman"/>
                <w:b/>
                <w:bCs/>
                <w:color w:val="auto"/>
                <w:highlight w:val="none"/>
              </w:rPr>
              <w:t>主要设备清单</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项目主要设备清单见表</w:t>
            </w:r>
            <w:r>
              <w:rPr>
                <w:rFonts w:hint="eastAsia" w:ascii="Times New Roman" w:hAnsi="Times New Roman"/>
                <w:color w:val="auto"/>
                <w:highlight w:val="none"/>
              </w:rPr>
              <w:t>2-3</w:t>
            </w:r>
            <w:r>
              <w:rPr>
                <w:rFonts w:ascii="Times New Roman" w:hAnsi="Times New Roman"/>
                <w:color w:val="auto"/>
                <w:highlight w:val="none"/>
              </w:rPr>
              <w:t>。</w:t>
            </w:r>
          </w:p>
          <w:p>
            <w:pPr>
              <w:jc w:val="center"/>
              <w:rPr>
                <w:rFonts w:ascii="Times New Roman" w:hAnsi="Times New Roman"/>
                <w:b/>
                <w:color w:val="auto"/>
                <w:highlight w:val="none"/>
                <w:lang w:val="en-GB"/>
              </w:rPr>
            </w:pPr>
            <w:r>
              <w:rPr>
                <w:rFonts w:ascii="Times New Roman" w:hAnsi="Times New Roman"/>
                <w:b/>
                <w:color w:val="auto"/>
                <w:highlight w:val="none"/>
                <w:lang w:val="en-GB"/>
              </w:rPr>
              <w:t>表</w:t>
            </w:r>
            <w:r>
              <w:rPr>
                <w:rFonts w:hint="eastAsia" w:ascii="Times New Roman" w:hAnsi="Times New Roman"/>
                <w:b/>
                <w:color w:val="auto"/>
                <w:highlight w:val="none"/>
              </w:rPr>
              <w:t>2-3</w:t>
            </w:r>
            <w:r>
              <w:rPr>
                <w:rFonts w:ascii="Times New Roman" w:hAnsi="Times New Roman"/>
                <w:b/>
                <w:color w:val="auto"/>
                <w:highlight w:val="none"/>
                <w:lang w:val="en-GB"/>
              </w:rPr>
              <w:t xml:space="preserve">  </w:t>
            </w:r>
            <w:r>
              <w:rPr>
                <w:rFonts w:hint="eastAsia" w:ascii="Times New Roman" w:hAnsi="Times New Roman"/>
                <w:b/>
                <w:color w:val="auto"/>
                <w:highlight w:val="none"/>
                <w:lang w:val="en-GB"/>
              </w:rPr>
              <w:t>项目</w:t>
            </w:r>
            <w:r>
              <w:rPr>
                <w:rFonts w:ascii="Times New Roman" w:hAnsi="Times New Roman"/>
                <w:b/>
                <w:color w:val="auto"/>
                <w:highlight w:val="none"/>
                <w:lang w:val="en-GB"/>
              </w:rPr>
              <w:t>主要设备清单</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35"/>
              <w:gridCol w:w="3179"/>
              <w:gridCol w:w="1958"/>
              <w:gridCol w:w="186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7" w:hRule="atLeast"/>
              </w:trPr>
              <w:tc>
                <w:tcPr>
                  <w:tcW w:w="589" w:type="pct"/>
                  <w:vAlign w:val="center"/>
                </w:tcPr>
                <w:p>
                  <w:pPr>
                    <w:jc w:val="center"/>
                    <w:rPr>
                      <w:b/>
                      <w:color w:val="auto"/>
                      <w:highlight w:val="none"/>
                    </w:rPr>
                  </w:pPr>
                  <w:r>
                    <w:rPr>
                      <w:b/>
                      <w:color w:val="auto"/>
                      <w:highlight w:val="none"/>
                    </w:rPr>
                    <w:t>序号</w:t>
                  </w:r>
                </w:p>
              </w:tc>
              <w:tc>
                <w:tcPr>
                  <w:tcW w:w="2003" w:type="pct"/>
                  <w:vAlign w:val="center"/>
                </w:tcPr>
                <w:p>
                  <w:pPr>
                    <w:jc w:val="center"/>
                    <w:rPr>
                      <w:b/>
                      <w:color w:val="auto"/>
                      <w:highlight w:val="none"/>
                    </w:rPr>
                  </w:pPr>
                  <w:r>
                    <w:rPr>
                      <w:b/>
                      <w:color w:val="auto"/>
                      <w:highlight w:val="none"/>
                    </w:rPr>
                    <w:t>设备/仪器名称</w:t>
                  </w:r>
                </w:p>
              </w:tc>
              <w:tc>
                <w:tcPr>
                  <w:tcW w:w="1234" w:type="pct"/>
                  <w:vAlign w:val="center"/>
                </w:tcPr>
                <w:p>
                  <w:pPr>
                    <w:jc w:val="center"/>
                    <w:rPr>
                      <w:b/>
                      <w:color w:val="auto"/>
                      <w:highlight w:val="none"/>
                    </w:rPr>
                  </w:pPr>
                  <w:r>
                    <w:rPr>
                      <w:b/>
                      <w:color w:val="auto"/>
                      <w:highlight w:val="none"/>
                    </w:rPr>
                    <w:t>数量（台/套）</w:t>
                  </w:r>
                </w:p>
              </w:tc>
              <w:tc>
                <w:tcPr>
                  <w:tcW w:w="1172" w:type="pct"/>
                  <w:vAlign w:val="center"/>
                </w:tcPr>
                <w:p>
                  <w:pPr>
                    <w:jc w:val="center"/>
                    <w:rPr>
                      <w:b/>
                      <w:color w:val="auto"/>
                      <w:highlight w:val="none"/>
                    </w:rPr>
                  </w:pPr>
                  <w:r>
                    <w:rPr>
                      <w:b/>
                      <w:color w:val="auto"/>
                      <w:highlight w:val="none"/>
                    </w:rPr>
                    <w:t>所在位置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2003"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急求呼吸机</w:t>
                  </w:r>
                </w:p>
              </w:tc>
              <w:tc>
                <w:tcPr>
                  <w:tcW w:w="1234"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2台</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病房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w:t>
                  </w:r>
                </w:p>
              </w:tc>
              <w:tc>
                <w:tcPr>
                  <w:tcW w:w="2003"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血压计</w:t>
                  </w:r>
                </w:p>
              </w:tc>
              <w:tc>
                <w:tcPr>
                  <w:tcW w:w="1234"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1台</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病房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3</w:t>
                  </w:r>
                </w:p>
              </w:tc>
              <w:tc>
                <w:tcPr>
                  <w:tcW w:w="2003"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心电监护仪</w:t>
                  </w:r>
                </w:p>
              </w:tc>
              <w:tc>
                <w:tcPr>
                  <w:tcW w:w="1234"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5套</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病房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w:t>
                  </w:r>
                </w:p>
              </w:tc>
              <w:tc>
                <w:tcPr>
                  <w:tcW w:w="200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血常规机</w:t>
                  </w:r>
                </w:p>
              </w:tc>
              <w:tc>
                <w:tcPr>
                  <w:tcW w:w="1234"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1套</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病房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w:t>
                  </w:r>
                </w:p>
              </w:tc>
              <w:tc>
                <w:tcPr>
                  <w:tcW w:w="2003"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治疗车</w:t>
                  </w:r>
                </w:p>
              </w:tc>
              <w:tc>
                <w:tcPr>
                  <w:tcW w:w="1234"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3台</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病房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6</w:t>
                  </w:r>
                </w:p>
              </w:tc>
              <w:tc>
                <w:tcPr>
                  <w:tcW w:w="2003"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电动吸引器</w:t>
                  </w:r>
                </w:p>
              </w:tc>
              <w:tc>
                <w:tcPr>
                  <w:tcW w:w="1234"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1台</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病房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7</w:t>
                  </w:r>
                </w:p>
              </w:tc>
              <w:tc>
                <w:tcPr>
                  <w:tcW w:w="2003"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空气消毒器</w:t>
                  </w:r>
                </w:p>
              </w:tc>
              <w:tc>
                <w:tcPr>
                  <w:tcW w:w="1234"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1套</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病房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589"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8</w:t>
                  </w:r>
                </w:p>
              </w:tc>
              <w:tc>
                <w:tcPr>
                  <w:tcW w:w="2003"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生物安全柜</w:t>
                  </w:r>
                </w:p>
              </w:tc>
              <w:tc>
                <w:tcPr>
                  <w:tcW w:w="1234" w:type="pct"/>
                  <w:vAlign w:val="bottom"/>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1台</w:t>
                  </w:r>
                </w:p>
              </w:tc>
              <w:tc>
                <w:tcPr>
                  <w:tcW w:w="1172"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p>
              </w:tc>
            </w:tr>
          </w:tbl>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5</w:t>
            </w:r>
            <w:r>
              <w:rPr>
                <w:rFonts w:ascii="Times New Roman" w:hAnsi="Times New Roman"/>
                <w:b/>
                <w:color w:val="auto"/>
                <w:highlight w:val="none"/>
              </w:rPr>
              <w:t>、劳动定员及工作制度</w:t>
            </w:r>
          </w:p>
          <w:p>
            <w:pPr>
              <w:adjustRightInd w:val="0"/>
              <w:snapToGrid w:val="0"/>
              <w:spacing w:line="360" w:lineRule="auto"/>
              <w:ind w:firstLine="420" w:firstLineChars="200"/>
              <w:rPr>
                <w:rFonts w:ascii="Times New Roman" w:hAnsi="Times New Roman"/>
                <w:b/>
                <w:color w:val="auto"/>
                <w:highlight w:val="none"/>
              </w:rPr>
            </w:pPr>
            <w:r>
              <w:rPr>
                <w:rFonts w:hint="eastAsia" w:ascii="Times New Roman" w:hAnsi="Times New Roman"/>
                <w:color w:val="auto"/>
                <w:highlight w:val="none"/>
              </w:rPr>
              <w:t>本</w:t>
            </w:r>
            <w:r>
              <w:rPr>
                <w:rFonts w:ascii="Times New Roman" w:hAnsi="Times New Roman"/>
                <w:color w:val="auto"/>
                <w:highlight w:val="none"/>
              </w:rPr>
              <w:t>项目</w:t>
            </w:r>
            <w:r>
              <w:rPr>
                <w:rFonts w:hint="eastAsia" w:ascii="Times New Roman" w:hAnsi="Times New Roman"/>
                <w:color w:val="auto"/>
                <w:highlight w:val="none"/>
              </w:rPr>
              <w:t>门诊楼</w:t>
            </w:r>
            <w:r>
              <w:rPr>
                <w:rFonts w:hint="eastAsia" w:ascii="Times New Roman" w:hAnsi="Times New Roman"/>
                <w:color w:val="auto"/>
                <w:highlight w:val="none"/>
                <w:lang w:val="en-US" w:eastAsia="zh-CN"/>
              </w:rPr>
              <w:t>共</w:t>
            </w:r>
            <w:r>
              <w:rPr>
                <w:rFonts w:hint="eastAsia" w:ascii="Times New Roman" w:hAnsi="Times New Roman"/>
                <w:color w:val="auto"/>
                <w:highlight w:val="none"/>
              </w:rPr>
              <w:t>设置行政及医疗办公室</w:t>
            </w:r>
            <w:r>
              <w:rPr>
                <w:rFonts w:hint="eastAsia" w:ascii="Times New Roman" w:hAnsi="Times New Roman"/>
                <w:color w:val="auto"/>
                <w:highlight w:val="none"/>
                <w:lang w:val="en-US" w:eastAsia="zh-CN"/>
              </w:rPr>
              <w:t>约4</w:t>
            </w:r>
            <w:r>
              <w:rPr>
                <w:rFonts w:hint="eastAsia" w:ascii="Times New Roman" w:hAnsi="Times New Roman"/>
                <w:color w:val="auto"/>
                <w:highlight w:val="none"/>
              </w:rPr>
              <w:t>间，不新增劳动定员，</w:t>
            </w:r>
            <w:r>
              <w:rPr>
                <w:rFonts w:hint="eastAsia" w:ascii="Times New Roman" w:hAnsi="Times New Roman"/>
                <w:color w:val="auto"/>
                <w:highlight w:val="none"/>
                <w:lang w:eastAsia="zh-CN"/>
              </w:rPr>
              <w:t>定员</w:t>
            </w:r>
            <w:r>
              <w:rPr>
                <w:rFonts w:hint="eastAsia" w:ascii="Times New Roman" w:hAnsi="Times New Roman"/>
                <w:color w:val="auto"/>
                <w:highlight w:val="none"/>
              </w:rPr>
              <w:t>由医院现有医护人员调度，约</w:t>
            </w:r>
            <w:r>
              <w:rPr>
                <w:rFonts w:hint="eastAsia" w:ascii="Times New Roman" w:hAnsi="Times New Roman"/>
                <w:color w:val="auto"/>
                <w:highlight w:val="none"/>
                <w:lang w:val="en-US" w:eastAsia="zh-CN"/>
              </w:rPr>
              <w:t>2</w:t>
            </w:r>
            <w:r>
              <w:rPr>
                <w:rFonts w:hint="eastAsia" w:ascii="Times New Roman" w:hAnsi="Times New Roman"/>
                <w:color w:val="auto"/>
                <w:highlight w:val="none"/>
              </w:rPr>
              <w:t>0人</w:t>
            </w:r>
            <w:r>
              <w:rPr>
                <w:rFonts w:ascii="Times New Roman" w:hAnsi="Times New Roman"/>
                <w:color w:val="auto"/>
                <w:highlight w:val="none"/>
              </w:rPr>
              <w:t>，</w:t>
            </w:r>
            <w:r>
              <w:rPr>
                <w:rFonts w:hint="eastAsia" w:ascii="Times New Roman" w:hAnsi="Times New Roman"/>
                <w:color w:val="auto"/>
                <w:highlight w:val="none"/>
              </w:rPr>
              <w:t>三班制，日</w:t>
            </w:r>
            <w:r>
              <w:rPr>
                <w:rFonts w:ascii="Times New Roman" w:hAnsi="Times New Roman"/>
                <w:color w:val="auto"/>
                <w:highlight w:val="none"/>
              </w:rPr>
              <w:t>工作</w:t>
            </w:r>
            <w:r>
              <w:rPr>
                <w:rFonts w:hint="eastAsia" w:ascii="Times New Roman" w:hAnsi="Times New Roman"/>
                <w:color w:val="auto"/>
                <w:highlight w:val="none"/>
              </w:rPr>
              <w:t>24</w:t>
            </w:r>
            <w:r>
              <w:rPr>
                <w:rFonts w:ascii="Times New Roman" w:hAnsi="Times New Roman"/>
                <w:color w:val="auto"/>
                <w:highlight w:val="none"/>
              </w:rPr>
              <w:t>小时，年工作</w:t>
            </w:r>
            <w:r>
              <w:rPr>
                <w:rFonts w:hint="eastAsia" w:ascii="Times New Roman" w:hAnsi="Times New Roman"/>
                <w:color w:val="auto"/>
                <w:highlight w:val="none"/>
              </w:rPr>
              <w:t>日365</w:t>
            </w:r>
            <w:r>
              <w:rPr>
                <w:rFonts w:ascii="Times New Roman" w:hAnsi="Times New Roman"/>
                <w:color w:val="auto"/>
                <w:highlight w:val="none"/>
              </w:rPr>
              <w:t>天。</w:t>
            </w:r>
          </w:p>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6、公用工程</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（1）给水</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不新增劳动定员，</w:t>
            </w:r>
            <w:r>
              <w:rPr>
                <w:rFonts w:hint="eastAsia" w:ascii="Times New Roman" w:hAnsi="Times New Roman"/>
                <w:color w:val="auto"/>
                <w:highlight w:val="none"/>
                <w:lang w:eastAsia="zh-CN"/>
              </w:rPr>
              <w:t>定员</w:t>
            </w:r>
            <w:r>
              <w:rPr>
                <w:rFonts w:hint="eastAsia" w:ascii="Times New Roman" w:hAnsi="Times New Roman"/>
                <w:color w:val="auto"/>
                <w:highlight w:val="none"/>
              </w:rPr>
              <w:t>由医院现有医护人员调度，</w:t>
            </w:r>
            <w:r>
              <w:rPr>
                <w:rFonts w:ascii="Times New Roman" w:hAnsi="Times New Roman"/>
                <w:color w:val="auto"/>
                <w:highlight w:val="none"/>
              </w:rPr>
              <w:t>用水</w:t>
            </w:r>
            <w:r>
              <w:rPr>
                <w:rFonts w:hint="eastAsia" w:ascii="Times New Roman" w:hAnsi="Times New Roman"/>
                <w:color w:val="auto"/>
                <w:highlight w:val="none"/>
              </w:rPr>
              <w:t>由医院给水管网供给，项目用水主要包括门诊用水及住院病患用水</w:t>
            </w:r>
            <w:r>
              <w:rPr>
                <w:rFonts w:ascii="Times New Roman" w:hAnsi="Times New Roman"/>
                <w:color w:val="auto"/>
                <w:highlight w:val="none"/>
              </w:rPr>
              <w:t>。</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（2）排水</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本项目不新增医护人员办公生活用水，</w:t>
            </w:r>
            <w:r>
              <w:rPr>
                <w:rFonts w:hint="eastAsia"/>
                <w:color w:val="auto"/>
                <w:highlight w:val="none"/>
              </w:rPr>
              <w:t>发热门诊废水集中收集，经预处理后排入医院污水站，达标处理后排入市政污水管网，最终进入西安市第一污水处理厂集中处理</w:t>
            </w:r>
            <w:r>
              <w:rPr>
                <w:rFonts w:hint="eastAsia" w:ascii="Times New Roman" w:hAnsi="Times New Roman"/>
                <w:color w:val="auto"/>
                <w:highlight w:val="none"/>
              </w:rPr>
              <w:t>。</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）供电</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本项目供电依托</w:t>
            </w:r>
            <w:r>
              <w:rPr>
                <w:rFonts w:hint="eastAsia" w:ascii="Times New Roman" w:hAnsi="Times New Roman"/>
                <w:color w:val="auto"/>
                <w:highlight w:val="none"/>
              </w:rPr>
              <w:t>医院</w:t>
            </w:r>
            <w:r>
              <w:rPr>
                <w:rFonts w:ascii="Times New Roman" w:hAnsi="Times New Roman"/>
                <w:color w:val="auto"/>
                <w:highlight w:val="none"/>
              </w:rPr>
              <w:t>现有供</w:t>
            </w:r>
            <w:r>
              <w:rPr>
                <w:rFonts w:hint="eastAsia" w:ascii="Times New Roman" w:hAnsi="Times New Roman"/>
                <w:color w:val="auto"/>
                <w:highlight w:val="none"/>
              </w:rPr>
              <w:t>电系统</w:t>
            </w:r>
            <w:r>
              <w:rPr>
                <w:rFonts w:ascii="Times New Roman" w:hAnsi="Times New Roman"/>
                <w:color w:val="auto"/>
                <w:highlight w:val="none"/>
              </w:rPr>
              <w:t>。</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4</w:t>
            </w:r>
            <w:r>
              <w:rPr>
                <w:rFonts w:ascii="Times New Roman" w:hAnsi="Times New Roman"/>
                <w:color w:val="auto"/>
                <w:highlight w:val="none"/>
              </w:rPr>
              <w:t>）</w:t>
            </w:r>
            <w:r>
              <w:rPr>
                <w:rFonts w:hint="eastAsia" w:ascii="Times New Roman" w:hAnsi="Times New Roman"/>
                <w:color w:val="auto"/>
                <w:highlight w:val="none"/>
              </w:rPr>
              <w:t>采</w:t>
            </w:r>
            <w:r>
              <w:rPr>
                <w:rFonts w:ascii="Times New Roman" w:hAnsi="Times New Roman"/>
                <w:color w:val="auto"/>
                <w:highlight w:val="none"/>
              </w:rPr>
              <w:t>暖与</w:t>
            </w:r>
            <w:r>
              <w:rPr>
                <w:rFonts w:hint="eastAsia" w:ascii="Times New Roman" w:hAnsi="Times New Roman"/>
                <w:color w:val="auto"/>
                <w:highlight w:val="none"/>
              </w:rPr>
              <w:t>通风</w:t>
            </w:r>
          </w:p>
          <w:p>
            <w:pPr>
              <w:adjustRightInd w:val="0"/>
              <w:snapToGrid w:val="0"/>
              <w:spacing w:line="360" w:lineRule="auto"/>
              <w:ind w:firstLine="420" w:firstLineChars="200"/>
              <w:rPr>
                <w:rFonts w:ascii="Times New Roman" w:hAnsi="Times New Roman"/>
                <w:b/>
                <w:color w:val="auto"/>
                <w:highlight w:val="none"/>
              </w:rPr>
            </w:pPr>
            <w:r>
              <w:rPr>
                <w:rFonts w:hint="eastAsia" w:ascii="Times New Roman" w:hAnsi="Times New Roman"/>
                <w:color w:val="auto"/>
                <w:highlight w:val="none"/>
              </w:rPr>
              <w:t>项目采暖与通风设采用分体式空调。</w:t>
            </w:r>
          </w:p>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7</w:t>
            </w:r>
            <w:r>
              <w:rPr>
                <w:rFonts w:ascii="Times New Roman" w:hAnsi="Times New Roman"/>
                <w:b/>
                <w:color w:val="auto"/>
                <w:highlight w:val="none"/>
              </w:rPr>
              <w:t>、</w:t>
            </w:r>
            <w:r>
              <w:rPr>
                <w:rFonts w:hint="eastAsia" w:ascii="Times New Roman" w:hAnsi="Times New Roman"/>
                <w:b/>
                <w:color w:val="auto"/>
                <w:highlight w:val="none"/>
              </w:rPr>
              <w:t>厂区平面布置</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kern w:val="2"/>
                <w:highlight w:val="none"/>
                <w:lang w:val="en-US" w:eastAsia="zh-CN"/>
              </w:rPr>
              <w:t>本</w:t>
            </w:r>
            <w:r>
              <w:rPr>
                <w:rFonts w:hint="eastAsia" w:ascii="Times New Roman" w:hAnsi="Times New Roman"/>
                <w:color w:val="auto"/>
                <w:kern w:val="2"/>
                <w:highlight w:val="none"/>
              </w:rPr>
              <w:t>项目总占地面积</w:t>
            </w:r>
            <w:r>
              <w:rPr>
                <w:rFonts w:hint="eastAsia" w:ascii="Times New Roman" w:hAnsi="Times New Roman"/>
                <w:color w:val="auto"/>
                <w:highlight w:val="none"/>
              </w:rPr>
              <w:t>1568.6m</w:t>
            </w:r>
            <w:r>
              <w:rPr>
                <w:rFonts w:hint="eastAsia" w:ascii="Times New Roman" w:hAnsi="Times New Roman"/>
                <w:color w:val="auto"/>
                <w:highlight w:val="none"/>
                <w:vertAlign w:val="superscript"/>
              </w:rPr>
              <w:t>2</w:t>
            </w:r>
            <w:r>
              <w:rPr>
                <w:rFonts w:hint="eastAsia" w:ascii="Times New Roman" w:hAnsi="Times New Roman"/>
                <w:color w:val="auto"/>
                <w:kern w:val="2"/>
                <w:highlight w:val="none"/>
              </w:rPr>
              <w:t>，</w:t>
            </w:r>
            <w:r>
              <w:rPr>
                <w:rFonts w:ascii="Times New Roman" w:hAnsi="Times New Roman"/>
                <w:color w:val="auto"/>
                <w:kern w:val="2"/>
                <w:highlight w:val="none"/>
              </w:rPr>
              <w:t>建设</w:t>
            </w:r>
            <w:r>
              <w:rPr>
                <w:rFonts w:hint="eastAsia" w:ascii="Times New Roman" w:hAnsi="Times New Roman"/>
                <w:color w:val="auto"/>
                <w:kern w:val="2"/>
                <w:highlight w:val="none"/>
                <w:lang w:val="en-US" w:eastAsia="zh-CN"/>
              </w:rPr>
              <w:t>2</w:t>
            </w:r>
            <w:r>
              <w:rPr>
                <w:rFonts w:hint="eastAsia" w:ascii="Times New Roman" w:hAnsi="Times New Roman"/>
                <w:color w:val="auto"/>
                <w:kern w:val="2"/>
                <w:highlight w:val="none"/>
              </w:rPr>
              <w:t>栋发热</w:t>
            </w:r>
            <w:r>
              <w:rPr>
                <w:rFonts w:ascii="Times New Roman" w:hAnsi="Times New Roman"/>
                <w:color w:val="auto"/>
                <w:kern w:val="2"/>
                <w:highlight w:val="none"/>
              </w:rPr>
              <w:t>门诊</w:t>
            </w:r>
            <w:r>
              <w:rPr>
                <w:rFonts w:hint="eastAsia" w:ascii="Times New Roman" w:hAnsi="Times New Roman"/>
                <w:color w:val="auto"/>
                <w:kern w:val="2"/>
                <w:highlight w:val="none"/>
              </w:rPr>
              <w:t>楼</w:t>
            </w:r>
            <w:r>
              <w:rPr>
                <w:rFonts w:ascii="Times New Roman" w:hAnsi="Times New Roman"/>
                <w:color w:val="auto"/>
                <w:kern w:val="2"/>
                <w:highlight w:val="none"/>
              </w:rPr>
              <w:t>，</w:t>
            </w:r>
            <w:r>
              <w:rPr>
                <w:rFonts w:hint="eastAsia" w:ascii="Times New Roman" w:hAnsi="Times New Roman"/>
                <w:color w:val="auto"/>
                <w:kern w:val="2"/>
                <w:highlight w:val="none"/>
              </w:rPr>
              <w:t>主要功能为发热类疾病（尤其是新冠）就诊，</w:t>
            </w:r>
            <w:r>
              <w:rPr>
                <w:rFonts w:hint="eastAsia" w:ascii="Times New Roman" w:hAnsi="Times New Roman"/>
                <w:color w:val="auto"/>
                <w:kern w:val="2"/>
                <w:highlight w:val="none"/>
                <w:lang w:val="en-US" w:eastAsia="zh-CN"/>
              </w:rPr>
              <w:t>其中：北楼</w:t>
            </w:r>
            <w:r>
              <w:rPr>
                <w:rFonts w:hint="eastAsia" w:ascii="Times New Roman" w:hAnsi="Times New Roman"/>
                <w:color w:val="auto"/>
                <w:kern w:val="2"/>
                <w:highlight w:val="none"/>
              </w:rPr>
              <w:t>主要设置有候诊室、发热门诊室、留观室、DR室、住院病房、药房、医护站等</w:t>
            </w:r>
            <w:r>
              <w:rPr>
                <w:rFonts w:hint="eastAsia" w:ascii="Times New Roman" w:hAnsi="Times New Roman"/>
                <w:color w:val="auto"/>
                <w:kern w:val="2"/>
                <w:highlight w:val="none"/>
                <w:lang w:eastAsia="zh-CN"/>
              </w:rPr>
              <w:t>；</w:t>
            </w:r>
            <w:r>
              <w:rPr>
                <w:rFonts w:hint="eastAsia" w:ascii="Times New Roman" w:hAnsi="Times New Roman"/>
                <w:color w:val="auto"/>
                <w:kern w:val="2"/>
                <w:highlight w:val="none"/>
                <w:lang w:val="en-US" w:eastAsia="zh-CN"/>
              </w:rPr>
              <w:t>西楼主要设置诊室、输液区、雾化室、检查室、药房及住院病房</w:t>
            </w:r>
            <w:r>
              <w:rPr>
                <w:rFonts w:hint="eastAsia" w:ascii="Times New Roman" w:hAnsi="Times New Roman"/>
                <w:color w:val="auto"/>
                <w:highlight w:val="none"/>
              </w:rPr>
              <w:t>。本项目根据疫检防控流程按要求布置，</w:t>
            </w:r>
            <w:r>
              <w:rPr>
                <w:rFonts w:ascii="Times New Roman" w:hAnsi="Times New Roman"/>
                <w:color w:val="auto"/>
                <w:highlight w:val="none"/>
              </w:rPr>
              <w:t>各设施布置</w:t>
            </w:r>
            <w:r>
              <w:rPr>
                <w:rFonts w:hint="eastAsia" w:ascii="Times New Roman" w:hAnsi="Times New Roman"/>
                <w:color w:val="auto"/>
                <w:highlight w:val="none"/>
              </w:rPr>
              <w:t>集中</w:t>
            </w:r>
            <w:r>
              <w:rPr>
                <w:rFonts w:ascii="Times New Roman" w:hAnsi="Times New Roman"/>
                <w:color w:val="auto"/>
                <w:highlight w:val="none"/>
              </w:rPr>
              <w:t>紧凑，符合诊疗操作流程</w:t>
            </w:r>
            <w:r>
              <w:rPr>
                <w:rFonts w:hint="eastAsia" w:ascii="Times New Roman" w:hAnsi="Times New Roman"/>
                <w:color w:val="auto"/>
                <w:highlight w:val="none"/>
              </w:rPr>
              <w:t>，</w:t>
            </w:r>
            <w:r>
              <w:rPr>
                <w:rStyle w:val="30"/>
                <w:rFonts w:hint="eastAsia"/>
                <w:color w:val="auto"/>
                <w:szCs w:val="20"/>
                <w:highlight w:val="none"/>
              </w:rPr>
              <w:t>平面布局合理</w:t>
            </w:r>
            <w:r>
              <w:rPr>
                <w:rFonts w:hint="eastAsia" w:ascii="Times New Roman" w:hAnsi="Times New Roman"/>
                <w:color w:val="auto"/>
                <w:highlight w:val="none"/>
              </w:rPr>
              <w:t>。</w:t>
            </w:r>
            <w:r>
              <w:rPr>
                <w:rFonts w:ascii="Times New Roman" w:hAnsi="Times New Roman"/>
                <w:color w:val="auto"/>
                <w:highlight w:val="none"/>
              </w:rPr>
              <w:t>项目总平面布置见附图3</w:t>
            </w:r>
            <w:r>
              <w:rPr>
                <w:rFonts w:hint="eastAsia" w:ascii="Times New Roman" w:hAnsi="Times New Roman"/>
                <w:color w:val="auto"/>
                <w:highlight w:val="none"/>
              </w:rPr>
              <w:t>。</w:t>
            </w:r>
          </w:p>
          <w:p>
            <w:pPr>
              <w:adjustRightInd w:val="0"/>
              <w:snapToGrid w:val="0"/>
              <w:spacing w:line="360" w:lineRule="auto"/>
              <w:ind w:firstLine="420" w:firstLineChars="200"/>
              <w:rPr>
                <w:rFonts w:ascii="宋体" w:hAnsi="宋体" w:cs="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1" w:hRule="atLeast"/>
          <w:jc w:val="center"/>
        </w:trPr>
        <w:tc>
          <w:tcPr>
            <w:tcW w:w="823" w:type="dxa"/>
            <w:vAlign w:val="center"/>
          </w:tcPr>
          <w:p>
            <w:pPr>
              <w:pStyle w:val="17"/>
              <w:adjustRightInd w:val="0"/>
              <w:snapToGrid w:val="0"/>
              <w:spacing w:before="0" w:beforeAutospacing="0" w:after="0" w:afterAutospacing="0"/>
              <w:jc w:val="center"/>
              <w:rPr>
                <w:rFonts w:cs="宋体"/>
                <w:color w:val="auto"/>
                <w:sz w:val="21"/>
                <w:szCs w:val="21"/>
                <w:highlight w:val="none"/>
              </w:rPr>
            </w:pPr>
            <w:r>
              <w:rPr>
                <w:rFonts w:hint="eastAsia" w:cs="宋体"/>
                <w:b/>
                <w:bCs/>
                <w:color w:val="auto"/>
                <w:sz w:val="21"/>
                <w:szCs w:val="21"/>
                <w:highlight w:val="none"/>
              </w:rPr>
              <w:t>工艺流程和产排污环节</w:t>
            </w:r>
          </w:p>
        </w:tc>
        <w:tc>
          <w:tcPr>
            <w:tcW w:w="8161" w:type="dxa"/>
          </w:tcPr>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主要为发热门诊诊疗，患者进入发热门诊后，先挂号初检，然后进入诊室采样，该过程会产生医疗废物和废水。采样完成后对样品进行检验，该过程会产生医疗废物和废水。根据检验结果，无需后续治疗的则可以开药离院，需要后续治疗的患者则要进行治疗，治疗结束后要留院观察，观察期间达到离院要求的患者则可以离院。治疗和留院观察期间都会产生医疗废水和医疗废物。</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项目运营期工作流程及产污环节分析见下图2-1。</w:t>
            </w:r>
          </w:p>
          <w:p>
            <w:pPr>
              <w:pStyle w:val="12"/>
              <w:ind w:firstLine="480"/>
              <w:rPr>
                <w:bCs/>
                <w:color w:val="auto"/>
                <w:highlight w:val="none"/>
              </w:rPr>
            </w:pPr>
            <w:r>
              <w:rPr>
                <w:color w:val="auto"/>
                <w:sz w:val="24"/>
                <w:highlight w:val="none"/>
              </w:rPr>
              <mc:AlternateContent>
                <mc:Choice Requires="wps">
                  <w:drawing>
                    <wp:anchor distT="0" distB="0" distL="114300" distR="114300" simplePos="0" relativeHeight="251668480" behindDoc="0" locked="0" layoutInCell="1" allowOverlap="1">
                      <wp:simplePos x="0" y="0"/>
                      <wp:positionH relativeFrom="column">
                        <wp:posOffset>2560955</wp:posOffset>
                      </wp:positionH>
                      <wp:positionV relativeFrom="paragraph">
                        <wp:posOffset>210185</wp:posOffset>
                      </wp:positionV>
                      <wp:extent cx="0" cy="172085"/>
                      <wp:effectExtent l="38100" t="0" r="38100" b="10795"/>
                      <wp:wrapNone/>
                      <wp:docPr id="11" name="AutoShape 13"/>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3" o:spid="_x0000_s1026" o:spt="32" type="#_x0000_t32" style="position:absolute;left:0pt;margin-left:201.65pt;margin-top:16.55pt;height:13.55pt;width:0pt;z-index:251668480;mso-width-relative:page;mso-height-relative:page;" filled="f" stroked="t" coordsize="21600,21600" o:gfxdata="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wRWIHYAAAA&#10;CQEAAA8AAAAAAAAAAQAgAAAAIgAAAGRycy9kb3ducmV2LnhtbFBLAQIUABQAAAAIAIdO4kBkscpY&#10;5AEAAOUDAAAOAAAAAAAAAAEAIAAAACcBAABkcnMvZTJvRG9jLnhtbFBLBQYAAAAABgAGAFkBAAB9&#10;BQAAAAA=&#10;">
                      <v:fill on="f" focussize="0,0"/>
                      <v:stroke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2331085</wp:posOffset>
                      </wp:positionH>
                      <wp:positionV relativeFrom="paragraph">
                        <wp:posOffset>38100</wp:posOffset>
                      </wp:positionV>
                      <wp:extent cx="502285" cy="172085"/>
                      <wp:effectExtent l="5080" t="4445" r="10795" b="6350"/>
                      <wp:wrapNone/>
                      <wp:docPr id="1" name="Text Box 2"/>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患者</w:t>
                                  </w:r>
                                </w:p>
                              </w:txbxContent>
                            </wps:txbx>
                            <wps:bodyPr wrap="square" lIns="91440" tIns="0" rIns="91440" bIns="0" upright="1"/>
                          </wps:wsp>
                        </a:graphicData>
                      </a:graphic>
                    </wp:anchor>
                  </w:drawing>
                </mc:Choice>
                <mc:Fallback>
                  <w:pict>
                    <v:shape id="Text Box 2" o:spid="_x0000_s1026" o:spt="202" type="#_x0000_t202" style="position:absolute;left:0pt;margin-left:183.55pt;margin-top:3pt;height:13.55pt;width:39.55pt;z-index:251659264;mso-width-relative:page;mso-height-relative:page;" fillcolor="#FFFFFF" filled="t" stroked="t" coordsize="21600,21600" o:gfxdata="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zYSgU1wAAAAgBAAAPAAAA&#10;AAAAAAEAIAAAACIAAABkcnMvZG93bnJldi54bWxQSwECFAAUAAAACACHTuJADvz8+hYCAABuBAAA&#10;DgAAAAAAAAABACAAAAAmAQAAZHJzL2Uyb0RvYy54bWxQSwUGAAAAAAYABgBZAQAArgUAAAAA&#10;">
                      <v:fill on="t" focussize="0,0"/>
                      <v:stroke color="#000000" joinstyle="miter"/>
                      <v:imagedata o:title=""/>
                      <o:lock v:ext="edit" aspectratio="f"/>
                      <v:textbox inset="2.54mm,0mm,2.54mm,0mm">
                        <w:txbxContent>
                          <w:p>
                            <w:pPr>
                              <w:jc w:val="center"/>
                            </w:pPr>
                            <w:r>
                              <w:rPr>
                                <w:rFonts w:hint="eastAsia"/>
                              </w:rPr>
                              <w:t>患者</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2092960</wp:posOffset>
                      </wp:positionH>
                      <wp:positionV relativeFrom="paragraph">
                        <wp:posOffset>76835</wp:posOffset>
                      </wp:positionV>
                      <wp:extent cx="910590" cy="221615"/>
                      <wp:effectExtent l="4445" t="4445" r="14605" b="17780"/>
                      <wp:wrapNone/>
                      <wp:docPr id="2" name="Text Box 3"/>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cs="宋体"/>
                                    </w:rPr>
                                  </w:pPr>
                                  <w:r>
                                    <w:rPr>
                                      <w:rFonts w:hint="eastAsia" w:ascii="宋体" w:hAnsi="宋体" w:cs="宋体"/>
                                    </w:rPr>
                                    <w:t>挂号初检</w:t>
                                  </w:r>
                                </w:p>
                              </w:txbxContent>
                            </wps:txbx>
                            <wps:bodyPr wrap="square" lIns="91440" tIns="0" rIns="91440" bIns="0" upright="1"/>
                          </wps:wsp>
                        </a:graphicData>
                      </a:graphic>
                    </wp:anchor>
                  </w:drawing>
                </mc:Choice>
                <mc:Fallback>
                  <w:pict>
                    <v:shape id="Text Box 3" o:spid="_x0000_s1026" o:spt="202" type="#_x0000_t202" style="position:absolute;left:0pt;margin-left:164.8pt;margin-top:6.05pt;height:17.45pt;width:71.7pt;z-index:251660288;mso-width-relative:page;mso-height-relative:page;" fillcolor="#FFFFFF" filled="t" stroked="t" coordsize="21600,21600" o:gfxdata="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BDW6jYAAAACQEAAA8A&#10;AAAAAAAAAQAgAAAAIgAAAGRycy9kb3ducmV2LnhtbFBLAQIUABQAAAAIAIdO4kCim25OFwIAAG4E&#10;AAAOAAAAAAAAAAEAIAAAACcBAABkcnMvZTJvRG9jLnhtbFBLBQYAAAAABgAGAFkBAACwBQAAAAA=&#10;">
                      <v:fill on="t" focussize="0,0"/>
                      <v:stroke color="#000000" joinstyle="miter"/>
                      <v:imagedata o:title=""/>
                      <o:lock v:ext="edit" aspectratio="f"/>
                      <v:textbox inset="2.54mm,0mm,2.54mm,0mm">
                        <w:txbxContent>
                          <w:p>
                            <w:pPr>
                              <w:jc w:val="center"/>
                              <w:rPr>
                                <w:rFonts w:ascii="宋体" w:hAnsi="宋体" w:cs="宋体"/>
                              </w:rPr>
                            </w:pPr>
                            <w:r>
                              <w:rPr>
                                <w:rFonts w:hint="eastAsia" w:ascii="宋体" w:hAnsi="宋体" w:cs="宋体"/>
                              </w:rPr>
                              <w:t>挂号初检</w:t>
                            </w:r>
                          </w:p>
                        </w:txbxContent>
                      </v:textbox>
                    </v:shape>
                  </w:pict>
                </mc:Fallback>
              </mc:AlternateContent>
            </w:r>
          </w:p>
          <w:p>
            <w:pPr>
              <w:pStyle w:val="12"/>
              <w:rPr>
                <w:bCs/>
                <w:color w:val="auto"/>
                <w:highlight w:val="none"/>
              </w:rPr>
            </w:pPr>
            <w:r>
              <w:rPr>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2560955</wp:posOffset>
                      </wp:positionH>
                      <wp:positionV relativeFrom="paragraph">
                        <wp:posOffset>144780</wp:posOffset>
                      </wp:positionV>
                      <wp:extent cx="0" cy="172085"/>
                      <wp:effectExtent l="38100" t="0" r="38100" b="10795"/>
                      <wp:wrapNone/>
                      <wp:docPr id="12" name="AutoShape 14"/>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4" o:spid="_x0000_s1026" o:spt="32" type="#_x0000_t32" style="position:absolute;left:0pt;margin-left:201.65pt;margin-top:11.4pt;height:13.55pt;width:0pt;z-index:251669504;mso-width-relative:page;mso-height-relative:page;" filled="f" stroked="t" coordsize="21600,21600" o:gfxdata="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pf9/YAAAA&#10;CQEAAA8AAAAAAAAAAQAgAAAAIgAAAGRycy9kb3ducmV2LnhtbFBLAQIUABQAAAAIAIdO4kCc+Blq&#10;5AEAAOUDAAAOAAAAAAAAAAEAIAAAACcBAABkcnMvZTJvRG9jLnhtbFBLBQYAAAAABgAGAFkBAAB9&#10;BQAAAAA=&#10;">
                      <v:fill on="f" focussize="0,0"/>
                      <v:stroke color="#000000" joinstyle="round" endarrow="block"/>
                      <v:imagedata o:title=""/>
                      <o:lock v:ext="edit" aspectratio="f"/>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2092960</wp:posOffset>
                      </wp:positionH>
                      <wp:positionV relativeFrom="paragraph">
                        <wp:posOffset>12065</wp:posOffset>
                      </wp:positionV>
                      <wp:extent cx="910590" cy="221615"/>
                      <wp:effectExtent l="4445" t="4445" r="14605" b="17780"/>
                      <wp:wrapNone/>
                      <wp:docPr id="8" name="Text Box 9"/>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就诊（候诊）</w:t>
                                  </w:r>
                                </w:p>
                              </w:txbxContent>
                            </wps:txbx>
                            <wps:bodyPr wrap="square" lIns="91440" tIns="0" rIns="91440" bIns="0" upright="1"/>
                          </wps:wsp>
                        </a:graphicData>
                      </a:graphic>
                    </wp:anchor>
                  </w:drawing>
                </mc:Choice>
                <mc:Fallback>
                  <w:pict>
                    <v:shape id="Text Box 9" o:spid="_x0000_s1026" o:spt="202" type="#_x0000_t202" style="position:absolute;left:0pt;margin-left:164.8pt;margin-top:0.95pt;height:17.45pt;width:71.7pt;z-index:251666432;mso-width-relative:page;mso-height-relative:page;" fillcolor="#FFFFFF" filled="t" stroked="t" coordsize="21600,21600" o:gfxdata="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E1w1NcAAAAIAQAADwAA&#10;AAAAAAABACAAAAAiAAAAZHJzL2Rvd25yZXYueG1sUEsBAhQAFAAAAAgAh07iQEr6TEkXAgAAbgQA&#10;AA4AAAAAAAAAAQAgAAAAJgEAAGRycy9lMm9Eb2MueG1sUEsFBgAAAAAGAAYAWQEAAK8FAAAAAA==&#10;">
                      <v:fill on="t" focussize="0,0"/>
                      <v:stroke color="#000000" joinstyle="miter"/>
                      <v:imagedata o:title=""/>
                      <o:lock v:ext="edit" aspectratio="f"/>
                      <v:textbox inset="2.54mm,0mm,2.54mm,0mm">
                        <w:txbxContent>
                          <w:p>
                            <w:r>
                              <w:rPr>
                                <w:rFonts w:hint="eastAsia"/>
                              </w:rPr>
                              <w:t>就诊（候诊）</w:t>
                            </w:r>
                          </w:p>
                        </w:txbxContent>
                      </v:textbox>
                    </v:shape>
                  </w:pict>
                </mc:Fallback>
              </mc:AlternateContent>
            </w:r>
          </w:p>
          <w:p>
            <w:pPr>
              <w:pStyle w:val="12"/>
              <w:rPr>
                <w:bCs/>
                <w:color w:val="auto"/>
                <w:highlight w:val="none"/>
              </w:rPr>
            </w:pPr>
            <w:r>
              <w:rPr>
                <w:color w:val="auto"/>
                <w:highlight w:val="none"/>
              </w:rPr>
              <mc:AlternateContent>
                <mc:Choice Requires="wps">
                  <w:drawing>
                    <wp:anchor distT="0" distB="0" distL="114300" distR="114300" simplePos="0" relativeHeight="251678720" behindDoc="0" locked="0" layoutInCell="1" allowOverlap="1">
                      <wp:simplePos x="0" y="0"/>
                      <wp:positionH relativeFrom="column">
                        <wp:posOffset>490220</wp:posOffset>
                      </wp:positionH>
                      <wp:positionV relativeFrom="paragraph">
                        <wp:posOffset>116840</wp:posOffset>
                      </wp:positionV>
                      <wp:extent cx="782955" cy="394335"/>
                      <wp:effectExtent l="4445" t="5080" r="5080" b="12065"/>
                      <wp:wrapNone/>
                      <wp:docPr id="22" name="Text Box 25"/>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医疗废物</w:t>
                                  </w:r>
                                </w:p>
                                <w:p>
                                  <w:r>
                                    <w:rPr>
                                      <w:rFonts w:hint="eastAsia"/>
                                    </w:rPr>
                                    <w:t>医疗废水</w:t>
                                  </w:r>
                                </w:p>
                              </w:txbxContent>
                            </wps:txbx>
                            <wps:bodyPr wrap="square" lIns="91440" tIns="0" rIns="91440" bIns="0" upright="1"/>
                          </wps:wsp>
                        </a:graphicData>
                      </a:graphic>
                    </wp:anchor>
                  </w:drawing>
                </mc:Choice>
                <mc:Fallback>
                  <w:pict>
                    <v:shape id="Text Box 25" o:spid="_x0000_s1026" o:spt="202" type="#_x0000_t202" style="position:absolute;left:0pt;margin-left:38.6pt;margin-top:9.2pt;height:31.05pt;width:61.65pt;z-index:251678720;mso-width-relative:page;mso-height-relative:page;" fillcolor="#FFFFFF" filled="t" stroked="t" coordsize="21600,21600" o:gfxdata="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lTKUNgAAAAI&#10;AQAADwAAAAAAAAABACAAAAAiAAAAZHJzL2Rvd25yZXYueG1sUEsBAhQAFAAAAAgAh07iQOtkoaIc&#10;AgAAbwQAAA4AAAAAAAAAAQAgAAAAJwEAAGRycy9lMm9Eb2MueG1sUEsFBgAAAAAGAAYAWQEAALUF&#10;AAAAAA==&#10;">
                      <v:fill on="t" focussize="0,0"/>
                      <v:stroke color="#000000" joinstyle="miter" dashstyle="dash"/>
                      <v:imagedata o:title=""/>
                      <o:lock v:ext="edit" aspectratio="f"/>
                      <v:textbox inset="2.54mm,0mm,2.54mm,0mm">
                        <w:txbxContent>
                          <w:p>
                            <w:r>
                              <w:rPr>
                                <w:rFonts w:hint="eastAsia"/>
                              </w:rPr>
                              <w:t>医疗废物</w:t>
                            </w:r>
                          </w:p>
                          <w:p>
                            <w:r>
                              <w:rPr>
                                <w:rFonts w:hint="eastAsia"/>
                              </w:rPr>
                              <w:t>医疗废水</w:t>
                            </w:r>
                          </w:p>
                        </w:txbxContent>
                      </v:textbox>
                    </v:shape>
                  </w:pict>
                </mc:Fallback>
              </mc:AlternateContent>
            </w:r>
            <w:r>
              <w:rPr>
                <w:color w:val="auto"/>
                <w:highlight w:val="none"/>
              </w:rPr>
              <mc:AlternateContent>
                <mc:Choice Requires="wps">
                  <w:drawing>
                    <wp:anchor distT="0" distB="0" distL="114300" distR="114300" simplePos="0" relativeHeight="251670528" behindDoc="0" locked="0" layoutInCell="1" allowOverlap="1">
                      <wp:simplePos x="0" y="0"/>
                      <wp:positionH relativeFrom="column">
                        <wp:posOffset>2560955</wp:posOffset>
                      </wp:positionH>
                      <wp:positionV relativeFrom="paragraph">
                        <wp:posOffset>80645</wp:posOffset>
                      </wp:positionV>
                      <wp:extent cx="0" cy="172085"/>
                      <wp:effectExtent l="38100" t="0" r="38100" b="10795"/>
                      <wp:wrapNone/>
                      <wp:docPr id="13" name="AutoShape 15"/>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5" o:spid="_x0000_s1026" o:spt="32" type="#_x0000_t32" style="position:absolute;left:0pt;margin-left:201.65pt;margin-top:6.35pt;height:13.55pt;width:0pt;z-index:251670528;mso-width-relative:page;mso-height-relative:page;" filled="f" stroked="t" coordsize="21600,21600" o:gfxdata="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32CANgA&#10;AAAJAQAADwAAAAAAAAABACAAAAAiAAAAZHJzL2Rvd25yZXYueG1sUEsBAhQAFAAAAAgAh07iQAYB&#10;2KvmAQAA5QMAAA4AAAAAAAAAAQAgAAAAJwEAAGRycy9lMm9Eb2MueG1sUEsFBgAAAAAGAAYAWQEA&#10;AH8FA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2298065</wp:posOffset>
                      </wp:positionH>
                      <wp:positionV relativeFrom="paragraph">
                        <wp:posOffset>248920</wp:posOffset>
                      </wp:positionV>
                      <wp:extent cx="502285" cy="172085"/>
                      <wp:effectExtent l="5080" t="4445" r="10795" b="6350"/>
                      <wp:wrapNone/>
                      <wp:docPr id="7" name="Text Box 8"/>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化验</w:t>
                                  </w:r>
                                </w:p>
                              </w:txbxContent>
                            </wps:txbx>
                            <wps:bodyPr wrap="square" lIns="91440" tIns="0" rIns="91440" bIns="0" upright="1"/>
                          </wps:wsp>
                        </a:graphicData>
                      </a:graphic>
                    </wp:anchor>
                  </w:drawing>
                </mc:Choice>
                <mc:Fallback>
                  <w:pict>
                    <v:shape id="Text Box 8" o:spid="_x0000_s1026" o:spt="202" type="#_x0000_t202" style="position:absolute;left:0pt;margin-left:180.95pt;margin-top:19.6pt;height:13.55pt;width:39.55pt;z-index:251665408;mso-width-relative:page;mso-height-relative:page;" fillcolor="#FFFFFF" filled="t" stroked="t" coordsize="21600,21600" o:gfxdata="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C/TatkAAAAJAQAA&#10;DwAAAAAAAAABACAAAAAiAAAAZHJzL2Rvd25yZXYueG1sUEsBAhQAFAAAAAgAh07iQH/YtdcYAgAA&#10;bgQAAA4AAAAAAAAAAQAgAAAAKAEAAGRycy9lMm9Eb2MueG1sUEsFBgAAAAAGAAYAWQEAALIFAAAA&#10;AA==&#10;">
                      <v:fill on="t" focussize="0,0"/>
                      <v:stroke color="#000000" joinstyle="miter"/>
                      <v:imagedata o:title=""/>
                      <o:lock v:ext="edit" aspectratio="f"/>
                      <v:textbox inset="2.54mm,0mm,2.54mm,0mm">
                        <w:txbxContent>
                          <w:p>
                            <w:r>
                              <w:rPr>
                                <w:rFonts w:hint="eastAsia"/>
                              </w:rPr>
                              <w:t>化验</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83840" behindDoc="0" locked="0" layoutInCell="1" allowOverlap="1">
                      <wp:simplePos x="0" y="0"/>
                      <wp:positionH relativeFrom="column">
                        <wp:posOffset>1252855</wp:posOffset>
                      </wp:positionH>
                      <wp:positionV relativeFrom="paragraph">
                        <wp:posOffset>12700</wp:posOffset>
                      </wp:positionV>
                      <wp:extent cx="1045210" cy="1905"/>
                      <wp:effectExtent l="0" t="36195" r="6350" b="38100"/>
                      <wp:wrapNone/>
                      <wp:docPr id="31" name="AutoShape 41"/>
                      <wp:cNvGraphicFramePr/>
                      <a:graphic xmlns:a="http://schemas.openxmlformats.org/drawingml/2006/main">
                        <a:graphicData uri="http://schemas.microsoft.com/office/word/2010/wordprocessingShape">
                          <wps:wsp>
                            <wps:cNvCnPr/>
                            <wps:spPr>
                              <a:xfrm flipH="1">
                                <a:off x="0" y="0"/>
                                <a:ext cx="1045210" cy="190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41" o:spid="_x0000_s1026" o:spt="32" type="#_x0000_t32" style="position:absolute;left:0pt;flip:x;margin-left:98.65pt;margin-top:1pt;height:0.15pt;width:82.3pt;z-index:251683840;mso-width-relative:page;mso-height-relative:page;" filled="f" stroked="t" coordsize="21600,21600" o:gfxdata="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Y&#10;LRiA0gAAAAcBAAAPAAAAAAAAAAEAIAAAACIAAABkcnMvZG93bnJldi54bWxQSwECFAAUAAAACACH&#10;TuJAkqhd9vEBAADyAwAADgAAAAAAAAABACAAAAAhAQAAZHJzL2Uyb0RvYy54bWxQSwUGAAAAAAYA&#10;BgBZAQAAhAUAAA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2560955</wp:posOffset>
                      </wp:positionH>
                      <wp:positionV relativeFrom="paragraph">
                        <wp:posOffset>114935</wp:posOffset>
                      </wp:positionV>
                      <wp:extent cx="0" cy="172085"/>
                      <wp:effectExtent l="38100" t="0" r="38100" b="10795"/>
                      <wp:wrapNone/>
                      <wp:docPr id="14" name="AutoShape 16"/>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6" o:spid="_x0000_s1026" o:spt="32" type="#_x0000_t32" style="position:absolute;left:0pt;margin-left:201.65pt;margin-top:9.05pt;height:13.55pt;width:0pt;z-index:251671552;mso-width-relative:page;mso-height-relative:page;" filled="f" stroked="t" coordsize="21600,21600" o:gfxdata="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WvsQjYAAAA&#10;CQEAAA8AAAAAAAAAAQAgAAAAIgAAAGRycy9kb3ducmV2LnhtbFBLAQIUABQAAAAIAIdO4kAUou4o&#10;5AEAAOUDAAAOAAAAAAAAAAEAIAAAACcBAABkcnMvZTJvRG9jLnhtbFBLBQYAAAAABgAGAFkBAAB9&#10;BQAAAAA=&#10;">
                      <v:fill on="f" focussize="0,0"/>
                      <v:stroke color="#000000" joinstyle="round" endarrow="block"/>
                      <v:imagedata o:title=""/>
                      <o:lock v:ext="edit" aspectratio="f"/>
                    </v:shape>
                  </w:pict>
                </mc:Fallback>
              </mc:AlternateContent>
            </w:r>
          </w:p>
          <w:p>
            <w:pPr>
              <w:pStyle w:val="12"/>
              <w:rPr>
                <w:bCs/>
                <w:color w:val="auto"/>
                <w:highlight w:val="none"/>
              </w:rPr>
            </w:pPr>
            <w:r>
              <w:rPr>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2298065</wp:posOffset>
                      </wp:positionH>
                      <wp:positionV relativeFrom="paragraph">
                        <wp:posOffset>136525</wp:posOffset>
                      </wp:positionV>
                      <wp:extent cx="502285" cy="172085"/>
                      <wp:effectExtent l="5080" t="4445" r="10795" b="6350"/>
                      <wp:wrapNone/>
                      <wp:docPr id="3" name="Text Box 4"/>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诊断</w:t>
                                  </w:r>
                                </w:p>
                              </w:txbxContent>
                            </wps:txbx>
                            <wps:bodyPr wrap="square" lIns="91440" tIns="0" rIns="91440" bIns="0" upright="1"/>
                          </wps:wsp>
                        </a:graphicData>
                      </a:graphic>
                    </wp:anchor>
                  </w:drawing>
                </mc:Choice>
                <mc:Fallback>
                  <w:pict>
                    <v:shape id="Text Box 4" o:spid="_x0000_s1026" o:spt="202" type="#_x0000_t202" style="position:absolute;left:0pt;margin-left:180.95pt;margin-top:10.75pt;height:13.55pt;width:39.55pt;z-index:251661312;mso-width-relative:page;mso-height-relative:page;" fillcolor="#FFFFFF" filled="t" stroked="t" coordsize="21600,21600" o:gfxdata="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Zv7pNkAAAAJAQAA&#10;DwAAAAAAAAABACAAAAAiAAAAZHJzL2Rvd25yZXYueG1sUEsBAhQAFAAAAAgAh07iQB7iFFcYAgAA&#10;bgQAAA4AAAAAAAAAAQAgAAAAKAEAAGRycy9lMm9Eb2MueG1sUEsFBgAAAAAGAAYAWQEAALIFAAAA&#10;AA==&#10;">
                      <v:fill on="t" focussize="0,0"/>
                      <v:stroke color="#000000" joinstyle="miter"/>
                      <v:imagedata o:title=""/>
                      <o:lock v:ext="edit" aspectratio="f"/>
                      <v:textbox inset="2.54mm,0mm,2.54mm,0mm">
                        <w:txbxContent>
                          <w:p>
                            <w:r>
                              <w:rPr>
                                <w:rFonts w:hint="eastAsia"/>
                              </w:rPr>
                              <w:t>诊断</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2560955</wp:posOffset>
                      </wp:positionH>
                      <wp:positionV relativeFrom="paragraph">
                        <wp:posOffset>2540</wp:posOffset>
                      </wp:positionV>
                      <wp:extent cx="0" cy="172085"/>
                      <wp:effectExtent l="38100" t="0" r="38100" b="10795"/>
                      <wp:wrapNone/>
                      <wp:docPr id="18" name="AutoShape 21"/>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1" o:spid="_x0000_s1026" o:spt="32" type="#_x0000_t32" style="position:absolute;left:0pt;margin-left:201.65pt;margin-top:0.2pt;height:13.55pt;width:0pt;z-index:251675648;mso-width-relative:page;mso-height-relative:page;" filled="f" stroked="t" coordsize="21600,21600" o:gfxdata="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TIu57WAAAABwEA&#10;AA8AAAAAAAAAAQAgAAAAIgAAAGRycy9kb3ducmV2LnhtbFBLAQIUABQAAAAIAIdO4kDbzQ4o4wEA&#10;AOUDAAAOAAAAAAAAAAEAIAAAACUBAABkcnMvZTJvRG9jLnhtbFBLBQYAAAAABgAGAFkBAAB6BQAA&#10;AAA=&#10;">
                      <v:fill on="f" focussize="0,0"/>
                      <v:stroke color="#000000" joinstyle="round" endarrow="block"/>
                      <v:imagedata o:title=""/>
                      <o:lock v:ext="edit" aspectratio="f"/>
                    </v:shape>
                  </w:pict>
                </mc:Fallback>
              </mc:AlternateContent>
            </w:r>
          </w:p>
          <w:p>
            <w:pPr>
              <w:pStyle w:val="12"/>
              <w:rPr>
                <w:bCs/>
                <w:color w:val="auto"/>
                <w:highlight w:val="none"/>
              </w:rPr>
            </w:pPr>
            <w:r>
              <w:rPr>
                <w:color w:val="auto"/>
                <w:highlight w:val="none"/>
              </w:rPr>
              <mc:AlternateContent>
                <mc:Choice Requires="wps">
                  <w:drawing>
                    <wp:anchor distT="0" distB="0" distL="114300" distR="114300" simplePos="0" relativeHeight="251680768" behindDoc="0" locked="0" layoutInCell="1" allowOverlap="1">
                      <wp:simplePos x="0" y="0"/>
                      <wp:positionH relativeFrom="column">
                        <wp:posOffset>3376930</wp:posOffset>
                      </wp:positionH>
                      <wp:positionV relativeFrom="paragraph">
                        <wp:posOffset>287655</wp:posOffset>
                      </wp:positionV>
                      <wp:extent cx="323850" cy="635"/>
                      <wp:effectExtent l="0" t="37465" r="11430" b="38100"/>
                      <wp:wrapNone/>
                      <wp:docPr id="25" name="AutoShape 29"/>
                      <wp:cNvGraphicFramePr/>
                      <a:graphic xmlns:a="http://schemas.openxmlformats.org/drawingml/2006/main">
                        <a:graphicData uri="http://schemas.microsoft.com/office/word/2010/wordprocessingShape">
                          <wps:wsp>
                            <wps:cNvCnPr/>
                            <wps:spPr>
                              <a:xfrm>
                                <a:off x="0" y="0"/>
                                <a:ext cx="32385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29" o:spid="_x0000_s1026" o:spt="32" type="#_x0000_t32" style="position:absolute;left:0pt;margin-left:265.9pt;margin-top:22.65pt;height:0.05pt;width:25.5pt;z-index:251680768;mso-width-relative:page;mso-height-relative:page;" filled="f" stroked="t" coordsize="21600,21600" o:gfxdata="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f7vdQAAAAJ&#10;AQAADwAAAAAAAAABACAAAAAiAAAAZHJzL2Rvd25yZXYueG1sUEsBAhQAFAAAAAgAh07iQC83VMLn&#10;AQAA5gMAAA4AAAAAAAAAAQAgAAAAIwEAAGRycy9lMm9Eb2MueG1sUEsFBgAAAAAGAAYAWQEAAHwF&#10;AAAA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9744" behindDoc="0" locked="0" layoutInCell="1" allowOverlap="1">
                      <wp:simplePos x="0" y="0"/>
                      <wp:positionH relativeFrom="column">
                        <wp:posOffset>3700780</wp:posOffset>
                      </wp:positionH>
                      <wp:positionV relativeFrom="paragraph">
                        <wp:posOffset>71120</wp:posOffset>
                      </wp:positionV>
                      <wp:extent cx="782955" cy="394335"/>
                      <wp:effectExtent l="4445" t="5080" r="5080" b="12065"/>
                      <wp:wrapNone/>
                      <wp:docPr id="23" name="Text Box 26"/>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医疗废物</w:t>
                                  </w:r>
                                </w:p>
                                <w:p>
                                  <w:r>
                                    <w:rPr>
                                      <w:rFonts w:hint="eastAsia"/>
                                    </w:rPr>
                                    <w:t>医疗废水</w:t>
                                  </w:r>
                                </w:p>
                              </w:txbxContent>
                            </wps:txbx>
                            <wps:bodyPr wrap="square" lIns="91440" tIns="0" rIns="91440" bIns="0" upright="1"/>
                          </wps:wsp>
                        </a:graphicData>
                      </a:graphic>
                    </wp:anchor>
                  </w:drawing>
                </mc:Choice>
                <mc:Fallback>
                  <w:pict>
                    <v:shape id="Text Box 26" o:spid="_x0000_s1026" o:spt="202" type="#_x0000_t202" style="position:absolute;left:0pt;margin-left:291.4pt;margin-top:5.6pt;height:31.05pt;width:61.65pt;z-index:251679744;mso-width-relative:page;mso-height-relative:page;" fillcolor="#FFFFFF" filled="t" stroked="t" coordsize="21600,21600" o:gfxdata="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Q4Ag9kAAAAJ&#10;AQAADwAAAAAAAAABACAAAAAiAAAAZHJzL2Rvd25yZXYueG1sUEsBAhQAFAAAAAgAh07iQDb/grgb&#10;AgAAbwQAAA4AAAAAAAAAAQAgAAAAKAEAAGRycy9lMm9Eb2MueG1sUEsFBgAAAAAGAAYAWQEAALUF&#10;AAAAAA==&#10;">
                      <v:fill on="t" focussize="0,0"/>
                      <v:stroke color="#000000" joinstyle="miter" dashstyle="dash"/>
                      <v:imagedata o:title=""/>
                      <o:lock v:ext="edit" aspectratio="f"/>
                      <v:textbox inset="2.54mm,0mm,2.54mm,0mm">
                        <w:txbxContent>
                          <w:p>
                            <w:r>
                              <w:rPr>
                                <w:rFonts w:hint="eastAsia"/>
                              </w:rPr>
                              <w:t>医疗废物</w:t>
                            </w:r>
                          </w:p>
                          <w:p>
                            <w:r>
                              <w:rPr>
                                <w:rFonts w:hint="eastAsia"/>
                              </w:rPr>
                              <w:t>医疗废水</w:t>
                            </w:r>
                          </w:p>
                        </w:txbxContent>
                      </v:textbox>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3122295</wp:posOffset>
                      </wp:positionH>
                      <wp:positionV relativeFrom="paragraph">
                        <wp:posOffset>20955</wp:posOffset>
                      </wp:positionV>
                      <wp:extent cx="0" cy="172085"/>
                      <wp:effectExtent l="38100" t="0" r="38100" b="10795"/>
                      <wp:wrapNone/>
                      <wp:docPr id="17" name="AutoShape 20"/>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0" o:spid="_x0000_s1026" o:spt="32" type="#_x0000_t32" style="position:absolute;left:0pt;margin-left:245.85pt;margin-top:1.65pt;height:13.55pt;width:0pt;z-index:251674624;mso-width-relative:page;mso-height-relative:page;" filled="f" stroked="t" coordsize="21600,21600" o:gfxdata="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1LJs/XAAAACAEA&#10;AA8AAAAAAAAAAQAgAAAAIgAAAGRycy9kb3ducmV2LnhtbFBLAQIUABQAAAAIAIdO4kCYkHsn4gEA&#10;AOUDAAAOAAAAAAAAAAEAIAAAACYBAABkcnMvZTJvRG9jLnhtbFBLBQYAAAAABgAGAFkBAAB6BQAA&#10;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1922780</wp:posOffset>
                      </wp:positionH>
                      <wp:positionV relativeFrom="paragraph">
                        <wp:posOffset>20955</wp:posOffset>
                      </wp:positionV>
                      <wp:extent cx="0" cy="357505"/>
                      <wp:effectExtent l="38100" t="0" r="38100" b="8255"/>
                      <wp:wrapNone/>
                      <wp:docPr id="16" name="AutoShape 19"/>
                      <wp:cNvGraphicFramePr/>
                      <a:graphic xmlns:a="http://schemas.openxmlformats.org/drawingml/2006/main">
                        <a:graphicData uri="http://schemas.microsoft.com/office/word/2010/wordprocessingShape">
                          <wps:wsp>
                            <wps:cNvCnPr/>
                            <wps:spPr>
                              <a:xfrm>
                                <a:off x="0" y="0"/>
                                <a:ext cx="0" cy="3575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9" o:spid="_x0000_s1026" o:spt="32" type="#_x0000_t32" style="position:absolute;left:0pt;margin-left:151.4pt;margin-top:1.65pt;height:28.15pt;width:0pt;z-index:251673600;mso-width-relative:page;mso-height-relative:page;" filled="f" stroked="t" coordsize="21600,21600" o:gfxdata="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Qlg4dcAAAAI&#10;AQAADwAAAAAAAAABACAAAAAiAAAAZHJzL2Rvd25yZXYueG1sUEsBAhQAFAAAAAgAh07iQH2B9ubk&#10;AQAA5QMAAA4AAAAAAAAAAQAgAAAAJgEAAGRycy9lMm9Eb2MueG1sUEsFBgAAAAAGAAYAWQEAAHwF&#10;A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1922780</wp:posOffset>
                      </wp:positionH>
                      <wp:positionV relativeFrom="paragraph">
                        <wp:posOffset>15240</wp:posOffset>
                      </wp:positionV>
                      <wp:extent cx="1199515" cy="0"/>
                      <wp:effectExtent l="0" t="0" r="0" b="0"/>
                      <wp:wrapNone/>
                      <wp:docPr id="15" name="AutoShape 18"/>
                      <wp:cNvGraphicFramePr/>
                      <a:graphic xmlns:a="http://schemas.openxmlformats.org/drawingml/2006/main">
                        <a:graphicData uri="http://schemas.microsoft.com/office/word/2010/wordprocessingShape">
                          <wps:wsp>
                            <wps:cNvCnPr/>
                            <wps:spPr>
                              <a:xfrm>
                                <a:off x="0" y="0"/>
                                <a:ext cx="119951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AutoShape 18" o:spid="_x0000_s1026" o:spt="32" type="#_x0000_t32" style="position:absolute;left:0pt;margin-left:151.4pt;margin-top:1.2pt;height:0pt;width:94.45pt;z-index:251672576;mso-width-relative:page;mso-height-relative:page;" filled="f" stroked="t" coordsize="21600,21600" o:gfxdata="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ZntJK1gAAAAcBAAAPAAAA&#10;AAAAAAEAIAAAACIAAABkcnMvZG93bnJldi54bWxQSwECFAAUAAAACACHTuJAa4NM094BAADiAwAA&#10;DgAAAAAAAAABACAAAAAlAQAAZHJzL2Uyb0RvYy54bWxQSwUGAAAAAAYABgBZAQAAdQ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2874645</wp:posOffset>
                      </wp:positionH>
                      <wp:positionV relativeFrom="paragraph">
                        <wp:posOffset>206375</wp:posOffset>
                      </wp:positionV>
                      <wp:extent cx="502285" cy="172085"/>
                      <wp:effectExtent l="5080" t="4445" r="10795" b="6350"/>
                      <wp:wrapNone/>
                      <wp:docPr id="6" name="Text Box 7"/>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治疗</w:t>
                                  </w:r>
                                </w:p>
                              </w:txbxContent>
                            </wps:txbx>
                            <wps:bodyPr wrap="square" lIns="91440" tIns="0" rIns="91440" bIns="0" upright="1"/>
                          </wps:wsp>
                        </a:graphicData>
                      </a:graphic>
                    </wp:anchor>
                  </w:drawing>
                </mc:Choice>
                <mc:Fallback>
                  <w:pict>
                    <v:shape id="Text Box 7" o:spid="_x0000_s1026" o:spt="202" type="#_x0000_t202" style="position:absolute;left:0pt;margin-left:226.35pt;margin-top:16.25pt;height:13.55pt;width:39.55pt;z-index:251664384;mso-width-relative:page;mso-height-relative:page;" fillcolor="#FFFFFF" filled="t" stroked="t" coordsize="21600,21600" o:gfxdata="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zbWSJ2QAAAAkBAAAP&#10;AAAAAAAAAAEAIAAAACIAAABkcnMvZG93bnJldi54bWxQSwECFAAUAAAACACHTuJAXizprhcCAABu&#10;BAAADgAAAAAAAAABACAAAAAoAQAAZHJzL2Uyb0RvYy54bWxQSwUGAAAAAAYABgBZAQAAsQUAAAAA&#10;">
                      <v:fill on="t" focussize="0,0"/>
                      <v:stroke color="#000000" joinstyle="miter"/>
                      <v:imagedata o:title=""/>
                      <o:lock v:ext="edit" aspectratio="f"/>
                      <v:textbox inset="2.54mm,0mm,2.54mm,0mm">
                        <w:txbxContent>
                          <w:p>
                            <w:r>
                              <w:rPr>
                                <w:rFonts w:hint="eastAsia"/>
                              </w:rPr>
                              <w:t>治疗</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3122295</wp:posOffset>
                      </wp:positionH>
                      <wp:positionV relativeFrom="paragraph">
                        <wp:posOffset>72390</wp:posOffset>
                      </wp:positionV>
                      <wp:extent cx="0" cy="172085"/>
                      <wp:effectExtent l="38100" t="0" r="38100" b="10795"/>
                      <wp:wrapNone/>
                      <wp:docPr id="20" name="AutoShape 23"/>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3" o:spid="_x0000_s1026" o:spt="32" type="#_x0000_t32" style="position:absolute;left:0pt;margin-left:245.85pt;margin-top:5.7pt;height:13.55pt;width:0pt;z-index:251676672;mso-width-relative:page;mso-height-relative:page;" filled="f" stroked="t" coordsize="21600,21600" o:gfxdata="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njJMDYAAAA&#10;CQEAAA8AAAAAAAAAAQAgAAAAIgAAAGRycy9kb3ducmV2LnhtbFBLAQIUABQAAAAIAIdO4kDuV7sY&#10;5AEAAOUDAAAOAAAAAAAAAAEAIAAAACcBAABkcnMvZTJvRG9jLnhtbFBLBQYAAAAABgAGAFkBAAB9&#10;BQ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1515110</wp:posOffset>
                      </wp:positionH>
                      <wp:positionV relativeFrom="paragraph">
                        <wp:posOffset>79375</wp:posOffset>
                      </wp:positionV>
                      <wp:extent cx="782955" cy="172085"/>
                      <wp:effectExtent l="4445" t="5080" r="5080" b="5715"/>
                      <wp:wrapNone/>
                      <wp:docPr id="4" name="Text Box 5"/>
                      <wp:cNvGraphicFramePr/>
                      <a:graphic xmlns:a="http://schemas.openxmlformats.org/drawingml/2006/main">
                        <a:graphicData uri="http://schemas.microsoft.com/office/word/2010/wordprocessingShape">
                          <wps:wsp>
                            <wps:cNvSpPr txBox="1"/>
                            <wps:spPr>
                              <a:xfrm>
                                <a:off x="0" y="0"/>
                                <a:ext cx="78295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开药离院</w:t>
                                  </w:r>
                                </w:p>
                              </w:txbxContent>
                            </wps:txbx>
                            <wps:bodyPr wrap="square" lIns="91440" tIns="0" rIns="91440" bIns="0" upright="1"/>
                          </wps:wsp>
                        </a:graphicData>
                      </a:graphic>
                    </wp:anchor>
                  </w:drawing>
                </mc:Choice>
                <mc:Fallback>
                  <w:pict>
                    <v:shape id="Text Box 5" o:spid="_x0000_s1026" o:spt="202" type="#_x0000_t202" style="position:absolute;left:0pt;margin-left:119.3pt;margin-top:6.25pt;height:13.55pt;width:61.65pt;z-index:251662336;mso-width-relative:page;mso-height-relative:page;" fillcolor="#FFFFFF" filled="t" stroked="t" coordsize="21600,21600" o:gfxdata="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wirrHYAAAACQEA&#10;AA8AAAAAAAAAAQAgAAAAIgAAAGRycy9kb3ducmV2LnhtbFBLAQIUABQAAAAIAIdO4kCUFyn6GgIA&#10;AG4EAAAOAAAAAAAAAAEAIAAAACcBAABkcnMvZTJvRG9jLnhtbFBLBQYAAAAABgAGAFkBAACzBQAA&#10;AAA=&#10;">
                      <v:fill on="t" focussize="0,0"/>
                      <v:stroke color="#000000" joinstyle="miter"/>
                      <v:imagedata o:title=""/>
                      <o:lock v:ext="edit" aspectratio="f"/>
                      <v:textbox inset="2.54mm,0mm,2.54mm,0mm">
                        <w:txbxContent>
                          <w:p>
                            <w:r>
                              <w:rPr>
                                <w:rFonts w:hint="eastAsia"/>
                              </w:rPr>
                              <w:t>开药离院</w:t>
                            </w:r>
                          </w:p>
                        </w:txbxContent>
                      </v:textbox>
                    </v:shape>
                  </w:pict>
                </mc:Fallback>
              </mc:AlternateContent>
            </w:r>
          </w:p>
          <w:p>
            <w:pPr>
              <w:pStyle w:val="12"/>
              <w:rPr>
                <w:bCs/>
                <w:color w:val="auto"/>
                <w:highlight w:val="none"/>
              </w:rPr>
            </w:pPr>
            <w:r>
              <w:rPr>
                <w:color w:val="auto"/>
                <w:highlight w:val="none"/>
              </w:rPr>
              <mc:AlternateContent>
                <mc:Choice Requires="wps">
                  <w:drawing>
                    <wp:anchor distT="0" distB="0" distL="114300" distR="114300" simplePos="0" relativeHeight="251682816" behindDoc="0" locked="0" layoutInCell="1" allowOverlap="1">
                      <wp:simplePos x="0" y="0"/>
                      <wp:positionH relativeFrom="column">
                        <wp:posOffset>3361690</wp:posOffset>
                      </wp:positionH>
                      <wp:positionV relativeFrom="paragraph">
                        <wp:posOffset>195580</wp:posOffset>
                      </wp:positionV>
                      <wp:extent cx="323850" cy="635"/>
                      <wp:effectExtent l="0" t="37465" r="11430" b="38100"/>
                      <wp:wrapNone/>
                      <wp:docPr id="28" name="AutoShape 32"/>
                      <wp:cNvGraphicFramePr/>
                      <a:graphic xmlns:a="http://schemas.openxmlformats.org/drawingml/2006/main">
                        <a:graphicData uri="http://schemas.microsoft.com/office/word/2010/wordprocessingShape">
                          <wps:wsp>
                            <wps:cNvCnPr/>
                            <wps:spPr>
                              <a:xfrm>
                                <a:off x="0" y="0"/>
                                <a:ext cx="32385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32" o:spid="_x0000_s1026" o:spt="32" type="#_x0000_t32" style="position:absolute;left:0pt;margin-left:264.7pt;margin-top:15.4pt;height:0.05pt;width:25.5pt;z-index:251682816;mso-width-relative:page;mso-height-relative:page;" filled="f" stroked="t" coordsize="21600,21600" o:gfxdata="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4RxdQAAAAJ&#10;AQAADwAAAAAAAAABACAAAAAiAAAAZHJzL2Rvd25yZXYueG1sUEsBAhQAFAAAAAgAh07iQFHPKabn&#10;AQAA5gMAAA4AAAAAAAAAAQAgAAAAIwEAAGRycy9lMm9Eb2MueG1sUEsFBgAAAAAGAAYAWQEAAHwF&#10;AAAA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81792" behindDoc="0" locked="0" layoutInCell="1" allowOverlap="1">
                      <wp:simplePos x="0" y="0"/>
                      <wp:positionH relativeFrom="column">
                        <wp:posOffset>3700780</wp:posOffset>
                      </wp:positionH>
                      <wp:positionV relativeFrom="paragraph">
                        <wp:posOffset>97155</wp:posOffset>
                      </wp:positionV>
                      <wp:extent cx="782955" cy="391160"/>
                      <wp:effectExtent l="4445" t="5080" r="5080" b="15240"/>
                      <wp:wrapNone/>
                      <wp:docPr id="27" name="Text Box 31"/>
                      <wp:cNvGraphicFramePr/>
                      <a:graphic xmlns:a="http://schemas.openxmlformats.org/drawingml/2006/main">
                        <a:graphicData uri="http://schemas.microsoft.com/office/word/2010/wordprocessingShape">
                          <wps:wsp>
                            <wps:cNvSpPr txBox="1"/>
                            <wps:spPr>
                              <a:xfrm>
                                <a:off x="0" y="0"/>
                                <a:ext cx="782955" cy="391160"/>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医疗废物</w:t>
                                  </w:r>
                                </w:p>
                                <w:p>
                                  <w:r>
                                    <w:rPr>
                                      <w:rFonts w:hint="eastAsia"/>
                                    </w:rPr>
                                    <w:t>医疗废水</w:t>
                                  </w:r>
                                </w:p>
                                <w:p/>
                              </w:txbxContent>
                            </wps:txbx>
                            <wps:bodyPr wrap="square" lIns="91440" tIns="0" rIns="91440" bIns="0" upright="1"/>
                          </wps:wsp>
                        </a:graphicData>
                      </a:graphic>
                    </wp:anchor>
                  </w:drawing>
                </mc:Choice>
                <mc:Fallback>
                  <w:pict>
                    <v:shape id="Text Box 31" o:spid="_x0000_s1026" o:spt="202" type="#_x0000_t202" style="position:absolute;left:0pt;margin-left:291.4pt;margin-top:7.65pt;height:30.8pt;width:61.65pt;z-index:251681792;mso-width-relative:page;mso-height-relative:page;" fillcolor="#FFFFFF" filled="t" stroked="t" coordsize="21600,21600" o:gfxdata="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wR7wu2QAA&#10;AAkBAAAPAAAAAAAAAAEAIAAAACIAAABkcnMvZG93bnJldi54bWxQSwECFAAUAAAACACHTuJAJ7JG&#10;fB0CAABvBAAADgAAAAAAAAABACAAAAAoAQAAZHJzL2Uyb0RvYy54bWxQSwUGAAAAAAYABgBZAQAA&#10;twUAAAAA&#10;">
                      <v:fill on="t" focussize="0,0"/>
                      <v:stroke color="#000000" joinstyle="miter" dashstyle="dash"/>
                      <v:imagedata o:title=""/>
                      <o:lock v:ext="edit" aspectratio="f"/>
                      <v:textbox inset="2.54mm,0mm,2.54mm,0mm">
                        <w:txbxContent>
                          <w:p>
                            <w:r>
                              <w:rPr>
                                <w:rFonts w:hint="eastAsia"/>
                              </w:rPr>
                              <w:t>医疗废物</w:t>
                            </w:r>
                          </w:p>
                          <w:p>
                            <w:r>
                              <w:rPr>
                                <w:rFonts w:hint="eastAsia"/>
                              </w:rPr>
                              <w:t>医疗废水</w:t>
                            </w:r>
                          </w:p>
                          <w:p/>
                        </w:txbxContent>
                      </v:textbox>
                    </v:shape>
                  </w:pict>
                </mc:Fallback>
              </mc:AlternateContent>
            </w:r>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3122295</wp:posOffset>
                      </wp:positionH>
                      <wp:positionV relativeFrom="paragraph">
                        <wp:posOffset>271145</wp:posOffset>
                      </wp:positionV>
                      <wp:extent cx="0" cy="172085"/>
                      <wp:effectExtent l="38100" t="0" r="38100" b="10795"/>
                      <wp:wrapNone/>
                      <wp:docPr id="21" name="AutoShape 24"/>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4" o:spid="_x0000_s1026" o:spt="32" type="#_x0000_t32" style="position:absolute;left:0pt;margin-left:245.85pt;margin-top:21.35pt;height:13.55pt;width:0pt;z-index:251677696;mso-width-relative:page;mso-height-relative:page;" filled="f" stroked="t" coordsize="21600,21600" o:gfxdata="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8ovy99cAAAAJ&#10;AQAADwAAAAAAAAABACAAAAAiAAAAZHJzL2Rvd25yZXYueG1sUEsBAhQAFAAAAAgAh07iQMhK0srk&#10;AQAA5QMAAA4AAAAAAAAAAQAgAAAAJgEAAGRycy9lMm9Eb2MueG1sUEsFBgAAAAAGAAYAWQEAAHwF&#10;A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2866390</wp:posOffset>
                      </wp:positionH>
                      <wp:positionV relativeFrom="paragraph">
                        <wp:posOffset>98425</wp:posOffset>
                      </wp:positionV>
                      <wp:extent cx="502285" cy="172085"/>
                      <wp:effectExtent l="5080" t="4445" r="10795" b="6350"/>
                      <wp:wrapNone/>
                      <wp:docPr id="5" name="Text Box 6"/>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留观</w:t>
                                  </w:r>
                                </w:p>
                              </w:txbxContent>
                            </wps:txbx>
                            <wps:bodyPr wrap="square" lIns="91440" tIns="0" rIns="91440" bIns="0" upright="1"/>
                          </wps:wsp>
                        </a:graphicData>
                      </a:graphic>
                    </wp:anchor>
                  </w:drawing>
                </mc:Choice>
                <mc:Fallback>
                  <w:pict>
                    <v:shape id="Text Box 6" o:spid="_x0000_s1026" o:spt="202" type="#_x0000_t202" style="position:absolute;left:0pt;margin-left:225.7pt;margin-top:7.75pt;height:13.55pt;width:39.55pt;z-index:251663360;mso-width-relative:page;mso-height-relative:page;" fillcolor="#FFFFFF" filled="t" stroked="t" coordsize="21600,21600" o:gfxdata="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4zXXdcAAAAJAQAADwAA&#10;AAAAAAABACAAAAAiAAAAZHJzL2Rvd25yZXYueG1sUEsBAhQAFAAAAAgAh07iQKFrbU8XAgAAbgQA&#10;AA4AAAAAAAAAAQAgAAAAJgEAAGRycy9lMm9Eb2MueG1sUEsFBgAAAAAGAAYAWQEAAK8FAAAAAA==&#10;">
                      <v:fill on="t" focussize="0,0"/>
                      <v:stroke color="#000000" joinstyle="miter"/>
                      <v:imagedata o:title=""/>
                      <o:lock v:ext="edit" aspectratio="f"/>
                      <v:textbox inset="2.54mm,0mm,2.54mm,0mm">
                        <w:txbxContent>
                          <w:p>
                            <w:pPr>
                              <w:jc w:val="center"/>
                            </w:pPr>
                            <w:r>
                              <w:rPr>
                                <w:rFonts w:hint="eastAsia"/>
                              </w:rPr>
                              <w:t>留观</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2859405</wp:posOffset>
                      </wp:positionH>
                      <wp:positionV relativeFrom="paragraph">
                        <wp:posOffset>142875</wp:posOffset>
                      </wp:positionV>
                      <wp:extent cx="502285" cy="172085"/>
                      <wp:effectExtent l="5080" t="4445" r="10795" b="6350"/>
                      <wp:wrapNone/>
                      <wp:docPr id="10" name="Text Box 11"/>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离院</w:t>
                                  </w:r>
                                </w:p>
                              </w:txbxContent>
                            </wps:txbx>
                            <wps:bodyPr wrap="square" lIns="91440" tIns="0" rIns="91440" bIns="0" upright="1"/>
                          </wps:wsp>
                        </a:graphicData>
                      </a:graphic>
                    </wp:anchor>
                  </w:drawing>
                </mc:Choice>
                <mc:Fallback>
                  <w:pict>
                    <v:shape id="Text Box 11" o:spid="_x0000_s1026" o:spt="202" type="#_x0000_t202" style="position:absolute;left:0pt;margin-left:225.15pt;margin-top:11.25pt;height:13.55pt;width:39.55pt;z-index:251667456;mso-width-relative:page;mso-height-relative:page;" fillcolor="#FFFFFF" filled="t" stroked="t" coordsize="21600,21600" o:gfxdata="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dKKBi2QAAAAkBAAAP&#10;AAAAAAAAAAEAIAAAACIAAABkcnMvZG93bnJldi54bWxQSwECFAAUAAAACACHTuJAz7Xz9BcCAABw&#10;BAAADgAAAAAAAAABACAAAAAoAQAAZHJzL2Uyb0RvYy54bWxQSwUGAAAAAAYABgBZAQAAsQUAAAAA&#10;">
                      <v:fill on="t" focussize="0,0"/>
                      <v:stroke color="#000000" joinstyle="miter"/>
                      <v:imagedata o:title=""/>
                      <o:lock v:ext="edit" aspectratio="f"/>
                      <v:textbox inset="2.54mm,0mm,2.54mm,0mm">
                        <w:txbxContent>
                          <w:p>
                            <w:pPr>
                              <w:jc w:val="center"/>
                            </w:pPr>
                            <w:r>
                              <w:rPr>
                                <w:rFonts w:hint="eastAsia"/>
                              </w:rPr>
                              <w:t>离院</w:t>
                            </w:r>
                          </w:p>
                        </w:txbxContent>
                      </v:textbox>
                    </v:shape>
                  </w:pict>
                </mc:Fallback>
              </mc:AlternateContent>
            </w:r>
          </w:p>
          <w:p>
            <w:pPr>
              <w:spacing w:line="360" w:lineRule="exact"/>
              <w:jc w:val="center"/>
              <w:rPr>
                <w:rFonts w:ascii="Times New Roman" w:hAnsi="Times New Roman"/>
                <w:b/>
                <w:bCs/>
                <w:color w:val="auto"/>
                <w:highlight w:val="none"/>
              </w:rPr>
            </w:pPr>
          </w:p>
          <w:p>
            <w:pPr>
              <w:spacing w:line="360" w:lineRule="exact"/>
              <w:jc w:val="center"/>
              <w:rPr>
                <w:rFonts w:ascii="Times New Roman" w:hAnsi="Times New Roman"/>
                <w:b/>
                <w:bCs/>
                <w:color w:val="auto"/>
                <w:highlight w:val="none"/>
              </w:rPr>
            </w:pPr>
            <w:r>
              <w:rPr>
                <w:rFonts w:ascii="Times New Roman" w:hAnsi="Times New Roman"/>
                <w:b/>
                <w:bCs/>
                <w:color w:val="auto"/>
                <w:highlight w:val="none"/>
              </w:rPr>
              <w:t>图</w:t>
            </w:r>
            <w:r>
              <w:rPr>
                <w:rFonts w:hint="eastAsia" w:ascii="Times New Roman" w:hAnsi="Times New Roman"/>
                <w:b/>
                <w:bCs/>
                <w:color w:val="auto"/>
                <w:highlight w:val="none"/>
              </w:rPr>
              <w:t>2</w:t>
            </w:r>
            <w:r>
              <w:rPr>
                <w:rFonts w:ascii="Times New Roman" w:hAnsi="Times New Roman"/>
                <w:b/>
                <w:bCs/>
                <w:color w:val="auto"/>
                <w:highlight w:val="none"/>
              </w:rPr>
              <w:t>-</w:t>
            </w:r>
            <w:r>
              <w:rPr>
                <w:rFonts w:hint="eastAsia" w:ascii="Times New Roman" w:hAnsi="Times New Roman"/>
                <w:b/>
                <w:bCs/>
                <w:color w:val="auto"/>
                <w:highlight w:val="none"/>
              </w:rPr>
              <w:t>1</w:t>
            </w:r>
            <w:r>
              <w:rPr>
                <w:rFonts w:ascii="Times New Roman" w:hAnsi="Times New Roman"/>
                <w:b/>
                <w:bCs/>
                <w:color w:val="auto"/>
                <w:highlight w:val="none"/>
              </w:rPr>
              <w:t xml:space="preserve">  </w:t>
            </w:r>
            <w:r>
              <w:rPr>
                <w:rFonts w:hint="eastAsia" w:ascii="Times New Roman" w:hAnsi="Times New Roman"/>
                <w:b/>
                <w:bCs/>
                <w:color w:val="auto"/>
                <w:highlight w:val="none"/>
              </w:rPr>
              <w:t>项目</w:t>
            </w:r>
            <w:r>
              <w:rPr>
                <w:rFonts w:ascii="Times New Roman" w:hAnsi="Times New Roman"/>
                <w:b/>
                <w:bCs/>
                <w:color w:val="auto"/>
                <w:highlight w:val="none"/>
              </w:rPr>
              <w:t>生产工艺流程及产</w:t>
            </w:r>
            <w:r>
              <w:rPr>
                <w:rFonts w:hint="eastAsia" w:ascii="Times New Roman" w:hAnsi="Times New Roman"/>
                <w:b/>
                <w:bCs/>
                <w:color w:val="auto"/>
                <w:highlight w:val="none"/>
              </w:rPr>
              <w:t>污</w:t>
            </w:r>
            <w:r>
              <w:rPr>
                <w:rFonts w:ascii="Times New Roman" w:hAnsi="Times New Roman"/>
                <w:b/>
                <w:bCs/>
                <w:color w:val="auto"/>
                <w:highlight w:val="none"/>
              </w:rPr>
              <w:t>环节图</w:t>
            </w:r>
          </w:p>
          <w:p>
            <w:pPr>
              <w:adjustRightInd w:val="0"/>
              <w:snapToGrid w:val="0"/>
              <w:spacing w:line="360" w:lineRule="auto"/>
              <w:ind w:firstLine="420" w:firstLineChars="200"/>
              <w:rPr>
                <w:rFonts w:ascii="宋体" w:hAnsi="宋体"/>
                <w:bCs/>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823" w:type="dxa"/>
            <w:vAlign w:val="center"/>
          </w:tcPr>
          <w:p>
            <w:pPr>
              <w:pStyle w:val="17"/>
              <w:adjustRightInd w:val="0"/>
              <w:snapToGrid w:val="0"/>
              <w:spacing w:before="0" w:beforeAutospacing="0" w:after="0" w:afterAutospacing="0"/>
              <w:jc w:val="center"/>
              <w:rPr>
                <w:rFonts w:cs="宋体"/>
                <w:color w:val="auto"/>
                <w:sz w:val="21"/>
                <w:szCs w:val="21"/>
                <w:highlight w:val="none"/>
              </w:rPr>
            </w:pPr>
            <w:r>
              <w:rPr>
                <w:rFonts w:hint="eastAsia" w:cs="宋体"/>
                <w:b/>
                <w:color w:val="auto"/>
                <w:kern w:val="2"/>
                <w:sz w:val="21"/>
                <w:szCs w:val="21"/>
                <w:highlight w:val="none"/>
              </w:rPr>
              <w:t>与项目有关的原有环境污染问题</w:t>
            </w:r>
          </w:p>
        </w:tc>
        <w:tc>
          <w:tcPr>
            <w:tcW w:w="8161" w:type="dxa"/>
          </w:tcPr>
          <w:p>
            <w:pPr>
              <w:pStyle w:val="2"/>
              <w:spacing w:line="360" w:lineRule="auto"/>
              <w:ind w:firstLine="422"/>
              <w:jc w:val="left"/>
              <w:rPr>
                <w:b/>
                <w:bCs/>
                <w:color w:val="auto"/>
                <w:kern w:val="2"/>
                <w:szCs w:val="24"/>
                <w:highlight w:val="none"/>
              </w:rPr>
            </w:pPr>
            <w:r>
              <w:rPr>
                <w:b/>
                <w:bCs/>
                <w:color w:val="auto"/>
                <w:kern w:val="2"/>
                <w:szCs w:val="24"/>
                <w:highlight w:val="none"/>
              </w:rPr>
              <w:t>1、现有工程项目概况</w:t>
            </w:r>
          </w:p>
          <w:p>
            <w:pPr>
              <w:pStyle w:val="2"/>
              <w:spacing w:line="360" w:lineRule="auto"/>
              <w:jc w:val="left"/>
              <w:rPr>
                <w:color w:val="auto"/>
                <w:highlight w:val="none"/>
              </w:rPr>
            </w:pPr>
            <w:r>
              <w:rPr>
                <w:rFonts w:hint="eastAsia"/>
                <w:color w:val="auto"/>
                <w:highlight w:val="none"/>
              </w:rPr>
              <w:t>通用医疗西安医院（中航工业西安医院）前身为庆安医院，为厂办医院，1954年庆安医院分为两所医院，分别为庆安医院和远东医院。2009年5月庆安医院和远东医院合并为中航工业西安医院。中航工业西安医院是一所集临床医疗、教学科研、预防保健、院前急救于一体的综合性二级甲等医院。通用医疗西安医院（中航工业西安医院）位于大庆路636号，占地面积17932平方米，建筑面积近2万平方米。医院分别设有预防保健科（健康体检项目）、内科、外科、妇产科、儿科、眼科、耳鼻喉科、口腔科、皮肤科、急诊医学科、麻醉科、医学检验科、病理科、医学影像科、中医科。开设床位280张，现有医院职工407人。据调查，中航工业西安医院建院运行至2019期间未履行环评手续。</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20</w:t>
            </w:r>
            <w:r>
              <w:rPr>
                <w:rFonts w:hint="eastAsia" w:ascii="Times New Roman" w:hAnsi="Times New Roman"/>
                <w:color w:val="auto"/>
                <w:highlight w:val="none"/>
              </w:rPr>
              <w:t>19</w:t>
            </w:r>
            <w:r>
              <w:rPr>
                <w:rFonts w:ascii="Times New Roman" w:hAnsi="Times New Roman"/>
                <w:color w:val="auto"/>
                <w:highlight w:val="none"/>
              </w:rPr>
              <w:t>年</w:t>
            </w:r>
            <w:r>
              <w:rPr>
                <w:rFonts w:hint="eastAsia" w:ascii="Times New Roman" w:hAnsi="Times New Roman"/>
                <w:color w:val="auto"/>
                <w:highlight w:val="none"/>
              </w:rPr>
              <w:t>12</w:t>
            </w:r>
            <w:r>
              <w:rPr>
                <w:rFonts w:ascii="Times New Roman" w:hAnsi="Times New Roman"/>
                <w:color w:val="auto"/>
                <w:highlight w:val="none"/>
              </w:rPr>
              <w:t>月委托</w:t>
            </w:r>
            <w:r>
              <w:rPr>
                <w:rFonts w:hint="eastAsia" w:ascii="Times New Roman" w:hAnsi="Times New Roman"/>
                <w:color w:val="auto"/>
                <w:highlight w:val="none"/>
              </w:rPr>
              <w:t>陕西陆环环保工程有限公司</w:t>
            </w:r>
            <w:r>
              <w:rPr>
                <w:rFonts w:ascii="Times New Roman" w:hAnsi="Times New Roman"/>
                <w:color w:val="auto"/>
                <w:highlight w:val="none"/>
              </w:rPr>
              <w:t>编制了《</w:t>
            </w:r>
            <w:r>
              <w:rPr>
                <w:rFonts w:hint="eastAsia" w:ascii="Times New Roman" w:hAnsi="Times New Roman"/>
                <w:color w:val="auto"/>
                <w:highlight w:val="none"/>
              </w:rPr>
              <w:t>中航工业西安医院污水工作站</w:t>
            </w:r>
            <w:r>
              <w:rPr>
                <w:rFonts w:ascii="Times New Roman" w:hAnsi="Times New Roman"/>
                <w:color w:val="auto"/>
                <w:highlight w:val="none"/>
              </w:rPr>
              <w:t>项目》环评报告表，20</w:t>
            </w:r>
            <w:r>
              <w:rPr>
                <w:rFonts w:hint="eastAsia" w:ascii="Times New Roman" w:hAnsi="Times New Roman"/>
                <w:color w:val="auto"/>
                <w:highlight w:val="none"/>
              </w:rPr>
              <w:t>20</w:t>
            </w:r>
            <w:r>
              <w:rPr>
                <w:rFonts w:ascii="Times New Roman" w:hAnsi="Times New Roman"/>
                <w:color w:val="auto"/>
                <w:highlight w:val="none"/>
              </w:rPr>
              <w:t>年7月</w:t>
            </w:r>
            <w:r>
              <w:rPr>
                <w:rFonts w:hint="eastAsia" w:ascii="Times New Roman" w:hAnsi="Times New Roman"/>
                <w:color w:val="auto"/>
                <w:highlight w:val="none"/>
              </w:rPr>
              <w:t>28日西安市生态环境局莲湖分局</w:t>
            </w:r>
            <w:r>
              <w:rPr>
                <w:rFonts w:ascii="Times New Roman" w:hAnsi="Times New Roman"/>
                <w:color w:val="auto"/>
                <w:highlight w:val="none"/>
              </w:rPr>
              <w:t>审批通过了该工程环评报告表（</w:t>
            </w:r>
            <w:r>
              <w:rPr>
                <w:rFonts w:hint="eastAsia" w:ascii="Times New Roman" w:hAnsi="Times New Roman"/>
                <w:color w:val="auto"/>
                <w:highlight w:val="none"/>
              </w:rPr>
              <w:t>市环莲湖批复[2020]9</w:t>
            </w:r>
            <w:r>
              <w:rPr>
                <w:rFonts w:ascii="Times New Roman" w:hAnsi="Times New Roman"/>
                <w:color w:val="auto"/>
                <w:highlight w:val="none"/>
              </w:rPr>
              <w:t>号）。</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20</w:t>
            </w:r>
            <w:r>
              <w:rPr>
                <w:rFonts w:hint="eastAsia" w:ascii="Times New Roman" w:hAnsi="Times New Roman"/>
                <w:color w:val="auto"/>
                <w:highlight w:val="none"/>
              </w:rPr>
              <w:t>20</w:t>
            </w:r>
            <w:r>
              <w:rPr>
                <w:rFonts w:ascii="Times New Roman" w:hAnsi="Times New Roman"/>
                <w:color w:val="auto"/>
                <w:highlight w:val="none"/>
              </w:rPr>
              <w:t>年</w:t>
            </w:r>
            <w:r>
              <w:rPr>
                <w:rFonts w:hint="eastAsia" w:ascii="Times New Roman" w:hAnsi="Times New Roman"/>
                <w:color w:val="auto"/>
                <w:highlight w:val="none"/>
              </w:rPr>
              <w:t>6</w:t>
            </w:r>
            <w:r>
              <w:rPr>
                <w:rFonts w:ascii="Times New Roman" w:hAnsi="Times New Roman"/>
                <w:color w:val="auto"/>
                <w:highlight w:val="none"/>
              </w:rPr>
              <w:t>月</w:t>
            </w:r>
            <w:r>
              <w:rPr>
                <w:rFonts w:hint="eastAsia" w:ascii="Times New Roman" w:hAnsi="Times New Roman"/>
                <w:color w:val="auto"/>
                <w:highlight w:val="none"/>
              </w:rPr>
              <w:t>中航工业西安医院审领取得了排污许可证</w:t>
            </w:r>
            <w:r>
              <w:rPr>
                <w:rFonts w:ascii="Times New Roman" w:hAnsi="Times New Roman"/>
                <w:color w:val="auto"/>
                <w:highlight w:val="none"/>
              </w:rPr>
              <w:t>，</w:t>
            </w:r>
            <w:r>
              <w:rPr>
                <w:rFonts w:hint="eastAsia" w:ascii="Times New Roman" w:hAnsi="Times New Roman"/>
                <w:color w:val="auto"/>
                <w:highlight w:val="none"/>
              </w:rPr>
              <w:t>许可编号：52610100556967284N001Q</w:t>
            </w:r>
            <w:r>
              <w:rPr>
                <w:rFonts w:ascii="Times New Roman" w:hAnsi="Times New Roman"/>
                <w:color w:val="auto"/>
                <w:highlight w:val="none"/>
              </w:rPr>
              <w:t>。</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20</w:t>
            </w:r>
            <w:r>
              <w:rPr>
                <w:rFonts w:hint="eastAsia" w:ascii="Times New Roman" w:hAnsi="Times New Roman"/>
                <w:color w:val="auto"/>
                <w:highlight w:val="none"/>
              </w:rPr>
              <w:t>20</w:t>
            </w:r>
            <w:r>
              <w:rPr>
                <w:rFonts w:ascii="Times New Roman" w:hAnsi="Times New Roman"/>
                <w:color w:val="auto"/>
                <w:highlight w:val="none"/>
              </w:rPr>
              <w:t>年</w:t>
            </w:r>
            <w:r>
              <w:rPr>
                <w:rFonts w:hint="eastAsia" w:ascii="Times New Roman" w:hAnsi="Times New Roman"/>
                <w:color w:val="auto"/>
                <w:highlight w:val="none"/>
              </w:rPr>
              <w:t>10</w:t>
            </w:r>
            <w:r>
              <w:rPr>
                <w:rFonts w:ascii="Times New Roman" w:hAnsi="Times New Roman"/>
                <w:color w:val="auto"/>
                <w:highlight w:val="none"/>
              </w:rPr>
              <w:t>月</w:t>
            </w:r>
            <w:r>
              <w:rPr>
                <w:rFonts w:hint="eastAsia" w:ascii="Times New Roman" w:hAnsi="Times New Roman"/>
                <w:color w:val="auto"/>
                <w:highlight w:val="none"/>
              </w:rPr>
              <w:t>中航工业西安医院组织</w:t>
            </w:r>
            <w:r>
              <w:rPr>
                <w:rFonts w:ascii="Times New Roman" w:hAnsi="Times New Roman"/>
                <w:color w:val="auto"/>
                <w:highlight w:val="none"/>
              </w:rPr>
              <w:t>对“</w:t>
            </w:r>
            <w:r>
              <w:rPr>
                <w:rFonts w:hint="eastAsia" w:ascii="Times New Roman" w:hAnsi="Times New Roman"/>
                <w:color w:val="auto"/>
                <w:highlight w:val="none"/>
              </w:rPr>
              <w:t>中航工业西安医院污水工作站</w:t>
            </w:r>
            <w:r>
              <w:rPr>
                <w:rFonts w:ascii="Times New Roman" w:hAnsi="Times New Roman"/>
                <w:color w:val="auto"/>
                <w:highlight w:val="none"/>
              </w:rPr>
              <w:t>项目”进行了竣工环境保护验收，</w:t>
            </w:r>
            <w:r>
              <w:rPr>
                <w:rFonts w:hint="eastAsia" w:ascii="Times New Roman" w:hAnsi="Times New Roman"/>
                <w:color w:val="auto"/>
                <w:highlight w:val="none"/>
              </w:rPr>
              <w:t>经专家现场验收讨论</w:t>
            </w:r>
            <w:r>
              <w:rPr>
                <w:rFonts w:ascii="Times New Roman" w:hAnsi="Times New Roman"/>
                <w:color w:val="auto"/>
                <w:highlight w:val="none"/>
              </w:rPr>
              <w:t>通过了该工程竣工环境保护验收。</w:t>
            </w:r>
          </w:p>
          <w:p>
            <w:pPr>
              <w:adjustRightInd w:val="0"/>
              <w:snapToGrid w:val="0"/>
              <w:spacing w:line="360" w:lineRule="auto"/>
              <w:ind w:firstLine="420" w:firstLineChars="200"/>
              <w:rPr>
                <w:rFonts w:ascii="Times New Roman" w:hAnsi="Times New Roman"/>
                <w:b/>
                <w:bCs/>
                <w:color w:val="auto"/>
                <w:highlight w:val="none"/>
              </w:rPr>
            </w:pPr>
            <w:r>
              <w:rPr>
                <w:rFonts w:hint="eastAsia" w:ascii="Times New Roman" w:hAnsi="Times New Roman"/>
                <w:color w:val="auto"/>
                <w:highlight w:val="none"/>
              </w:rPr>
              <w:t>医院现有1座污水站</w:t>
            </w:r>
            <w:r>
              <w:rPr>
                <w:rFonts w:ascii="Times New Roman" w:hAnsi="Times New Roman"/>
                <w:color w:val="auto"/>
                <w:highlight w:val="none"/>
              </w:rPr>
              <w:t>进行处理</w:t>
            </w:r>
            <w:r>
              <w:rPr>
                <w:rFonts w:hint="eastAsia" w:ascii="Times New Roman" w:hAnsi="Times New Roman"/>
                <w:color w:val="auto"/>
                <w:highlight w:val="none"/>
              </w:rPr>
              <w:t>，该</w:t>
            </w:r>
            <w:r>
              <w:rPr>
                <w:rFonts w:ascii="Times New Roman" w:hAnsi="Times New Roman"/>
                <w:color w:val="auto"/>
                <w:highlight w:val="none"/>
              </w:rPr>
              <w:t>污水处理站</w:t>
            </w:r>
            <w:r>
              <w:rPr>
                <w:rFonts w:hint="eastAsia" w:ascii="Times New Roman" w:hAnsi="Times New Roman"/>
                <w:color w:val="auto"/>
                <w:highlight w:val="none"/>
              </w:rPr>
              <w:t>设计日处理规模35</w:t>
            </w:r>
            <w:r>
              <w:rPr>
                <w:rFonts w:ascii="Times New Roman" w:hAnsi="Times New Roman"/>
                <w:color w:val="auto"/>
                <w:highlight w:val="none"/>
              </w:rPr>
              <w:t>0m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，处理工艺为“二级处理</w:t>
            </w:r>
            <w:r>
              <w:rPr>
                <w:rFonts w:ascii="Times New Roman" w:hAnsi="Times New Roman"/>
                <w:color w:val="auto"/>
                <w:highlight w:val="none"/>
              </w:rPr>
              <w:t>+</w:t>
            </w:r>
            <w:r>
              <w:rPr>
                <w:rFonts w:hint="eastAsia" w:ascii="Times New Roman" w:hAnsi="Times New Roman"/>
                <w:color w:val="auto"/>
                <w:highlight w:val="none"/>
              </w:rPr>
              <w:t>二氧化氯消毒”，属</w:t>
            </w:r>
            <w:r>
              <w:rPr>
                <w:rFonts w:ascii="Times New Roman" w:hAnsi="Times New Roman"/>
                <w:color w:val="auto"/>
                <w:highlight w:val="none"/>
              </w:rPr>
              <w:t>排污许可</w:t>
            </w:r>
            <w:r>
              <w:rPr>
                <w:rFonts w:hint="eastAsia" w:ascii="Times New Roman" w:hAnsi="Times New Roman"/>
                <w:color w:val="auto"/>
                <w:highlight w:val="none"/>
              </w:rPr>
              <w:t>中“可行技术，现</w:t>
            </w:r>
            <w:r>
              <w:rPr>
                <w:rFonts w:hint="eastAsia" w:ascii="Times New Roman" w:hAnsi="Times New Roman"/>
                <w:color w:val="auto"/>
                <w:highlight w:val="none"/>
                <w:lang w:val="en-US" w:eastAsia="zh-CN"/>
              </w:rPr>
              <w:t>最大</w:t>
            </w:r>
            <w:r>
              <w:rPr>
                <w:rFonts w:hint="eastAsia" w:ascii="Times New Roman" w:hAnsi="Times New Roman"/>
                <w:color w:val="auto"/>
                <w:highlight w:val="none"/>
              </w:rPr>
              <w:t>日处理水量约</w:t>
            </w:r>
            <w:r>
              <w:rPr>
                <w:rFonts w:hint="eastAsia" w:ascii="Times New Roman" w:hAnsi="Times New Roman"/>
                <w:color w:val="auto"/>
                <w:highlight w:val="none"/>
                <w:lang w:eastAsia="zh-CN"/>
              </w:rPr>
              <w:t>247</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lang w:val="en-US" w:eastAsia="zh-CN"/>
              </w:rPr>
              <w:t>根据调查，平均日最大用水量期间医院运营负荷约80%，以满负荷计算则污水站剩余能力为41.25</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lang w:val="en-US" w:eastAsia="zh-CN"/>
              </w:rPr>
              <w:t>。</w:t>
            </w:r>
            <w:r>
              <w:rPr>
                <w:rFonts w:hint="eastAsia" w:ascii="Times New Roman" w:hAnsi="Times New Roman"/>
                <w:color w:val="auto"/>
                <w:highlight w:val="none"/>
              </w:rPr>
              <w:t>本项目污水产生量</w:t>
            </w:r>
            <w:r>
              <w:rPr>
                <w:rFonts w:hint="eastAsia" w:ascii="Times New Roman" w:hAnsi="Times New Roman"/>
                <w:color w:val="auto"/>
                <w:highlight w:val="none"/>
                <w:lang w:val="en-US" w:eastAsia="zh-CN"/>
              </w:rPr>
              <w:t>约19</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污水站处理能力余量充足</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正常运营</w:t>
            </w:r>
            <w:r>
              <w:rPr>
                <w:rFonts w:hint="eastAsia" w:ascii="Times New Roman" w:hAnsi="Times New Roman"/>
                <w:color w:val="auto"/>
                <w:highlight w:val="none"/>
              </w:rPr>
              <w:t>。</w:t>
            </w:r>
          </w:p>
          <w:p>
            <w:pPr>
              <w:adjustRightInd w:val="0"/>
              <w:snapToGrid w:val="0"/>
              <w:spacing w:line="360" w:lineRule="auto"/>
              <w:ind w:firstLine="422" w:firstLineChars="200"/>
              <w:rPr>
                <w:rFonts w:ascii="Times New Roman" w:hAnsi="Times New Roman"/>
                <w:b/>
                <w:bCs/>
                <w:color w:val="auto"/>
                <w:highlight w:val="none"/>
              </w:rPr>
            </w:pPr>
            <w:r>
              <w:rPr>
                <w:rFonts w:ascii="Times New Roman" w:hAnsi="Times New Roman"/>
                <w:b/>
                <w:bCs/>
                <w:color w:val="auto"/>
                <w:highlight w:val="none"/>
              </w:rPr>
              <w:t>2、产排污情况</w:t>
            </w:r>
          </w:p>
          <w:p>
            <w:pPr>
              <w:pStyle w:val="2"/>
              <w:spacing w:line="360" w:lineRule="auto"/>
              <w:jc w:val="left"/>
              <w:rPr>
                <w:color w:val="auto"/>
                <w:highlight w:val="none"/>
              </w:rPr>
            </w:pPr>
            <w:r>
              <w:rPr>
                <w:color w:val="auto"/>
                <w:highlight w:val="none"/>
              </w:rPr>
              <w:t>根据《</w:t>
            </w:r>
            <w:r>
              <w:rPr>
                <w:rFonts w:hint="eastAsia"/>
                <w:color w:val="auto"/>
                <w:highlight w:val="none"/>
              </w:rPr>
              <w:t>中航工业西安医院污水工作站</w:t>
            </w:r>
            <w:r>
              <w:rPr>
                <w:color w:val="auto"/>
                <w:highlight w:val="none"/>
              </w:rPr>
              <w:t>项目》环评报告表及竣工环境保护验收监测报告，并结合</w:t>
            </w:r>
            <w:r>
              <w:rPr>
                <w:rFonts w:hint="eastAsia"/>
                <w:color w:val="auto"/>
                <w:highlight w:val="none"/>
              </w:rPr>
              <w:t>医院</w:t>
            </w:r>
            <w:r>
              <w:rPr>
                <w:color w:val="auto"/>
                <w:highlight w:val="none"/>
              </w:rPr>
              <w:t>实际运营情况及</w:t>
            </w:r>
            <w:r>
              <w:rPr>
                <w:rFonts w:hint="eastAsia"/>
                <w:color w:val="auto"/>
                <w:highlight w:val="none"/>
              </w:rPr>
              <w:t>例行</w:t>
            </w:r>
            <w:r>
              <w:rPr>
                <w:color w:val="auto"/>
                <w:highlight w:val="none"/>
              </w:rPr>
              <w:t>监测结果数据进行核算，现有工程实际排污量见表2-6。</w:t>
            </w:r>
          </w:p>
          <w:p>
            <w:pPr>
              <w:spacing w:line="360" w:lineRule="exact"/>
              <w:jc w:val="center"/>
              <w:rPr>
                <w:rFonts w:ascii="Times New Roman" w:hAnsi="Times New Roman"/>
                <w:b/>
                <w:bCs/>
                <w:color w:val="auto"/>
                <w:highlight w:val="none"/>
              </w:rPr>
            </w:pPr>
            <w:r>
              <w:rPr>
                <w:rFonts w:ascii="Times New Roman" w:hAnsi="Times New Roman"/>
                <w:b/>
                <w:bCs/>
                <w:color w:val="auto"/>
                <w:highlight w:val="none"/>
              </w:rPr>
              <w:t>表2-6  现有工程实际排污量一览表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85"/>
              <w:gridCol w:w="778"/>
              <w:gridCol w:w="1166"/>
              <w:gridCol w:w="1165"/>
              <w:gridCol w:w="1174"/>
              <w:gridCol w:w="1073"/>
              <w:gridCol w:w="1769"/>
              <w:gridCol w:w="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1405" w:type="pct"/>
                  <w:gridSpan w:val="3"/>
                  <w:vAlign w:val="center"/>
                </w:tcPr>
                <w:p>
                  <w:pPr>
                    <w:jc w:val="center"/>
                    <w:rPr>
                      <w:rFonts w:ascii="Times New Roman" w:hAnsi="Times New Roman"/>
                      <w:b/>
                      <w:bCs/>
                      <w:color w:val="auto"/>
                      <w:highlight w:val="none"/>
                    </w:rPr>
                  </w:pPr>
                  <w:r>
                    <w:rPr>
                      <w:rFonts w:ascii="Times New Roman" w:hAnsi="Times New Roman"/>
                      <w:b/>
                      <w:bCs/>
                      <w:color w:val="auto"/>
                      <w:highlight w:val="none"/>
                    </w:rPr>
                    <w:t>污染物种类</w:t>
                  </w:r>
                </w:p>
              </w:tc>
              <w:tc>
                <w:tcPr>
                  <w:tcW w:w="734" w:type="pct"/>
                  <w:vAlign w:val="center"/>
                </w:tcPr>
                <w:p>
                  <w:pPr>
                    <w:jc w:val="center"/>
                    <w:rPr>
                      <w:rFonts w:ascii="Times New Roman" w:hAnsi="Times New Roman"/>
                      <w:b/>
                      <w:bCs/>
                      <w:color w:val="auto"/>
                      <w:highlight w:val="none"/>
                    </w:rPr>
                  </w:pPr>
                  <w:r>
                    <w:rPr>
                      <w:rFonts w:ascii="Times New Roman" w:hAnsi="Times New Roman"/>
                      <w:b/>
                      <w:bCs/>
                      <w:color w:val="auto"/>
                      <w:highlight w:val="none"/>
                    </w:rPr>
                    <w:t>排放浓度</w:t>
                  </w:r>
                </w:p>
              </w:tc>
              <w:tc>
                <w:tcPr>
                  <w:tcW w:w="740" w:type="pct"/>
                  <w:vAlign w:val="center"/>
                </w:tcPr>
                <w:p>
                  <w:pPr>
                    <w:jc w:val="center"/>
                    <w:rPr>
                      <w:rFonts w:ascii="Times New Roman" w:hAnsi="Times New Roman"/>
                      <w:b/>
                      <w:bCs/>
                      <w:color w:val="auto"/>
                      <w:highlight w:val="none"/>
                    </w:rPr>
                  </w:pPr>
                  <w:r>
                    <w:rPr>
                      <w:rFonts w:ascii="Times New Roman" w:hAnsi="Times New Roman"/>
                      <w:b/>
                      <w:bCs/>
                      <w:color w:val="auto"/>
                      <w:highlight w:val="none"/>
                    </w:rPr>
                    <w:t>排放量</w:t>
                  </w:r>
                  <w:r>
                    <w:rPr>
                      <w:rFonts w:ascii="Times New Roman" w:hAnsi="Times New Roman"/>
                      <w:color w:val="auto"/>
                      <w:highlight w:val="none"/>
                    </w:rPr>
                    <w:t>t/a</w:t>
                  </w:r>
                </w:p>
              </w:tc>
              <w:tc>
                <w:tcPr>
                  <w:tcW w:w="675" w:type="pct"/>
                  <w:vAlign w:val="center"/>
                </w:tcPr>
                <w:p>
                  <w:pPr>
                    <w:jc w:val="center"/>
                    <w:rPr>
                      <w:rFonts w:ascii="Times New Roman" w:hAnsi="Times New Roman"/>
                      <w:b/>
                      <w:bCs/>
                      <w:color w:val="auto"/>
                      <w:highlight w:val="none"/>
                    </w:rPr>
                  </w:pPr>
                  <w:r>
                    <w:rPr>
                      <w:rFonts w:ascii="Times New Roman" w:hAnsi="Times New Roman"/>
                      <w:b/>
                      <w:bCs/>
                      <w:color w:val="auto"/>
                      <w:highlight w:val="none"/>
                    </w:rPr>
                    <w:t>标准限值</w:t>
                  </w:r>
                </w:p>
              </w:tc>
              <w:tc>
                <w:tcPr>
                  <w:tcW w:w="1115" w:type="pct"/>
                  <w:vAlign w:val="center"/>
                </w:tcPr>
                <w:p>
                  <w:pPr>
                    <w:jc w:val="center"/>
                    <w:rPr>
                      <w:rFonts w:ascii="Times New Roman" w:hAnsi="Times New Roman"/>
                      <w:b/>
                      <w:bCs/>
                      <w:color w:val="auto"/>
                      <w:highlight w:val="none"/>
                    </w:rPr>
                  </w:pPr>
                  <w:r>
                    <w:rPr>
                      <w:rFonts w:ascii="Times New Roman" w:hAnsi="Times New Roman"/>
                      <w:b/>
                      <w:bCs/>
                      <w:color w:val="auto"/>
                      <w:highlight w:val="none"/>
                    </w:rPr>
                    <w:t>执行标准</w:t>
                  </w:r>
                </w:p>
              </w:tc>
              <w:tc>
                <w:tcPr>
                  <w:tcW w:w="329" w:type="pct"/>
                  <w:vAlign w:val="center"/>
                </w:tcPr>
                <w:p>
                  <w:pPr>
                    <w:jc w:val="center"/>
                    <w:rPr>
                      <w:rFonts w:ascii="Times New Roman" w:hAnsi="Times New Roman"/>
                      <w:b/>
                      <w:bCs/>
                      <w:color w:val="auto"/>
                      <w:highlight w:val="none"/>
                    </w:rPr>
                  </w:pPr>
                  <w:r>
                    <w:rPr>
                      <w:rFonts w:ascii="Times New Roman" w:hAnsi="Times New Roman"/>
                      <w:b/>
                      <w:bCs/>
                      <w:color w:val="auto"/>
                      <w:highlight w:val="none"/>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80" w:type="pct"/>
                  <w:vMerge w:val="restart"/>
                  <w:vAlign w:val="center"/>
                </w:tcPr>
                <w:p>
                  <w:pPr>
                    <w:jc w:val="center"/>
                    <w:rPr>
                      <w:rFonts w:ascii="Times New Roman" w:hAnsi="Times New Roman"/>
                      <w:color w:val="auto"/>
                      <w:highlight w:val="none"/>
                    </w:rPr>
                  </w:pPr>
                  <w:r>
                    <w:rPr>
                      <w:rFonts w:ascii="Times New Roman" w:hAnsi="Times New Roman"/>
                      <w:color w:val="auto"/>
                      <w:highlight w:val="none"/>
                    </w:rPr>
                    <w:t>废气</w:t>
                  </w:r>
                </w:p>
              </w:tc>
              <w:tc>
                <w:tcPr>
                  <w:tcW w:w="490" w:type="pct"/>
                  <w:vMerge w:val="restart"/>
                  <w:vAlign w:val="center"/>
                </w:tcPr>
                <w:p>
                  <w:pPr>
                    <w:jc w:val="center"/>
                    <w:rPr>
                      <w:rFonts w:ascii="Times New Roman" w:hAnsi="Times New Roman"/>
                      <w:color w:val="auto"/>
                      <w:highlight w:val="none"/>
                    </w:rPr>
                  </w:pPr>
                  <w:r>
                    <w:rPr>
                      <w:rFonts w:hint="eastAsia" w:ascii="Times New Roman" w:hAnsi="Times New Roman"/>
                      <w:color w:val="auto"/>
                      <w:highlight w:val="none"/>
                    </w:rPr>
                    <w:t>医院无组织废气</w:t>
                  </w:r>
                  <w:r>
                    <w:rPr>
                      <w:rFonts w:ascii="Times New Roman" w:hAnsi="Times New Roman"/>
                      <w:color w:val="auto"/>
                      <w:highlight w:val="none"/>
                      <w:vertAlign w:val="superscript"/>
                    </w:rPr>
                    <w:t>*1</w:t>
                  </w:r>
                </w:p>
              </w:tc>
              <w:tc>
                <w:tcPr>
                  <w:tcW w:w="734" w:type="pct"/>
                  <w:vAlign w:val="center"/>
                </w:tcPr>
                <w:p>
                  <w:pPr>
                    <w:adjustRightInd w:val="0"/>
                    <w:spacing w:line="320" w:lineRule="exact"/>
                    <w:jc w:val="center"/>
                    <w:rPr>
                      <w:rFonts w:ascii="Times New Roman" w:hAnsi="Times New Roman"/>
                      <w:color w:val="auto"/>
                      <w:highlight w:val="none"/>
                    </w:rPr>
                  </w:pPr>
                  <w:r>
                    <w:rPr>
                      <w:rFonts w:hint="eastAsia" w:ascii="Times New Roman" w:hAnsi="Times New Roman"/>
                      <w:color w:val="auto"/>
                      <w:highlight w:val="none"/>
                    </w:rPr>
                    <w:t>臭气浓度（无纲量）</w:t>
                  </w:r>
                </w:p>
              </w:tc>
              <w:tc>
                <w:tcPr>
                  <w:tcW w:w="734" w:type="pct"/>
                  <w:vAlign w:val="center"/>
                </w:tcPr>
                <w:p>
                  <w:pPr>
                    <w:jc w:val="center"/>
                    <w:rPr>
                      <w:rFonts w:ascii="Times New Roman" w:hAnsi="Times New Roman"/>
                      <w:color w:val="auto"/>
                      <w:highlight w:val="none"/>
                    </w:rPr>
                  </w:pPr>
                  <w:r>
                    <w:rPr>
                      <w:rFonts w:hint="eastAsia" w:ascii="Times New Roman" w:hAnsi="Times New Roman"/>
                      <w:color w:val="auto"/>
                      <w:highlight w:val="none"/>
                    </w:rPr>
                    <w:t>＜10</w:t>
                  </w:r>
                </w:p>
              </w:tc>
              <w:tc>
                <w:tcPr>
                  <w:tcW w:w="740" w:type="pct"/>
                  <w:vAlign w:val="center"/>
                </w:tcPr>
                <w:p>
                  <w:pPr>
                    <w:jc w:val="center"/>
                    <w:rPr>
                      <w:rFonts w:ascii="Times New Roman" w:hAnsi="Times New Roman"/>
                      <w:color w:val="auto"/>
                      <w:highlight w:val="none"/>
                    </w:rPr>
                  </w:pPr>
                  <w:r>
                    <w:rPr>
                      <w:rFonts w:ascii="Times New Roman" w:hAnsi="Times New Roman"/>
                      <w:color w:val="auto"/>
                      <w:highlight w:val="none"/>
                      <w:lang w:val="de-DE"/>
                    </w:rPr>
                    <w:t>/</w:t>
                  </w:r>
                </w:p>
              </w:tc>
              <w:tc>
                <w:tcPr>
                  <w:tcW w:w="675" w:type="pct"/>
                  <w:vAlign w:val="center"/>
                </w:tcPr>
                <w:p>
                  <w:pPr>
                    <w:jc w:val="center"/>
                    <w:rPr>
                      <w:rFonts w:ascii="Times New Roman" w:hAnsi="Times New Roman"/>
                      <w:color w:val="auto"/>
                      <w:highlight w:val="none"/>
                    </w:rPr>
                  </w:pPr>
                  <w:r>
                    <w:rPr>
                      <w:rFonts w:ascii="Times New Roman" w:hAnsi="Times New Roman"/>
                      <w:color w:val="auto"/>
                      <w:highlight w:val="none"/>
                    </w:rPr>
                    <w:t>10</w:t>
                  </w:r>
                </w:p>
              </w:tc>
              <w:tc>
                <w:tcPr>
                  <w:tcW w:w="1115" w:type="pct"/>
                  <w:vMerge w:val="restart"/>
                  <w:vAlign w:val="center"/>
                </w:tcPr>
                <w:p>
                  <w:pPr>
                    <w:jc w:val="center"/>
                    <w:rPr>
                      <w:rFonts w:ascii="Times New Roman" w:hAnsi="Times New Roman"/>
                      <w:color w:val="auto"/>
                      <w:highlight w:val="none"/>
                    </w:rPr>
                  </w:pPr>
                  <w:r>
                    <w:rPr>
                      <w:rFonts w:hint="eastAsia" w:ascii="Times New Roman" w:hAnsi="Times New Roman" w:eastAsia="Times New Roman"/>
                      <w:color w:val="auto"/>
                      <w:highlight w:val="none"/>
                    </w:rPr>
                    <w:t>《医疗机构水污染物排放标准》（GB18466-2005）中表3污水站周边大气污染物浓度限值</w:t>
                  </w:r>
                </w:p>
              </w:tc>
              <w:tc>
                <w:tcPr>
                  <w:tcW w:w="329" w:type="pct"/>
                  <w:vMerge w:val="restart"/>
                  <w:vAlign w:val="center"/>
                </w:tcPr>
                <w:p>
                  <w:pPr>
                    <w:jc w:val="center"/>
                    <w:rPr>
                      <w:rFonts w:ascii="Times New Roman" w:hAnsi="Times New Roman"/>
                      <w:color w:val="auto"/>
                      <w:highlight w:val="none"/>
                    </w:rPr>
                  </w:pPr>
                  <w:r>
                    <w:rPr>
                      <w:rFonts w:ascii="Times New Roman" w:hAnsi="Times New Roman"/>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80" w:type="pct"/>
                  <w:vMerge w:val="continue"/>
                  <w:vAlign w:val="center"/>
                </w:tcPr>
                <w:p>
                  <w:pPr>
                    <w:jc w:val="center"/>
                    <w:rPr>
                      <w:rFonts w:ascii="Times New Roman" w:hAnsi="Times New Roman"/>
                      <w:color w:val="auto"/>
                      <w:highlight w:val="none"/>
                    </w:rPr>
                  </w:pPr>
                </w:p>
              </w:tc>
              <w:tc>
                <w:tcPr>
                  <w:tcW w:w="490" w:type="pct"/>
                  <w:vMerge w:val="continue"/>
                  <w:vAlign w:val="center"/>
                </w:tcPr>
                <w:p>
                  <w:pPr>
                    <w:jc w:val="center"/>
                    <w:rPr>
                      <w:rFonts w:ascii="Times New Roman" w:hAnsi="Times New Roman"/>
                      <w:color w:val="auto"/>
                      <w:highlight w:val="none"/>
                    </w:rPr>
                  </w:pPr>
                </w:p>
              </w:tc>
              <w:tc>
                <w:tcPr>
                  <w:tcW w:w="734" w:type="pct"/>
                  <w:vAlign w:val="center"/>
                </w:tcPr>
                <w:p>
                  <w:pPr>
                    <w:jc w:val="center"/>
                    <w:rPr>
                      <w:rFonts w:ascii="Times New Roman" w:hAnsi="Times New Roman"/>
                      <w:color w:val="auto"/>
                      <w:highlight w:val="none"/>
                    </w:rPr>
                  </w:pPr>
                  <w:r>
                    <w:rPr>
                      <w:rFonts w:ascii="Times New Roman" w:hAnsi="Times New Roman"/>
                      <w:bCs/>
                      <w:color w:val="auto"/>
                      <w:kern w:val="2"/>
                      <w:highlight w:val="none"/>
                    </w:rPr>
                    <w:t>氨</w:t>
                  </w:r>
                </w:p>
              </w:tc>
              <w:tc>
                <w:tcPr>
                  <w:tcW w:w="734" w:type="pct"/>
                  <w:vAlign w:val="center"/>
                </w:tcPr>
                <w:p>
                  <w:pPr>
                    <w:jc w:val="center"/>
                    <w:rPr>
                      <w:rFonts w:ascii="Times New Roman" w:hAnsi="Times New Roman"/>
                      <w:color w:val="auto"/>
                      <w:highlight w:val="none"/>
                    </w:rPr>
                  </w:pPr>
                  <w:r>
                    <w:rPr>
                      <w:rFonts w:hint="eastAsia" w:ascii="Times New Roman" w:hAnsi="Times New Roman"/>
                      <w:color w:val="auto"/>
                      <w:highlight w:val="none"/>
                    </w:rPr>
                    <w:t>0.427</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m</w:t>
                  </w:r>
                  <w:r>
                    <w:rPr>
                      <w:rFonts w:ascii="Times New Roman" w:hAnsi="Times New Roman"/>
                      <w:color w:val="auto"/>
                      <w:highlight w:val="none"/>
                      <w:vertAlign w:val="superscript"/>
                    </w:rPr>
                    <w:t>3</w:t>
                  </w:r>
                </w:p>
              </w:tc>
              <w:tc>
                <w:tcPr>
                  <w:tcW w:w="740" w:type="pct"/>
                  <w:vAlign w:val="center"/>
                </w:tcPr>
                <w:p>
                  <w:pPr>
                    <w:jc w:val="center"/>
                    <w:rPr>
                      <w:rFonts w:ascii="Times New Roman" w:hAnsi="Times New Roman"/>
                      <w:color w:val="auto"/>
                      <w:highlight w:val="none"/>
                    </w:rPr>
                  </w:pPr>
                  <w:r>
                    <w:rPr>
                      <w:rFonts w:ascii="Times New Roman" w:hAnsi="Times New Roman"/>
                      <w:color w:val="auto"/>
                      <w:highlight w:val="none"/>
                      <w:lang w:val="de-DE"/>
                    </w:rPr>
                    <w:t>/</w:t>
                  </w:r>
                </w:p>
              </w:tc>
              <w:tc>
                <w:tcPr>
                  <w:tcW w:w="675" w:type="pct"/>
                  <w:vAlign w:val="center"/>
                </w:tcPr>
                <w:p>
                  <w:pPr>
                    <w:jc w:val="center"/>
                    <w:rPr>
                      <w:rFonts w:ascii="Times New Roman" w:hAnsi="Times New Roman"/>
                      <w:color w:val="auto"/>
                      <w:highlight w:val="none"/>
                    </w:rPr>
                  </w:pPr>
                  <w:r>
                    <w:rPr>
                      <w:rFonts w:hint="eastAsia" w:ascii="Times New Roman" w:hAnsi="Times New Roman"/>
                      <w:color w:val="auto"/>
                      <w:highlight w:val="none"/>
                    </w:rPr>
                    <w:t>1.0</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m</w:t>
                  </w:r>
                  <w:r>
                    <w:rPr>
                      <w:rFonts w:ascii="Times New Roman" w:hAnsi="Times New Roman"/>
                      <w:color w:val="auto"/>
                      <w:highlight w:val="none"/>
                      <w:vertAlign w:val="superscript"/>
                    </w:rPr>
                    <w:t>3</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80" w:type="pct"/>
                  <w:vMerge w:val="continue"/>
                  <w:vAlign w:val="center"/>
                </w:tcPr>
                <w:p>
                  <w:pPr>
                    <w:jc w:val="center"/>
                    <w:rPr>
                      <w:rFonts w:ascii="Times New Roman" w:hAnsi="Times New Roman"/>
                      <w:color w:val="auto"/>
                      <w:highlight w:val="none"/>
                    </w:rPr>
                  </w:pPr>
                </w:p>
              </w:tc>
              <w:tc>
                <w:tcPr>
                  <w:tcW w:w="490" w:type="pct"/>
                  <w:vMerge w:val="continue"/>
                  <w:vAlign w:val="center"/>
                </w:tcPr>
                <w:p>
                  <w:pPr>
                    <w:jc w:val="center"/>
                    <w:rPr>
                      <w:rFonts w:ascii="Times New Roman" w:hAnsi="Times New Roman"/>
                      <w:color w:val="auto"/>
                      <w:highlight w:val="none"/>
                    </w:rPr>
                  </w:pPr>
                </w:p>
              </w:tc>
              <w:tc>
                <w:tcPr>
                  <w:tcW w:w="734" w:type="pct"/>
                  <w:vAlign w:val="center"/>
                </w:tcPr>
                <w:p>
                  <w:pPr>
                    <w:jc w:val="center"/>
                    <w:rPr>
                      <w:rFonts w:ascii="Times New Roman" w:hAnsi="Times New Roman"/>
                      <w:color w:val="auto"/>
                      <w:highlight w:val="none"/>
                    </w:rPr>
                  </w:pPr>
                  <w:r>
                    <w:rPr>
                      <w:rFonts w:hint="eastAsia" w:ascii="Times New Roman" w:hAnsi="Times New Roman"/>
                      <w:bCs/>
                      <w:color w:val="auto"/>
                      <w:kern w:val="2"/>
                      <w:highlight w:val="none"/>
                    </w:rPr>
                    <w:t>硫化氢</w:t>
                  </w:r>
                </w:p>
              </w:tc>
              <w:tc>
                <w:tcPr>
                  <w:tcW w:w="734" w:type="pct"/>
                  <w:vAlign w:val="center"/>
                </w:tcPr>
                <w:p>
                  <w:pPr>
                    <w:jc w:val="center"/>
                    <w:rPr>
                      <w:rFonts w:ascii="Times New Roman" w:hAnsi="Times New Roman"/>
                      <w:color w:val="auto"/>
                      <w:highlight w:val="none"/>
                    </w:rPr>
                  </w:pPr>
                  <w:r>
                    <w:rPr>
                      <w:rFonts w:hint="eastAsia" w:ascii="Times New Roman" w:hAnsi="Times New Roman"/>
                      <w:color w:val="auto"/>
                      <w:highlight w:val="none"/>
                    </w:rPr>
                    <w:t>0.011</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m</w:t>
                  </w:r>
                  <w:r>
                    <w:rPr>
                      <w:rFonts w:ascii="Times New Roman" w:hAnsi="Times New Roman"/>
                      <w:color w:val="auto"/>
                      <w:highlight w:val="none"/>
                      <w:vertAlign w:val="superscript"/>
                    </w:rPr>
                    <w:t>3</w:t>
                  </w:r>
                </w:p>
              </w:tc>
              <w:tc>
                <w:tcPr>
                  <w:tcW w:w="740" w:type="pct"/>
                  <w:vAlign w:val="center"/>
                </w:tcPr>
                <w:p>
                  <w:pPr>
                    <w:jc w:val="center"/>
                    <w:rPr>
                      <w:rFonts w:ascii="Times New Roman" w:hAnsi="Times New Roman"/>
                      <w:color w:val="auto"/>
                      <w:highlight w:val="none"/>
                    </w:rPr>
                  </w:pPr>
                  <w:r>
                    <w:rPr>
                      <w:rFonts w:ascii="Times New Roman" w:hAnsi="Times New Roman"/>
                      <w:color w:val="auto"/>
                      <w:highlight w:val="none"/>
                      <w:lang w:val="de-DE"/>
                    </w:rPr>
                    <w:t>/</w:t>
                  </w:r>
                </w:p>
              </w:tc>
              <w:tc>
                <w:tcPr>
                  <w:tcW w:w="675" w:type="pct"/>
                  <w:vAlign w:val="center"/>
                </w:tcPr>
                <w:p>
                  <w:pPr>
                    <w:jc w:val="center"/>
                    <w:rPr>
                      <w:rFonts w:ascii="Times New Roman" w:hAnsi="Times New Roman"/>
                      <w:color w:val="auto"/>
                      <w:highlight w:val="none"/>
                    </w:rPr>
                  </w:pPr>
                  <w:r>
                    <w:rPr>
                      <w:rFonts w:hint="eastAsia" w:ascii="Times New Roman" w:hAnsi="Times New Roman"/>
                      <w:color w:val="auto"/>
                      <w:highlight w:val="none"/>
                    </w:rPr>
                    <w:t>0.03</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m</w:t>
                  </w:r>
                  <w:r>
                    <w:rPr>
                      <w:rFonts w:ascii="Times New Roman" w:hAnsi="Times New Roman"/>
                      <w:color w:val="auto"/>
                      <w:highlight w:val="none"/>
                      <w:vertAlign w:val="superscript"/>
                    </w:rPr>
                    <w:t>3</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6" w:hRule="atLeast"/>
              </w:trPr>
              <w:tc>
                <w:tcPr>
                  <w:tcW w:w="180" w:type="pct"/>
                  <w:vMerge w:val="continue"/>
                  <w:vAlign w:val="center"/>
                </w:tcPr>
                <w:p>
                  <w:pPr>
                    <w:jc w:val="center"/>
                    <w:rPr>
                      <w:rFonts w:ascii="Times New Roman" w:hAnsi="Times New Roman"/>
                      <w:color w:val="auto"/>
                      <w:highlight w:val="none"/>
                    </w:rPr>
                  </w:pPr>
                </w:p>
              </w:tc>
              <w:tc>
                <w:tcPr>
                  <w:tcW w:w="490" w:type="pct"/>
                  <w:vMerge w:val="continue"/>
                  <w:vAlign w:val="center"/>
                </w:tcPr>
                <w:p>
                  <w:pPr>
                    <w:jc w:val="center"/>
                    <w:rPr>
                      <w:rFonts w:ascii="Times New Roman" w:hAnsi="Times New Roman"/>
                      <w:color w:val="auto"/>
                      <w:highlight w:val="none"/>
                    </w:rPr>
                  </w:pPr>
                </w:p>
              </w:tc>
              <w:tc>
                <w:tcPr>
                  <w:tcW w:w="734" w:type="pct"/>
                  <w:vAlign w:val="center"/>
                </w:tcPr>
                <w:p>
                  <w:pPr>
                    <w:adjustRightInd w:val="0"/>
                    <w:spacing w:line="320" w:lineRule="exact"/>
                    <w:jc w:val="center"/>
                    <w:rPr>
                      <w:rFonts w:ascii="Times New Roman" w:hAnsi="Times New Roman"/>
                      <w:color w:val="auto"/>
                      <w:highlight w:val="none"/>
                    </w:rPr>
                  </w:pPr>
                  <w:r>
                    <w:rPr>
                      <w:rFonts w:hint="eastAsia" w:ascii="Times New Roman" w:hAnsi="Times New Roman"/>
                      <w:color w:val="auto"/>
                      <w:highlight w:val="none"/>
                    </w:rPr>
                    <w:t>氯气</w:t>
                  </w:r>
                </w:p>
              </w:tc>
              <w:tc>
                <w:tcPr>
                  <w:tcW w:w="734" w:type="pct"/>
                  <w:vAlign w:val="center"/>
                </w:tcPr>
                <w:p>
                  <w:pPr>
                    <w:jc w:val="center"/>
                    <w:rPr>
                      <w:rFonts w:ascii="Times New Roman" w:hAnsi="Times New Roman"/>
                      <w:color w:val="auto"/>
                      <w:highlight w:val="none"/>
                    </w:rPr>
                  </w:pPr>
                  <w:r>
                    <w:rPr>
                      <w:rFonts w:hint="eastAsia" w:ascii="Times New Roman" w:hAnsi="Times New Roman"/>
                      <w:color w:val="auto"/>
                      <w:highlight w:val="none"/>
                    </w:rPr>
                    <w:t>0.072</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m</w:t>
                  </w:r>
                  <w:r>
                    <w:rPr>
                      <w:rFonts w:ascii="Times New Roman" w:hAnsi="Times New Roman"/>
                      <w:color w:val="auto"/>
                      <w:highlight w:val="none"/>
                      <w:vertAlign w:val="superscript"/>
                    </w:rPr>
                    <w:t>3</w:t>
                  </w:r>
                </w:p>
              </w:tc>
              <w:tc>
                <w:tcPr>
                  <w:tcW w:w="740" w:type="pct"/>
                  <w:vAlign w:val="center"/>
                </w:tcPr>
                <w:p>
                  <w:pPr>
                    <w:jc w:val="center"/>
                    <w:rPr>
                      <w:rFonts w:ascii="Times New Roman" w:hAnsi="Times New Roman"/>
                      <w:color w:val="auto"/>
                      <w:highlight w:val="none"/>
                    </w:rPr>
                  </w:pPr>
                  <w:r>
                    <w:rPr>
                      <w:rFonts w:ascii="Times New Roman" w:hAnsi="Times New Roman"/>
                      <w:color w:val="auto"/>
                      <w:highlight w:val="none"/>
                      <w:lang w:val="de-DE"/>
                    </w:rPr>
                    <w:t>/</w:t>
                  </w:r>
                </w:p>
              </w:tc>
              <w:tc>
                <w:tcPr>
                  <w:tcW w:w="675" w:type="pct"/>
                  <w:vAlign w:val="center"/>
                </w:tcPr>
                <w:p>
                  <w:pPr>
                    <w:jc w:val="center"/>
                    <w:rPr>
                      <w:rFonts w:ascii="Times New Roman" w:hAnsi="Times New Roman"/>
                      <w:color w:val="auto"/>
                      <w:highlight w:val="none"/>
                    </w:rPr>
                  </w:pPr>
                  <w:r>
                    <w:rPr>
                      <w:rFonts w:hint="eastAsia" w:ascii="Times New Roman" w:hAnsi="Times New Roman"/>
                      <w:color w:val="auto"/>
                      <w:highlight w:val="none"/>
                    </w:rPr>
                    <w:t>0.1</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m</w:t>
                  </w:r>
                  <w:r>
                    <w:rPr>
                      <w:rFonts w:ascii="Times New Roman" w:hAnsi="Times New Roman"/>
                      <w:color w:val="auto"/>
                      <w:highlight w:val="none"/>
                      <w:vertAlign w:val="superscript"/>
                    </w:rPr>
                    <w:t>3</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670" w:type="pct"/>
                  <w:gridSpan w:val="2"/>
                  <w:vMerge w:val="restart"/>
                  <w:vAlign w:val="center"/>
                </w:tcPr>
                <w:p>
                  <w:pPr>
                    <w:jc w:val="center"/>
                    <w:rPr>
                      <w:rFonts w:ascii="Times New Roman" w:hAnsi="Times New Roman"/>
                      <w:color w:val="auto"/>
                      <w:highlight w:val="none"/>
                    </w:rPr>
                  </w:pPr>
                  <w:r>
                    <w:rPr>
                      <w:rFonts w:ascii="Times New Roman" w:hAnsi="Times New Roman"/>
                      <w:color w:val="auto"/>
                      <w:highlight w:val="none"/>
                    </w:rPr>
                    <w:t>废水</w:t>
                  </w:r>
                  <w:r>
                    <w:rPr>
                      <w:rFonts w:ascii="Times New Roman" w:hAnsi="Times New Roman"/>
                      <w:color w:val="auto"/>
                      <w:highlight w:val="none"/>
                      <w:vertAlign w:val="superscript"/>
                    </w:rPr>
                    <w:t>*</w:t>
                  </w:r>
                  <w:r>
                    <w:rPr>
                      <w:rFonts w:hint="eastAsia" w:ascii="Times New Roman" w:hAnsi="Times New Roman"/>
                      <w:color w:val="auto"/>
                      <w:highlight w:val="none"/>
                      <w:vertAlign w:val="superscript"/>
                    </w:rPr>
                    <w:t>2</w:t>
                  </w:r>
                </w:p>
              </w:tc>
              <w:tc>
                <w:tcPr>
                  <w:tcW w:w="734" w:type="pct"/>
                  <w:vAlign w:val="center"/>
                </w:tcPr>
                <w:p>
                  <w:pPr>
                    <w:jc w:val="center"/>
                    <w:rPr>
                      <w:rFonts w:ascii="Times New Roman" w:hAnsi="Times New Roman"/>
                      <w:color w:val="auto"/>
                      <w:highlight w:val="none"/>
                    </w:rPr>
                  </w:pPr>
                  <w:r>
                    <w:rPr>
                      <w:rFonts w:ascii="Times New Roman" w:hAnsi="Times New Roman"/>
                      <w:color w:val="auto"/>
                      <w:highlight w:val="none"/>
                    </w:rPr>
                    <w:t>废水量</w:t>
                  </w:r>
                </w:p>
              </w:tc>
              <w:tc>
                <w:tcPr>
                  <w:tcW w:w="2150" w:type="pct"/>
                  <w:gridSpan w:val="3"/>
                  <w:vAlign w:val="center"/>
                </w:tcPr>
                <w:p>
                  <w:pPr>
                    <w:jc w:val="center"/>
                    <w:rPr>
                      <w:rFonts w:ascii="Times New Roman" w:hAnsi="Times New Roman"/>
                      <w:color w:val="auto"/>
                      <w:highlight w:val="none"/>
                    </w:rPr>
                  </w:pPr>
                  <w:r>
                    <w:rPr>
                      <w:rFonts w:hint="eastAsia" w:ascii="Times New Roman" w:hAnsi="Times New Roman"/>
                      <w:color w:val="auto"/>
                      <w:highlight w:val="none"/>
                      <w:lang w:eastAsia="zh-CN"/>
                    </w:rPr>
                    <w:t>9</w:t>
                  </w:r>
                  <w:r>
                    <w:rPr>
                      <w:rFonts w:hint="eastAsia" w:ascii="Times New Roman" w:hAnsi="Times New Roman"/>
                      <w:color w:val="auto"/>
                      <w:highlight w:val="none"/>
                      <w:lang w:val="en-US" w:eastAsia="zh-CN"/>
                    </w:rPr>
                    <w:t>0155</w:t>
                  </w:r>
                  <w:r>
                    <w:rPr>
                      <w:rFonts w:ascii="Times New Roman" w:hAnsi="Times New Roman"/>
                      <w:color w:val="auto"/>
                      <w:highlight w:val="none"/>
                      <w:lang w:val="de-DE"/>
                    </w:rPr>
                    <w:t>m</w:t>
                  </w:r>
                  <w:r>
                    <w:rPr>
                      <w:rFonts w:ascii="Times New Roman" w:hAnsi="Times New Roman"/>
                      <w:color w:val="auto"/>
                      <w:highlight w:val="none"/>
                      <w:vertAlign w:val="superscript"/>
                      <w:lang w:val="de-DE"/>
                    </w:rPr>
                    <w:t>3</w:t>
                  </w:r>
                  <w:r>
                    <w:rPr>
                      <w:rFonts w:ascii="Times New Roman" w:hAnsi="Times New Roman"/>
                      <w:color w:val="auto"/>
                      <w:highlight w:val="none"/>
                      <w:lang w:val="de-DE"/>
                    </w:rPr>
                    <w:t>/a</w:t>
                  </w:r>
                </w:p>
              </w:tc>
              <w:tc>
                <w:tcPr>
                  <w:tcW w:w="1115" w:type="pct"/>
                  <w:vMerge w:val="restart"/>
                  <w:vAlign w:val="center"/>
                </w:tcPr>
                <w:p>
                  <w:pPr>
                    <w:jc w:val="center"/>
                    <w:rPr>
                      <w:rFonts w:ascii="Times New Roman" w:hAnsi="Times New Roman"/>
                      <w:color w:val="auto"/>
                      <w:highlight w:val="none"/>
                    </w:rPr>
                  </w:pPr>
                  <w:r>
                    <w:rPr>
                      <w:rFonts w:hint="eastAsia" w:ascii="Times New Roman" w:hAnsi="Times New Roman" w:eastAsia="Times New Roman"/>
                      <w:color w:val="auto"/>
                      <w:highlight w:val="none"/>
                    </w:rPr>
                    <w:t>《医疗机构水污染物排放标准》（GB18466-2005）中表2预处理标准</w:t>
                  </w:r>
                  <w:r>
                    <w:rPr>
                      <w:rFonts w:ascii="Times New Roman" w:hAnsi="Times New Roman"/>
                      <w:color w:val="auto"/>
                      <w:highlight w:val="none"/>
                    </w:rPr>
                    <w:t>及《污水排入城镇下水道水质标准》B等级标准</w:t>
                  </w:r>
                </w:p>
              </w:tc>
              <w:tc>
                <w:tcPr>
                  <w:tcW w:w="329" w:type="pct"/>
                  <w:vMerge w:val="restart"/>
                  <w:vAlign w:val="center"/>
                </w:tcPr>
                <w:p>
                  <w:pPr>
                    <w:jc w:val="center"/>
                    <w:rPr>
                      <w:rFonts w:ascii="Times New Roman" w:hAnsi="Times New Roman"/>
                      <w:color w:val="auto"/>
                      <w:highlight w:val="none"/>
                    </w:rPr>
                  </w:pPr>
                  <w:r>
                    <w:rPr>
                      <w:rFonts w:ascii="Times New Roman" w:hAnsi="Times New Roman"/>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trPr>
              <w:tc>
                <w:tcPr>
                  <w:tcW w:w="670" w:type="pct"/>
                  <w:gridSpan w:val="2"/>
                  <w:vMerge w:val="continue"/>
                  <w:vAlign w:val="center"/>
                </w:tcPr>
                <w:p>
                  <w:pPr>
                    <w:jc w:val="center"/>
                    <w:rPr>
                      <w:rFonts w:ascii="Times New Roman" w:hAnsi="Times New Roman"/>
                      <w:color w:val="auto"/>
                      <w:highlight w:val="none"/>
                    </w:rPr>
                  </w:pPr>
                </w:p>
              </w:tc>
              <w:tc>
                <w:tcPr>
                  <w:tcW w:w="734" w:type="pct"/>
                  <w:vAlign w:val="center"/>
                </w:tcPr>
                <w:p>
                  <w:pPr>
                    <w:jc w:val="center"/>
                    <w:rPr>
                      <w:rFonts w:ascii="Times New Roman" w:hAnsi="Times New Roman"/>
                      <w:color w:val="auto"/>
                      <w:highlight w:val="none"/>
                    </w:rPr>
                  </w:pPr>
                  <w:r>
                    <w:rPr>
                      <w:rFonts w:ascii="Times New Roman" w:hAnsi="Times New Roman"/>
                      <w:color w:val="auto"/>
                      <w:highlight w:val="none"/>
                    </w:rPr>
                    <w:t>COD</w:t>
                  </w:r>
                </w:p>
              </w:tc>
              <w:tc>
                <w:tcPr>
                  <w:tcW w:w="734" w:type="pct"/>
                  <w:vAlign w:val="center"/>
                </w:tcPr>
                <w:p>
                  <w:pPr>
                    <w:widowControl/>
                    <w:jc w:val="center"/>
                    <w:textAlignment w:val="center"/>
                    <w:rPr>
                      <w:rFonts w:ascii="Times New Roman" w:hAnsi="Times New Roman"/>
                      <w:color w:val="auto"/>
                      <w:highlight w:val="none"/>
                    </w:rPr>
                  </w:pPr>
                  <w:r>
                    <w:rPr>
                      <w:rFonts w:hint="eastAsia" w:ascii="Times New Roman" w:hAnsi="Times New Roman"/>
                      <w:color w:val="auto"/>
                      <w:highlight w:val="none"/>
                    </w:rPr>
                    <w:t>49</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L</w:t>
                  </w:r>
                </w:p>
              </w:tc>
              <w:tc>
                <w:tcPr>
                  <w:tcW w:w="740" w:type="pct"/>
                  <w:vAlign w:val="center"/>
                </w:tcPr>
                <w:p>
                  <w:pPr>
                    <w:widowControl/>
                    <w:jc w:val="center"/>
                    <w:textAlignment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4.42</w:t>
                  </w:r>
                </w:p>
              </w:tc>
              <w:tc>
                <w:tcPr>
                  <w:tcW w:w="675" w:type="pct"/>
                  <w:vAlign w:val="center"/>
                </w:tcPr>
                <w:p>
                  <w:pPr>
                    <w:widowControl/>
                    <w:jc w:val="center"/>
                    <w:textAlignment w:val="center"/>
                    <w:rPr>
                      <w:rFonts w:ascii="Times New Roman" w:hAnsi="Times New Roman"/>
                      <w:color w:val="auto"/>
                      <w:highlight w:val="none"/>
                    </w:rPr>
                  </w:pPr>
                  <w:r>
                    <w:rPr>
                      <w:rFonts w:hint="eastAsia" w:ascii="Times New Roman" w:hAnsi="Times New Roman"/>
                      <w:color w:val="auto"/>
                      <w:highlight w:val="none"/>
                    </w:rPr>
                    <w:t>25</w:t>
                  </w:r>
                  <w:r>
                    <w:rPr>
                      <w:rFonts w:ascii="Times New Roman" w:hAnsi="Times New Roman"/>
                      <w:color w:val="auto"/>
                      <w:highlight w:val="none"/>
                    </w:rPr>
                    <w:t>0mg</w:t>
                  </w:r>
                  <w:r>
                    <w:rPr>
                      <w:rFonts w:ascii="Times New Roman" w:hAnsi="Times New Roman"/>
                      <w:color w:val="auto"/>
                      <w:highlight w:val="none"/>
                      <w:lang w:val="de-DE"/>
                    </w:rPr>
                    <w:t>/</w:t>
                  </w:r>
                  <w:r>
                    <w:rPr>
                      <w:rFonts w:ascii="Times New Roman" w:hAnsi="Times New Roman"/>
                      <w:color w:val="auto"/>
                      <w:highlight w:val="none"/>
                    </w:rPr>
                    <w:t>L</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670" w:type="pct"/>
                  <w:gridSpan w:val="2"/>
                  <w:vMerge w:val="continue"/>
                  <w:vAlign w:val="center"/>
                </w:tcPr>
                <w:p>
                  <w:pPr>
                    <w:jc w:val="center"/>
                    <w:rPr>
                      <w:rFonts w:ascii="Times New Roman" w:hAnsi="Times New Roman"/>
                      <w:color w:val="auto"/>
                      <w:highlight w:val="none"/>
                    </w:rPr>
                  </w:pPr>
                </w:p>
              </w:tc>
              <w:tc>
                <w:tcPr>
                  <w:tcW w:w="734" w:type="pct"/>
                  <w:vAlign w:val="center"/>
                </w:tcPr>
                <w:p>
                  <w:pPr>
                    <w:jc w:val="center"/>
                    <w:rPr>
                      <w:rFonts w:ascii="Times New Roman" w:hAnsi="Times New Roman"/>
                      <w:color w:val="auto"/>
                      <w:highlight w:val="none"/>
                    </w:rPr>
                  </w:pPr>
                  <w:r>
                    <w:rPr>
                      <w:rFonts w:ascii="Times New Roman" w:hAnsi="Times New Roman"/>
                      <w:color w:val="auto"/>
                      <w:highlight w:val="none"/>
                    </w:rPr>
                    <w:t>氨氮</w:t>
                  </w:r>
                </w:p>
              </w:tc>
              <w:tc>
                <w:tcPr>
                  <w:tcW w:w="734" w:type="pct"/>
                  <w:vAlign w:val="center"/>
                </w:tcPr>
                <w:p>
                  <w:pPr>
                    <w:widowControl/>
                    <w:jc w:val="center"/>
                    <w:textAlignment w:val="center"/>
                    <w:rPr>
                      <w:rFonts w:ascii="Times New Roman" w:hAnsi="Times New Roman"/>
                      <w:color w:val="auto"/>
                      <w:highlight w:val="none"/>
                    </w:rPr>
                  </w:pPr>
                  <w:r>
                    <w:rPr>
                      <w:rFonts w:hint="eastAsia" w:ascii="Times New Roman" w:hAnsi="Times New Roman"/>
                      <w:color w:val="auto"/>
                      <w:highlight w:val="none"/>
                    </w:rPr>
                    <w:t>5.06</w:t>
                  </w:r>
                  <w:r>
                    <w:rPr>
                      <w:rFonts w:ascii="Times New Roman" w:hAnsi="Times New Roman"/>
                      <w:color w:val="auto"/>
                      <w:highlight w:val="none"/>
                    </w:rPr>
                    <w:t>mg</w:t>
                  </w:r>
                  <w:r>
                    <w:rPr>
                      <w:rFonts w:ascii="Times New Roman" w:hAnsi="Times New Roman"/>
                      <w:color w:val="auto"/>
                      <w:highlight w:val="none"/>
                      <w:lang w:val="de-DE"/>
                    </w:rPr>
                    <w:t>/</w:t>
                  </w:r>
                  <w:r>
                    <w:rPr>
                      <w:rFonts w:ascii="Times New Roman" w:hAnsi="Times New Roman"/>
                      <w:color w:val="auto"/>
                      <w:highlight w:val="none"/>
                    </w:rPr>
                    <w:t>L</w:t>
                  </w:r>
                </w:p>
              </w:tc>
              <w:tc>
                <w:tcPr>
                  <w:tcW w:w="740" w:type="pct"/>
                  <w:vAlign w:val="center"/>
                </w:tcPr>
                <w:p>
                  <w:pPr>
                    <w:widowControl/>
                    <w:jc w:val="center"/>
                    <w:textAlignment w:val="center"/>
                    <w:rPr>
                      <w:rFonts w:hint="default" w:ascii="Times New Roman" w:hAnsi="Times New Roman" w:eastAsia="宋体"/>
                      <w:color w:val="auto"/>
                      <w:highlight w:val="none"/>
                      <w:lang w:val="en-US" w:eastAsia="zh-CN"/>
                    </w:rPr>
                  </w:pPr>
                  <w:r>
                    <w:rPr>
                      <w:rFonts w:ascii="Times New Roman" w:hAnsi="Times New Roman"/>
                      <w:color w:val="auto"/>
                      <w:highlight w:val="none"/>
                    </w:rPr>
                    <w:t>0.</w:t>
                  </w:r>
                  <w:r>
                    <w:rPr>
                      <w:rFonts w:hint="eastAsia" w:ascii="Times New Roman" w:hAnsi="Times New Roman"/>
                      <w:color w:val="auto"/>
                      <w:highlight w:val="none"/>
                      <w:lang w:val="en-US" w:eastAsia="zh-CN"/>
                    </w:rPr>
                    <w:t>46</w:t>
                  </w:r>
                </w:p>
              </w:tc>
              <w:tc>
                <w:tcPr>
                  <w:tcW w:w="675" w:type="pct"/>
                  <w:vAlign w:val="center"/>
                </w:tcPr>
                <w:p>
                  <w:pPr>
                    <w:widowControl/>
                    <w:jc w:val="center"/>
                    <w:textAlignment w:val="center"/>
                    <w:rPr>
                      <w:rFonts w:ascii="Times New Roman" w:hAnsi="Times New Roman"/>
                      <w:color w:val="auto"/>
                      <w:highlight w:val="none"/>
                    </w:rPr>
                  </w:pPr>
                  <w:r>
                    <w:rPr>
                      <w:rFonts w:ascii="Times New Roman" w:hAnsi="Times New Roman"/>
                      <w:color w:val="auto"/>
                      <w:highlight w:val="none"/>
                    </w:rPr>
                    <w:t>45mg</w:t>
                  </w:r>
                  <w:r>
                    <w:rPr>
                      <w:rFonts w:ascii="Times New Roman" w:hAnsi="Times New Roman"/>
                      <w:color w:val="auto"/>
                      <w:highlight w:val="none"/>
                      <w:lang w:val="de-DE"/>
                    </w:rPr>
                    <w:t>/</w:t>
                  </w:r>
                  <w:r>
                    <w:rPr>
                      <w:rFonts w:ascii="Times New Roman" w:hAnsi="Times New Roman"/>
                      <w:color w:val="auto"/>
                      <w:highlight w:val="none"/>
                    </w:rPr>
                    <w:t>L</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7" w:hRule="atLeast"/>
              </w:trPr>
              <w:tc>
                <w:tcPr>
                  <w:tcW w:w="670" w:type="pct"/>
                  <w:gridSpan w:val="2"/>
                  <w:vMerge w:val="continue"/>
                  <w:vAlign w:val="center"/>
                </w:tcPr>
                <w:p>
                  <w:pPr>
                    <w:jc w:val="center"/>
                    <w:rPr>
                      <w:rFonts w:ascii="Times New Roman" w:hAnsi="Times New Roman"/>
                      <w:color w:val="auto"/>
                      <w:highlight w:val="none"/>
                    </w:rPr>
                  </w:pPr>
                </w:p>
              </w:tc>
              <w:tc>
                <w:tcPr>
                  <w:tcW w:w="734" w:type="pct"/>
                  <w:vAlign w:val="center"/>
                </w:tcPr>
                <w:p>
                  <w:pPr>
                    <w:jc w:val="center"/>
                    <w:rPr>
                      <w:rFonts w:ascii="Times New Roman" w:hAnsi="Times New Roman"/>
                      <w:color w:val="auto"/>
                      <w:highlight w:val="none"/>
                    </w:rPr>
                  </w:pPr>
                  <w:r>
                    <w:rPr>
                      <w:rFonts w:hint="eastAsia" w:ascii="Times New Roman" w:hAnsi="Times New Roman"/>
                      <w:color w:val="auto"/>
                      <w:highlight w:val="none"/>
                    </w:rPr>
                    <w:t>粪大肠菌群</w:t>
                  </w:r>
                </w:p>
              </w:tc>
              <w:tc>
                <w:tcPr>
                  <w:tcW w:w="734" w:type="pct"/>
                  <w:vAlign w:val="center"/>
                </w:tcPr>
                <w:p>
                  <w:pPr>
                    <w:widowControl/>
                    <w:jc w:val="center"/>
                    <w:textAlignment w:val="center"/>
                    <w:rPr>
                      <w:rFonts w:ascii="Times New Roman" w:hAnsi="Times New Roman"/>
                      <w:color w:val="auto"/>
                      <w:highlight w:val="none"/>
                    </w:rPr>
                  </w:pPr>
                  <w:r>
                    <w:rPr>
                      <w:rFonts w:hint="eastAsia" w:ascii="Times New Roman" w:hAnsi="Times New Roman"/>
                      <w:color w:val="auto"/>
                      <w:highlight w:val="none"/>
                    </w:rPr>
                    <w:t>未检出</w:t>
                  </w:r>
                </w:p>
              </w:tc>
              <w:tc>
                <w:tcPr>
                  <w:tcW w:w="740" w:type="pct"/>
                  <w:vAlign w:val="center"/>
                </w:tcPr>
                <w:p>
                  <w:pPr>
                    <w:widowControl/>
                    <w:jc w:val="center"/>
                    <w:textAlignment w:val="center"/>
                    <w:rPr>
                      <w:rFonts w:ascii="Times New Roman" w:hAnsi="Times New Roman"/>
                      <w:color w:val="auto"/>
                      <w:highlight w:val="none"/>
                    </w:rPr>
                  </w:pPr>
                  <w:r>
                    <w:rPr>
                      <w:rFonts w:hint="eastAsia" w:ascii="Times New Roman" w:hAnsi="Times New Roman"/>
                      <w:color w:val="auto"/>
                      <w:highlight w:val="none"/>
                    </w:rPr>
                    <w:t>--</w:t>
                  </w:r>
                </w:p>
              </w:tc>
              <w:tc>
                <w:tcPr>
                  <w:tcW w:w="675" w:type="pct"/>
                  <w:vAlign w:val="center"/>
                </w:tcPr>
                <w:p>
                  <w:pPr>
                    <w:widowControl/>
                    <w:jc w:val="center"/>
                    <w:textAlignment w:val="center"/>
                    <w:rPr>
                      <w:rFonts w:ascii="Times New Roman" w:hAnsi="Times New Roman"/>
                      <w:color w:val="auto"/>
                      <w:highlight w:val="none"/>
                    </w:rPr>
                  </w:pPr>
                  <w:r>
                    <w:rPr>
                      <w:rFonts w:hint="eastAsia" w:ascii="Times New Roman" w:hAnsi="Times New Roman"/>
                      <w:color w:val="auto"/>
                      <w:highlight w:val="none"/>
                    </w:rPr>
                    <w:t>5000MPN/L</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5" w:hRule="atLeast"/>
              </w:trPr>
              <w:tc>
                <w:tcPr>
                  <w:tcW w:w="670" w:type="pct"/>
                  <w:gridSpan w:val="2"/>
                  <w:vAlign w:val="center"/>
                </w:tcPr>
                <w:p>
                  <w:pPr>
                    <w:jc w:val="center"/>
                    <w:rPr>
                      <w:rFonts w:ascii="Times New Roman" w:hAnsi="Times New Roman"/>
                      <w:color w:val="auto"/>
                      <w:highlight w:val="none"/>
                    </w:rPr>
                  </w:pPr>
                  <w:r>
                    <w:rPr>
                      <w:rFonts w:ascii="Times New Roman" w:hAnsi="Times New Roman"/>
                      <w:color w:val="auto"/>
                      <w:highlight w:val="none"/>
                    </w:rPr>
                    <w:t>噪声</w:t>
                  </w:r>
                </w:p>
              </w:tc>
              <w:tc>
                <w:tcPr>
                  <w:tcW w:w="734" w:type="pct"/>
                  <w:vAlign w:val="center"/>
                </w:tcPr>
                <w:p>
                  <w:pPr>
                    <w:jc w:val="center"/>
                    <w:rPr>
                      <w:rFonts w:ascii="Times New Roman" w:hAnsi="Times New Roman"/>
                      <w:color w:val="auto"/>
                      <w:highlight w:val="none"/>
                    </w:rPr>
                  </w:pPr>
                  <w:r>
                    <w:rPr>
                      <w:rFonts w:ascii="Times New Roman" w:hAnsi="Times New Roman"/>
                      <w:color w:val="auto"/>
                      <w:highlight w:val="none"/>
                    </w:rPr>
                    <w:t>LeqA</w:t>
                  </w:r>
                </w:p>
              </w:tc>
              <w:tc>
                <w:tcPr>
                  <w:tcW w:w="734" w:type="pct"/>
                  <w:vAlign w:val="center"/>
                </w:tcPr>
                <w:p>
                  <w:pPr>
                    <w:jc w:val="center"/>
                    <w:rPr>
                      <w:rFonts w:ascii="Times New Roman" w:hAnsi="Times New Roman"/>
                      <w:color w:val="auto"/>
                      <w:highlight w:val="none"/>
                    </w:rPr>
                  </w:pPr>
                  <w:r>
                    <w:rPr>
                      <w:rFonts w:ascii="Times New Roman" w:hAnsi="Times New Roman"/>
                      <w:color w:val="auto"/>
                      <w:highlight w:val="none"/>
                    </w:rPr>
                    <w:t>厂界达标</w:t>
                  </w:r>
                </w:p>
              </w:tc>
              <w:tc>
                <w:tcPr>
                  <w:tcW w:w="2530" w:type="pct"/>
                  <w:gridSpan w:val="3"/>
                  <w:vAlign w:val="center"/>
                </w:tcPr>
                <w:p>
                  <w:pPr>
                    <w:jc w:val="center"/>
                    <w:rPr>
                      <w:rFonts w:ascii="Times New Roman" w:hAnsi="Times New Roman"/>
                      <w:color w:val="auto"/>
                      <w:highlight w:val="none"/>
                    </w:rPr>
                  </w:pPr>
                  <w:r>
                    <w:rPr>
                      <w:rFonts w:ascii="Times New Roman" w:hAnsi="Times New Roman"/>
                      <w:color w:val="auto"/>
                      <w:highlight w:val="none"/>
                    </w:rPr>
                    <w:t>《工业企业厂界环境噪声排放标准》（GB12348-2008）</w:t>
                  </w:r>
                  <w:r>
                    <w:rPr>
                      <w:rFonts w:hint="eastAsia" w:ascii="Times New Roman" w:hAnsi="Times New Roman"/>
                      <w:color w:val="auto"/>
                      <w:highlight w:val="none"/>
                    </w:rPr>
                    <w:t>3</w:t>
                  </w:r>
                  <w:r>
                    <w:rPr>
                      <w:rFonts w:ascii="Times New Roman" w:hAnsi="Times New Roman"/>
                      <w:color w:val="auto"/>
                      <w:highlight w:val="none"/>
                    </w:rPr>
                    <w:t>类标准</w:t>
                  </w:r>
                </w:p>
                <w:p>
                  <w:pPr>
                    <w:jc w:val="center"/>
                    <w:rPr>
                      <w:rFonts w:ascii="Times New Roman" w:hAnsi="Times New Roman"/>
                      <w:color w:val="auto"/>
                      <w:highlight w:val="none"/>
                    </w:rPr>
                  </w:pPr>
                  <w:r>
                    <w:rPr>
                      <w:rFonts w:ascii="Times New Roman" w:hAnsi="Times New Roman"/>
                      <w:color w:val="auto"/>
                      <w:highlight w:val="none"/>
                    </w:rPr>
                    <w:t>昼间≤6</w:t>
                  </w:r>
                  <w:r>
                    <w:rPr>
                      <w:rFonts w:hint="eastAsia" w:ascii="Times New Roman" w:hAnsi="Times New Roman"/>
                      <w:color w:val="auto"/>
                      <w:highlight w:val="none"/>
                    </w:rPr>
                    <w:t>5</w:t>
                  </w:r>
                  <w:r>
                    <w:rPr>
                      <w:rFonts w:ascii="Times New Roman" w:hAnsi="Times New Roman"/>
                      <w:color w:val="auto"/>
                      <w:highlight w:val="none"/>
                    </w:rPr>
                    <w:t>dB（A）；夜间≤5</w:t>
                  </w:r>
                  <w:r>
                    <w:rPr>
                      <w:rFonts w:hint="eastAsia" w:ascii="Times New Roman" w:hAnsi="Times New Roman"/>
                      <w:color w:val="auto"/>
                      <w:highlight w:val="none"/>
                    </w:rPr>
                    <w:t>5</w:t>
                  </w:r>
                  <w:r>
                    <w:rPr>
                      <w:rFonts w:ascii="Times New Roman" w:hAnsi="Times New Roman"/>
                      <w:color w:val="auto"/>
                      <w:highlight w:val="none"/>
                    </w:rPr>
                    <w:t>dB（A）</w:t>
                  </w:r>
                </w:p>
              </w:tc>
              <w:tc>
                <w:tcPr>
                  <w:tcW w:w="329" w:type="pct"/>
                  <w:vAlign w:val="center"/>
                </w:tcPr>
                <w:p>
                  <w:pPr>
                    <w:jc w:val="center"/>
                    <w:rPr>
                      <w:rFonts w:ascii="Times New Roman" w:hAnsi="Times New Roman"/>
                      <w:color w:val="auto"/>
                      <w:highlight w:val="none"/>
                    </w:rPr>
                  </w:pPr>
                  <w:r>
                    <w:rPr>
                      <w:rFonts w:ascii="Times New Roman" w:hAnsi="Times New Roman"/>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670" w:type="pct"/>
                  <w:gridSpan w:val="2"/>
                  <w:vMerge w:val="restart"/>
                  <w:vAlign w:val="center"/>
                </w:tcPr>
                <w:p>
                  <w:pPr>
                    <w:jc w:val="center"/>
                    <w:rPr>
                      <w:rFonts w:ascii="Times New Roman" w:hAnsi="Times New Roman"/>
                      <w:color w:val="auto"/>
                      <w:highlight w:val="none"/>
                    </w:rPr>
                  </w:pPr>
                  <w:r>
                    <w:rPr>
                      <w:rFonts w:ascii="Times New Roman" w:hAnsi="Times New Roman"/>
                      <w:color w:val="auto"/>
                      <w:highlight w:val="none"/>
                    </w:rPr>
                    <w:t>固体废物</w:t>
                  </w:r>
                  <w:r>
                    <w:rPr>
                      <w:rFonts w:ascii="Times New Roman" w:hAnsi="Times New Roman"/>
                      <w:color w:val="auto"/>
                      <w:highlight w:val="none"/>
                      <w:vertAlign w:val="superscript"/>
                    </w:rPr>
                    <w:t>*3</w:t>
                  </w:r>
                </w:p>
              </w:tc>
              <w:tc>
                <w:tcPr>
                  <w:tcW w:w="1469" w:type="pct"/>
                  <w:gridSpan w:val="2"/>
                  <w:vAlign w:val="center"/>
                </w:tcPr>
                <w:p>
                  <w:pPr>
                    <w:jc w:val="center"/>
                    <w:rPr>
                      <w:rFonts w:ascii="Times New Roman" w:hAnsi="Times New Roman"/>
                      <w:color w:val="auto"/>
                      <w:highlight w:val="none"/>
                    </w:rPr>
                  </w:pPr>
                  <w:r>
                    <w:rPr>
                      <w:rFonts w:ascii="Times New Roman" w:hAnsi="Times New Roman"/>
                      <w:color w:val="auto"/>
                      <w:highlight w:val="none"/>
                    </w:rPr>
                    <w:t>生活垃圾</w:t>
                  </w:r>
                </w:p>
              </w:tc>
              <w:tc>
                <w:tcPr>
                  <w:tcW w:w="740" w:type="pct"/>
                  <w:vAlign w:val="center"/>
                </w:tcPr>
                <w:p>
                  <w:pPr>
                    <w:jc w:val="center"/>
                    <w:rPr>
                      <w:rFonts w:ascii="Times New Roman" w:hAnsi="Times New Roman"/>
                      <w:color w:val="auto"/>
                      <w:highlight w:val="none"/>
                    </w:rPr>
                  </w:pPr>
                  <w:r>
                    <w:rPr>
                      <w:rFonts w:hint="eastAsia" w:ascii="Times New Roman" w:hAnsi="Times New Roman"/>
                      <w:color w:val="auto"/>
                      <w:highlight w:val="none"/>
                    </w:rPr>
                    <w:t>400</w:t>
                  </w:r>
                </w:p>
              </w:tc>
              <w:tc>
                <w:tcPr>
                  <w:tcW w:w="675" w:type="pct"/>
                  <w:vAlign w:val="center"/>
                </w:tcPr>
                <w:p>
                  <w:pPr>
                    <w:jc w:val="center"/>
                    <w:rPr>
                      <w:rFonts w:ascii="Times New Roman" w:hAnsi="Times New Roman"/>
                      <w:color w:val="auto"/>
                      <w:highlight w:val="none"/>
                    </w:rPr>
                  </w:pPr>
                  <w:r>
                    <w:rPr>
                      <w:rFonts w:ascii="Times New Roman" w:hAnsi="Times New Roman"/>
                      <w:color w:val="auto"/>
                      <w:highlight w:val="none"/>
                      <w:lang w:val="de-DE"/>
                    </w:rPr>
                    <w:t>/</w:t>
                  </w:r>
                </w:p>
              </w:tc>
              <w:tc>
                <w:tcPr>
                  <w:tcW w:w="1115" w:type="pct"/>
                  <w:vMerge w:val="restart"/>
                  <w:vAlign w:val="center"/>
                </w:tcPr>
                <w:p>
                  <w:pPr>
                    <w:jc w:val="center"/>
                    <w:rPr>
                      <w:rFonts w:ascii="Times New Roman" w:hAnsi="Times New Roman"/>
                      <w:color w:val="auto"/>
                      <w:highlight w:val="none"/>
                    </w:rPr>
                  </w:pPr>
                  <w:r>
                    <w:rPr>
                      <w:rFonts w:ascii="Times New Roman" w:hAnsi="Times New Roman"/>
                      <w:color w:val="auto"/>
                      <w:highlight w:val="none"/>
                    </w:rPr>
                    <w:t>综合处置率100%</w:t>
                  </w:r>
                </w:p>
              </w:tc>
              <w:tc>
                <w:tcPr>
                  <w:tcW w:w="329" w:type="pct"/>
                  <w:vMerge w:val="restart"/>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670" w:type="pct"/>
                  <w:gridSpan w:val="2"/>
                  <w:vMerge w:val="continue"/>
                  <w:vAlign w:val="center"/>
                </w:tcPr>
                <w:p>
                  <w:pPr>
                    <w:jc w:val="center"/>
                    <w:rPr>
                      <w:rFonts w:ascii="Times New Roman" w:hAnsi="Times New Roman"/>
                      <w:color w:val="auto"/>
                      <w:highlight w:val="none"/>
                    </w:rPr>
                  </w:pPr>
                </w:p>
              </w:tc>
              <w:tc>
                <w:tcPr>
                  <w:tcW w:w="1469" w:type="pct"/>
                  <w:gridSpan w:val="2"/>
                  <w:vAlign w:val="center"/>
                </w:tcPr>
                <w:p>
                  <w:pPr>
                    <w:jc w:val="center"/>
                    <w:rPr>
                      <w:rFonts w:ascii="Times New Roman" w:hAnsi="Times New Roman"/>
                      <w:color w:val="auto"/>
                      <w:highlight w:val="none"/>
                    </w:rPr>
                  </w:pPr>
                  <w:r>
                    <w:rPr>
                      <w:rFonts w:hint="eastAsia" w:ascii="Times New Roman" w:hAnsi="Times New Roman"/>
                      <w:color w:val="auto"/>
                      <w:highlight w:val="none"/>
                    </w:rPr>
                    <w:t>医疗垃圾</w:t>
                  </w:r>
                </w:p>
              </w:tc>
              <w:tc>
                <w:tcPr>
                  <w:tcW w:w="740" w:type="pct"/>
                  <w:vAlign w:val="center"/>
                </w:tcPr>
                <w:p>
                  <w:pPr>
                    <w:jc w:val="center"/>
                    <w:rPr>
                      <w:rFonts w:ascii="Times New Roman" w:hAnsi="Times New Roman"/>
                      <w:color w:val="auto"/>
                      <w:highlight w:val="none"/>
                    </w:rPr>
                  </w:pPr>
                  <w:r>
                    <w:rPr>
                      <w:rFonts w:hint="eastAsia" w:ascii="Times New Roman" w:hAnsi="Times New Roman"/>
                      <w:color w:val="auto"/>
                      <w:highlight w:val="none"/>
                    </w:rPr>
                    <w:t>120</w:t>
                  </w:r>
                </w:p>
              </w:tc>
              <w:tc>
                <w:tcPr>
                  <w:tcW w:w="675" w:type="pct"/>
                  <w:vAlign w:val="center"/>
                </w:tcPr>
                <w:p>
                  <w:pPr>
                    <w:jc w:val="center"/>
                    <w:rPr>
                      <w:rFonts w:ascii="Times New Roman" w:hAnsi="Times New Roman"/>
                      <w:color w:val="auto"/>
                      <w:highlight w:val="none"/>
                      <w:lang w:val="de-DE"/>
                    </w:rPr>
                  </w:pPr>
                  <w:r>
                    <w:rPr>
                      <w:rFonts w:ascii="Times New Roman" w:hAnsi="Times New Roman"/>
                      <w:color w:val="auto"/>
                      <w:highlight w:val="none"/>
                      <w:lang w:val="de-DE"/>
                    </w:rPr>
                    <w:t>/</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 w:hRule="atLeast"/>
              </w:trPr>
              <w:tc>
                <w:tcPr>
                  <w:tcW w:w="670" w:type="pct"/>
                  <w:gridSpan w:val="2"/>
                  <w:vMerge w:val="continue"/>
                  <w:vAlign w:val="center"/>
                </w:tcPr>
                <w:p>
                  <w:pPr>
                    <w:jc w:val="center"/>
                    <w:rPr>
                      <w:rFonts w:ascii="Times New Roman" w:hAnsi="Times New Roman"/>
                      <w:color w:val="auto"/>
                      <w:highlight w:val="none"/>
                    </w:rPr>
                  </w:pPr>
                </w:p>
              </w:tc>
              <w:tc>
                <w:tcPr>
                  <w:tcW w:w="1469" w:type="pct"/>
                  <w:gridSpan w:val="2"/>
                  <w:vAlign w:val="center"/>
                </w:tcPr>
                <w:p>
                  <w:pPr>
                    <w:jc w:val="center"/>
                    <w:rPr>
                      <w:rFonts w:ascii="Times New Roman" w:hAnsi="Times New Roman"/>
                      <w:color w:val="auto"/>
                      <w:highlight w:val="none"/>
                    </w:rPr>
                  </w:pPr>
                  <w:r>
                    <w:rPr>
                      <w:rFonts w:hint="eastAsia" w:ascii="Times New Roman" w:hAnsi="Times New Roman"/>
                      <w:color w:val="auto"/>
                      <w:highlight w:val="none"/>
                    </w:rPr>
                    <w:t>污泥</w:t>
                  </w:r>
                </w:p>
              </w:tc>
              <w:tc>
                <w:tcPr>
                  <w:tcW w:w="740" w:type="pct"/>
                  <w:vAlign w:val="center"/>
                </w:tcPr>
                <w:p>
                  <w:pPr>
                    <w:jc w:val="center"/>
                    <w:rPr>
                      <w:rFonts w:ascii="Times New Roman" w:hAnsi="Times New Roman"/>
                      <w:color w:val="auto"/>
                      <w:highlight w:val="none"/>
                    </w:rPr>
                  </w:pPr>
                  <w:r>
                    <w:rPr>
                      <w:rFonts w:hint="eastAsia" w:ascii="Times New Roman" w:hAnsi="Times New Roman"/>
                      <w:color w:val="auto"/>
                      <w:highlight w:val="none"/>
                    </w:rPr>
                    <w:t>5.0</w:t>
                  </w:r>
                </w:p>
              </w:tc>
              <w:tc>
                <w:tcPr>
                  <w:tcW w:w="675" w:type="pct"/>
                  <w:vAlign w:val="center"/>
                </w:tcPr>
                <w:p>
                  <w:pPr>
                    <w:jc w:val="center"/>
                    <w:rPr>
                      <w:rFonts w:ascii="Times New Roman" w:hAnsi="Times New Roman"/>
                      <w:color w:val="auto"/>
                      <w:highlight w:val="none"/>
                      <w:lang w:val="de-DE"/>
                    </w:rPr>
                  </w:pPr>
                  <w:r>
                    <w:rPr>
                      <w:rFonts w:ascii="Times New Roman" w:hAnsi="Times New Roman"/>
                      <w:color w:val="auto"/>
                      <w:highlight w:val="none"/>
                      <w:lang w:val="de-DE"/>
                    </w:rPr>
                    <w:t>/</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670" w:type="pct"/>
                  <w:gridSpan w:val="2"/>
                  <w:vMerge w:val="continue"/>
                  <w:vAlign w:val="center"/>
                </w:tcPr>
                <w:p>
                  <w:pPr>
                    <w:jc w:val="center"/>
                    <w:rPr>
                      <w:rFonts w:ascii="Times New Roman" w:hAnsi="Times New Roman"/>
                      <w:color w:val="auto"/>
                      <w:highlight w:val="none"/>
                    </w:rPr>
                  </w:pPr>
                </w:p>
              </w:tc>
              <w:tc>
                <w:tcPr>
                  <w:tcW w:w="1469" w:type="pct"/>
                  <w:gridSpan w:val="2"/>
                  <w:vAlign w:val="center"/>
                </w:tcPr>
                <w:p>
                  <w:pPr>
                    <w:jc w:val="center"/>
                    <w:rPr>
                      <w:rFonts w:hint="eastAsia" w:ascii="Times New Roman" w:hAnsi="Times New Roman"/>
                      <w:color w:val="auto"/>
                      <w:highlight w:val="none"/>
                    </w:rPr>
                  </w:pPr>
                  <w:r>
                    <w:rPr>
                      <w:rFonts w:hint="eastAsia" w:ascii="Times New Roman" w:hAnsi="Times New Roman" w:cs="Times New Roman"/>
                      <w:color w:val="auto"/>
                      <w:sz w:val="21"/>
                      <w:szCs w:val="21"/>
                      <w:highlight w:val="none"/>
                      <w:lang w:val="en-US" w:eastAsia="zh-CN"/>
                    </w:rPr>
                    <w:t>废输液袋、输液瓶等</w:t>
                  </w:r>
                </w:p>
              </w:tc>
              <w:tc>
                <w:tcPr>
                  <w:tcW w:w="740" w:type="pct"/>
                  <w:vAlign w:val="center"/>
                </w:tcPr>
                <w:p>
                  <w:pPr>
                    <w:jc w:val="center"/>
                    <w:rPr>
                      <w:rFonts w:hint="eastAsia" w:ascii="Times New Roman" w:hAnsi="Times New Roman"/>
                      <w:color w:val="auto"/>
                      <w:highlight w:val="none"/>
                    </w:rPr>
                  </w:pPr>
                  <w:r>
                    <w:rPr>
                      <w:rFonts w:hint="eastAsia" w:ascii="Times New Roman" w:hAnsi="Times New Roman"/>
                      <w:snapToGrid w:val="0"/>
                      <w:color w:val="auto"/>
                      <w:kern w:val="21"/>
                      <w:highlight w:val="none"/>
                      <w:lang w:val="en-US" w:eastAsia="zh-CN"/>
                    </w:rPr>
                    <w:t>11.0</w:t>
                  </w:r>
                </w:p>
              </w:tc>
              <w:tc>
                <w:tcPr>
                  <w:tcW w:w="675" w:type="pct"/>
                  <w:vAlign w:val="center"/>
                </w:tcPr>
                <w:p>
                  <w:pPr>
                    <w:jc w:val="center"/>
                    <w:rPr>
                      <w:rFonts w:ascii="Times New Roman" w:hAnsi="Times New Roman"/>
                      <w:color w:val="auto"/>
                      <w:highlight w:val="none"/>
                      <w:lang w:val="de-DE"/>
                    </w:rPr>
                  </w:pPr>
                  <w:r>
                    <w:rPr>
                      <w:rFonts w:ascii="Times New Roman" w:hAnsi="Times New Roman"/>
                      <w:color w:val="auto"/>
                      <w:highlight w:val="none"/>
                      <w:lang w:val="de-DE"/>
                    </w:rPr>
                    <w:t>/</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670" w:type="pct"/>
                  <w:gridSpan w:val="2"/>
                  <w:vMerge w:val="continue"/>
                  <w:vAlign w:val="center"/>
                </w:tcPr>
                <w:p>
                  <w:pPr>
                    <w:jc w:val="center"/>
                    <w:rPr>
                      <w:rFonts w:ascii="Times New Roman" w:hAnsi="Times New Roman"/>
                      <w:color w:val="auto"/>
                      <w:highlight w:val="none"/>
                    </w:rPr>
                  </w:pPr>
                </w:p>
              </w:tc>
              <w:tc>
                <w:tcPr>
                  <w:tcW w:w="1469" w:type="pct"/>
                  <w:gridSpan w:val="2"/>
                  <w:vAlign w:val="center"/>
                </w:tcPr>
                <w:p>
                  <w:pPr>
                    <w:jc w:val="center"/>
                    <w:rPr>
                      <w:rFonts w:ascii="Times New Roman" w:hAnsi="Times New Roman"/>
                      <w:color w:val="auto"/>
                      <w:highlight w:val="none"/>
                    </w:rPr>
                  </w:pPr>
                  <w:r>
                    <w:rPr>
                      <w:rFonts w:hint="eastAsia" w:ascii="Times New Roman" w:hAnsi="Times New Roman"/>
                      <w:color w:val="auto"/>
                      <w:highlight w:val="none"/>
                    </w:rPr>
                    <w:t>废活性炭</w:t>
                  </w:r>
                </w:p>
              </w:tc>
              <w:tc>
                <w:tcPr>
                  <w:tcW w:w="740" w:type="pct"/>
                  <w:vAlign w:val="center"/>
                </w:tcPr>
                <w:p>
                  <w:pPr>
                    <w:jc w:val="center"/>
                    <w:rPr>
                      <w:rFonts w:ascii="Times New Roman" w:hAnsi="Times New Roman"/>
                      <w:color w:val="auto"/>
                      <w:highlight w:val="none"/>
                    </w:rPr>
                  </w:pPr>
                  <w:r>
                    <w:rPr>
                      <w:rFonts w:hint="eastAsia" w:ascii="Times New Roman" w:hAnsi="Times New Roman"/>
                      <w:color w:val="auto"/>
                      <w:highlight w:val="none"/>
                    </w:rPr>
                    <w:t>0.1</w:t>
                  </w:r>
                </w:p>
              </w:tc>
              <w:tc>
                <w:tcPr>
                  <w:tcW w:w="675" w:type="pct"/>
                  <w:vAlign w:val="center"/>
                </w:tcPr>
                <w:p>
                  <w:pPr>
                    <w:jc w:val="center"/>
                    <w:rPr>
                      <w:rFonts w:ascii="Times New Roman" w:hAnsi="Times New Roman"/>
                      <w:color w:val="auto"/>
                      <w:highlight w:val="none"/>
                    </w:rPr>
                  </w:pPr>
                  <w:r>
                    <w:rPr>
                      <w:rFonts w:ascii="Times New Roman" w:hAnsi="Times New Roman"/>
                      <w:color w:val="auto"/>
                      <w:highlight w:val="none"/>
                      <w:lang w:val="de-DE"/>
                    </w:rPr>
                    <w:t>/</w:t>
                  </w:r>
                </w:p>
              </w:tc>
              <w:tc>
                <w:tcPr>
                  <w:tcW w:w="1115" w:type="pct"/>
                  <w:vMerge w:val="continue"/>
                  <w:vAlign w:val="center"/>
                </w:tcPr>
                <w:p>
                  <w:pPr>
                    <w:jc w:val="center"/>
                    <w:rPr>
                      <w:rFonts w:ascii="Times New Roman" w:hAnsi="Times New Roman"/>
                      <w:color w:val="auto"/>
                      <w:highlight w:val="none"/>
                    </w:rPr>
                  </w:pPr>
                </w:p>
              </w:tc>
              <w:tc>
                <w:tcPr>
                  <w:tcW w:w="329" w:type="pct"/>
                  <w:vMerge w:val="continue"/>
                  <w:vAlign w:val="center"/>
                </w:tcPr>
                <w:p>
                  <w:pPr>
                    <w:jc w:val="center"/>
                    <w:rPr>
                      <w:rFonts w:ascii="Times New Roman" w:hAnsi="Times New Roman"/>
                      <w:color w:val="auto"/>
                      <w:highlight w:val="none"/>
                    </w:rPr>
                  </w:pPr>
                </w:p>
              </w:tc>
            </w:tr>
          </w:tbl>
          <w:p>
            <w:pPr>
              <w:pStyle w:val="2"/>
              <w:ind w:firstLine="361"/>
              <w:jc w:val="left"/>
              <w:rPr>
                <w:b/>
                <w:bCs/>
                <w:color w:val="auto"/>
                <w:sz w:val="18"/>
                <w:szCs w:val="18"/>
                <w:highlight w:val="none"/>
              </w:rPr>
            </w:pPr>
            <w:r>
              <w:rPr>
                <w:b/>
                <w:bCs/>
                <w:color w:val="auto"/>
                <w:sz w:val="18"/>
                <w:szCs w:val="18"/>
                <w:highlight w:val="none"/>
              </w:rPr>
              <w:t>*1、</w:t>
            </w:r>
            <w:r>
              <w:rPr>
                <w:rFonts w:hint="eastAsia"/>
                <w:b/>
                <w:bCs/>
                <w:color w:val="auto"/>
                <w:sz w:val="18"/>
                <w:szCs w:val="18"/>
                <w:highlight w:val="none"/>
              </w:rPr>
              <w:t>医院污水站无组织</w:t>
            </w:r>
            <w:r>
              <w:rPr>
                <w:b/>
                <w:bCs/>
                <w:color w:val="auto"/>
                <w:sz w:val="18"/>
                <w:szCs w:val="18"/>
                <w:highlight w:val="none"/>
              </w:rPr>
              <w:t>废气污染物根据</w:t>
            </w:r>
            <w:r>
              <w:rPr>
                <w:rFonts w:hint="eastAsia"/>
                <w:b/>
                <w:bCs/>
                <w:color w:val="auto"/>
                <w:sz w:val="18"/>
                <w:szCs w:val="18"/>
                <w:highlight w:val="none"/>
              </w:rPr>
              <w:t>2022年6月份</w:t>
            </w:r>
            <w:r>
              <w:rPr>
                <w:b/>
                <w:bCs/>
                <w:color w:val="auto"/>
                <w:sz w:val="18"/>
                <w:szCs w:val="18"/>
                <w:highlight w:val="none"/>
              </w:rPr>
              <w:t>自行监测数据（</w:t>
            </w:r>
            <w:r>
              <w:rPr>
                <w:rFonts w:hint="eastAsia"/>
                <w:b/>
                <w:bCs/>
                <w:color w:val="auto"/>
                <w:sz w:val="18"/>
                <w:szCs w:val="18"/>
                <w:highlight w:val="none"/>
              </w:rPr>
              <w:t>智领监（气）[2022]字第0323号</w:t>
            </w:r>
            <w:r>
              <w:rPr>
                <w:b/>
                <w:bCs/>
                <w:color w:val="auto"/>
                <w:sz w:val="18"/>
                <w:szCs w:val="18"/>
                <w:highlight w:val="none"/>
              </w:rPr>
              <w:t>）进行</w:t>
            </w:r>
            <w:r>
              <w:rPr>
                <w:rFonts w:hint="eastAsia"/>
                <w:b/>
                <w:bCs/>
                <w:color w:val="auto"/>
                <w:sz w:val="18"/>
                <w:szCs w:val="18"/>
                <w:highlight w:val="none"/>
              </w:rPr>
              <w:t>统计</w:t>
            </w:r>
            <w:r>
              <w:rPr>
                <w:b/>
                <w:bCs/>
                <w:color w:val="auto"/>
                <w:sz w:val="18"/>
                <w:szCs w:val="18"/>
                <w:highlight w:val="none"/>
              </w:rPr>
              <w:t>；</w:t>
            </w:r>
          </w:p>
          <w:p>
            <w:pPr>
              <w:pStyle w:val="2"/>
              <w:numPr>
                <w:ilvl w:val="0"/>
                <w:numId w:val="1"/>
              </w:numPr>
              <w:ind w:firstLine="361"/>
              <w:jc w:val="left"/>
              <w:rPr>
                <w:b/>
                <w:bCs/>
                <w:color w:val="auto"/>
                <w:sz w:val="18"/>
                <w:szCs w:val="18"/>
                <w:highlight w:val="none"/>
              </w:rPr>
            </w:pPr>
            <w:r>
              <w:rPr>
                <w:rFonts w:hint="eastAsia"/>
                <w:b/>
                <w:bCs/>
                <w:color w:val="auto"/>
                <w:sz w:val="18"/>
                <w:szCs w:val="18"/>
                <w:highlight w:val="none"/>
              </w:rPr>
              <w:t>废水</w:t>
            </w:r>
            <w:r>
              <w:rPr>
                <w:b/>
                <w:bCs/>
                <w:color w:val="auto"/>
                <w:sz w:val="18"/>
                <w:szCs w:val="18"/>
                <w:highlight w:val="none"/>
              </w:rPr>
              <w:t>污染物</w:t>
            </w:r>
            <w:r>
              <w:rPr>
                <w:rFonts w:hint="eastAsia"/>
                <w:b/>
                <w:bCs/>
                <w:color w:val="auto"/>
                <w:sz w:val="18"/>
                <w:szCs w:val="18"/>
                <w:highlight w:val="none"/>
              </w:rPr>
              <w:t>排放浓度及排放量</w:t>
            </w:r>
            <w:r>
              <w:rPr>
                <w:b/>
                <w:bCs/>
                <w:color w:val="auto"/>
                <w:sz w:val="18"/>
                <w:szCs w:val="18"/>
                <w:highlight w:val="none"/>
              </w:rPr>
              <w:t>根据</w:t>
            </w:r>
            <w:r>
              <w:rPr>
                <w:rFonts w:hint="eastAsia"/>
                <w:b/>
                <w:bCs/>
                <w:color w:val="auto"/>
                <w:sz w:val="18"/>
                <w:szCs w:val="18"/>
                <w:highlight w:val="none"/>
              </w:rPr>
              <w:t>2020年10月竣工环境保护验收报告</w:t>
            </w:r>
            <w:r>
              <w:rPr>
                <w:b/>
                <w:bCs/>
                <w:color w:val="auto"/>
                <w:sz w:val="18"/>
                <w:szCs w:val="18"/>
                <w:highlight w:val="none"/>
              </w:rPr>
              <w:t>监测数据进行</w:t>
            </w:r>
            <w:r>
              <w:rPr>
                <w:rFonts w:hint="eastAsia"/>
                <w:b/>
                <w:bCs/>
                <w:color w:val="auto"/>
                <w:sz w:val="18"/>
                <w:szCs w:val="18"/>
                <w:highlight w:val="none"/>
              </w:rPr>
              <w:t>统计</w:t>
            </w:r>
            <w:r>
              <w:rPr>
                <w:b/>
                <w:bCs/>
                <w:color w:val="auto"/>
                <w:sz w:val="18"/>
                <w:szCs w:val="18"/>
                <w:highlight w:val="none"/>
              </w:rPr>
              <w:t>核算</w:t>
            </w:r>
            <w:r>
              <w:rPr>
                <w:rFonts w:hint="eastAsia"/>
                <w:b/>
                <w:bCs/>
                <w:color w:val="auto"/>
                <w:sz w:val="18"/>
                <w:szCs w:val="18"/>
                <w:highlight w:val="none"/>
                <w:lang w:eastAsia="zh-CN"/>
              </w:rPr>
              <w:t>，</w:t>
            </w:r>
            <w:r>
              <w:rPr>
                <w:rFonts w:hint="eastAsia"/>
                <w:b/>
                <w:bCs/>
                <w:color w:val="auto"/>
                <w:sz w:val="18"/>
                <w:szCs w:val="18"/>
                <w:highlight w:val="none"/>
                <w:lang w:val="en-US" w:eastAsia="zh-CN"/>
              </w:rPr>
              <w:t>医院废水量根据医院2018年2月—2019年1月（环评阶段正常运营）的水票进行水量统计按照用水量的90%核算，根据统计结果，平均日用水量最大份为9月，用水量为274.3</w:t>
            </w:r>
            <w:r>
              <w:rPr>
                <w:rFonts w:hint="eastAsia" w:ascii="Times New Roman" w:hAnsi="Times New Roman"/>
                <w:b/>
                <w:bCs/>
                <w:color w:val="auto"/>
                <w:sz w:val="18"/>
                <w:szCs w:val="18"/>
                <w:highlight w:val="none"/>
                <w:lang w:val="en-US"/>
              </w:rPr>
              <w:t>m</w:t>
            </w:r>
            <w:r>
              <w:rPr>
                <w:rFonts w:hint="eastAsia" w:ascii="Times New Roman" w:hAnsi="Times New Roman"/>
                <w:b/>
                <w:bCs/>
                <w:color w:val="auto"/>
                <w:sz w:val="18"/>
                <w:szCs w:val="18"/>
                <w:highlight w:val="none"/>
                <w:vertAlign w:val="superscript"/>
                <w:lang w:val="en-US"/>
              </w:rPr>
              <w:t>3</w:t>
            </w:r>
            <w:r>
              <w:rPr>
                <w:rFonts w:hint="eastAsia" w:ascii="Times New Roman" w:hAnsi="Times New Roman"/>
                <w:b/>
                <w:bCs/>
                <w:color w:val="auto"/>
                <w:sz w:val="18"/>
                <w:szCs w:val="18"/>
                <w:highlight w:val="none"/>
                <w:lang w:val="en-US"/>
              </w:rPr>
              <w:t>/</w:t>
            </w:r>
            <w:r>
              <w:rPr>
                <w:rFonts w:hint="eastAsia"/>
                <w:b/>
                <w:bCs/>
                <w:color w:val="auto"/>
                <w:sz w:val="18"/>
                <w:szCs w:val="18"/>
                <w:highlight w:val="none"/>
                <w:lang w:val="en-US" w:eastAsia="zh-CN"/>
              </w:rPr>
              <w:t>d，经计算排水量为247</w:t>
            </w:r>
            <w:r>
              <w:rPr>
                <w:rFonts w:hint="eastAsia" w:ascii="Times New Roman" w:hAnsi="Times New Roman"/>
                <w:b/>
                <w:bCs/>
                <w:color w:val="auto"/>
                <w:sz w:val="18"/>
                <w:szCs w:val="18"/>
                <w:highlight w:val="none"/>
                <w:lang w:val="en-US"/>
              </w:rPr>
              <w:t>m</w:t>
            </w:r>
            <w:r>
              <w:rPr>
                <w:rFonts w:hint="eastAsia" w:ascii="Times New Roman" w:hAnsi="Times New Roman"/>
                <w:b/>
                <w:bCs/>
                <w:color w:val="auto"/>
                <w:sz w:val="18"/>
                <w:szCs w:val="18"/>
                <w:highlight w:val="none"/>
                <w:vertAlign w:val="superscript"/>
                <w:lang w:val="en-US"/>
              </w:rPr>
              <w:t>3</w:t>
            </w:r>
            <w:r>
              <w:rPr>
                <w:rFonts w:hint="eastAsia" w:ascii="Times New Roman" w:hAnsi="Times New Roman"/>
                <w:b/>
                <w:bCs/>
                <w:color w:val="auto"/>
                <w:sz w:val="18"/>
                <w:szCs w:val="18"/>
                <w:highlight w:val="none"/>
                <w:lang w:val="en-US"/>
              </w:rPr>
              <w:t>/</w:t>
            </w:r>
            <w:r>
              <w:rPr>
                <w:rFonts w:hint="eastAsia"/>
                <w:b/>
                <w:bCs/>
                <w:color w:val="auto"/>
                <w:sz w:val="18"/>
                <w:szCs w:val="18"/>
                <w:highlight w:val="none"/>
                <w:lang w:val="en-US" w:eastAsia="zh-CN"/>
              </w:rPr>
              <w:t>d。本次评价医院现有排水量以日均最大排水量进行全年排水量核算则，年排水量为90155</w:t>
            </w:r>
            <w:r>
              <w:rPr>
                <w:rFonts w:hint="eastAsia" w:ascii="Times New Roman" w:hAnsi="Times New Roman"/>
                <w:b/>
                <w:bCs/>
                <w:color w:val="auto"/>
                <w:sz w:val="18"/>
                <w:szCs w:val="18"/>
                <w:highlight w:val="none"/>
                <w:lang w:val="en-US"/>
              </w:rPr>
              <w:t>m</w:t>
            </w:r>
            <w:r>
              <w:rPr>
                <w:rFonts w:hint="eastAsia" w:ascii="Times New Roman" w:hAnsi="Times New Roman"/>
                <w:b/>
                <w:bCs/>
                <w:color w:val="auto"/>
                <w:sz w:val="18"/>
                <w:szCs w:val="18"/>
                <w:highlight w:val="none"/>
                <w:vertAlign w:val="superscript"/>
                <w:lang w:val="en-US"/>
              </w:rPr>
              <w:t>3</w:t>
            </w:r>
            <w:r>
              <w:rPr>
                <w:rFonts w:hint="eastAsia" w:ascii="Times New Roman" w:hAnsi="Times New Roman"/>
                <w:b/>
                <w:bCs/>
                <w:color w:val="auto"/>
                <w:sz w:val="18"/>
                <w:szCs w:val="18"/>
                <w:highlight w:val="none"/>
                <w:lang w:val="en-US"/>
              </w:rPr>
              <w:t>/</w:t>
            </w:r>
            <w:r>
              <w:rPr>
                <w:rFonts w:hint="eastAsia"/>
                <w:b/>
                <w:bCs/>
                <w:color w:val="auto"/>
                <w:sz w:val="18"/>
                <w:szCs w:val="18"/>
                <w:highlight w:val="none"/>
                <w:lang w:val="en-US" w:eastAsia="zh-CN"/>
              </w:rPr>
              <w:t>d</w:t>
            </w:r>
            <w:r>
              <w:rPr>
                <w:b/>
                <w:bCs/>
                <w:color w:val="auto"/>
                <w:sz w:val="18"/>
                <w:szCs w:val="18"/>
                <w:highlight w:val="none"/>
              </w:rPr>
              <w:t>；</w:t>
            </w:r>
          </w:p>
          <w:p>
            <w:pPr>
              <w:pStyle w:val="2"/>
              <w:ind w:firstLine="361"/>
              <w:jc w:val="left"/>
              <w:rPr>
                <w:color w:val="auto"/>
                <w:sz w:val="18"/>
                <w:szCs w:val="18"/>
                <w:highlight w:val="none"/>
              </w:rPr>
            </w:pPr>
            <w:r>
              <w:rPr>
                <w:b/>
                <w:bCs/>
                <w:color w:val="auto"/>
                <w:sz w:val="18"/>
                <w:szCs w:val="18"/>
                <w:highlight w:val="none"/>
              </w:rPr>
              <w:t>3、固体废物排放量以产生量计；</w:t>
            </w:r>
          </w:p>
          <w:p>
            <w:pPr>
              <w:pStyle w:val="2"/>
              <w:spacing w:line="360" w:lineRule="auto"/>
              <w:jc w:val="left"/>
              <w:rPr>
                <w:b/>
                <w:bCs/>
                <w:color w:val="auto"/>
                <w:highlight w:val="none"/>
              </w:rPr>
            </w:pPr>
            <w:r>
              <w:rPr>
                <w:color w:val="auto"/>
                <w:highlight w:val="none"/>
              </w:rPr>
              <w:t>由表2-6可知，现有工程废气、废水、噪声等均可达标排放，可满足</w:t>
            </w:r>
            <w:r>
              <w:rPr>
                <w:rFonts w:hint="eastAsia"/>
                <w:color w:val="auto"/>
                <w:highlight w:val="none"/>
                <w:lang w:eastAsia="zh-CN"/>
              </w:rPr>
              <w:t>《</w:t>
            </w:r>
            <w:r>
              <w:rPr>
                <w:rFonts w:hint="eastAsia" w:eastAsia="Times New Roman"/>
                <w:color w:val="auto"/>
                <w:highlight w:val="none"/>
              </w:rPr>
              <w:t>医疗机构水污染物排放标准》（GB18466-2005）中表3污水站周边大气污染物浓度限值</w:t>
            </w:r>
            <w:r>
              <w:rPr>
                <w:color w:val="auto"/>
                <w:highlight w:val="none"/>
              </w:rPr>
              <w:t>、</w:t>
            </w:r>
            <w:r>
              <w:rPr>
                <w:rFonts w:hint="eastAsia"/>
                <w:color w:val="auto"/>
                <w:highlight w:val="none"/>
                <w:lang w:eastAsia="zh-CN"/>
              </w:rPr>
              <w:t>《</w:t>
            </w:r>
            <w:r>
              <w:rPr>
                <w:rFonts w:hint="eastAsia" w:eastAsia="Times New Roman"/>
                <w:color w:val="auto"/>
                <w:highlight w:val="none"/>
              </w:rPr>
              <w:t>医疗机构水污染物排放标准》（GB18466-2005）中表2预处理标准</w:t>
            </w:r>
            <w:r>
              <w:rPr>
                <w:color w:val="auto"/>
                <w:highlight w:val="none"/>
              </w:rPr>
              <w:t>及《污水排入城镇下水道水质标准》B等级标准</w:t>
            </w:r>
            <w:r>
              <w:rPr>
                <w:rFonts w:eastAsia="Times New Roman"/>
                <w:color w:val="auto"/>
                <w:highlight w:val="none"/>
              </w:rPr>
              <w:t>等</w:t>
            </w:r>
            <w:r>
              <w:rPr>
                <w:color w:val="auto"/>
                <w:highlight w:val="none"/>
              </w:rPr>
              <w:t>现行污染物排放标准限值要求，现有项目废水、废气、噪声等各污染物防治措施可行。</w:t>
            </w:r>
          </w:p>
          <w:p>
            <w:pPr>
              <w:pStyle w:val="2"/>
              <w:spacing w:line="360" w:lineRule="auto"/>
              <w:ind w:firstLine="422"/>
              <w:jc w:val="left"/>
              <w:rPr>
                <w:b/>
                <w:bCs/>
                <w:color w:val="auto"/>
                <w:highlight w:val="none"/>
              </w:rPr>
            </w:pPr>
            <w:r>
              <w:rPr>
                <w:color w:val="auto"/>
                <w:highlight w:val="none"/>
              </w:rPr>
              <w:t>根据现场调查，现有</w:t>
            </w:r>
            <w:r>
              <w:rPr>
                <w:rFonts w:hint="eastAsia" w:ascii="Times New Roman" w:hAnsi="Times New Roman"/>
                <w:color w:val="auto"/>
                <w:highlight w:val="none"/>
              </w:rPr>
              <w:t>中航工业西安医院污水工作站</w:t>
            </w:r>
            <w:r>
              <w:rPr>
                <w:color w:val="auto"/>
                <w:highlight w:val="none"/>
              </w:rPr>
              <w:t>项目已通过竣工环保验收，项目产生的污染物在采取相关处理措施后均可达标排放，</w:t>
            </w:r>
            <w:r>
              <w:rPr>
                <w:rFonts w:hint="eastAsia"/>
                <w:color w:val="auto"/>
                <w:highlight w:val="none"/>
                <w:lang w:val="en-US" w:eastAsia="zh-CN"/>
              </w:rPr>
              <w:t>环保设施运行正常，</w:t>
            </w:r>
            <w:r>
              <w:rPr>
                <w:color w:val="auto"/>
                <w:highlight w:val="none"/>
              </w:rPr>
              <w:t>对周围环境影响较小。</w:t>
            </w:r>
          </w:p>
          <w:p>
            <w:pPr>
              <w:pStyle w:val="2"/>
              <w:spacing w:line="360" w:lineRule="auto"/>
              <w:ind w:firstLine="422"/>
              <w:jc w:val="left"/>
              <w:rPr>
                <w:b/>
                <w:bCs/>
                <w:color w:val="auto"/>
                <w:highlight w:val="none"/>
              </w:rPr>
            </w:pPr>
            <w:r>
              <w:rPr>
                <w:b/>
                <w:bCs/>
                <w:color w:val="auto"/>
                <w:highlight w:val="none"/>
              </w:rPr>
              <w:t>3、存在的环境问题及整改措施</w:t>
            </w:r>
          </w:p>
          <w:p>
            <w:pPr>
              <w:pStyle w:val="2"/>
              <w:spacing w:line="360" w:lineRule="auto"/>
              <w:jc w:val="left"/>
              <w:rPr>
                <w:color w:val="auto"/>
                <w:highlight w:val="none"/>
              </w:rPr>
            </w:pPr>
            <w:r>
              <w:rPr>
                <w:rFonts w:hint="eastAsia" w:ascii="Times New Roman" w:hAnsi="Times New Roman"/>
                <w:color w:val="auto"/>
                <w:highlight w:val="none"/>
              </w:rPr>
              <w:t>现场调查该发热门诊楼已于2021年1月建成运行，</w:t>
            </w:r>
            <w:r>
              <w:rPr>
                <w:rFonts w:hint="eastAsia"/>
                <w:color w:val="auto"/>
                <w:highlight w:val="none"/>
                <w:lang w:val="en-US" w:eastAsia="zh-CN"/>
              </w:rPr>
              <w:t>各项环保设施正常运行，</w:t>
            </w:r>
            <w:r>
              <w:rPr>
                <w:rStyle w:val="30"/>
                <w:rFonts w:hint="eastAsia"/>
                <w:color w:val="auto"/>
                <w:szCs w:val="20"/>
                <w:highlight w:val="none"/>
              </w:rPr>
              <w:t>不存在</w:t>
            </w:r>
            <w:r>
              <w:rPr>
                <w:rFonts w:hint="eastAsia"/>
                <w:color w:val="auto"/>
                <w:highlight w:val="none"/>
              </w:rPr>
              <w:t>遗留</w:t>
            </w:r>
            <w:r>
              <w:rPr>
                <w:color w:val="auto"/>
                <w:highlight w:val="none"/>
              </w:rPr>
              <w:t>环境问题</w:t>
            </w:r>
            <w:r>
              <w:rPr>
                <w:rFonts w:hint="eastAsia"/>
                <w:color w:val="auto"/>
                <w:highlight w:val="none"/>
              </w:rPr>
              <w:t>和环保</w:t>
            </w:r>
            <w:r>
              <w:rPr>
                <w:color w:val="auto"/>
                <w:highlight w:val="none"/>
              </w:rPr>
              <w:t>相关投诉</w:t>
            </w:r>
            <w:r>
              <w:rPr>
                <w:rFonts w:hint="eastAsia"/>
                <w:color w:val="auto"/>
                <w:highlight w:val="none"/>
                <w:lang w:eastAsia="zh-CN"/>
              </w:rPr>
              <w:t>，</w:t>
            </w:r>
            <w:r>
              <w:rPr>
                <w:rFonts w:hint="eastAsia"/>
                <w:color w:val="auto"/>
                <w:highlight w:val="none"/>
                <w:lang w:val="en-US" w:eastAsia="zh-CN"/>
              </w:rPr>
              <w:t>目前环保手续尚不完善</w:t>
            </w:r>
            <w:r>
              <w:rPr>
                <w:rFonts w:hint="eastAsia"/>
                <w:color w:val="auto"/>
                <w:highlight w:val="none"/>
              </w:rPr>
              <w:t>。</w:t>
            </w:r>
          </w:p>
          <w:p>
            <w:pPr>
              <w:pStyle w:val="2"/>
              <w:spacing w:line="360" w:lineRule="auto"/>
              <w:ind w:left="0" w:leftChars="0" w:firstLine="0" w:firstLineChars="0"/>
              <w:jc w:val="left"/>
              <w:rPr>
                <w:rFonts w:hint="default" w:eastAsia="宋体"/>
                <w:color w:val="auto"/>
                <w:highlight w:val="none"/>
                <w:lang w:val="en-US" w:eastAsia="zh-CN"/>
              </w:rPr>
            </w:pPr>
            <w:r>
              <w:rPr>
                <w:color w:val="auto"/>
                <w:highlight w:val="none"/>
              </w:rPr>
              <w:drawing>
                <wp:inline distT="0" distB="0" distL="114300" distR="114300">
                  <wp:extent cx="2339975" cy="1800225"/>
                  <wp:effectExtent l="0" t="0" r="6985" b="13335"/>
                  <wp:docPr id="40" name="图片 1"/>
                  <wp:cNvGraphicFramePr/>
                  <a:graphic xmlns:a="http://schemas.openxmlformats.org/drawingml/2006/main">
                    <a:graphicData uri="http://schemas.openxmlformats.org/drawingml/2006/picture">
                      <pic:pic xmlns:pic="http://schemas.openxmlformats.org/drawingml/2006/picture">
                        <pic:nvPicPr>
                          <pic:cNvPr id="40" name="图片 1"/>
                          <pic:cNvPicPr/>
                        </pic:nvPicPr>
                        <pic:blipFill>
                          <a:blip r:embed="rId10"/>
                          <a:stretch>
                            <a:fillRect/>
                          </a:stretch>
                        </pic:blipFill>
                        <pic:spPr>
                          <a:xfrm>
                            <a:off x="0" y="0"/>
                            <a:ext cx="2339975" cy="1800225"/>
                          </a:xfrm>
                          <a:prstGeom prst="rect">
                            <a:avLst/>
                          </a:prstGeom>
                          <a:noFill/>
                          <a:ln>
                            <a:noFill/>
                          </a:ln>
                        </pic:spPr>
                      </pic:pic>
                    </a:graphicData>
                  </a:graphic>
                </wp:inline>
              </w:drawing>
            </w:r>
            <w:r>
              <w:rPr>
                <w:rFonts w:hint="eastAsia"/>
                <w:color w:val="auto"/>
                <w:highlight w:val="none"/>
                <w:lang w:val="en-US" w:eastAsia="zh-CN"/>
              </w:rPr>
              <w:t xml:space="preserve">     </w:t>
            </w:r>
            <w:r>
              <w:rPr>
                <w:color w:val="auto"/>
                <w:highlight w:val="none"/>
              </w:rPr>
              <w:drawing>
                <wp:inline distT="0" distB="0" distL="114300" distR="114300">
                  <wp:extent cx="2339975" cy="1800225"/>
                  <wp:effectExtent l="0" t="0" r="6985" b="13335"/>
                  <wp:docPr id="43" name="图片 2"/>
                  <wp:cNvGraphicFramePr/>
                  <a:graphic xmlns:a="http://schemas.openxmlformats.org/drawingml/2006/main">
                    <a:graphicData uri="http://schemas.openxmlformats.org/drawingml/2006/picture">
                      <pic:pic xmlns:pic="http://schemas.openxmlformats.org/drawingml/2006/picture">
                        <pic:nvPicPr>
                          <pic:cNvPr id="43" name="图片 2"/>
                          <pic:cNvPicPr/>
                        </pic:nvPicPr>
                        <pic:blipFill>
                          <a:blip r:embed="rId11"/>
                          <a:stretch>
                            <a:fillRect/>
                          </a:stretch>
                        </pic:blipFill>
                        <pic:spPr>
                          <a:xfrm>
                            <a:off x="0" y="0"/>
                            <a:ext cx="2339975" cy="1800225"/>
                          </a:xfrm>
                          <a:prstGeom prst="rect">
                            <a:avLst/>
                          </a:prstGeom>
                          <a:noFill/>
                          <a:ln>
                            <a:noFill/>
                          </a:ln>
                        </pic:spPr>
                      </pic:pic>
                    </a:graphicData>
                  </a:graphic>
                </wp:inline>
              </w:drawing>
            </w:r>
          </w:p>
          <w:p>
            <w:pPr>
              <w:pStyle w:val="2"/>
              <w:spacing w:line="360" w:lineRule="auto"/>
              <w:ind w:firstLine="843" w:firstLineChars="400"/>
              <w:jc w:val="left"/>
              <w:rPr>
                <w:rFonts w:hint="default" w:eastAsia="宋体"/>
                <w:color w:val="auto"/>
                <w:highlight w:val="none"/>
                <w:lang w:val="en-US" w:eastAsia="zh-CN"/>
              </w:rPr>
            </w:pPr>
            <w:r>
              <w:rPr>
                <w:rFonts w:hint="eastAsia"/>
                <w:b/>
                <w:bCs/>
                <w:color w:val="auto"/>
                <w:highlight w:val="none"/>
                <w:lang w:val="en-US" w:eastAsia="zh-CN"/>
              </w:rPr>
              <w:t>医院地埋式污水站                             医废暂存间</w:t>
            </w:r>
          </w:p>
          <w:p>
            <w:pPr>
              <w:autoSpaceDE w:val="0"/>
              <w:autoSpaceDN w:val="0"/>
              <w:adjustRightInd w:val="0"/>
              <w:snapToGrid w:val="0"/>
              <w:jc w:val="center"/>
              <w:rPr>
                <w:rFonts w:ascii="宋体" w:hAnsi="宋体"/>
                <w:bCs/>
                <w:color w:val="auto"/>
                <w:highlight w:val="none"/>
              </w:rPr>
            </w:pPr>
          </w:p>
        </w:tc>
      </w:tr>
    </w:tbl>
    <w:p>
      <w:pPr>
        <w:pStyle w:val="17"/>
        <w:outlineLvl w:val="0"/>
        <w:rPr>
          <w:rFonts w:hint="eastAsia" w:ascii="黑体" w:hAnsi="黑体" w:eastAsia="黑体"/>
          <w:snapToGrid w:val="0"/>
          <w:color w:val="auto"/>
          <w:sz w:val="30"/>
          <w:szCs w:val="30"/>
          <w:highlight w:val="none"/>
        </w:rPr>
        <w:sectPr>
          <w:pgSz w:w="11907" w:h="16840"/>
          <w:pgMar w:top="1701" w:right="1531" w:bottom="2127" w:left="1531" w:header="851" w:footer="851" w:gutter="0"/>
          <w:cols w:space="720" w:num="1"/>
          <w:docGrid w:linePitch="312" w:charSpace="0"/>
        </w:sectPr>
      </w:pPr>
    </w:p>
    <w:p>
      <w:pPr>
        <w:pStyle w:val="17"/>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三、区域环境质量现状、环境保护目标及评价标准</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6" w:hRule="atLeast"/>
          <w:jc w:val="center"/>
        </w:trPr>
        <w:tc>
          <w:tcPr>
            <w:tcW w:w="800"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区域</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环境</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质量</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现状</w:t>
            </w:r>
          </w:p>
        </w:tc>
        <w:tc>
          <w:tcPr>
            <w:tcW w:w="8190" w:type="dxa"/>
            <w:vAlign w:val="center"/>
          </w:tcPr>
          <w:p>
            <w:pPr>
              <w:pStyle w:val="12"/>
              <w:adjustRightInd w:val="0"/>
              <w:snapToGrid w:val="0"/>
              <w:ind w:firstLine="422"/>
              <w:rPr>
                <w:b/>
                <w:bCs/>
                <w:color w:val="auto"/>
                <w:sz w:val="21"/>
                <w:highlight w:val="none"/>
              </w:rPr>
            </w:pPr>
            <w:r>
              <w:rPr>
                <w:rFonts w:hint="eastAsia"/>
                <w:b/>
                <w:bCs/>
                <w:color w:val="auto"/>
                <w:sz w:val="21"/>
                <w:highlight w:val="none"/>
              </w:rPr>
              <w:t>1</w:t>
            </w:r>
            <w:r>
              <w:rPr>
                <w:b/>
                <w:bCs/>
                <w:color w:val="auto"/>
                <w:sz w:val="21"/>
                <w:highlight w:val="none"/>
              </w:rPr>
              <w:t>、环境空气质量现状</w:t>
            </w:r>
            <w:bookmarkStart w:id="3" w:name="_Toc68684089"/>
            <w:bookmarkEnd w:id="3"/>
            <w:bookmarkStart w:id="4" w:name="_Toc61861954"/>
            <w:bookmarkEnd w:id="4"/>
            <w:bookmarkStart w:id="5" w:name="_Toc59851101"/>
            <w:bookmarkEnd w:id="5"/>
            <w:bookmarkStart w:id="6" w:name="_Toc60024601"/>
            <w:bookmarkEnd w:id="6"/>
            <w:bookmarkStart w:id="7" w:name="_Toc58041094"/>
            <w:bookmarkEnd w:id="7"/>
            <w:bookmarkStart w:id="8" w:name="_Toc58731260"/>
            <w:bookmarkEnd w:id="8"/>
            <w:bookmarkStart w:id="9" w:name="_Toc58643194"/>
            <w:bookmarkEnd w:id="9"/>
            <w:bookmarkStart w:id="10" w:name="_Toc59266590"/>
            <w:bookmarkEnd w:id="10"/>
            <w:bookmarkStart w:id="11" w:name="_Toc58810455"/>
            <w:bookmarkEnd w:id="11"/>
            <w:bookmarkStart w:id="12" w:name="_Toc58810542"/>
            <w:bookmarkEnd w:id="12"/>
            <w:bookmarkStart w:id="13" w:name="_Toc68686395"/>
            <w:bookmarkEnd w:id="13"/>
            <w:bookmarkStart w:id="14" w:name="_Toc57868326"/>
            <w:bookmarkEnd w:id="14"/>
            <w:bookmarkStart w:id="15" w:name="_Toc59965649"/>
            <w:bookmarkEnd w:id="15"/>
            <w:bookmarkStart w:id="16" w:name="_Toc58641493"/>
            <w:bookmarkEnd w:id="16"/>
            <w:bookmarkStart w:id="17" w:name="_Toc100071049"/>
            <w:bookmarkEnd w:id="17"/>
            <w:bookmarkStart w:id="18" w:name="_Toc58491014"/>
            <w:bookmarkEnd w:id="18"/>
            <w:bookmarkStart w:id="19" w:name="_Toc68774027"/>
            <w:bookmarkEnd w:id="19"/>
            <w:bookmarkStart w:id="20" w:name="_Toc68507198"/>
            <w:bookmarkEnd w:id="20"/>
            <w:bookmarkStart w:id="21" w:name="_Toc58638882"/>
            <w:bookmarkEnd w:id="21"/>
            <w:bookmarkStart w:id="22" w:name="_Toc68847870"/>
            <w:bookmarkEnd w:id="22"/>
            <w:bookmarkStart w:id="23" w:name="_Toc58124711"/>
            <w:bookmarkEnd w:id="23"/>
            <w:bookmarkStart w:id="24" w:name="_Toc68676526"/>
            <w:bookmarkEnd w:id="24"/>
            <w:bookmarkStart w:id="25" w:name="_Toc58816645"/>
            <w:bookmarkEnd w:id="25"/>
            <w:bookmarkStart w:id="26" w:name="_Toc60035525"/>
            <w:bookmarkEnd w:id="26"/>
            <w:bookmarkStart w:id="27" w:name="_Toc68766602"/>
            <w:bookmarkEnd w:id="27"/>
            <w:bookmarkStart w:id="28" w:name="_Toc58314442"/>
            <w:bookmarkEnd w:id="28"/>
            <w:bookmarkStart w:id="29" w:name="_Toc58646773"/>
            <w:bookmarkEnd w:id="29"/>
            <w:bookmarkStart w:id="30" w:name="_Toc59682789"/>
            <w:bookmarkEnd w:id="30"/>
            <w:bookmarkStart w:id="31" w:name="_Toc58121777"/>
            <w:bookmarkEnd w:id="31"/>
            <w:bookmarkStart w:id="32" w:name="_Toc68348238"/>
            <w:bookmarkEnd w:id="32"/>
            <w:bookmarkStart w:id="33" w:name="_Toc58229306"/>
            <w:bookmarkEnd w:id="33"/>
            <w:bookmarkStart w:id="34" w:name="_Toc68582481"/>
            <w:bookmarkEnd w:id="34"/>
            <w:bookmarkStart w:id="35" w:name="_Toc68749951"/>
            <w:bookmarkEnd w:id="35"/>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为了解项目所在区域环境空气质量现状，采用环境主管部门公开发布环境质量公告中的基本污染物环境质量现状数据和对项目地其他污染物补充监测的环境质量现状监测数据进行分析评价。</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地理位置</w:t>
            </w:r>
            <w:r>
              <w:rPr>
                <w:rFonts w:ascii="Times New Roman" w:hAnsi="Times New Roman"/>
                <w:color w:val="auto"/>
                <w:highlight w:val="none"/>
              </w:rPr>
              <w:t>位于</w:t>
            </w:r>
            <w:r>
              <w:rPr>
                <w:rFonts w:hint="eastAsia" w:ascii="Times New Roman" w:hAnsi="Times New Roman"/>
                <w:color w:val="auto"/>
                <w:highlight w:val="none"/>
              </w:rPr>
              <w:t>西安市莲湖区大庆路636号通用医疗西安医院内</w:t>
            </w:r>
            <w:r>
              <w:rPr>
                <w:rFonts w:ascii="Times New Roman" w:hAnsi="Times New Roman"/>
                <w:color w:val="auto"/>
                <w:highlight w:val="none"/>
              </w:rPr>
              <w:t>，</w:t>
            </w:r>
            <w:r>
              <w:rPr>
                <w:rFonts w:hint="eastAsia" w:ascii="Times New Roman" w:hAnsi="Times New Roman"/>
                <w:color w:val="auto"/>
                <w:highlight w:val="none"/>
              </w:rPr>
              <w:t>隶属莲湖区，</w:t>
            </w:r>
            <w:r>
              <w:rPr>
                <w:rFonts w:ascii="Times New Roman" w:hAnsi="Times New Roman"/>
                <w:color w:val="auto"/>
                <w:highlight w:val="none"/>
              </w:rPr>
              <w:t>根据大气环境功能区划，本项目所在地为二类功能区，</w:t>
            </w:r>
            <w:r>
              <w:rPr>
                <w:rFonts w:ascii="Times New Roman" w:hAnsi="Times New Roman"/>
                <w:color w:val="auto"/>
                <w:highlight w:val="none"/>
                <w:lang w:bidi="ar"/>
              </w:rPr>
              <w:t>根据陕西省生态环境厅办公室《环保快报-20</w:t>
            </w:r>
            <w:r>
              <w:rPr>
                <w:rFonts w:hint="eastAsia" w:ascii="Times New Roman" w:hAnsi="Times New Roman"/>
                <w:color w:val="auto"/>
                <w:highlight w:val="none"/>
                <w:lang w:bidi="ar"/>
              </w:rPr>
              <w:t>2</w:t>
            </w:r>
            <w:r>
              <w:rPr>
                <w:rFonts w:hint="eastAsia" w:ascii="Times New Roman" w:hAnsi="Times New Roman"/>
                <w:color w:val="auto"/>
                <w:highlight w:val="none"/>
                <w:lang w:val="en-US" w:eastAsia="zh-CN" w:bidi="ar"/>
              </w:rPr>
              <w:t>2</w:t>
            </w:r>
            <w:r>
              <w:rPr>
                <w:rFonts w:ascii="Times New Roman" w:hAnsi="Times New Roman"/>
                <w:color w:val="auto"/>
                <w:highlight w:val="none"/>
                <w:lang w:bidi="ar"/>
              </w:rPr>
              <w:t>年12月及1-12月全省环境空气质量状况》附表4关中地区6</w:t>
            </w:r>
            <w:r>
              <w:rPr>
                <w:rFonts w:hint="eastAsia" w:ascii="Times New Roman" w:hAnsi="Times New Roman"/>
                <w:color w:val="auto"/>
                <w:highlight w:val="none"/>
                <w:lang w:bidi="ar"/>
              </w:rPr>
              <w:t>4</w:t>
            </w:r>
            <w:r>
              <w:rPr>
                <w:rFonts w:ascii="Times New Roman" w:hAnsi="Times New Roman"/>
                <w:color w:val="auto"/>
                <w:highlight w:val="none"/>
                <w:lang w:bidi="ar"/>
              </w:rPr>
              <w:t>个县区空气质量状况统计表</w:t>
            </w:r>
            <w:r>
              <w:rPr>
                <w:rFonts w:ascii="Times New Roman" w:hAnsi="Times New Roman"/>
                <w:color w:val="auto"/>
                <w:highlight w:val="none"/>
              </w:rPr>
              <w:t>，对区域环境空气质量现状进行分析，统计结果见下表。</w:t>
            </w:r>
          </w:p>
          <w:p>
            <w:pPr>
              <w:adjustRightInd w:val="0"/>
              <w:snapToGrid w:val="0"/>
              <w:jc w:val="center"/>
              <w:rPr>
                <w:rFonts w:ascii="Times New Roman" w:hAnsi="Times New Roman"/>
                <w:b/>
                <w:color w:val="auto"/>
                <w:highlight w:val="none"/>
              </w:rPr>
            </w:pPr>
            <w:r>
              <w:rPr>
                <w:rFonts w:ascii="Times New Roman" w:hAnsi="Times New Roman"/>
                <w:b/>
                <w:color w:val="auto"/>
                <w:highlight w:val="none"/>
              </w:rPr>
              <w:t xml:space="preserve">表3-1  </w:t>
            </w:r>
            <w:r>
              <w:rPr>
                <w:rFonts w:hint="eastAsia" w:ascii="Times New Roman" w:hAnsi="Times New Roman"/>
                <w:b/>
                <w:color w:val="auto"/>
                <w:highlight w:val="none"/>
              </w:rPr>
              <w:t>西安市莲湖区</w:t>
            </w:r>
            <w:r>
              <w:rPr>
                <w:rFonts w:ascii="Times New Roman" w:hAnsi="Times New Roman"/>
                <w:b/>
                <w:color w:val="auto"/>
                <w:highlight w:val="none"/>
              </w:rPr>
              <w:t>空气质量状况统计数据一览表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1740"/>
              <w:gridCol w:w="1235"/>
              <w:gridCol w:w="1512"/>
              <w:gridCol w:w="1087"/>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污染物</w:t>
                  </w:r>
                </w:p>
              </w:tc>
              <w:tc>
                <w:tcPr>
                  <w:tcW w:w="1740"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年评价指标</w:t>
                  </w:r>
                </w:p>
              </w:tc>
              <w:tc>
                <w:tcPr>
                  <w:tcW w:w="1235"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现状浓度/（ug/m</w:t>
                  </w:r>
                  <w:r>
                    <w:rPr>
                      <w:rFonts w:ascii="Times New Roman" w:hAnsi="Times New Roman"/>
                      <w:b/>
                      <w:bCs/>
                      <w:color w:val="auto"/>
                      <w:highlight w:val="none"/>
                      <w:vertAlign w:val="superscript"/>
                    </w:rPr>
                    <w:t>3</w:t>
                  </w:r>
                  <w:r>
                    <w:rPr>
                      <w:rFonts w:ascii="Times New Roman" w:hAnsi="Times New Roman"/>
                      <w:b/>
                      <w:bCs/>
                      <w:color w:val="auto"/>
                      <w:highlight w:val="none"/>
                    </w:rPr>
                    <w:t>）</w:t>
                  </w:r>
                </w:p>
              </w:tc>
              <w:tc>
                <w:tcPr>
                  <w:tcW w:w="1512"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标准值/（ug/m</w:t>
                  </w:r>
                  <w:r>
                    <w:rPr>
                      <w:rFonts w:ascii="Times New Roman" w:hAnsi="Times New Roman"/>
                      <w:b/>
                      <w:bCs/>
                      <w:color w:val="auto"/>
                      <w:highlight w:val="none"/>
                      <w:vertAlign w:val="superscript"/>
                    </w:rPr>
                    <w:t>3</w:t>
                  </w:r>
                  <w:r>
                    <w:rPr>
                      <w:rFonts w:ascii="Times New Roman" w:hAnsi="Times New Roman"/>
                      <w:b/>
                      <w:bCs/>
                      <w:color w:val="auto"/>
                      <w:highlight w:val="none"/>
                    </w:rPr>
                    <w:t>）</w:t>
                  </w:r>
                </w:p>
              </w:tc>
              <w:tc>
                <w:tcPr>
                  <w:tcW w:w="1087"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占标率</w:t>
                  </w:r>
                </w:p>
              </w:tc>
              <w:tc>
                <w:tcPr>
                  <w:tcW w:w="1238"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SO</w:t>
                  </w:r>
                  <w:r>
                    <w:rPr>
                      <w:rFonts w:ascii="Times New Roman" w:hAnsi="Times New Roman"/>
                      <w:color w:val="auto"/>
                      <w:highlight w:val="none"/>
                      <w:vertAlign w:val="subscript"/>
                    </w:rPr>
                    <w:t>2</w:t>
                  </w:r>
                </w:p>
              </w:tc>
              <w:tc>
                <w:tcPr>
                  <w:tcW w:w="1740" w:type="dxa"/>
                  <w:vMerge w:val="restart"/>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年平均质量浓度</w:t>
                  </w:r>
                </w:p>
              </w:tc>
              <w:tc>
                <w:tcPr>
                  <w:tcW w:w="1235" w:type="dxa"/>
                  <w:vAlign w:val="center"/>
                </w:tcPr>
                <w:p>
                  <w:pPr>
                    <w:adjustRightInd w:val="0"/>
                    <w:snapToGrid w:val="0"/>
                    <w:jc w:val="center"/>
                    <w:rPr>
                      <w:rFonts w:hint="eastAsia" w:ascii="Times New Roman" w:hAnsi="Times New Roman" w:eastAsia="宋体"/>
                      <w:color w:val="auto"/>
                      <w:highlight w:val="none"/>
                      <w:lang w:eastAsia="zh-CN"/>
                    </w:rPr>
                  </w:pPr>
                  <w:r>
                    <w:rPr>
                      <w:rFonts w:hint="eastAsia" w:ascii="Times New Roman" w:hAnsi="Times New Roman"/>
                      <w:color w:val="auto"/>
                      <w:highlight w:val="none"/>
                      <w:lang w:val="en-US" w:eastAsia="zh-CN"/>
                    </w:rPr>
                    <w:t>8</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60</w:t>
                  </w:r>
                </w:p>
              </w:tc>
              <w:tc>
                <w:tcPr>
                  <w:tcW w:w="1087"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lang w:val="en-US" w:eastAsia="zh-CN"/>
                    </w:rPr>
                    <w:t>3.3</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NO</w:t>
                  </w:r>
                  <w:r>
                    <w:rPr>
                      <w:rFonts w:ascii="Times New Roman" w:hAnsi="Times New Roman"/>
                      <w:color w:val="auto"/>
                      <w:highlight w:val="none"/>
                      <w:vertAlign w:val="subscript"/>
                    </w:rPr>
                    <w:t>2</w:t>
                  </w:r>
                </w:p>
              </w:tc>
              <w:tc>
                <w:tcPr>
                  <w:tcW w:w="1740" w:type="dxa"/>
                  <w:vMerge w:val="continue"/>
                  <w:vAlign w:val="center"/>
                </w:tcPr>
                <w:p>
                  <w:pPr>
                    <w:adjustRightInd w:val="0"/>
                    <w:snapToGrid w:val="0"/>
                    <w:jc w:val="center"/>
                    <w:rPr>
                      <w:rFonts w:ascii="Times New Roman" w:hAnsi="Times New Roman"/>
                      <w:color w:val="auto"/>
                      <w:highlight w:val="none"/>
                    </w:rPr>
                  </w:pPr>
                </w:p>
              </w:tc>
              <w:tc>
                <w:tcPr>
                  <w:tcW w:w="1235" w:type="dxa"/>
                  <w:vAlign w:val="center"/>
                </w:tcPr>
                <w:p>
                  <w:pPr>
                    <w:adjustRightInd w:val="0"/>
                    <w:snapToGrid w:val="0"/>
                    <w:jc w:val="center"/>
                    <w:rPr>
                      <w:rFonts w:hint="eastAsia" w:ascii="Times New Roman" w:hAnsi="Times New Roman" w:eastAsia="宋体"/>
                      <w:color w:val="auto"/>
                      <w:highlight w:val="none"/>
                      <w:lang w:eastAsia="zh-CN"/>
                    </w:rPr>
                  </w:pPr>
                  <w:r>
                    <w:rPr>
                      <w:rFonts w:hint="eastAsia" w:ascii="Times New Roman" w:hAnsi="Times New Roman"/>
                      <w:color w:val="auto"/>
                      <w:highlight w:val="none"/>
                    </w:rPr>
                    <w:t>4</w:t>
                  </w:r>
                  <w:r>
                    <w:rPr>
                      <w:rFonts w:hint="eastAsia" w:ascii="Times New Roman" w:hAnsi="Times New Roman"/>
                      <w:color w:val="auto"/>
                      <w:highlight w:val="none"/>
                      <w:lang w:val="en-US" w:eastAsia="zh-CN"/>
                    </w:rPr>
                    <w:t>0</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40</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w:t>
                  </w:r>
                  <w:r>
                    <w:rPr>
                      <w:rFonts w:hint="eastAsia" w:ascii="Times New Roman" w:hAnsi="Times New Roman"/>
                      <w:color w:val="auto"/>
                      <w:highlight w:val="none"/>
                      <w:lang w:val="en-US" w:eastAsia="zh-CN"/>
                    </w:rPr>
                    <w:t>0</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PM</w:t>
                  </w:r>
                  <w:r>
                    <w:rPr>
                      <w:rFonts w:ascii="Times New Roman" w:hAnsi="Times New Roman"/>
                      <w:color w:val="auto"/>
                      <w:highlight w:val="none"/>
                      <w:vertAlign w:val="subscript"/>
                    </w:rPr>
                    <w:t>10</w:t>
                  </w:r>
                </w:p>
              </w:tc>
              <w:tc>
                <w:tcPr>
                  <w:tcW w:w="1740" w:type="dxa"/>
                  <w:vMerge w:val="continue"/>
                  <w:vAlign w:val="center"/>
                </w:tcPr>
                <w:p>
                  <w:pPr>
                    <w:adjustRightInd w:val="0"/>
                    <w:snapToGrid w:val="0"/>
                    <w:jc w:val="center"/>
                    <w:rPr>
                      <w:rFonts w:ascii="Times New Roman" w:hAnsi="Times New Roman"/>
                      <w:color w:val="auto"/>
                      <w:highlight w:val="none"/>
                    </w:rPr>
                  </w:pPr>
                </w:p>
              </w:tc>
              <w:tc>
                <w:tcPr>
                  <w:tcW w:w="1235" w:type="dxa"/>
                  <w:vAlign w:val="center"/>
                </w:tcPr>
                <w:p>
                  <w:pPr>
                    <w:adjustRightInd w:val="0"/>
                    <w:snapToGrid w:val="0"/>
                    <w:jc w:val="center"/>
                    <w:rPr>
                      <w:rFonts w:hint="eastAsia" w:ascii="Times New Roman" w:hAnsi="Times New Roman" w:eastAsia="宋体"/>
                      <w:color w:val="auto"/>
                      <w:highlight w:val="none"/>
                      <w:lang w:eastAsia="zh-CN"/>
                    </w:rPr>
                  </w:pPr>
                  <w:r>
                    <w:rPr>
                      <w:rFonts w:hint="eastAsia" w:ascii="Times New Roman" w:hAnsi="Times New Roman"/>
                      <w:color w:val="auto"/>
                      <w:highlight w:val="none"/>
                    </w:rPr>
                    <w:t>8</w:t>
                  </w:r>
                  <w:r>
                    <w:rPr>
                      <w:rFonts w:hint="eastAsia" w:ascii="Times New Roman" w:hAnsi="Times New Roman"/>
                      <w:color w:val="auto"/>
                      <w:highlight w:val="none"/>
                      <w:lang w:val="en-US" w:eastAsia="zh-CN"/>
                    </w:rPr>
                    <w:t>4</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70</w:t>
                  </w:r>
                </w:p>
              </w:tc>
              <w:tc>
                <w:tcPr>
                  <w:tcW w:w="1087"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lang w:val="en-US" w:eastAsia="zh-CN"/>
                    </w:rPr>
                    <w:t>20</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0" w:hRule="atLeast"/>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PM</w:t>
                  </w:r>
                  <w:r>
                    <w:rPr>
                      <w:rFonts w:ascii="Times New Roman" w:hAnsi="Times New Roman"/>
                      <w:color w:val="auto"/>
                      <w:highlight w:val="none"/>
                      <w:vertAlign w:val="subscript"/>
                    </w:rPr>
                    <w:t>2.5</w:t>
                  </w:r>
                </w:p>
              </w:tc>
              <w:tc>
                <w:tcPr>
                  <w:tcW w:w="1740" w:type="dxa"/>
                  <w:vMerge w:val="continue"/>
                  <w:vAlign w:val="center"/>
                </w:tcPr>
                <w:p>
                  <w:pPr>
                    <w:adjustRightInd w:val="0"/>
                    <w:snapToGrid w:val="0"/>
                    <w:jc w:val="center"/>
                    <w:rPr>
                      <w:rFonts w:ascii="Times New Roman" w:hAnsi="Times New Roman"/>
                      <w:color w:val="auto"/>
                      <w:highlight w:val="none"/>
                    </w:rPr>
                  </w:pPr>
                </w:p>
              </w:tc>
              <w:tc>
                <w:tcPr>
                  <w:tcW w:w="1235" w:type="dxa"/>
                  <w:vAlign w:val="center"/>
                </w:tcPr>
                <w:p>
                  <w:pPr>
                    <w:adjustRightInd w:val="0"/>
                    <w:snapToGrid w:val="0"/>
                    <w:jc w:val="center"/>
                    <w:rPr>
                      <w:rFonts w:hint="eastAsia" w:ascii="Times New Roman" w:hAnsi="Times New Roman" w:eastAsia="宋体"/>
                      <w:color w:val="auto"/>
                      <w:highlight w:val="none"/>
                      <w:lang w:eastAsia="zh-CN"/>
                    </w:rPr>
                  </w:pPr>
                  <w:r>
                    <w:rPr>
                      <w:rFonts w:hint="eastAsia" w:ascii="Times New Roman" w:hAnsi="Times New Roman"/>
                      <w:color w:val="auto"/>
                      <w:highlight w:val="none"/>
                    </w:rPr>
                    <w:t>4</w:t>
                  </w:r>
                  <w:r>
                    <w:rPr>
                      <w:rFonts w:hint="eastAsia" w:ascii="Times New Roman" w:hAnsi="Times New Roman"/>
                      <w:color w:val="auto"/>
                      <w:highlight w:val="none"/>
                      <w:lang w:val="en-US" w:eastAsia="zh-CN"/>
                    </w:rPr>
                    <w:t>6</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35</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r>
                    <w:rPr>
                      <w:rFonts w:hint="eastAsia" w:ascii="Times New Roman" w:hAnsi="Times New Roman"/>
                      <w:color w:val="auto"/>
                      <w:highlight w:val="none"/>
                      <w:lang w:val="en-US" w:eastAsia="zh-CN"/>
                    </w:rPr>
                    <w:t>31</w:t>
                  </w:r>
                  <w:r>
                    <w:rPr>
                      <w:rFonts w:hint="eastAsia" w:ascii="Times New Roman" w:hAnsi="Times New Roman"/>
                      <w:color w:val="auto"/>
                      <w:highlight w:val="none"/>
                    </w:rPr>
                    <w:t>.</w:t>
                  </w:r>
                  <w:r>
                    <w:rPr>
                      <w:rFonts w:hint="eastAsia" w:ascii="Times New Roman" w:hAnsi="Times New Roman"/>
                      <w:color w:val="auto"/>
                      <w:highlight w:val="none"/>
                      <w:lang w:val="en-US" w:eastAsia="zh-CN"/>
                    </w:rPr>
                    <w:t>4</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CO</w:t>
                  </w:r>
                </w:p>
              </w:tc>
              <w:tc>
                <w:tcPr>
                  <w:tcW w:w="1740"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第95百分位浓度</w:t>
                  </w:r>
                </w:p>
              </w:tc>
              <w:tc>
                <w:tcPr>
                  <w:tcW w:w="1235"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6</w:t>
                  </w:r>
                  <w:r>
                    <w:rPr>
                      <w:rFonts w:ascii="Times New Roman" w:hAnsi="Times New Roman"/>
                      <w:color w:val="auto"/>
                      <w:highlight w:val="none"/>
                    </w:rPr>
                    <w:t>00</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4000</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40.0</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O</w:t>
                  </w:r>
                  <w:r>
                    <w:rPr>
                      <w:rFonts w:ascii="Times New Roman" w:hAnsi="Times New Roman"/>
                      <w:color w:val="auto"/>
                      <w:highlight w:val="none"/>
                      <w:vertAlign w:val="subscript"/>
                    </w:rPr>
                    <w:t>3</w:t>
                  </w:r>
                </w:p>
              </w:tc>
              <w:tc>
                <w:tcPr>
                  <w:tcW w:w="1740"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第90百分位浓度</w:t>
                  </w:r>
                </w:p>
              </w:tc>
              <w:tc>
                <w:tcPr>
                  <w:tcW w:w="1235" w:type="dxa"/>
                  <w:vAlign w:val="center"/>
                </w:tcPr>
                <w:p>
                  <w:pPr>
                    <w:adjustRightInd w:val="0"/>
                    <w:snapToGrid w:val="0"/>
                    <w:jc w:val="center"/>
                    <w:rPr>
                      <w:rFonts w:hint="default" w:ascii="Times New Roman" w:hAnsi="Times New Roman" w:eastAsia="宋体"/>
                      <w:color w:val="auto"/>
                      <w:highlight w:val="none"/>
                      <w:lang w:val="en-US" w:eastAsia="zh-CN"/>
                    </w:rPr>
                  </w:pPr>
                  <w:r>
                    <w:rPr>
                      <w:rFonts w:ascii="Times New Roman" w:hAnsi="Times New Roman"/>
                      <w:color w:val="auto"/>
                      <w:highlight w:val="none"/>
                    </w:rPr>
                    <w:t>1</w:t>
                  </w:r>
                  <w:r>
                    <w:rPr>
                      <w:rFonts w:hint="eastAsia" w:ascii="Times New Roman" w:hAnsi="Times New Roman"/>
                      <w:color w:val="auto"/>
                      <w:highlight w:val="none"/>
                      <w:lang w:val="en-US" w:eastAsia="zh-CN"/>
                    </w:rPr>
                    <w:t>73</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160</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108.1</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超标</w:t>
                  </w:r>
                </w:p>
              </w:tc>
            </w:tr>
          </w:tbl>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由以上监测统计结果可以看出，评价区域NO</w:t>
            </w:r>
            <w:r>
              <w:rPr>
                <w:rFonts w:ascii="Times New Roman" w:hAnsi="Times New Roman"/>
                <w:color w:val="auto"/>
                <w:highlight w:val="none"/>
                <w:vertAlign w:val="subscript"/>
              </w:rPr>
              <w:t>2</w:t>
            </w:r>
            <w:r>
              <w:rPr>
                <w:rFonts w:hint="eastAsia" w:ascii="Times New Roman" w:hAnsi="Times New Roman"/>
                <w:color w:val="auto"/>
                <w:highlight w:val="none"/>
              </w:rPr>
              <w:t>、</w:t>
            </w:r>
            <w:r>
              <w:rPr>
                <w:rFonts w:ascii="Times New Roman" w:hAnsi="Times New Roman"/>
                <w:color w:val="auto"/>
                <w:highlight w:val="none"/>
              </w:rPr>
              <w:t>PM</w:t>
            </w:r>
            <w:r>
              <w:rPr>
                <w:rFonts w:ascii="Times New Roman" w:hAnsi="Times New Roman"/>
                <w:color w:val="auto"/>
                <w:highlight w:val="none"/>
                <w:vertAlign w:val="subscript"/>
              </w:rPr>
              <w:t>2.5</w:t>
            </w:r>
            <w:r>
              <w:rPr>
                <w:rFonts w:ascii="Times New Roman" w:hAnsi="Times New Roman"/>
                <w:color w:val="auto"/>
                <w:highlight w:val="none"/>
              </w:rPr>
              <w:t>、PM</w:t>
            </w:r>
            <w:r>
              <w:rPr>
                <w:rFonts w:ascii="Times New Roman" w:hAnsi="Times New Roman"/>
                <w:color w:val="auto"/>
                <w:highlight w:val="none"/>
                <w:vertAlign w:val="subscript"/>
              </w:rPr>
              <w:t>10</w:t>
            </w:r>
            <w:r>
              <w:rPr>
                <w:rFonts w:ascii="Times New Roman" w:hAnsi="Times New Roman"/>
                <w:color w:val="auto"/>
                <w:highlight w:val="none"/>
              </w:rPr>
              <w:t>、O</w:t>
            </w:r>
            <w:r>
              <w:rPr>
                <w:rFonts w:ascii="Times New Roman" w:hAnsi="Times New Roman"/>
                <w:color w:val="auto"/>
                <w:highlight w:val="none"/>
                <w:vertAlign w:val="subscript"/>
              </w:rPr>
              <w:t>3</w:t>
            </w:r>
            <w:r>
              <w:rPr>
                <w:rFonts w:ascii="Times New Roman" w:hAnsi="Times New Roman"/>
                <w:color w:val="auto"/>
                <w:highlight w:val="none"/>
              </w:rPr>
              <w:t>监测</w:t>
            </w:r>
            <w:r>
              <w:rPr>
                <w:rFonts w:hint="eastAsia" w:ascii="Times New Roman" w:hAnsi="Times New Roman"/>
                <w:color w:val="auto"/>
                <w:highlight w:val="none"/>
              </w:rPr>
              <w:t>数据统计值</w:t>
            </w:r>
            <w:r>
              <w:rPr>
                <w:rFonts w:ascii="Times New Roman" w:hAnsi="Times New Roman"/>
                <w:color w:val="auto"/>
                <w:highlight w:val="none"/>
              </w:rPr>
              <w:t>均不能满足《环境空气质量标准》（GB3095-2012）中二类标准限值，本项目所在区域属于不达标区。</w:t>
            </w:r>
          </w:p>
          <w:p>
            <w:pPr>
              <w:pStyle w:val="12"/>
              <w:adjustRightInd w:val="0"/>
              <w:snapToGrid w:val="0"/>
              <w:ind w:firstLine="422"/>
              <w:rPr>
                <w:b/>
                <w:bCs/>
                <w:color w:val="auto"/>
                <w:sz w:val="21"/>
                <w:highlight w:val="none"/>
              </w:rPr>
            </w:pPr>
            <w:r>
              <w:rPr>
                <w:rFonts w:hint="eastAsia"/>
                <w:b/>
                <w:bCs/>
                <w:color w:val="auto"/>
                <w:sz w:val="21"/>
                <w:highlight w:val="none"/>
              </w:rPr>
              <w:t>2</w:t>
            </w:r>
            <w:r>
              <w:rPr>
                <w:b/>
                <w:bCs/>
                <w:color w:val="auto"/>
                <w:sz w:val="21"/>
                <w:highlight w:val="none"/>
              </w:rPr>
              <w:t>、声环境质量现状</w:t>
            </w:r>
          </w:p>
          <w:p>
            <w:pPr>
              <w:adjustRightInd w:val="0"/>
              <w:snapToGrid w:val="0"/>
              <w:spacing w:line="360" w:lineRule="auto"/>
              <w:ind w:firstLine="420" w:firstLineChars="200"/>
              <w:rPr>
                <w:rFonts w:ascii="宋体" w:hAnsi="宋体" w:cs="宋体"/>
                <w:color w:val="auto"/>
                <w:highlight w:val="none"/>
              </w:rPr>
            </w:pPr>
            <w:r>
              <w:rPr>
                <w:rFonts w:hint="eastAsia" w:ascii="Times New Roman" w:hAnsi="Times New Roman"/>
                <w:color w:val="auto"/>
                <w:kern w:val="2"/>
                <w:highlight w:val="none"/>
              </w:rPr>
              <w:t>本项目</w:t>
            </w:r>
            <w:r>
              <w:rPr>
                <w:rFonts w:hint="eastAsia" w:ascii="Times New Roman" w:hAnsi="Times New Roman"/>
                <w:color w:val="auto"/>
                <w:kern w:val="2"/>
                <w:highlight w:val="none"/>
                <w:lang w:val="en-US" w:eastAsia="zh-CN"/>
              </w:rPr>
              <w:t>所在医院</w:t>
            </w:r>
            <w:r>
              <w:rPr>
                <w:rFonts w:hint="eastAsia" w:ascii="Times New Roman" w:hAnsi="Times New Roman"/>
                <w:color w:val="auto"/>
                <w:kern w:val="2"/>
                <w:highlight w:val="none"/>
              </w:rPr>
              <w:t>厂界外50m范围内无声环境保护目标。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00"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环境</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保护</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目标</w:t>
            </w:r>
          </w:p>
        </w:tc>
        <w:tc>
          <w:tcPr>
            <w:tcW w:w="8190" w:type="dxa"/>
            <w:vAlign w:val="center"/>
          </w:tcPr>
          <w:p>
            <w:pPr>
              <w:spacing w:line="360" w:lineRule="auto"/>
              <w:ind w:firstLine="420" w:firstLineChars="200"/>
              <w:jc w:val="left"/>
              <w:rPr>
                <w:rFonts w:ascii="Times New Roman" w:hAnsi="Times New Roman"/>
                <w:color w:val="auto"/>
                <w:highlight w:val="none"/>
              </w:rPr>
            </w:pPr>
          </w:p>
          <w:p>
            <w:pPr>
              <w:spacing w:line="360" w:lineRule="auto"/>
              <w:ind w:firstLine="420" w:firstLineChars="200"/>
              <w:jc w:val="left"/>
              <w:rPr>
                <w:rFonts w:hint="default" w:ascii="Times New Roman" w:hAnsi="Times New Roman" w:eastAsia="宋体"/>
                <w:color w:val="auto"/>
                <w:highlight w:val="none"/>
                <w:lang w:val="en-US" w:eastAsia="zh-CN"/>
              </w:rPr>
            </w:pPr>
            <w:r>
              <w:rPr>
                <w:rFonts w:ascii="Times New Roman" w:hAnsi="Times New Roman"/>
                <w:color w:val="auto"/>
                <w:highlight w:val="none"/>
              </w:rPr>
              <w:t>本项目位于</w:t>
            </w:r>
            <w:r>
              <w:rPr>
                <w:rFonts w:hint="eastAsia" w:ascii="Times New Roman" w:hAnsi="Times New Roman"/>
                <w:color w:val="auto"/>
                <w:highlight w:val="none"/>
              </w:rPr>
              <w:t>西安市莲湖区大庆路636号通用医疗西安医院内西北角</w:t>
            </w:r>
            <w:r>
              <w:rPr>
                <w:rFonts w:ascii="Times New Roman" w:hAnsi="Times New Roman"/>
                <w:color w:val="auto"/>
                <w:highlight w:val="none"/>
              </w:rPr>
              <w:t>，项目</w:t>
            </w:r>
            <w:r>
              <w:rPr>
                <w:rFonts w:hint="eastAsia" w:ascii="Times New Roman" w:hAnsi="Times New Roman"/>
                <w:color w:val="auto"/>
                <w:highlight w:val="none"/>
              </w:rPr>
              <w:t>北</w:t>
            </w:r>
            <w:r>
              <w:rPr>
                <w:rFonts w:ascii="Times New Roman" w:hAnsi="Times New Roman"/>
                <w:color w:val="auto"/>
                <w:highlight w:val="none"/>
              </w:rPr>
              <w:t>侧为</w:t>
            </w:r>
            <w:r>
              <w:rPr>
                <w:rFonts w:hint="eastAsia" w:ascii="Times New Roman" w:hAnsi="Times New Roman"/>
                <w:color w:val="auto"/>
                <w:highlight w:val="none"/>
              </w:rPr>
              <w:t>大庆路</w:t>
            </w:r>
            <w:r>
              <w:rPr>
                <w:rFonts w:ascii="Times New Roman" w:hAnsi="Times New Roman"/>
                <w:color w:val="auto"/>
                <w:highlight w:val="none"/>
              </w:rPr>
              <w:t>、南侧为</w:t>
            </w:r>
            <w:r>
              <w:rPr>
                <w:rFonts w:hint="eastAsia" w:ascii="Times New Roman" w:hAnsi="Times New Roman"/>
                <w:color w:val="auto"/>
                <w:highlight w:val="none"/>
              </w:rPr>
              <w:t>院内停车场</w:t>
            </w:r>
            <w:r>
              <w:rPr>
                <w:rFonts w:ascii="Times New Roman" w:hAnsi="Times New Roman"/>
                <w:color w:val="auto"/>
                <w:highlight w:val="none"/>
              </w:rPr>
              <w:t>，</w:t>
            </w:r>
            <w:r>
              <w:rPr>
                <w:rFonts w:hint="eastAsia" w:ascii="Times New Roman" w:hAnsi="Times New Roman"/>
                <w:color w:val="auto"/>
                <w:highlight w:val="none"/>
              </w:rPr>
              <w:t>西</w:t>
            </w:r>
            <w:r>
              <w:rPr>
                <w:rFonts w:ascii="Times New Roman" w:hAnsi="Times New Roman"/>
                <w:color w:val="auto"/>
                <w:highlight w:val="none"/>
              </w:rPr>
              <w:t>侧为</w:t>
            </w:r>
            <w:r>
              <w:rPr>
                <w:rFonts w:hint="eastAsia" w:ascii="Times New Roman" w:hAnsi="Times New Roman"/>
                <w:color w:val="auto"/>
                <w:highlight w:val="none"/>
              </w:rPr>
              <w:t>汉城南路</w:t>
            </w:r>
            <w:r>
              <w:rPr>
                <w:rFonts w:ascii="Times New Roman" w:hAnsi="Times New Roman"/>
                <w:color w:val="auto"/>
                <w:highlight w:val="none"/>
              </w:rPr>
              <w:t>，</w:t>
            </w:r>
            <w:r>
              <w:rPr>
                <w:rFonts w:hint="eastAsia" w:ascii="Times New Roman" w:hAnsi="Times New Roman"/>
                <w:color w:val="auto"/>
                <w:highlight w:val="none"/>
              </w:rPr>
              <w:t>东</w:t>
            </w:r>
            <w:r>
              <w:rPr>
                <w:rFonts w:ascii="Times New Roman" w:hAnsi="Times New Roman"/>
                <w:color w:val="auto"/>
                <w:highlight w:val="none"/>
              </w:rPr>
              <w:t>侧为</w:t>
            </w:r>
            <w:r>
              <w:rPr>
                <w:rFonts w:hint="eastAsia" w:ascii="Times New Roman" w:hAnsi="Times New Roman"/>
                <w:color w:val="auto"/>
                <w:highlight w:val="none"/>
              </w:rPr>
              <w:t>医院门诊楼</w:t>
            </w:r>
            <w:r>
              <w:rPr>
                <w:rFonts w:ascii="Times New Roman" w:hAnsi="Times New Roman"/>
                <w:color w:val="auto"/>
                <w:highlight w:val="none"/>
              </w:rPr>
              <w:t>。</w:t>
            </w:r>
            <w:r>
              <w:rPr>
                <w:rFonts w:hint="eastAsia" w:ascii="Times New Roman" w:hAnsi="Times New Roman"/>
                <w:color w:val="auto"/>
                <w:highlight w:val="none"/>
                <w:lang w:val="en-US" w:eastAsia="zh-CN"/>
              </w:rPr>
              <w:t>项目所在</w:t>
            </w:r>
            <w:r>
              <w:rPr>
                <w:rFonts w:hint="eastAsia" w:ascii="Times New Roman" w:hAnsi="Times New Roman"/>
                <w:color w:val="auto"/>
                <w:highlight w:val="none"/>
              </w:rPr>
              <w:t>通用医疗西安医院</w:t>
            </w:r>
            <w:r>
              <w:rPr>
                <w:rFonts w:hint="eastAsia" w:ascii="Times New Roman" w:hAnsi="Times New Roman"/>
                <w:color w:val="auto"/>
                <w:highlight w:val="none"/>
                <w:lang w:val="en-US" w:eastAsia="zh-CN"/>
              </w:rPr>
              <w:t>厂界外距离较近的敏感目标为东北侧58m的供电局家属院和西北侧98m的汉城壹号小区。</w:t>
            </w:r>
          </w:p>
          <w:p>
            <w:pPr>
              <w:spacing w:line="360" w:lineRule="auto"/>
              <w:ind w:firstLine="420" w:firstLineChars="200"/>
              <w:jc w:val="left"/>
              <w:rPr>
                <w:rFonts w:ascii="Times New Roman" w:hAnsi="Times New Roman"/>
                <w:color w:val="auto"/>
                <w:highlight w:val="none"/>
              </w:rPr>
            </w:pPr>
            <w:r>
              <w:rPr>
                <w:rFonts w:hint="eastAsia" w:ascii="Times New Roman" w:hAnsi="Times New Roman"/>
                <w:color w:val="auto"/>
                <w:highlight w:val="none"/>
                <w:lang w:val="en-US" w:eastAsia="zh-CN"/>
              </w:rPr>
              <w:t>本项目无大气污染污染物产排，不涉及大气环境敏感目标。</w:t>
            </w:r>
            <w:r>
              <w:rPr>
                <w:rFonts w:ascii="Times New Roman" w:hAnsi="Times New Roman"/>
                <w:color w:val="auto"/>
                <w:highlight w:val="none"/>
              </w:rPr>
              <w:t>项目周边不涉及饮用水水源保护区、自然保护区、文物保护单位以及特殊地下水资源等敏感目标，本项目周边50m范围</w:t>
            </w:r>
            <w:r>
              <w:rPr>
                <w:rFonts w:hint="eastAsia" w:ascii="Times New Roman" w:hAnsi="Times New Roman"/>
                <w:color w:val="auto"/>
                <w:highlight w:val="none"/>
              </w:rPr>
              <w:t>内不涉及</w:t>
            </w:r>
            <w:r>
              <w:rPr>
                <w:rFonts w:ascii="Times New Roman" w:hAnsi="Times New Roman"/>
                <w:color w:val="auto"/>
                <w:highlight w:val="none"/>
              </w:rPr>
              <w:t>声环境敏感目标。</w:t>
            </w:r>
          </w:p>
          <w:p>
            <w:pPr>
              <w:pStyle w:val="8"/>
              <w:rPr>
                <w:rFonts w:ascii="Times New Roman" w:hAnsi="Times New Roman"/>
                <w:color w:val="auto"/>
                <w:highlight w:val="none"/>
              </w:rPr>
            </w:pPr>
          </w:p>
          <w:p>
            <w:pPr>
              <w:spacing w:line="360" w:lineRule="auto"/>
              <w:ind w:firstLine="420" w:firstLineChars="200"/>
              <w:jc w:val="left"/>
              <w:rPr>
                <w:rFonts w:ascii="Times New Roman" w:hAnsi="Times New Roman"/>
                <w:color w:val="auto"/>
                <w:highlight w:val="none"/>
              </w:rPr>
            </w:pPr>
          </w:p>
          <w:p>
            <w:pPr>
              <w:spacing w:line="360" w:lineRule="auto"/>
              <w:ind w:firstLine="420" w:firstLineChars="200"/>
              <w:jc w:val="left"/>
              <w:rPr>
                <w:rFonts w:ascii="宋体" w:hAnsi="宋体" w:cs="宋体"/>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4" w:hRule="atLeast"/>
          <w:jc w:val="center"/>
        </w:trPr>
        <w:tc>
          <w:tcPr>
            <w:tcW w:w="800" w:type="dxa"/>
            <w:tcMar>
              <w:left w:w="28" w:type="dxa"/>
              <w:right w:w="28" w:type="dxa"/>
            </w:tcMar>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污染</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物排</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放控</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制标</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准</w:t>
            </w:r>
          </w:p>
        </w:tc>
        <w:tc>
          <w:tcPr>
            <w:tcW w:w="8190" w:type="dxa"/>
            <w:vAlign w:val="center"/>
          </w:tcPr>
          <w:p>
            <w:pPr>
              <w:spacing w:line="360" w:lineRule="auto"/>
              <w:ind w:firstLine="420" w:firstLineChars="200"/>
              <w:rPr>
                <w:rFonts w:ascii="Times New Roman" w:hAnsi="Times New Roman"/>
                <w:color w:val="auto"/>
                <w:szCs w:val="20"/>
                <w:highlight w:val="none"/>
              </w:rPr>
            </w:pPr>
            <w:r>
              <w:rPr>
                <w:rFonts w:hint="eastAsia" w:ascii="Times New Roman" w:hAnsi="Times New Roman"/>
                <w:color w:val="auto"/>
                <w:szCs w:val="20"/>
                <w:highlight w:val="none"/>
              </w:rPr>
              <w:t>1</w:t>
            </w:r>
            <w:r>
              <w:rPr>
                <w:rFonts w:ascii="Times New Roman" w:hAnsi="Times New Roman"/>
                <w:color w:val="auto"/>
                <w:szCs w:val="20"/>
                <w:highlight w:val="none"/>
              </w:rPr>
              <w:t>、废水</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医疗废水排放执行</w:t>
            </w:r>
            <w:r>
              <w:rPr>
                <w:rFonts w:hint="eastAsia" w:ascii="Times New Roman" w:hAnsi="Times New Roman"/>
                <w:color w:val="auto"/>
                <w:highlight w:val="none"/>
                <w:lang w:val="zh-CN"/>
              </w:rPr>
              <w:t>《医疗机构水污染物排放标准》（GB18466-2005）中</w:t>
            </w:r>
            <w:r>
              <w:rPr>
                <w:rFonts w:hint="eastAsia" w:ascii="Times New Roman" w:hAnsi="Times New Roman"/>
                <w:color w:val="auto"/>
                <w:highlight w:val="none"/>
              </w:rPr>
              <w:t>表2</w:t>
            </w:r>
            <w:r>
              <w:rPr>
                <w:rFonts w:hint="eastAsia" w:ascii="Times New Roman" w:hAnsi="Times New Roman"/>
                <w:color w:val="auto"/>
                <w:highlight w:val="none"/>
                <w:lang w:val="zh-CN"/>
              </w:rPr>
              <w:t>预处理标准及《污水排入城镇下水道水质标准》（GB/T31962-2015）中</w:t>
            </w:r>
            <w:r>
              <w:rPr>
                <w:rFonts w:hint="eastAsia" w:ascii="Times New Roman" w:hAnsi="Times New Roman"/>
                <w:color w:val="auto"/>
                <w:highlight w:val="none"/>
              </w:rPr>
              <w:t>B</w:t>
            </w:r>
            <w:r>
              <w:rPr>
                <w:rFonts w:hint="eastAsia" w:ascii="Times New Roman" w:hAnsi="Times New Roman"/>
                <w:color w:val="auto"/>
                <w:highlight w:val="none"/>
                <w:lang w:val="zh-CN"/>
              </w:rPr>
              <w:t>级标准</w:t>
            </w:r>
            <w:r>
              <w:rPr>
                <w:rFonts w:hint="eastAsia" w:ascii="Times New Roman" w:hAnsi="Times New Roman"/>
                <w:color w:val="auto"/>
                <w:highlight w:val="none"/>
              </w:rPr>
              <w:t>。</w:t>
            </w:r>
          </w:p>
          <w:p>
            <w:pPr>
              <w:pStyle w:val="2"/>
              <w:ind w:firstLine="422"/>
              <w:jc w:val="center"/>
              <w:rPr>
                <w:b/>
                <w:bCs/>
                <w:color w:val="auto"/>
                <w:highlight w:val="none"/>
              </w:rPr>
            </w:pPr>
            <w:r>
              <w:rPr>
                <w:b/>
                <w:bCs/>
                <w:color w:val="auto"/>
                <w:highlight w:val="none"/>
              </w:rPr>
              <w:t>表</w:t>
            </w:r>
            <w:r>
              <w:rPr>
                <w:rFonts w:hint="eastAsia"/>
                <w:b/>
                <w:bCs/>
                <w:color w:val="auto"/>
                <w:highlight w:val="none"/>
              </w:rPr>
              <w:t>3-4</w:t>
            </w:r>
            <w:r>
              <w:rPr>
                <w:b/>
                <w:bCs/>
                <w:color w:val="auto"/>
                <w:highlight w:val="none"/>
              </w:rPr>
              <w:t xml:space="preserve">  废水污染物排放标准</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93"/>
              <w:gridCol w:w="1218"/>
              <w:gridCol w:w="1546"/>
              <w:gridCol w:w="2170"/>
              <w:gridCol w:w="21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561"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序号</w:t>
                  </w:r>
                </w:p>
              </w:tc>
              <w:tc>
                <w:tcPr>
                  <w:tcW w:w="765" w:type="pct"/>
                  <w:vAlign w:val="center"/>
                </w:tcPr>
                <w:p>
                  <w:pPr>
                    <w:jc w:val="center"/>
                    <w:rPr>
                      <w:rFonts w:ascii="Times New Roman" w:hAnsi="Times New Roman"/>
                      <w:b/>
                      <w:color w:val="auto"/>
                      <w:kern w:val="2"/>
                      <w:highlight w:val="none"/>
                    </w:rPr>
                  </w:pPr>
                  <w:r>
                    <w:rPr>
                      <w:rFonts w:hint="eastAsia" w:ascii="Times New Roman" w:hAnsi="Times New Roman"/>
                      <w:b/>
                      <w:color w:val="auto"/>
                      <w:kern w:val="2"/>
                      <w:highlight w:val="none"/>
                    </w:rPr>
                    <w:t>废水类型</w:t>
                  </w:r>
                </w:p>
              </w:tc>
              <w:tc>
                <w:tcPr>
                  <w:tcW w:w="971"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污染物</w:t>
                  </w:r>
                </w:p>
              </w:tc>
              <w:tc>
                <w:tcPr>
                  <w:tcW w:w="1363"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最高允许排放浓度</w:t>
                  </w:r>
                </w:p>
              </w:tc>
              <w:tc>
                <w:tcPr>
                  <w:tcW w:w="1338"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61"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1</w:t>
                  </w:r>
                </w:p>
              </w:tc>
              <w:tc>
                <w:tcPr>
                  <w:tcW w:w="765" w:type="pct"/>
                  <w:vMerge w:val="restar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医疗综合废水</w:t>
                  </w:r>
                </w:p>
              </w:tc>
              <w:tc>
                <w:tcPr>
                  <w:tcW w:w="971"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pH值</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6~9</w:t>
                  </w:r>
                </w:p>
              </w:tc>
              <w:tc>
                <w:tcPr>
                  <w:tcW w:w="1338" w:type="pct"/>
                  <w:vMerge w:val="restar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《医疗机构水污染物排放标准》（GB18466-2005）预处理标准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61"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2</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SS</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6</w:t>
                  </w:r>
                  <w:r>
                    <w:rPr>
                      <w:rFonts w:ascii="Times New Roman" w:hAnsi="Times New Roman"/>
                      <w:bCs/>
                      <w:color w:val="auto"/>
                      <w:kern w:val="2"/>
                      <w:highlight w:val="none"/>
                    </w:rPr>
                    <w:t>0mg/L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3</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COD</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250</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hint="eastAsia" w:ascii="Times New Roman" w:hAnsi="Times New Roman" w:eastAsia="宋体"/>
                      <w:bCs/>
                      <w:color w:val="auto"/>
                      <w:kern w:val="2"/>
                      <w:highlight w:val="none"/>
                      <w:lang w:val="en-US" w:eastAsia="zh-CN"/>
                    </w:rPr>
                  </w:pPr>
                  <w:r>
                    <w:rPr>
                      <w:rFonts w:hint="eastAsia"/>
                      <w:color w:val="auto"/>
                      <w:highlight w:val="none"/>
                      <w:lang w:val="en-US" w:eastAsia="zh-CN"/>
                    </w:rPr>
                    <w:t>4</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ascii="Times New Roman" w:hAnsi="Times New Roman"/>
                      <w:color w:val="auto"/>
                      <w:highlight w:val="none"/>
                      <w:lang w:bidi="ar"/>
                    </w:rPr>
                    <w:t>BOD</w:t>
                  </w:r>
                  <w:r>
                    <w:rPr>
                      <w:rFonts w:ascii="Times New Roman" w:hAnsi="Times New Roman"/>
                      <w:color w:val="auto"/>
                      <w:highlight w:val="none"/>
                      <w:vertAlign w:val="subscript"/>
                      <w:lang w:bidi="ar"/>
                    </w:rPr>
                    <w:t>5</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100</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bCs/>
                      <w:color w:val="auto"/>
                      <w:kern w:val="2"/>
                      <w:highlight w:val="none"/>
                    </w:rPr>
                    <w:t>5</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粪大肠菌群</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50</w:t>
                  </w:r>
                  <w:r>
                    <w:rPr>
                      <w:rFonts w:ascii="Times New Roman" w:hAnsi="Times New Roman"/>
                      <w:bCs/>
                      <w:color w:val="auto"/>
                      <w:kern w:val="2"/>
                      <w:highlight w:val="none"/>
                    </w:rPr>
                    <w:t>00</w:t>
                  </w:r>
                  <w:r>
                    <w:rPr>
                      <w:rFonts w:hint="eastAsia" w:ascii="Times New Roman" w:hAnsi="Times New Roman"/>
                      <w:bCs/>
                      <w:color w:val="auto"/>
                      <w:kern w:val="2"/>
                      <w:highlight w:val="none"/>
                    </w:rPr>
                    <w:t>MPN</w:t>
                  </w:r>
                  <w:r>
                    <w:rPr>
                      <w:rFonts w:ascii="Times New Roman" w:hAnsi="Times New Roman"/>
                      <w:bCs/>
                      <w:color w:val="auto"/>
                      <w:kern w:val="2"/>
                      <w:highlight w:val="none"/>
                    </w:rPr>
                    <w:t>/L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bCs/>
                      <w:color w:val="auto"/>
                      <w:kern w:val="2"/>
                      <w:highlight w:val="none"/>
                    </w:rPr>
                    <w:t>6</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hint="default"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动植物油</w:t>
                  </w:r>
                </w:p>
              </w:tc>
              <w:tc>
                <w:tcPr>
                  <w:tcW w:w="1363" w:type="pct"/>
                  <w:vAlign w:val="center"/>
                </w:tcPr>
                <w:p>
                  <w:pPr>
                    <w:jc w:val="center"/>
                    <w:rPr>
                      <w:rFonts w:hint="eastAsia" w:ascii="Times New Roman" w:hAnsi="Times New Roman"/>
                      <w:bCs/>
                      <w:color w:val="auto"/>
                      <w:kern w:val="2"/>
                      <w:highlight w:val="none"/>
                    </w:rPr>
                  </w:pPr>
                  <w:r>
                    <w:rPr>
                      <w:rFonts w:hint="eastAsia" w:ascii="Times New Roman" w:hAnsi="Times New Roman"/>
                      <w:bCs/>
                      <w:color w:val="auto"/>
                      <w:kern w:val="2"/>
                      <w:highlight w:val="none"/>
                    </w:rPr>
                    <w:t>20</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bCs/>
                      <w:color w:val="auto"/>
                      <w:kern w:val="2"/>
                      <w:highlight w:val="none"/>
                    </w:rPr>
                    <w:t>7</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hint="eastAsia"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石油类</w:t>
                  </w:r>
                </w:p>
              </w:tc>
              <w:tc>
                <w:tcPr>
                  <w:tcW w:w="1363" w:type="pct"/>
                  <w:vAlign w:val="center"/>
                </w:tcPr>
                <w:p>
                  <w:pPr>
                    <w:jc w:val="center"/>
                    <w:rPr>
                      <w:rFonts w:hint="eastAsia" w:ascii="Times New Roman" w:hAnsi="Times New Roman"/>
                      <w:bCs/>
                      <w:color w:val="auto"/>
                      <w:kern w:val="2"/>
                      <w:highlight w:val="none"/>
                    </w:rPr>
                  </w:pPr>
                  <w:r>
                    <w:rPr>
                      <w:rFonts w:hint="eastAsia" w:ascii="Times New Roman" w:hAnsi="Times New Roman"/>
                      <w:bCs/>
                      <w:color w:val="auto"/>
                      <w:kern w:val="2"/>
                      <w:highlight w:val="none"/>
                      <w:lang w:val="en-US" w:eastAsia="zh-CN"/>
                    </w:rPr>
                    <w:t>2</w:t>
                  </w:r>
                  <w:r>
                    <w:rPr>
                      <w:rFonts w:hint="eastAsia" w:ascii="Times New Roman" w:hAnsi="Times New Roman"/>
                      <w:bCs/>
                      <w:color w:val="auto"/>
                      <w:kern w:val="2"/>
                      <w:highlight w:val="none"/>
                    </w:rPr>
                    <w:t>0</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bCs/>
                      <w:color w:val="auto"/>
                      <w:kern w:val="2"/>
                      <w:highlight w:val="none"/>
                    </w:rPr>
                    <w:t>8</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hint="default"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挥发酚</w:t>
                  </w:r>
                </w:p>
              </w:tc>
              <w:tc>
                <w:tcPr>
                  <w:tcW w:w="1363" w:type="pct"/>
                  <w:vAlign w:val="center"/>
                </w:tcPr>
                <w:p>
                  <w:pPr>
                    <w:jc w:val="center"/>
                    <w:rPr>
                      <w:rFonts w:hint="eastAsia" w:ascii="Times New Roman" w:hAnsi="Times New Roman"/>
                      <w:bCs/>
                      <w:color w:val="auto"/>
                      <w:kern w:val="2"/>
                      <w:highlight w:val="none"/>
                    </w:rPr>
                  </w:pPr>
                  <w:r>
                    <w:rPr>
                      <w:rFonts w:hint="eastAsia" w:ascii="Times New Roman" w:hAnsi="Times New Roman"/>
                      <w:bCs/>
                      <w:color w:val="auto"/>
                      <w:kern w:val="2"/>
                      <w:highlight w:val="none"/>
                      <w:lang w:val="en-US" w:eastAsia="zh-CN"/>
                    </w:rPr>
                    <w:t>1.0</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hint="eastAsia"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9</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hint="eastAsia"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色度</w:t>
                  </w:r>
                </w:p>
              </w:tc>
              <w:tc>
                <w:tcPr>
                  <w:tcW w:w="1363" w:type="pct"/>
                  <w:vAlign w:val="center"/>
                </w:tcPr>
                <w:p>
                  <w:pPr>
                    <w:jc w:val="center"/>
                    <w:rPr>
                      <w:rFonts w:hint="default"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hint="default"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10</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阴离子表面活性剂</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10</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hint="default"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11</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氨氮</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45</w:t>
                  </w:r>
                  <w:r>
                    <w:rPr>
                      <w:rFonts w:ascii="Times New Roman" w:hAnsi="Times New Roman"/>
                      <w:bCs/>
                      <w:color w:val="auto"/>
                      <w:kern w:val="2"/>
                      <w:highlight w:val="none"/>
                    </w:rPr>
                    <w:t>mg/L</w:t>
                  </w:r>
                </w:p>
              </w:tc>
              <w:tc>
                <w:tcPr>
                  <w:tcW w:w="1338" w:type="pct"/>
                  <w:vMerge w:val="restar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《污水排入城镇下水道水质标准》（GB/T31962-2015）中B等级标准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hint="default"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12</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总磷</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70</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561" w:type="pct"/>
                  <w:vAlign w:val="center"/>
                </w:tcPr>
                <w:p>
                  <w:pPr>
                    <w:jc w:val="center"/>
                    <w:rPr>
                      <w:rFonts w:hint="default" w:ascii="Times New Roman" w:hAnsi="Times New Roman" w:eastAsia="宋体"/>
                      <w:bCs/>
                      <w:color w:val="auto"/>
                      <w:kern w:val="2"/>
                      <w:highlight w:val="none"/>
                      <w:lang w:val="en-US" w:eastAsia="zh-CN"/>
                    </w:rPr>
                  </w:pPr>
                  <w:r>
                    <w:rPr>
                      <w:rFonts w:hint="eastAsia" w:ascii="Times New Roman" w:hAnsi="Times New Roman"/>
                      <w:bCs/>
                      <w:color w:val="auto"/>
                      <w:kern w:val="2"/>
                      <w:highlight w:val="none"/>
                      <w:lang w:val="en-US" w:eastAsia="zh-CN"/>
                    </w:rPr>
                    <w:t>13</w:t>
                  </w:r>
                </w:p>
              </w:tc>
              <w:tc>
                <w:tcPr>
                  <w:tcW w:w="765" w:type="pct"/>
                  <w:vMerge w:val="continue"/>
                  <w:vAlign w:val="center"/>
                </w:tcPr>
                <w:p>
                  <w:pPr>
                    <w:jc w:val="center"/>
                    <w:rPr>
                      <w:rFonts w:ascii="Times New Roman" w:hAnsi="Times New Roman"/>
                      <w:bCs/>
                      <w:color w:val="auto"/>
                      <w:kern w:val="2"/>
                      <w:highlight w:val="none"/>
                    </w:rPr>
                  </w:pPr>
                </w:p>
              </w:tc>
              <w:tc>
                <w:tcPr>
                  <w:tcW w:w="971"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总氮</w:t>
                  </w:r>
                </w:p>
              </w:tc>
              <w:tc>
                <w:tcPr>
                  <w:tcW w:w="1363"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8</w:t>
                  </w:r>
                  <w:r>
                    <w:rPr>
                      <w:rFonts w:ascii="Times New Roman" w:hAnsi="Times New Roman"/>
                      <w:bCs/>
                      <w:color w:val="auto"/>
                      <w:kern w:val="2"/>
                      <w:highlight w:val="none"/>
                    </w:rPr>
                    <w:t>mg/L</w:t>
                  </w:r>
                </w:p>
              </w:tc>
              <w:tc>
                <w:tcPr>
                  <w:tcW w:w="1338" w:type="pct"/>
                  <w:vMerge w:val="continue"/>
                  <w:vAlign w:val="center"/>
                </w:tcPr>
                <w:p>
                  <w:pPr>
                    <w:jc w:val="center"/>
                    <w:rPr>
                      <w:rFonts w:ascii="Times New Roman" w:hAnsi="Times New Roman"/>
                      <w:bCs/>
                      <w:color w:val="auto"/>
                      <w:kern w:val="2"/>
                      <w:highlight w:val="none"/>
                    </w:rPr>
                  </w:pPr>
                </w:p>
              </w:tc>
            </w:tr>
          </w:tbl>
          <w:p>
            <w:pPr>
              <w:rPr>
                <w:b/>
                <w:bCs/>
                <w:color w:val="auto"/>
                <w:highlight w:val="none"/>
              </w:rPr>
            </w:pPr>
          </w:p>
          <w:p>
            <w:pPr>
              <w:spacing w:line="360" w:lineRule="auto"/>
              <w:ind w:firstLine="420" w:firstLineChars="200"/>
              <w:rPr>
                <w:rFonts w:ascii="Times New Roman" w:hAnsi="Times New Roman"/>
                <w:color w:val="auto"/>
                <w:szCs w:val="20"/>
                <w:highlight w:val="none"/>
              </w:rPr>
            </w:pPr>
            <w:r>
              <w:rPr>
                <w:rFonts w:hint="eastAsia" w:ascii="Times New Roman" w:hAnsi="Times New Roman"/>
                <w:color w:val="auto"/>
                <w:szCs w:val="20"/>
                <w:highlight w:val="none"/>
                <w:lang w:val="en-US" w:eastAsia="zh-CN"/>
              </w:rPr>
              <w:t>2</w:t>
            </w:r>
            <w:r>
              <w:rPr>
                <w:rFonts w:ascii="Times New Roman" w:hAnsi="Times New Roman"/>
                <w:color w:val="auto"/>
                <w:szCs w:val="20"/>
                <w:highlight w:val="none"/>
              </w:rPr>
              <w:t>、噪声</w:t>
            </w:r>
          </w:p>
          <w:p>
            <w:pPr>
              <w:spacing w:line="360" w:lineRule="auto"/>
              <w:ind w:firstLine="420" w:firstLineChars="200"/>
              <w:rPr>
                <w:rFonts w:ascii="Times New Roman" w:hAnsi="Times New Roman"/>
                <w:color w:val="auto"/>
                <w:szCs w:val="20"/>
                <w:highlight w:val="none"/>
              </w:rPr>
            </w:pPr>
            <w:r>
              <w:rPr>
                <w:rFonts w:ascii="Times New Roman" w:hAnsi="Times New Roman"/>
                <w:color w:val="auto"/>
                <w:szCs w:val="20"/>
                <w:highlight w:val="none"/>
              </w:rPr>
              <w:t>本项目位于</w:t>
            </w:r>
            <w:r>
              <w:rPr>
                <w:rFonts w:hint="eastAsia" w:ascii="Times New Roman" w:hAnsi="Times New Roman"/>
                <w:color w:val="auto"/>
                <w:highlight w:val="none"/>
              </w:rPr>
              <w:t>西安市莲湖区大庆路636号通用医疗西安医院内</w:t>
            </w:r>
            <w:r>
              <w:rPr>
                <w:rFonts w:ascii="Times New Roman" w:hAnsi="Times New Roman"/>
                <w:color w:val="auto"/>
                <w:highlight w:val="none"/>
              </w:rPr>
              <w:t>，</w:t>
            </w:r>
            <w:r>
              <w:rPr>
                <w:rFonts w:hint="eastAsia" w:ascii="Times New Roman" w:hAnsi="Times New Roman"/>
                <w:b/>
                <w:bCs/>
                <w:color w:val="auto"/>
                <w:szCs w:val="20"/>
                <w:highlight w:val="none"/>
              </w:rPr>
              <w:t>根据西安市声功能区划（市政办函【2019】107号），项目地处属莲湖区庆安区域，</w:t>
            </w:r>
            <w:r>
              <w:rPr>
                <w:rFonts w:hint="eastAsia" w:ascii="Times New Roman" w:hAnsi="Times New Roman"/>
                <w:b/>
                <w:bCs/>
                <w:color w:val="auto"/>
                <w:highlight w:val="none"/>
              </w:rPr>
              <w:t>声功能区为3</w:t>
            </w:r>
            <w:r>
              <w:rPr>
                <w:rFonts w:ascii="Times New Roman" w:hAnsi="Times New Roman"/>
                <w:b/>
                <w:bCs/>
                <w:color w:val="auto"/>
                <w:highlight w:val="none"/>
              </w:rPr>
              <w:t>类区。</w:t>
            </w:r>
            <w:r>
              <w:rPr>
                <w:rFonts w:ascii="Times New Roman" w:hAnsi="Times New Roman"/>
                <w:color w:val="auto"/>
                <w:highlight w:val="none"/>
              </w:rPr>
              <w:t>运营期</w:t>
            </w:r>
            <w:r>
              <w:rPr>
                <w:rFonts w:hint="eastAsia" w:ascii="Times New Roman" w:hAnsi="Times New Roman"/>
                <w:color w:val="auto"/>
                <w:highlight w:val="none"/>
              </w:rPr>
              <w:t>厂</w:t>
            </w:r>
            <w:r>
              <w:rPr>
                <w:rFonts w:ascii="Times New Roman" w:hAnsi="Times New Roman"/>
                <w:color w:val="auto"/>
                <w:highlight w:val="none"/>
              </w:rPr>
              <w:t>界噪声执行《工业企业厂界环境噪声排放标准》（GB12348-2008）中</w:t>
            </w:r>
            <w:r>
              <w:rPr>
                <w:rFonts w:hint="eastAsia" w:ascii="Times New Roman" w:hAnsi="Times New Roman"/>
                <w:color w:val="auto"/>
                <w:highlight w:val="none"/>
              </w:rPr>
              <w:t>3</w:t>
            </w:r>
            <w:r>
              <w:rPr>
                <w:rFonts w:ascii="Times New Roman" w:hAnsi="Times New Roman"/>
                <w:color w:val="auto"/>
                <w:highlight w:val="none"/>
              </w:rPr>
              <w:t>类标准</w:t>
            </w:r>
            <w:r>
              <w:rPr>
                <w:rFonts w:hint="eastAsia" w:ascii="Times New Roman" w:hAnsi="Times New Roman"/>
                <w:color w:val="auto"/>
                <w:szCs w:val="20"/>
                <w:highlight w:val="none"/>
              </w:rPr>
              <w:t>（昼间</w:t>
            </w:r>
            <w:r>
              <w:rPr>
                <w:rFonts w:ascii="Times New Roman" w:hAnsi="Times New Roman"/>
                <w:color w:val="auto"/>
                <w:highlight w:val="none"/>
              </w:rPr>
              <w:t>≤6</w:t>
            </w:r>
            <w:r>
              <w:rPr>
                <w:rFonts w:hint="eastAsia" w:ascii="Times New Roman" w:hAnsi="Times New Roman"/>
                <w:color w:val="auto"/>
                <w:highlight w:val="none"/>
              </w:rPr>
              <w:t>5</w:t>
            </w:r>
            <w:r>
              <w:rPr>
                <w:rFonts w:ascii="Times New Roman" w:hAnsi="Times New Roman"/>
                <w:color w:val="auto"/>
                <w:highlight w:val="none"/>
              </w:rPr>
              <w:t>dB（A）</w:t>
            </w:r>
            <w:r>
              <w:rPr>
                <w:rFonts w:hint="eastAsia" w:ascii="Times New Roman" w:hAnsi="Times New Roman"/>
                <w:color w:val="auto"/>
                <w:highlight w:val="none"/>
              </w:rPr>
              <w:t>；</w:t>
            </w:r>
            <w:r>
              <w:rPr>
                <w:rFonts w:ascii="Times New Roman" w:hAnsi="Times New Roman"/>
                <w:color w:val="auto"/>
                <w:highlight w:val="none"/>
              </w:rPr>
              <w:t>夜间≤5</w:t>
            </w:r>
            <w:r>
              <w:rPr>
                <w:rFonts w:hint="eastAsia" w:ascii="Times New Roman" w:hAnsi="Times New Roman"/>
                <w:color w:val="auto"/>
                <w:highlight w:val="none"/>
              </w:rPr>
              <w:t>5</w:t>
            </w:r>
            <w:r>
              <w:rPr>
                <w:rFonts w:ascii="Times New Roman" w:hAnsi="Times New Roman"/>
                <w:color w:val="auto"/>
                <w:highlight w:val="none"/>
              </w:rPr>
              <w:t>dB（A）</w:t>
            </w:r>
            <w:r>
              <w:rPr>
                <w:rFonts w:hint="eastAsia" w:ascii="Times New Roman" w:hAnsi="Times New Roman"/>
                <w:color w:val="auto"/>
                <w:szCs w:val="20"/>
                <w:highlight w:val="none"/>
              </w:rPr>
              <w:t>）。</w:t>
            </w:r>
          </w:p>
          <w:p>
            <w:pPr>
              <w:spacing w:line="360" w:lineRule="auto"/>
              <w:ind w:firstLine="420" w:firstLineChars="200"/>
              <w:rPr>
                <w:rFonts w:ascii="Times New Roman" w:hAnsi="Times New Roman"/>
                <w:color w:val="auto"/>
                <w:szCs w:val="20"/>
                <w:highlight w:val="none"/>
              </w:rPr>
            </w:pPr>
            <w:r>
              <w:rPr>
                <w:rFonts w:hint="eastAsia" w:ascii="Times New Roman" w:hAnsi="Times New Roman"/>
                <w:color w:val="auto"/>
                <w:szCs w:val="20"/>
                <w:highlight w:val="none"/>
                <w:lang w:val="en-US" w:eastAsia="zh-CN"/>
              </w:rPr>
              <w:t>3</w:t>
            </w:r>
            <w:r>
              <w:rPr>
                <w:rFonts w:ascii="Times New Roman" w:hAnsi="Times New Roman"/>
                <w:color w:val="auto"/>
                <w:szCs w:val="20"/>
                <w:highlight w:val="none"/>
              </w:rPr>
              <w:t>、固废</w:t>
            </w:r>
          </w:p>
          <w:p>
            <w:pPr>
              <w:spacing w:line="360" w:lineRule="auto"/>
              <w:ind w:firstLine="420" w:firstLineChars="200"/>
              <w:rPr>
                <w:rFonts w:hint="default" w:ascii="Times New Roman" w:hAnsi="Times New Roman"/>
                <w:color w:val="auto"/>
                <w:szCs w:val="20"/>
                <w:highlight w:val="none"/>
                <w:lang w:val="en-US"/>
              </w:rPr>
            </w:pPr>
            <w:r>
              <w:rPr>
                <w:rFonts w:ascii="Times New Roman" w:hAnsi="Times New Roman"/>
                <w:color w:val="auto"/>
                <w:szCs w:val="20"/>
                <w:highlight w:val="none"/>
              </w:rPr>
              <w:t>本项目固体废物执行《一般工业固体废弃物贮存</w:t>
            </w:r>
            <w:r>
              <w:rPr>
                <w:rFonts w:hint="eastAsia" w:ascii="Times New Roman" w:hAnsi="Times New Roman"/>
                <w:color w:val="auto"/>
                <w:szCs w:val="20"/>
                <w:highlight w:val="none"/>
              </w:rPr>
              <w:t>和填埋</w:t>
            </w:r>
            <w:r>
              <w:rPr>
                <w:rFonts w:ascii="Times New Roman" w:hAnsi="Times New Roman"/>
                <w:color w:val="auto"/>
                <w:szCs w:val="20"/>
                <w:highlight w:val="none"/>
              </w:rPr>
              <w:t>污染控制标准》（GB18599－20</w:t>
            </w:r>
            <w:r>
              <w:rPr>
                <w:rFonts w:hint="eastAsia" w:ascii="Times New Roman" w:hAnsi="Times New Roman"/>
                <w:color w:val="auto"/>
                <w:szCs w:val="20"/>
                <w:highlight w:val="none"/>
              </w:rPr>
              <w:t>20</w:t>
            </w:r>
            <w:r>
              <w:rPr>
                <w:rFonts w:ascii="Times New Roman" w:hAnsi="Times New Roman"/>
                <w:color w:val="auto"/>
                <w:szCs w:val="20"/>
                <w:highlight w:val="none"/>
              </w:rPr>
              <w:t>）</w:t>
            </w:r>
            <w:r>
              <w:rPr>
                <w:rFonts w:hint="eastAsia" w:ascii="Times New Roman" w:hAnsi="Times New Roman"/>
                <w:color w:val="auto"/>
                <w:szCs w:val="20"/>
                <w:highlight w:val="none"/>
              </w:rPr>
              <w:t>要求</w:t>
            </w:r>
            <w:r>
              <w:rPr>
                <w:rFonts w:ascii="Times New Roman" w:hAnsi="Times New Roman"/>
                <w:color w:val="auto"/>
                <w:szCs w:val="20"/>
                <w:highlight w:val="none"/>
              </w:rPr>
              <w:t>；危险废物执行《危险废物贮存污染控制标准》（GB18597-20</w:t>
            </w:r>
            <w:r>
              <w:rPr>
                <w:rFonts w:hint="eastAsia" w:ascii="Times New Roman" w:hAnsi="Times New Roman"/>
                <w:color w:val="auto"/>
                <w:szCs w:val="20"/>
                <w:highlight w:val="none"/>
                <w:lang w:val="en-US" w:eastAsia="zh-CN"/>
              </w:rPr>
              <w:t>23</w:t>
            </w:r>
            <w:r>
              <w:rPr>
                <w:rFonts w:ascii="Times New Roman" w:hAnsi="Times New Roman"/>
                <w:color w:val="auto"/>
                <w:szCs w:val="20"/>
                <w:highlight w:val="none"/>
              </w:rPr>
              <w:t>）中相关要求。</w:t>
            </w:r>
          </w:p>
          <w:p>
            <w:pPr>
              <w:spacing w:line="360" w:lineRule="auto"/>
              <w:ind w:firstLine="420" w:firstLineChars="200"/>
              <w:rPr>
                <w:rFonts w:hint="eastAsia" w:ascii="Times New Roman" w:hAnsi="Times New Roman"/>
                <w:color w:val="auto"/>
                <w:szCs w:val="20"/>
                <w:highlight w:val="none"/>
                <w:lang w:val="en-US" w:eastAsia="zh-CN"/>
              </w:rPr>
            </w:pPr>
          </w:p>
          <w:p>
            <w:pPr>
              <w:spacing w:line="360" w:lineRule="auto"/>
              <w:ind w:firstLine="420" w:firstLineChars="200"/>
              <w:rPr>
                <w:rFonts w:hint="eastAsia" w:ascii="Times New Roman" w:hAnsi="Times New Roman"/>
                <w:color w:val="auto"/>
                <w:szCs w:val="20"/>
                <w:highlight w:val="none"/>
                <w:lang w:val="en-US" w:eastAsia="zh-CN"/>
              </w:rPr>
            </w:pPr>
          </w:p>
          <w:p>
            <w:pPr>
              <w:spacing w:line="360" w:lineRule="auto"/>
              <w:ind w:firstLine="420" w:firstLineChars="200"/>
              <w:rPr>
                <w:rFonts w:hint="default" w:ascii="Times New Roman" w:hAnsi="Times New Roman"/>
                <w:color w:val="auto"/>
                <w:szCs w:val="20"/>
                <w:highlight w:val="none"/>
                <w:lang w:val="en-US"/>
              </w:rPr>
            </w:pPr>
          </w:p>
          <w:p>
            <w:pPr>
              <w:spacing w:line="360" w:lineRule="auto"/>
              <w:ind w:firstLine="420" w:firstLineChars="200"/>
              <w:rPr>
                <w:rFonts w:ascii="宋体" w:hAnsi="宋体" w:cs="宋体"/>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9" w:hRule="atLeast"/>
          <w:jc w:val="center"/>
        </w:trPr>
        <w:tc>
          <w:tcPr>
            <w:tcW w:w="800"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总量</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控制</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指标</w:t>
            </w:r>
          </w:p>
        </w:tc>
        <w:tc>
          <w:tcPr>
            <w:tcW w:w="8190" w:type="dxa"/>
            <w:vAlign w:val="center"/>
          </w:tcPr>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根据《“十</w:t>
            </w:r>
            <w:r>
              <w:rPr>
                <w:rFonts w:hint="eastAsia" w:ascii="Times New Roman" w:hAnsi="Times New Roman"/>
                <w:color w:val="auto"/>
                <w:highlight w:val="none"/>
              </w:rPr>
              <w:t>四</w:t>
            </w:r>
            <w:r>
              <w:rPr>
                <w:rFonts w:ascii="Times New Roman" w:hAnsi="Times New Roman"/>
                <w:color w:val="auto"/>
                <w:highlight w:val="none"/>
              </w:rPr>
              <w:t>五”主要污染物总量控制规划编制技术指南》及陕西</w:t>
            </w:r>
            <w:r>
              <w:rPr>
                <w:rFonts w:hint="eastAsia" w:ascii="Times New Roman" w:hAnsi="Times New Roman"/>
                <w:color w:val="auto"/>
                <w:highlight w:val="none"/>
              </w:rPr>
              <w:t>省</w:t>
            </w:r>
            <w:r>
              <w:rPr>
                <w:rFonts w:ascii="Times New Roman" w:hAnsi="Times New Roman"/>
                <w:color w:val="auto"/>
                <w:highlight w:val="none"/>
              </w:rPr>
              <w:t>有关规定，国家“十</w:t>
            </w:r>
            <w:r>
              <w:rPr>
                <w:rFonts w:hint="eastAsia" w:ascii="Times New Roman" w:hAnsi="Times New Roman"/>
                <w:color w:val="auto"/>
                <w:highlight w:val="none"/>
              </w:rPr>
              <w:t>四</w:t>
            </w:r>
            <w:r>
              <w:rPr>
                <w:rFonts w:ascii="Times New Roman" w:hAnsi="Times New Roman"/>
                <w:color w:val="auto"/>
                <w:highlight w:val="none"/>
              </w:rPr>
              <w:t>五”主要污染物总量控制因子为：COD、氨氮、NO</w:t>
            </w:r>
            <w:r>
              <w:rPr>
                <w:rFonts w:hint="eastAsia" w:ascii="Times New Roman" w:hAnsi="Times New Roman"/>
                <w:color w:val="auto"/>
                <w:highlight w:val="none"/>
              </w:rPr>
              <w:t>x</w:t>
            </w:r>
            <w:r>
              <w:rPr>
                <w:rFonts w:ascii="Times New Roman" w:hAnsi="Times New Roman"/>
                <w:color w:val="auto"/>
                <w:highlight w:val="none"/>
              </w:rPr>
              <w:t>、VOCs。</w:t>
            </w:r>
          </w:p>
          <w:p>
            <w:pPr>
              <w:spacing w:line="360" w:lineRule="auto"/>
              <w:ind w:firstLine="420" w:firstLineChars="200"/>
              <w:rPr>
                <w:rFonts w:hint="eastAsia" w:ascii="Times New Roman" w:hAnsi="Times New Roman"/>
                <w:color w:val="auto"/>
                <w:highlight w:val="none"/>
                <w:lang w:eastAsia="zh-CN"/>
              </w:rPr>
            </w:pPr>
            <w:r>
              <w:rPr>
                <w:rFonts w:ascii="Times New Roman" w:hAnsi="Times New Roman"/>
                <w:color w:val="auto"/>
                <w:highlight w:val="none"/>
              </w:rPr>
              <w:t>本项目</w:t>
            </w:r>
            <w:r>
              <w:rPr>
                <w:rFonts w:hint="eastAsia" w:ascii="Times New Roman" w:hAnsi="Times New Roman"/>
                <w:color w:val="auto"/>
                <w:highlight w:val="none"/>
              </w:rPr>
              <w:t>废水排放</w:t>
            </w:r>
            <w:r>
              <w:rPr>
                <w:rFonts w:ascii="Times New Roman" w:hAnsi="Times New Roman"/>
                <w:color w:val="auto"/>
                <w:highlight w:val="none"/>
              </w:rPr>
              <w:t>依托</w:t>
            </w:r>
            <w:r>
              <w:rPr>
                <w:rFonts w:hint="eastAsia" w:ascii="Times New Roman" w:hAnsi="Times New Roman"/>
                <w:color w:val="auto"/>
                <w:highlight w:val="none"/>
              </w:rPr>
              <w:t>医院现有1座污水站</w:t>
            </w:r>
            <w:r>
              <w:rPr>
                <w:rFonts w:ascii="Times New Roman" w:hAnsi="Times New Roman"/>
                <w:color w:val="auto"/>
                <w:highlight w:val="none"/>
              </w:rPr>
              <w:t>进行处理</w:t>
            </w:r>
            <w:r>
              <w:rPr>
                <w:rFonts w:hint="eastAsia" w:ascii="Times New Roman" w:hAnsi="Times New Roman"/>
                <w:color w:val="auto"/>
                <w:highlight w:val="none"/>
              </w:rPr>
              <w:t>，</w:t>
            </w:r>
            <w:r>
              <w:rPr>
                <w:rFonts w:hint="eastAsia" w:ascii="Times New Roman" w:hAnsi="Times New Roman"/>
                <w:color w:val="auto"/>
                <w:highlight w:val="none"/>
                <w:lang w:val="en-US" w:eastAsia="zh-CN"/>
              </w:rPr>
              <w:t>本</w:t>
            </w:r>
            <w:r>
              <w:rPr>
                <w:rFonts w:ascii="Times New Roman" w:hAnsi="Times New Roman"/>
                <w:color w:val="auto"/>
                <w:highlight w:val="none"/>
              </w:rPr>
              <w:t>项目</w:t>
            </w:r>
            <w:r>
              <w:rPr>
                <w:rFonts w:hint="eastAsia" w:ascii="Times New Roman" w:hAnsi="Times New Roman"/>
                <w:color w:val="auto"/>
                <w:highlight w:val="none"/>
                <w:lang w:val="en-US" w:eastAsia="zh-CN"/>
              </w:rPr>
              <w:t>废水</w:t>
            </w:r>
            <w:r>
              <w:rPr>
                <w:rFonts w:ascii="Times New Roman" w:hAnsi="Times New Roman"/>
                <w:color w:val="auto"/>
                <w:highlight w:val="none"/>
              </w:rPr>
              <w:t>控制总量指标</w:t>
            </w:r>
            <w:r>
              <w:rPr>
                <w:rFonts w:hint="eastAsia" w:ascii="Times New Roman" w:hAnsi="Times New Roman"/>
                <w:color w:val="auto"/>
                <w:highlight w:val="none"/>
                <w:lang w:val="en-US" w:eastAsia="zh-CN"/>
              </w:rPr>
              <w:t>已纳入医院现有</w:t>
            </w:r>
            <w:r>
              <w:rPr>
                <w:rFonts w:hint="eastAsia" w:ascii="Times New Roman" w:hAnsi="Times New Roman"/>
                <w:color w:val="auto"/>
                <w:highlight w:val="none"/>
              </w:rPr>
              <w:t>总量</w:t>
            </w:r>
            <w:r>
              <w:rPr>
                <w:rFonts w:ascii="Times New Roman" w:hAnsi="Times New Roman"/>
                <w:color w:val="auto"/>
                <w:highlight w:val="none"/>
              </w:rPr>
              <w:t>控制</w:t>
            </w:r>
            <w:r>
              <w:rPr>
                <w:rFonts w:hint="eastAsia" w:ascii="Times New Roman" w:hAnsi="Times New Roman"/>
                <w:color w:val="auto"/>
                <w:highlight w:val="none"/>
                <w:lang w:val="en-US" w:eastAsia="zh-CN"/>
              </w:rPr>
              <w:t>指标内，不再新增</w:t>
            </w:r>
            <w:r>
              <w:rPr>
                <w:rFonts w:ascii="Times New Roman" w:hAnsi="Times New Roman"/>
                <w:color w:val="auto"/>
                <w:highlight w:val="none"/>
              </w:rPr>
              <w:t>控制总量</w:t>
            </w:r>
            <w:r>
              <w:rPr>
                <w:rFonts w:hint="eastAsia" w:ascii="Times New Roman" w:hAnsi="Times New Roman"/>
                <w:color w:val="auto"/>
                <w:highlight w:val="none"/>
                <w:lang w:eastAsia="zh-CN"/>
              </w:rPr>
              <w:t>，</w:t>
            </w:r>
            <w:r>
              <w:rPr>
                <w:rFonts w:hint="eastAsia" w:ascii="Times New Roman" w:hAnsi="Times New Roman"/>
                <w:color w:val="auto"/>
                <w:highlight w:val="none"/>
              </w:rPr>
              <w:t>医院现有</w:t>
            </w:r>
            <w:r>
              <w:rPr>
                <w:rFonts w:hint="eastAsia" w:ascii="Times New Roman" w:hAnsi="Times New Roman"/>
                <w:color w:val="auto"/>
                <w:highlight w:val="none"/>
                <w:lang w:val="en-US" w:eastAsia="zh-CN"/>
              </w:rPr>
              <w:t>批复总量为</w:t>
            </w:r>
            <w:r>
              <w:rPr>
                <w:rFonts w:hint="eastAsia" w:ascii="Times New Roman" w:hAnsi="Times New Roman"/>
                <w:color w:val="auto"/>
                <w:highlight w:val="none"/>
              </w:rPr>
              <w:t>COD≤</w:t>
            </w:r>
            <w:r>
              <w:rPr>
                <w:rFonts w:hint="eastAsia" w:ascii="Times New Roman" w:hAnsi="Times New Roman"/>
                <w:color w:val="auto"/>
                <w:highlight w:val="none"/>
                <w:lang w:val="en-US" w:eastAsia="zh-CN"/>
              </w:rPr>
              <w:t>5.2</w:t>
            </w:r>
            <w:r>
              <w:rPr>
                <w:rFonts w:hint="eastAsia" w:ascii="Times New Roman" w:hAnsi="Times New Roman"/>
                <w:color w:val="auto"/>
                <w:highlight w:val="none"/>
              </w:rPr>
              <w:t>t/a、氨氮≤0.</w:t>
            </w:r>
            <w:r>
              <w:rPr>
                <w:rFonts w:hint="eastAsia" w:ascii="Times New Roman" w:hAnsi="Times New Roman"/>
                <w:color w:val="auto"/>
                <w:highlight w:val="none"/>
                <w:lang w:val="en-US" w:eastAsia="zh-CN"/>
              </w:rPr>
              <w:t>52</w:t>
            </w:r>
            <w:r>
              <w:rPr>
                <w:rFonts w:hint="eastAsia" w:ascii="Times New Roman" w:hAnsi="Times New Roman"/>
                <w:color w:val="auto"/>
                <w:highlight w:val="none"/>
              </w:rPr>
              <w:t>t/a</w:t>
            </w:r>
            <w:r>
              <w:rPr>
                <w:rFonts w:hint="eastAsia" w:ascii="Times New Roman" w:hAnsi="Times New Roman"/>
                <w:color w:val="auto"/>
                <w:highlight w:val="none"/>
                <w:lang w:eastAsia="zh-CN"/>
              </w:rPr>
              <w:t>。</w:t>
            </w:r>
          </w:p>
          <w:p>
            <w:pPr>
              <w:spacing w:line="360" w:lineRule="auto"/>
              <w:ind w:firstLine="420" w:firstLineChars="200"/>
              <w:rPr>
                <w:rFonts w:hint="default" w:ascii="Times New Roman" w:hAnsi="Times New Roman" w:eastAsia="宋体"/>
                <w:color w:val="auto"/>
                <w:highlight w:val="none"/>
                <w:lang w:val="en-US" w:eastAsia="zh-CN"/>
              </w:rPr>
            </w:pPr>
            <w:r>
              <w:rPr>
                <w:rFonts w:hint="eastAsia" w:ascii="Times New Roman" w:hAnsi="Times New Roman"/>
                <w:color w:val="auto"/>
                <w:szCs w:val="20"/>
                <w:highlight w:val="none"/>
                <w:lang w:val="en-US" w:eastAsia="zh-CN"/>
              </w:rPr>
              <w:t>根据表4-2废水污染物源强核算结果，</w:t>
            </w:r>
            <w:r>
              <w:rPr>
                <w:rFonts w:hint="eastAsia" w:ascii="Times New Roman" w:hAnsi="Times New Roman"/>
                <w:color w:val="auto"/>
                <w:szCs w:val="20"/>
                <w:highlight w:val="none"/>
              </w:rPr>
              <w:t>本项目</w:t>
            </w:r>
            <w:r>
              <w:rPr>
                <w:rFonts w:hint="eastAsia" w:ascii="Times New Roman" w:hAnsi="Times New Roman"/>
                <w:color w:val="auto"/>
                <w:highlight w:val="none"/>
              </w:rPr>
              <w:t>总量</w:t>
            </w:r>
            <w:r>
              <w:rPr>
                <w:rFonts w:hint="eastAsia" w:ascii="Times New Roman" w:hAnsi="Times New Roman"/>
                <w:color w:val="auto"/>
                <w:highlight w:val="none"/>
                <w:lang w:val="en-US" w:eastAsia="zh-CN"/>
              </w:rPr>
              <w:t>核算总量</w:t>
            </w:r>
            <w:r>
              <w:rPr>
                <w:rFonts w:hint="eastAsia" w:ascii="Times New Roman" w:hAnsi="Times New Roman"/>
                <w:color w:val="auto"/>
                <w:highlight w:val="none"/>
              </w:rPr>
              <w:t>为：COD≤0.0</w:t>
            </w:r>
            <w:r>
              <w:rPr>
                <w:rFonts w:hint="eastAsia" w:ascii="Times New Roman" w:hAnsi="Times New Roman"/>
                <w:color w:val="auto"/>
                <w:highlight w:val="none"/>
                <w:lang w:val="en-US" w:eastAsia="zh-CN"/>
              </w:rPr>
              <w:t>75</w:t>
            </w:r>
            <w:r>
              <w:rPr>
                <w:rFonts w:hint="eastAsia" w:ascii="Times New Roman" w:hAnsi="Times New Roman"/>
                <w:color w:val="auto"/>
                <w:highlight w:val="none"/>
              </w:rPr>
              <w:t>t/a、氨氮≤0.000</w:t>
            </w:r>
            <w:r>
              <w:rPr>
                <w:rFonts w:hint="eastAsia" w:ascii="Times New Roman" w:hAnsi="Times New Roman"/>
                <w:color w:val="auto"/>
                <w:highlight w:val="none"/>
                <w:lang w:val="en-US" w:eastAsia="zh-CN"/>
              </w:rPr>
              <w:t>2</w:t>
            </w:r>
            <w:r>
              <w:rPr>
                <w:rFonts w:hint="eastAsia" w:ascii="Times New Roman" w:hAnsi="Times New Roman"/>
                <w:color w:val="auto"/>
                <w:highlight w:val="none"/>
              </w:rPr>
              <w:t>t/a</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扩建后全院核算排放总量：</w:t>
            </w:r>
            <w:r>
              <w:rPr>
                <w:rFonts w:hint="eastAsia" w:ascii="Times New Roman" w:hAnsi="Times New Roman"/>
                <w:color w:val="auto"/>
                <w:highlight w:val="none"/>
              </w:rPr>
              <w:t>COD≤</w:t>
            </w:r>
            <w:r>
              <w:rPr>
                <w:rFonts w:hint="eastAsia" w:ascii="Times New Roman" w:hAnsi="Times New Roman"/>
                <w:color w:val="auto"/>
                <w:highlight w:val="none"/>
                <w:lang w:val="en-US" w:eastAsia="zh-CN"/>
              </w:rPr>
              <w:t>3.81</w:t>
            </w:r>
            <w:r>
              <w:rPr>
                <w:rFonts w:hint="eastAsia" w:ascii="Times New Roman" w:hAnsi="Times New Roman"/>
                <w:color w:val="auto"/>
                <w:highlight w:val="none"/>
              </w:rPr>
              <w:t>t/a、氨氮≤0.</w:t>
            </w:r>
            <w:r>
              <w:rPr>
                <w:rFonts w:hint="eastAsia" w:ascii="Times New Roman" w:hAnsi="Times New Roman"/>
                <w:color w:val="auto"/>
                <w:highlight w:val="none"/>
                <w:lang w:val="en-US" w:eastAsia="zh-CN"/>
              </w:rPr>
              <w:t>39</w:t>
            </w:r>
            <w:r>
              <w:rPr>
                <w:rFonts w:hint="eastAsia" w:ascii="Times New Roman" w:hAnsi="Times New Roman"/>
                <w:color w:val="auto"/>
                <w:highlight w:val="none"/>
              </w:rPr>
              <w:t>t/a</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扩建后全院废水</w:t>
            </w:r>
            <w:r>
              <w:rPr>
                <w:rFonts w:hint="eastAsia" w:ascii="Times New Roman" w:hAnsi="Times New Roman"/>
                <w:color w:val="auto"/>
                <w:highlight w:val="none"/>
              </w:rPr>
              <w:t>总量</w:t>
            </w:r>
            <w:r>
              <w:rPr>
                <w:rFonts w:hint="eastAsia" w:ascii="Times New Roman" w:hAnsi="Times New Roman"/>
                <w:color w:val="auto"/>
                <w:highlight w:val="none"/>
                <w:lang w:val="en-US" w:eastAsia="zh-CN"/>
              </w:rPr>
              <w:t>指标在批复总量指标范围内，不需要再重新申请指标。</w:t>
            </w:r>
          </w:p>
          <w:p>
            <w:pPr>
              <w:spacing w:line="360" w:lineRule="auto"/>
              <w:ind w:firstLine="420" w:firstLineChars="200"/>
              <w:rPr>
                <w:rFonts w:hint="eastAsia" w:ascii="Times New Roman" w:hAnsi="Times New Roman"/>
                <w:color w:val="auto"/>
                <w:highlight w:val="none"/>
              </w:rPr>
            </w:pPr>
          </w:p>
          <w:p>
            <w:pPr>
              <w:spacing w:line="360" w:lineRule="auto"/>
              <w:ind w:firstLine="420" w:firstLineChars="200"/>
              <w:rPr>
                <w:rFonts w:ascii="宋体" w:hAnsi="宋体" w:cs="宋体"/>
                <w:color w:val="auto"/>
                <w:highlight w:val="none"/>
              </w:rPr>
            </w:pPr>
          </w:p>
        </w:tc>
      </w:tr>
    </w:tbl>
    <w:p>
      <w:pPr>
        <w:pStyle w:val="17"/>
        <w:outlineLvl w:val="0"/>
        <w:rPr>
          <w:rFonts w:ascii="黑体" w:hAnsi="黑体" w:eastAsia="黑体"/>
          <w:snapToGrid w:val="0"/>
          <w:color w:val="auto"/>
          <w:sz w:val="30"/>
          <w:szCs w:val="30"/>
          <w:highlight w:val="none"/>
        </w:rPr>
      </w:pPr>
      <w:r>
        <w:rPr>
          <w:rFonts w:ascii="黑体" w:hAnsi="黑体" w:eastAsia="黑体"/>
          <w:snapToGrid w:val="0"/>
          <w:color w:val="auto"/>
          <w:sz w:val="36"/>
          <w:szCs w:val="36"/>
          <w:highlight w:val="none"/>
        </w:rPr>
        <w:br w:type="page"/>
      </w:r>
      <w:r>
        <w:rPr>
          <w:rFonts w:hint="eastAsia" w:ascii="黑体" w:hAnsi="黑体" w:eastAsia="黑体"/>
          <w:snapToGrid w:val="0"/>
          <w:color w:val="auto"/>
          <w:sz w:val="30"/>
          <w:szCs w:val="30"/>
          <w:highlight w:val="none"/>
        </w:rPr>
        <w:t>四、主要环境影响和保护措施</w:t>
      </w:r>
    </w:p>
    <w:tbl>
      <w:tblPr>
        <w:tblStyle w:val="20"/>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
        <w:gridCol w:w="87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746" w:type="dxa"/>
            <w:tcMar>
              <w:left w:w="28" w:type="dxa"/>
              <w:right w:w="28" w:type="dxa"/>
            </w:tcMar>
            <w:vAlign w:val="center"/>
          </w:tcPr>
          <w:p>
            <w:pPr>
              <w:pStyle w:val="17"/>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施工</w:t>
            </w:r>
          </w:p>
          <w:p>
            <w:pPr>
              <w:pStyle w:val="17"/>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期环</w:t>
            </w:r>
          </w:p>
          <w:p>
            <w:pPr>
              <w:pStyle w:val="17"/>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境保</w:t>
            </w:r>
          </w:p>
          <w:p>
            <w:pPr>
              <w:pStyle w:val="17"/>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护措</w:t>
            </w:r>
          </w:p>
          <w:p>
            <w:pPr>
              <w:pStyle w:val="17"/>
              <w:adjustRightInd w:val="0"/>
              <w:snapToGrid w:val="0"/>
              <w:spacing w:before="0" w:beforeAutospacing="0" w:after="0" w:afterAutospacing="0"/>
              <w:jc w:val="center"/>
              <w:rPr>
                <w:rFonts w:cs="宋体"/>
                <w:bCs/>
                <w:color w:val="auto"/>
                <w:kern w:val="2"/>
                <w:sz w:val="21"/>
                <w:szCs w:val="21"/>
                <w:highlight w:val="none"/>
              </w:rPr>
            </w:pPr>
            <w:r>
              <w:rPr>
                <w:rFonts w:hint="eastAsia" w:cs="宋体"/>
                <w:b/>
                <w:bCs/>
                <w:color w:val="auto"/>
                <w:kern w:val="2"/>
                <w:sz w:val="21"/>
                <w:szCs w:val="21"/>
                <w:highlight w:val="none"/>
              </w:rPr>
              <w:t>施</w:t>
            </w:r>
          </w:p>
        </w:tc>
        <w:tc>
          <w:tcPr>
            <w:tcW w:w="8162" w:type="dxa"/>
            <w:vAlign w:val="center"/>
          </w:tcPr>
          <w:p>
            <w:pPr>
              <w:adjustRightInd w:val="0"/>
              <w:snapToGrid w:val="0"/>
              <w:spacing w:line="360" w:lineRule="auto"/>
              <w:ind w:firstLine="420" w:firstLineChars="200"/>
              <w:rPr>
                <w:color w:val="auto"/>
                <w:highlight w:val="none"/>
              </w:rPr>
            </w:pPr>
            <w:r>
              <w:rPr>
                <w:rFonts w:ascii="Times New Roman" w:hAnsi="Times New Roman"/>
                <w:color w:val="auto"/>
                <w:highlight w:val="none"/>
              </w:rPr>
              <w:t>本项目在</w:t>
            </w:r>
            <w:r>
              <w:rPr>
                <w:rFonts w:hint="eastAsia" w:ascii="Times New Roman" w:hAnsi="Times New Roman"/>
                <w:color w:val="auto"/>
                <w:highlight w:val="none"/>
              </w:rPr>
              <w:t>通用医疗西安医院内</w:t>
            </w:r>
            <w:r>
              <w:rPr>
                <w:rFonts w:ascii="Times New Roman" w:hAnsi="Times New Roman"/>
                <w:color w:val="auto"/>
                <w:highlight w:val="none"/>
              </w:rPr>
              <w:t>进行扩建，不新增占地</w:t>
            </w:r>
            <w:r>
              <w:rPr>
                <w:rStyle w:val="30"/>
                <w:rFonts w:hint="eastAsia"/>
                <w:color w:val="auto"/>
                <w:szCs w:val="20"/>
                <w:highlight w:val="none"/>
              </w:rPr>
              <w:t>，项目已于2021年1月建成</w:t>
            </w:r>
            <w:r>
              <w:rPr>
                <w:rStyle w:val="30"/>
                <w:rFonts w:hint="eastAsia"/>
                <w:color w:val="auto"/>
                <w:szCs w:val="20"/>
                <w:highlight w:val="none"/>
                <w:lang w:val="en-US" w:eastAsia="zh-CN"/>
              </w:rPr>
              <w:t>运行</w:t>
            </w:r>
            <w:r>
              <w:rPr>
                <w:rStyle w:val="30"/>
                <w:rFonts w:hint="eastAsia"/>
                <w:color w:val="auto"/>
                <w:szCs w:val="20"/>
                <w:highlight w:val="none"/>
              </w:rPr>
              <w:t>，</w:t>
            </w:r>
            <w:r>
              <w:rPr>
                <w:rFonts w:ascii="Times New Roman" w:hAnsi="Times New Roman"/>
                <w:color w:val="auto"/>
                <w:highlight w:val="none"/>
              </w:rPr>
              <w:t>不</w:t>
            </w:r>
            <w:r>
              <w:rPr>
                <w:rFonts w:hint="eastAsia" w:ascii="Times New Roman" w:hAnsi="Times New Roman"/>
                <w:color w:val="auto"/>
                <w:highlight w:val="none"/>
              </w:rPr>
              <w:t>再</w:t>
            </w:r>
            <w:r>
              <w:rPr>
                <w:rFonts w:ascii="Times New Roman" w:hAnsi="Times New Roman"/>
                <w:color w:val="auto"/>
                <w:highlight w:val="none"/>
              </w:rPr>
              <w:t>产生施工期环境影响。</w:t>
            </w:r>
            <w:r>
              <w:rPr>
                <w:rStyle w:val="30"/>
                <w:rFonts w:hint="eastAsia"/>
                <w:color w:val="auto"/>
                <w:szCs w:val="20"/>
                <w:highlight w:val="none"/>
              </w:rPr>
              <w:t>经核查，</w:t>
            </w:r>
            <w:r>
              <w:rPr>
                <w:color w:val="auto"/>
                <w:highlight w:val="none"/>
              </w:rPr>
              <w:t>施工期</w:t>
            </w:r>
            <w:r>
              <w:rPr>
                <w:rFonts w:hint="eastAsia"/>
                <w:color w:val="auto"/>
                <w:highlight w:val="none"/>
              </w:rPr>
              <w:t>期间</w:t>
            </w:r>
            <w:r>
              <w:rPr>
                <w:rStyle w:val="30"/>
                <w:rFonts w:hint="eastAsia"/>
                <w:color w:val="auto"/>
                <w:szCs w:val="20"/>
                <w:highlight w:val="none"/>
              </w:rPr>
              <w:t>不存在</w:t>
            </w:r>
            <w:r>
              <w:rPr>
                <w:rFonts w:hint="eastAsia"/>
                <w:color w:val="auto"/>
                <w:highlight w:val="none"/>
              </w:rPr>
              <w:t>遗留</w:t>
            </w:r>
            <w:r>
              <w:rPr>
                <w:color w:val="auto"/>
                <w:highlight w:val="none"/>
              </w:rPr>
              <w:t>环境问题</w:t>
            </w:r>
            <w:r>
              <w:rPr>
                <w:rFonts w:hint="eastAsia"/>
                <w:color w:val="auto"/>
                <w:highlight w:val="none"/>
              </w:rPr>
              <w:t>和环保</w:t>
            </w:r>
            <w:r>
              <w:rPr>
                <w:color w:val="auto"/>
                <w:highlight w:val="none"/>
              </w:rPr>
              <w:t>相关投诉</w:t>
            </w:r>
            <w:r>
              <w:rPr>
                <w:rFonts w:hint="eastAsia"/>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746" w:type="dxa"/>
            <w:tcMar>
              <w:left w:w="28" w:type="dxa"/>
              <w:right w:w="28" w:type="dxa"/>
            </w:tcMar>
            <w:vAlign w:val="center"/>
          </w:tcPr>
          <w:p>
            <w:pPr>
              <w:adjustRightInd w:val="0"/>
              <w:snapToGrid w:val="0"/>
              <w:jc w:val="center"/>
              <w:rPr>
                <w:rFonts w:ascii="宋体" w:hAnsi="宋体" w:cs="宋体"/>
                <w:b/>
                <w:color w:val="auto"/>
                <w:highlight w:val="none"/>
              </w:rPr>
            </w:pPr>
            <w:r>
              <w:rPr>
                <w:rFonts w:hint="eastAsia" w:ascii="宋体" w:hAnsi="宋体" w:cs="宋体"/>
                <w:b/>
                <w:color w:val="auto"/>
                <w:highlight w:val="none"/>
              </w:rPr>
              <w:t>运营</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期环</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境影</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响和</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保护</w:t>
            </w:r>
          </w:p>
          <w:p>
            <w:pPr>
              <w:adjustRightInd w:val="0"/>
              <w:snapToGrid w:val="0"/>
              <w:jc w:val="center"/>
              <w:rPr>
                <w:rFonts w:ascii="宋体" w:hAnsi="宋体" w:cs="宋体"/>
                <w:bCs/>
                <w:color w:val="auto"/>
                <w:highlight w:val="none"/>
              </w:rPr>
            </w:pPr>
            <w:r>
              <w:rPr>
                <w:rFonts w:hint="eastAsia" w:ascii="宋体" w:hAnsi="宋体" w:cs="宋体"/>
                <w:b/>
                <w:color w:val="auto"/>
                <w:highlight w:val="none"/>
              </w:rPr>
              <w:t>措施</w:t>
            </w:r>
          </w:p>
        </w:tc>
        <w:tc>
          <w:tcPr>
            <w:tcW w:w="8162" w:type="dxa"/>
            <w:vAlign w:val="center"/>
          </w:tcPr>
          <w:p>
            <w:pPr>
              <w:spacing w:line="360" w:lineRule="auto"/>
              <w:ind w:firstLine="42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1、废气</w:t>
            </w:r>
          </w:p>
          <w:p>
            <w:pPr>
              <w:spacing w:line="360" w:lineRule="auto"/>
              <w:ind w:firstLine="420" w:firstLineChars="200"/>
              <w:rPr>
                <w:rFonts w:hint="eastAsia" w:ascii="Times New Roman" w:hAnsi="Times New Roman"/>
                <w:b/>
                <w:bCs/>
                <w:color w:val="auto"/>
                <w:highlight w:val="none"/>
                <w:lang w:val="en-US" w:eastAsia="zh-CN"/>
              </w:rPr>
            </w:pPr>
            <w:r>
              <w:rPr>
                <w:color w:val="auto"/>
                <w:highlight w:val="none"/>
              </w:rPr>
              <w:t>本项目</w:t>
            </w:r>
            <w:r>
              <w:rPr>
                <w:rFonts w:hint="eastAsia"/>
                <w:color w:val="auto"/>
                <w:highlight w:val="none"/>
              </w:rPr>
              <w:t>废水排放</w:t>
            </w:r>
            <w:r>
              <w:rPr>
                <w:color w:val="auto"/>
                <w:highlight w:val="none"/>
              </w:rPr>
              <w:t>依托</w:t>
            </w:r>
            <w:r>
              <w:rPr>
                <w:rFonts w:hint="eastAsia"/>
                <w:color w:val="auto"/>
                <w:highlight w:val="none"/>
              </w:rPr>
              <w:t>医院现有污水站，</w:t>
            </w:r>
            <w:r>
              <w:rPr>
                <w:rFonts w:hint="default" w:ascii="Times New Roman" w:hAnsi="Times New Roman" w:cs="Times New Roman"/>
                <w:color w:val="auto"/>
                <w:sz w:val="21"/>
                <w:szCs w:val="21"/>
                <w:highlight w:val="none"/>
              </w:rPr>
              <w:t>污水处理站产生的</w:t>
            </w:r>
            <w:r>
              <w:rPr>
                <w:rFonts w:hint="eastAsia" w:ascii="Times New Roman" w:hAnsi="Times New Roman" w:cs="Times New Roman"/>
                <w:color w:val="auto"/>
                <w:sz w:val="21"/>
                <w:szCs w:val="21"/>
                <w:highlight w:val="none"/>
                <w:lang w:val="en-US" w:eastAsia="zh-CN"/>
              </w:rPr>
              <w:t>废气主要为</w:t>
            </w:r>
            <w:r>
              <w:rPr>
                <w:rFonts w:hint="default" w:ascii="Times New Roman" w:hAnsi="Times New Roman" w:cs="Times New Roman"/>
                <w:color w:val="auto"/>
                <w:sz w:val="21"/>
                <w:szCs w:val="21"/>
                <w:highlight w:val="none"/>
              </w:rPr>
              <w:t>NH</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sz w:val="21"/>
                <w:szCs w:val="21"/>
                <w:highlight w:val="none"/>
              </w:rPr>
              <w:t>、H</w:t>
            </w:r>
            <w:r>
              <w:rPr>
                <w:rFonts w:hint="default" w:ascii="Times New Roman" w:hAnsi="Times New Roman" w:cs="Times New Roman"/>
                <w:color w:val="auto"/>
                <w:sz w:val="21"/>
                <w:szCs w:val="21"/>
                <w:highlight w:val="none"/>
                <w:vertAlign w:val="subscript"/>
              </w:rPr>
              <w:t>2</w:t>
            </w:r>
            <w:r>
              <w:rPr>
                <w:rFonts w:hint="default" w:ascii="Times New Roman" w:hAnsi="Times New Roman" w:cs="Times New Roman"/>
                <w:color w:val="auto"/>
                <w:sz w:val="21"/>
                <w:szCs w:val="21"/>
                <w:highlight w:val="none"/>
              </w:rPr>
              <w:t>S、臭气浓度。恶臭气体污染源源强参考美国EPA环保总局对城市污水处理厂恶臭污染物产生情况的研究：每处理1g的BOD</w:t>
            </w:r>
            <w:r>
              <w:rPr>
                <w:rFonts w:hint="default" w:ascii="Times New Roman" w:hAnsi="Times New Roman" w:cs="Times New Roman"/>
                <w:color w:val="auto"/>
                <w:sz w:val="21"/>
                <w:szCs w:val="21"/>
                <w:highlight w:val="none"/>
                <w:vertAlign w:val="subscript"/>
              </w:rPr>
              <w:t>5</w:t>
            </w:r>
            <w:r>
              <w:rPr>
                <w:rFonts w:hint="default" w:ascii="Times New Roman" w:hAnsi="Times New Roman" w:cs="Times New Roman"/>
                <w:color w:val="auto"/>
                <w:sz w:val="21"/>
                <w:szCs w:val="21"/>
                <w:highlight w:val="none"/>
              </w:rPr>
              <w:t>可产生0.0031g的NH</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sz w:val="21"/>
                <w:szCs w:val="21"/>
                <w:highlight w:val="none"/>
              </w:rPr>
              <w:t>和</w:t>
            </w:r>
            <w:bookmarkStart w:id="36" w:name="OLE_LINK9"/>
            <w:r>
              <w:rPr>
                <w:rFonts w:hint="default" w:ascii="Times New Roman" w:hAnsi="Times New Roman" w:cs="Times New Roman"/>
                <w:color w:val="auto"/>
                <w:sz w:val="21"/>
                <w:szCs w:val="21"/>
                <w:highlight w:val="none"/>
              </w:rPr>
              <w:t>0.00012</w:t>
            </w:r>
            <w:bookmarkEnd w:id="36"/>
            <w:r>
              <w:rPr>
                <w:rFonts w:hint="default" w:ascii="Times New Roman" w:hAnsi="Times New Roman" w:cs="Times New Roman"/>
                <w:color w:val="auto"/>
                <w:sz w:val="21"/>
                <w:szCs w:val="21"/>
                <w:highlight w:val="none"/>
              </w:rPr>
              <w:t>g的H</w:t>
            </w:r>
            <w:r>
              <w:rPr>
                <w:rFonts w:hint="default" w:ascii="Times New Roman" w:hAnsi="Times New Roman" w:cs="Times New Roman"/>
                <w:color w:val="auto"/>
                <w:sz w:val="21"/>
                <w:szCs w:val="21"/>
                <w:highlight w:val="none"/>
                <w:vertAlign w:val="subscript"/>
              </w:rPr>
              <w:t>2</w:t>
            </w:r>
            <w:r>
              <w:rPr>
                <w:rFonts w:hint="default" w:ascii="Times New Roman" w:hAnsi="Times New Roman" w:cs="Times New Roman"/>
                <w:color w:val="auto"/>
                <w:sz w:val="21"/>
                <w:szCs w:val="21"/>
                <w:highlight w:val="none"/>
              </w:rPr>
              <w:t>S。本项目</w:t>
            </w:r>
            <w:r>
              <w:rPr>
                <w:rFonts w:hint="eastAsia" w:ascii="Times New Roman" w:hAnsi="Times New Roman" w:cs="Times New Roman"/>
                <w:color w:val="auto"/>
                <w:sz w:val="21"/>
                <w:szCs w:val="21"/>
                <w:highlight w:val="none"/>
                <w:lang w:val="en-US" w:eastAsia="zh-CN"/>
              </w:rPr>
              <w:t>新增</w:t>
            </w:r>
            <w:r>
              <w:rPr>
                <w:rFonts w:hint="default" w:ascii="Times New Roman" w:hAnsi="Times New Roman" w:cs="Times New Roman"/>
                <w:color w:val="auto"/>
                <w:sz w:val="21"/>
                <w:szCs w:val="21"/>
                <w:highlight w:val="none"/>
              </w:rPr>
              <w:t>污水量为</w:t>
            </w:r>
            <w:r>
              <w:rPr>
                <w:rFonts w:hint="eastAsia" w:ascii="Times New Roman" w:hAnsi="Times New Roman" w:cs="Times New Roman"/>
                <w:color w:val="auto"/>
                <w:sz w:val="21"/>
                <w:szCs w:val="21"/>
                <w:highlight w:val="none"/>
                <w:lang w:val="en-US" w:eastAsia="zh-CN"/>
              </w:rPr>
              <w:t>18.576</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/d，年处理水量为</w:t>
            </w:r>
            <w:r>
              <w:rPr>
                <w:rFonts w:hint="eastAsia" w:ascii="Times New Roman" w:hAnsi="Times New Roman"/>
                <w:color w:val="auto"/>
                <w:highlight w:val="none"/>
                <w:lang w:val="en-US" w:eastAsia="zh-CN"/>
              </w:rPr>
              <w:t>6780</w:t>
            </w:r>
            <w:r>
              <w:rPr>
                <w:rFonts w:hint="eastAsia" w:ascii="Times New Roman" w:hAnsi="Times New Roman"/>
                <w:color w:val="auto"/>
                <w:highlight w:val="none"/>
              </w:rPr>
              <w:t>.24</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/a</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BOD进水</w:t>
            </w:r>
            <w:r>
              <w:rPr>
                <w:rFonts w:hint="eastAsia" w:ascii="Times New Roman" w:hAnsi="Times New Roman" w:cs="Times New Roman"/>
                <w:color w:val="auto"/>
                <w:sz w:val="21"/>
                <w:szCs w:val="21"/>
                <w:highlight w:val="none"/>
                <w:lang w:val="en-US" w:eastAsia="zh-CN"/>
              </w:rPr>
              <w:t>96</w:t>
            </w:r>
            <w:r>
              <w:rPr>
                <w:rFonts w:hint="default" w:ascii="Times New Roman" w:hAnsi="Times New Roman" w:cs="Times New Roman"/>
                <w:color w:val="auto"/>
                <w:sz w:val="21"/>
                <w:szCs w:val="21"/>
                <w:highlight w:val="none"/>
              </w:rPr>
              <w:t>mg/L，出水</w:t>
            </w:r>
            <w:r>
              <w:rPr>
                <w:rFonts w:hint="eastAsia" w:ascii="Times New Roman" w:hAnsi="Times New Roman" w:cs="Times New Roman"/>
                <w:color w:val="auto"/>
                <w:sz w:val="21"/>
                <w:szCs w:val="21"/>
                <w:highlight w:val="none"/>
                <w:lang w:val="en-US" w:eastAsia="zh-CN"/>
              </w:rPr>
              <w:t>2.9</w:t>
            </w:r>
            <w:r>
              <w:rPr>
                <w:rFonts w:hint="default" w:ascii="Times New Roman" w:hAnsi="Times New Roman" w:cs="Times New Roman"/>
                <w:color w:val="auto"/>
                <w:sz w:val="21"/>
                <w:szCs w:val="21"/>
                <w:highlight w:val="none"/>
              </w:rPr>
              <w:t>mg/L，则污水处理</w:t>
            </w:r>
            <w:r>
              <w:rPr>
                <w:rFonts w:hint="eastAsia" w:ascii="Times New Roman" w:hAnsi="Times New Roman" w:cs="Times New Roman"/>
                <w:color w:val="auto"/>
                <w:sz w:val="21"/>
                <w:szCs w:val="21"/>
                <w:highlight w:val="none"/>
                <w:lang w:val="en-US" w:eastAsia="zh-CN"/>
              </w:rPr>
              <w:t>站</w:t>
            </w:r>
            <w:r>
              <w:rPr>
                <w:rFonts w:hint="default" w:ascii="Times New Roman" w:hAnsi="Times New Roman" w:cs="Times New Roman"/>
                <w:color w:val="auto"/>
                <w:sz w:val="21"/>
                <w:szCs w:val="21"/>
                <w:highlight w:val="none"/>
              </w:rPr>
              <w:t>BOD</w:t>
            </w:r>
            <w:r>
              <w:rPr>
                <w:rFonts w:hint="default" w:ascii="Times New Roman" w:hAnsi="Times New Roman" w:cs="Times New Roman"/>
                <w:color w:val="auto"/>
                <w:sz w:val="21"/>
                <w:szCs w:val="21"/>
                <w:highlight w:val="none"/>
                <w:vertAlign w:val="subscript"/>
              </w:rPr>
              <w:t>5</w:t>
            </w:r>
            <w:r>
              <w:rPr>
                <w:rFonts w:hint="default" w:ascii="Times New Roman" w:hAnsi="Times New Roman" w:cs="Times New Roman"/>
                <w:color w:val="auto"/>
                <w:sz w:val="21"/>
                <w:szCs w:val="21"/>
                <w:highlight w:val="none"/>
              </w:rPr>
              <w:t>处理量约为</w:t>
            </w:r>
            <w:r>
              <w:rPr>
                <w:rFonts w:hint="eastAsia" w:ascii="Times New Roman" w:hAnsi="Times New Roman" w:cs="Times New Roman"/>
                <w:color w:val="auto"/>
                <w:sz w:val="21"/>
                <w:szCs w:val="21"/>
                <w:highlight w:val="none"/>
                <w:lang w:val="en-US" w:eastAsia="zh-CN"/>
              </w:rPr>
              <w:t>0.63</w:t>
            </w:r>
            <w:r>
              <w:rPr>
                <w:rFonts w:hint="default" w:ascii="Times New Roman" w:hAnsi="Times New Roman" w:cs="Times New Roman"/>
                <w:color w:val="auto"/>
                <w:sz w:val="21"/>
                <w:szCs w:val="21"/>
                <w:highlight w:val="none"/>
              </w:rPr>
              <w:t>t/a，则NH</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sz w:val="21"/>
                <w:szCs w:val="21"/>
                <w:highlight w:val="none"/>
              </w:rPr>
              <w:t>产生量为</w:t>
            </w:r>
            <w:r>
              <w:rPr>
                <w:rFonts w:hint="eastAsia" w:ascii="Times New Roman" w:hAnsi="Times New Roman" w:cs="Times New Roman"/>
                <w:color w:val="auto"/>
                <w:sz w:val="21"/>
                <w:szCs w:val="21"/>
                <w:highlight w:val="none"/>
                <w:lang w:val="en-US" w:eastAsia="zh-CN"/>
              </w:rPr>
              <w:t>1.95</w:t>
            </w:r>
            <w:r>
              <w:rPr>
                <w:rFonts w:hint="default" w:ascii="Times New Roman" w:hAnsi="Times New Roman" w:cs="Times New Roman"/>
                <w:color w:val="auto"/>
                <w:sz w:val="21"/>
                <w:szCs w:val="21"/>
                <w:highlight w:val="none"/>
              </w:rPr>
              <w:t>kg/a，H</w:t>
            </w:r>
            <w:r>
              <w:rPr>
                <w:rFonts w:hint="default" w:ascii="Times New Roman" w:hAnsi="Times New Roman" w:cs="Times New Roman"/>
                <w:color w:val="auto"/>
                <w:sz w:val="21"/>
                <w:szCs w:val="21"/>
                <w:highlight w:val="none"/>
                <w:vertAlign w:val="subscript"/>
              </w:rPr>
              <w:t>2</w:t>
            </w:r>
            <w:r>
              <w:rPr>
                <w:rFonts w:hint="default" w:ascii="Times New Roman" w:hAnsi="Times New Roman" w:cs="Times New Roman"/>
                <w:color w:val="auto"/>
                <w:sz w:val="21"/>
                <w:szCs w:val="21"/>
                <w:highlight w:val="none"/>
              </w:rPr>
              <w:t>S产生量为0.</w:t>
            </w:r>
            <w:r>
              <w:rPr>
                <w:rFonts w:hint="eastAsia" w:ascii="Times New Roman" w:hAnsi="Times New Roman" w:cs="Times New Roman"/>
                <w:color w:val="auto"/>
                <w:sz w:val="21"/>
                <w:szCs w:val="21"/>
                <w:highlight w:val="none"/>
                <w:lang w:val="en-US" w:eastAsia="zh-CN"/>
              </w:rPr>
              <w:t>076</w:t>
            </w:r>
            <w:r>
              <w:rPr>
                <w:rFonts w:hint="default" w:ascii="Times New Roman" w:hAnsi="Times New Roman" w:cs="Times New Roman"/>
                <w:color w:val="auto"/>
                <w:sz w:val="21"/>
                <w:szCs w:val="21"/>
                <w:highlight w:val="none"/>
              </w:rPr>
              <w:t>kg/a，产生量较小。</w:t>
            </w:r>
          </w:p>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lang w:val="en-US" w:eastAsia="zh-CN"/>
              </w:rPr>
              <w:t>2</w:t>
            </w:r>
            <w:r>
              <w:rPr>
                <w:rFonts w:hint="eastAsia" w:ascii="Times New Roman" w:hAnsi="Times New Roman"/>
                <w:b/>
                <w:bCs/>
                <w:color w:val="auto"/>
                <w:highlight w:val="none"/>
              </w:rPr>
              <w:t>、废水</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（1）产污环节、</w:t>
            </w:r>
            <w:r>
              <w:rPr>
                <w:rFonts w:ascii="Times New Roman" w:hAnsi="Times New Roman"/>
                <w:color w:val="auto"/>
                <w:highlight w:val="none"/>
              </w:rPr>
              <w:t>污染物及污染治理设施</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本项目不新增医护人员办公生活用水，</w:t>
            </w:r>
            <w:r>
              <w:rPr>
                <w:rFonts w:hint="eastAsia"/>
                <w:color w:val="auto"/>
                <w:highlight w:val="none"/>
              </w:rPr>
              <w:t>发热门诊</w:t>
            </w:r>
            <w:r>
              <w:rPr>
                <w:rFonts w:hint="eastAsia"/>
                <w:color w:val="auto"/>
                <w:highlight w:val="none"/>
                <w:lang w:val="en-US" w:eastAsia="zh-CN"/>
              </w:rPr>
              <w:t>诊疗、住院等</w:t>
            </w:r>
            <w:r>
              <w:rPr>
                <w:rFonts w:hint="eastAsia"/>
                <w:color w:val="auto"/>
                <w:highlight w:val="none"/>
              </w:rPr>
              <w:t>废水集中收集，经</w:t>
            </w:r>
            <w:r>
              <w:rPr>
                <w:rFonts w:hint="eastAsia"/>
                <w:color w:val="auto"/>
                <w:highlight w:val="none"/>
                <w:lang w:val="en-US" w:eastAsia="zh-CN"/>
              </w:rPr>
              <w:t>加氯消毒</w:t>
            </w:r>
            <w:r>
              <w:rPr>
                <w:rFonts w:hint="eastAsia"/>
                <w:color w:val="auto"/>
                <w:highlight w:val="none"/>
              </w:rPr>
              <w:t>预处理后</w:t>
            </w:r>
            <w:r>
              <w:rPr>
                <w:rFonts w:hint="eastAsia"/>
                <w:color w:val="auto"/>
                <w:highlight w:val="none"/>
                <w:lang w:eastAsia="zh-CN"/>
              </w:rPr>
              <w:t>，</w:t>
            </w:r>
            <w:r>
              <w:rPr>
                <w:rFonts w:hint="eastAsia"/>
                <w:color w:val="auto"/>
                <w:highlight w:val="none"/>
                <w:lang w:val="en-US" w:eastAsia="zh-CN"/>
              </w:rPr>
              <w:t>汇入医院现有化粪池后</w:t>
            </w:r>
            <w:r>
              <w:rPr>
                <w:rFonts w:hint="eastAsia"/>
                <w:color w:val="auto"/>
                <w:highlight w:val="none"/>
              </w:rPr>
              <w:t>排入污水</w:t>
            </w:r>
            <w:r>
              <w:rPr>
                <w:rFonts w:hint="eastAsia"/>
                <w:color w:val="auto"/>
                <w:highlight w:val="none"/>
                <w:lang w:val="en-US" w:eastAsia="zh-CN"/>
              </w:rPr>
              <w:t>处理</w:t>
            </w:r>
            <w:r>
              <w:rPr>
                <w:rFonts w:hint="eastAsia"/>
                <w:color w:val="auto"/>
                <w:highlight w:val="none"/>
              </w:rPr>
              <w:t>站，达标处理后排入市政污水管网，最终进入西安市第一污水处理厂集中处理</w:t>
            </w:r>
            <w:r>
              <w:rPr>
                <w:rFonts w:hint="eastAsia" w:ascii="Times New Roman" w:hAnsi="Times New Roman"/>
                <w:color w:val="auto"/>
                <w:highlight w:val="none"/>
              </w:rPr>
              <w:t>，属间接排放。</w:t>
            </w:r>
            <w:r>
              <w:rPr>
                <w:rFonts w:ascii="Times New Roman" w:hAnsi="Times New Roman"/>
                <w:color w:val="auto"/>
                <w:highlight w:val="none"/>
              </w:rPr>
              <w:t>产排污节点、污染物及污染治理设施</w:t>
            </w:r>
            <w:r>
              <w:rPr>
                <w:rFonts w:hint="eastAsia" w:ascii="Times New Roman" w:hAnsi="Times New Roman"/>
                <w:color w:val="auto"/>
                <w:highlight w:val="none"/>
              </w:rPr>
              <w:t>见表4-1。</w:t>
            </w:r>
          </w:p>
          <w:p>
            <w:pPr>
              <w:adjustRightInd w:val="0"/>
              <w:snapToGrid w:val="0"/>
              <w:spacing w:before="120" w:beforeLines="50"/>
              <w:jc w:val="center"/>
              <w:rPr>
                <w:rFonts w:ascii="Times New Roman" w:hAnsi="Times New Roman"/>
                <w:b/>
                <w:color w:val="auto"/>
                <w:highlight w:val="none"/>
              </w:rPr>
            </w:pPr>
            <w:r>
              <w:rPr>
                <w:rFonts w:ascii="Times New Roman" w:hAnsi="Times New Roman"/>
                <w:b/>
                <w:color w:val="auto"/>
                <w:highlight w:val="none"/>
              </w:rPr>
              <w:t>表4-1  废</w:t>
            </w:r>
            <w:r>
              <w:rPr>
                <w:rFonts w:hint="eastAsia" w:ascii="Times New Roman" w:hAnsi="Times New Roman"/>
                <w:b/>
                <w:color w:val="auto"/>
                <w:highlight w:val="none"/>
              </w:rPr>
              <w:t>水</w:t>
            </w:r>
            <w:r>
              <w:rPr>
                <w:rFonts w:ascii="Times New Roman" w:hAnsi="Times New Roman"/>
                <w:b/>
                <w:color w:val="auto"/>
                <w:highlight w:val="none"/>
              </w:rPr>
              <w:t>产排污节点、污染物及污染治理设施信息表</w:t>
            </w:r>
          </w:p>
          <w:tbl>
            <w:tblPr>
              <w:tblStyle w:val="20"/>
              <w:tblW w:w="4996"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8"/>
              <w:gridCol w:w="578"/>
              <w:gridCol w:w="398"/>
              <w:gridCol w:w="840"/>
              <w:gridCol w:w="399"/>
              <w:gridCol w:w="682"/>
              <w:gridCol w:w="399"/>
              <w:gridCol w:w="399"/>
              <w:gridCol w:w="399"/>
              <w:gridCol w:w="579"/>
              <w:gridCol w:w="791"/>
              <w:gridCol w:w="399"/>
              <w:gridCol w:w="399"/>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22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序号</w:t>
                  </w:r>
                </w:p>
              </w:tc>
              <w:tc>
                <w:tcPr>
                  <w:tcW w:w="333"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污水</w:t>
                  </w:r>
                </w:p>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来源</w:t>
                  </w:r>
                </w:p>
              </w:tc>
              <w:tc>
                <w:tcPr>
                  <w:tcW w:w="24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污水类别</w:t>
                  </w:r>
                </w:p>
              </w:tc>
              <w:tc>
                <w:tcPr>
                  <w:tcW w:w="492"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污染物</w:t>
                  </w:r>
                </w:p>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种类</w:t>
                  </w:r>
                </w:p>
              </w:tc>
              <w:tc>
                <w:tcPr>
                  <w:tcW w:w="22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排放</w:t>
                  </w:r>
                  <w:r>
                    <w:rPr>
                      <w:rFonts w:hint="eastAsia" w:ascii="Times New Roman" w:hAnsi="Times New Roman"/>
                      <w:b/>
                      <w:bCs/>
                      <w:color w:val="auto"/>
                      <w:szCs w:val="21"/>
                      <w:highlight w:val="none"/>
                    </w:rPr>
                    <w:t>去向</w:t>
                  </w:r>
                </w:p>
              </w:tc>
              <w:tc>
                <w:tcPr>
                  <w:tcW w:w="351"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污染治理设施名称</w:t>
                  </w:r>
                  <w:r>
                    <w:rPr>
                      <w:rFonts w:hint="eastAsia" w:ascii="Times New Roman" w:hAnsi="Times New Roman"/>
                      <w:b/>
                      <w:bCs/>
                      <w:color w:val="auto"/>
                      <w:szCs w:val="21"/>
                      <w:highlight w:val="none"/>
                    </w:rPr>
                    <w:t>及工艺</w:t>
                  </w:r>
                </w:p>
              </w:tc>
              <w:tc>
                <w:tcPr>
                  <w:tcW w:w="22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color w:val="auto"/>
                      <w:szCs w:val="21"/>
                      <w:highlight w:val="none"/>
                    </w:rPr>
                    <w:t>*</w:t>
                  </w:r>
                  <w:r>
                    <w:rPr>
                      <w:rFonts w:ascii="Times New Roman" w:hAnsi="Times New Roman"/>
                      <w:b/>
                      <w:bCs/>
                      <w:color w:val="auto"/>
                      <w:szCs w:val="21"/>
                      <w:highlight w:val="none"/>
                    </w:rPr>
                    <w:t>是否为可行技术</w:t>
                  </w:r>
                </w:p>
              </w:tc>
              <w:tc>
                <w:tcPr>
                  <w:tcW w:w="283"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污染治理设施其他信息</w:t>
                  </w:r>
                </w:p>
              </w:tc>
              <w:tc>
                <w:tcPr>
                  <w:tcW w:w="22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排放形式</w:t>
                  </w:r>
                </w:p>
              </w:tc>
              <w:tc>
                <w:tcPr>
                  <w:tcW w:w="333"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排放规律</w:t>
                  </w:r>
                </w:p>
              </w:tc>
              <w:tc>
                <w:tcPr>
                  <w:tcW w:w="462"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排放口名称</w:t>
                  </w:r>
                  <w:r>
                    <w:rPr>
                      <w:rFonts w:hint="eastAsia" w:ascii="Times New Roman" w:hAnsi="Times New Roman"/>
                      <w:b/>
                      <w:bCs/>
                      <w:color w:val="auto"/>
                      <w:szCs w:val="21"/>
                      <w:highlight w:val="none"/>
                    </w:rPr>
                    <w:t>及</w:t>
                  </w:r>
                  <w:r>
                    <w:rPr>
                      <w:rFonts w:ascii="Times New Roman" w:hAnsi="Times New Roman"/>
                      <w:b/>
                      <w:bCs/>
                      <w:color w:val="auto"/>
                      <w:szCs w:val="21"/>
                      <w:highlight w:val="none"/>
                    </w:rPr>
                    <w:t>编号</w:t>
                  </w:r>
                </w:p>
              </w:tc>
              <w:tc>
                <w:tcPr>
                  <w:tcW w:w="259"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排放口设置是否符合要求</w:t>
                  </w:r>
                </w:p>
              </w:tc>
              <w:tc>
                <w:tcPr>
                  <w:tcW w:w="22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排放口类型</w:t>
                  </w:r>
                </w:p>
              </w:tc>
              <w:tc>
                <w:tcPr>
                  <w:tcW w:w="1118"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6" w:hRule="atLeast"/>
              </w:trPr>
              <w:tc>
                <w:tcPr>
                  <w:tcW w:w="22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1</w:t>
                  </w:r>
                </w:p>
              </w:tc>
              <w:tc>
                <w:tcPr>
                  <w:tcW w:w="33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发热门诊诊疗、住院等</w:t>
                  </w:r>
                </w:p>
              </w:tc>
              <w:tc>
                <w:tcPr>
                  <w:tcW w:w="24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医疗废水</w:t>
                  </w:r>
                </w:p>
              </w:tc>
              <w:tc>
                <w:tcPr>
                  <w:tcW w:w="492"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pH值、</w:t>
                  </w:r>
                  <w:r>
                    <w:rPr>
                      <w:rFonts w:hint="eastAsia" w:ascii="Times New Roman" w:hAnsi="Times New Roman"/>
                      <w:color w:val="auto"/>
                      <w:szCs w:val="21"/>
                      <w:highlight w:val="none"/>
                      <w:lang w:val="zh-CN"/>
                    </w:rPr>
                    <w:t>COD</w:t>
                  </w:r>
                  <w:r>
                    <w:rPr>
                      <w:rFonts w:hint="eastAsia" w:ascii="Times New Roman" w:hAnsi="Times New Roman"/>
                      <w:color w:val="auto"/>
                      <w:szCs w:val="21"/>
                      <w:highlight w:val="none"/>
                    </w:rPr>
                    <w:t>、</w:t>
                  </w:r>
                  <w:r>
                    <w:rPr>
                      <w:rFonts w:hint="eastAsia" w:ascii="Times New Roman" w:hAnsi="Times New Roman"/>
                      <w:color w:val="auto"/>
                      <w:szCs w:val="21"/>
                      <w:highlight w:val="none"/>
                      <w:lang w:val="zh-CN"/>
                    </w:rPr>
                    <w:t>SS</w:t>
                  </w:r>
                  <w:r>
                    <w:rPr>
                      <w:rFonts w:hint="eastAsia" w:ascii="Times New Roman" w:hAnsi="Times New Roman"/>
                      <w:color w:val="auto"/>
                      <w:szCs w:val="21"/>
                      <w:highlight w:val="none"/>
                    </w:rPr>
                    <w:t>、</w:t>
                  </w:r>
                  <w:r>
                    <w:rPr>
                      <w:rFonts w:hint="eastAsia" w:ascii="Times New Roman" w:hAnsi="Times New Roman"/>
                      <w:color w:val="auto"/>
                      <w:szCs w:val="21"/>
                      <w:highlight w:val="none"/>
                      <w:lang w:val="zh-CN"/>
                    </w:rPr>
                    <w:t>BOD</w:t>
                  </w:r>
                  <w:r>
                    <w:rPr>
                      <w:rFonts w:hint="eastAsia" w:ascii="Times New Roman" w:hAnsi="Times New Roman"/>
                      <w:color w:val="auto"/>
                      <w:szCs w:val="21"/>
                      <w:highlight w:val="none"/>
                      <w:vertAlign w:val="subscript"/>
                      <w:lang w:val="zh-CN"/>
                    </w:rPr>
                    <w:t>5</w:t>
                  </w:r>
                  <w:r>
                    <w:rPr>
                      <w:rFonts w:hint="eastAsia" w:ascii="Times New Roman" w:hAnsi="Times New Roman"/>
                      <w:color w:val="auto"/>
                      <w:szCs w:val="21"/>
                      <w:highlight w:val="none"/>
                      <w:lang w:val="zh-CN"/>
                    </w:rPr>
                    <w:t>、氨氮、总磷、总氮、阴离子表面活性剂、</w:t>
                  </w:r>
                  <w:r>
                    <w:rPr>
                      <w:rFonts w:hint="eastAsia" w:ascii="Times New Roman" w:hAnsi="Times New Roman"/>
                      <w:color w:val="auto"/>
                      <w:szCs w:val="21"/>
                      <w:highlight w:val="none"/>
                    </w:rPr>
                    <w:t>总余氯</w:t>
                  </w:r>
                  <w:r>
                    <w:rPr>
                      <w:rFonts w:hint="eastAsia" w:ascii="Times New Roman" w:hAnsi="Times New Roman"/>
                      <w:color w:val="auto"/>
                      <w:szCs w:val="21"/>
                      <w:highlight w:val="none"/>
                      <w:lang w:val="zh-CN"/>
                    </w:rPr>
                    <w:t>以及</w:t>
                  </w:r>
                  <w:r>
                    <w:rPr>
                      <w:rFonts w:hint="eastAsia" w:ascii="Times New Roman" w:hAnsi="Times New Roman"/>
                      <w:color w:val="auto"/>
                      <w:szCs w:val="21"/>
                      <w:highlight w:val="none"/>
                    </w:rPr>
                    <w:t>粪大肠菌群等</w:t>
                  </w:r>
                </w:p>
              </w:tc>
              <w:tc>
                <w:tcPr>
                  <w:tcW w:w="22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进入城镇污水处理厂</w:t>
                  </w:r>
                </w:p>
              </w:tc>
              <w:tc>
                <w:tcPr>
                  <w:tcW w:w="351"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预处理+</w:t>
                  </w:r>
                  <w:r>
                    <w:rPr>
                      <w:rFonts w:hint="eastAsia" w:ascii="Times New Roman" w:hAnsi="Times New Roman"/>
                      <w:color w:val="auto"/>
                      <w:szCs w:val="21"/>
                      <w:highlight w:val="none"/>
                    </w:rPr>
                    <w:t>“二级处理</w:t>
                  </w:r>
                  <w:r>
                    <w:rPr>
                      <w:rFonts w:ascii="Times New Roman" w:hAnsi="Times New Roman"/>
                      <w:color w:val="auto"/>
                      <w:szCs w:val="21"/>
                      <w:highlight w:val="none"/>
                    </w:rPr>
                    <w:t>+</w:t>
                  </w:r>
                  <w:r>
                    <w:rPr>
                      <w:rFonts w:hint="eastAsia" w:ascii="Times New Roman" w:hAnsi="Times New Roman"/>
                      <w:color w:val="auto"/>
                      <w:szCs w:val="21"/>
                      <w:highlight w:val="none"/>
                    </w:rPr>
                    <w:t>二氧化氯消毒”工艺</w:t>
                  </w:r>
                </w:p>
              </w:tc>
              <w:tc>
                <w:tcPr>
                  <w:tcW w:w="22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是</w:t>
                  </w:r>
                </w:p>
              </w:tc>
              <w:tc>
                <w:tcPr>
                  <w:tcW w:w="28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依托</w:t>
                  </w:r>
                  <w:r>
                    <w:rPr>
                      <w:rFonts w:hint="eastAsia" w:ascii="Times New Roman" w:hAnsi="Times New Roman"/>
                      <w:color w:val="auto"/>
                      <w:highlight w:val="none"/>
                    </w:rPr>
                    <w:t>医院现有污水站</w:t>
                  </w:r>
                </w:p>
              </w:tc>
              <w:tc>
                <w:tcPr>
                  <w:tcW w:w="22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间接排放</w:t>
                  </w:r>
                </w:p>
              </w:tc>
              <w:tc>
                <w:tcPr>
                  <w:tcW w:w="33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连续排放，流量不稳定，但有规律，且不属于周期性规律</w:t>
                  </w:r>
                </w:p>
              </w:tc>
              <w:tc>
                <w:tcPr>
                  <w:tcW w:w="462"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废水总排口</w:t>
                  </w:r>
                  <w:r>
                    <w:rPr>
                      <w:rFonts w:ascii="Times New Roman" w:hAnsi="Times New Roman"/>
                      <w:color w:val="auto"/>
                      <w:szCs w:val="21"/>
                      <w:highlight w:val="none"/>
                    </w:rPr>
                    <w:t>D</w:t>
                  </w:r>
                  <w:r>
                    <w:rPr>
                      <w:rFonts w:hint="eastAsia" w:ascii="Times New Roman" w:hAnsi="Times New Roman"/>
                      <w:color w:val="auto"/>
                      <w:szCs w:val="21"/>
                      <w:highlight w:val="none"/>
                    </w:rPr>
                    <w:t>W</w:t>
                  </w:r>
                  <w:r>
                    <w:rPr>
                      <w:rFonts w:ascii="Times New Roman" w:hAnsi="Times New Roman"/>
                      <w:color w:val="auto"/>
                      <w:szCs w:val="21"/>
                      <w:highlight w:val="none"/>
                    </w:rPr>
                    <w:t>001</w:t>
                  </w:r>
                </w:p>
              </w:tc>
              <w:tc>
                <w:tcPr>
                  <w:tcW w:w="25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是</w:t>
                  </w:r>
                </w:p>
              </w:tc>
              <w:tc>
                <w:tcPr>
                  <w:tcW w:w="22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一般排放口</w:t>
                  </w:r>
                </w:p>
              </w:tc>
              <w:tc>
                <w:tcPr>
                  <w:tcW w:w="111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highlight w:val="none"/>
                    </w:rPr>
                    <w:t>《医疗机构水污染物排放标准》（GB18466-2005）表2预处理标准及</w:t>
                  </w:r>
                  <w:r>
                    <w:rPr>
                      <w:rFonts w:hint="eastAsia" w:ascii="Times New Roman" w:hAnsi="Times New Roman"/>
                      <w:color w:val="auto"/>
                      <w:highlight w:val="none"/>
                      <w:lang w:val="zh-CN"/>
                    </w:rPr>
                    <w:t>《污水排入城镇下水道水质标准》（GB/T31962-2015）中</w:t>
                  </w:r>
                  <w:r>
                    <w:rPr>
                      <w:rFonts w:hint="eastAsia" w:ascii="Times New Roman" w:hAnsi="Times New Roman"/>
                      <w:color w:val="auto"/>
                      <w:highlight w:val="none"/>
                    </w:rPr>
                    <w:t>B</w:t>
                  </w:r>
                  <w:r>
                    <w:rPr>
                      <w:rFonts w:hint="eastAsia" w:ascii="Times New Roman" w:hAnsi="Times New Roman"/>
                      <w:color w:val="auto"/>
                      <w:highlight w:val="none"/>
                      <w:lang w:val="zh-CN"/>
                    </w:rPr>
                    <w:t>级标准</w:t>
                  </w:r>
                </w:p>
              </w:tc>
            </w:tr>
          </w:tbl>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（2）水污染物排放源</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本项目废水主要为</w:t>
            </w:r>
            <w:r>
              <w:rPr>
                <w:rFonts w:hint="eastAsia" w:ascii="Times New Roman" w:hAnsi="Times New Roman"/>
                <w:color w:val="auto"/>
                <w:highlight w:val="none"/>
              </w:rPr>
              <w:t>门诊废水和住院废水。</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①门诊废水</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w:t>
            </w:r>
            <w:r>
              <w:rPr>
                <w:rFonts w:hint="eastAsia" w:ascii="Times New Roman" w:hAnsi="Times New Roman"/>
                <w:color w:val="auto"/>
                <w:highlight w:val="none"/>
              </w:rPr>
              <w:t>发热门诊接诊量为60人次</w:t>
            </w:r>
            <w:r>
              <w:rPr>
                <w:rFonts w:ascii="Times New Roman" w:hAnsi="Times New Roman"/>
                <w:color w:val="auto"/>
                <w:highlight w:val="none"/>
              </w:rPr>
              <w:t>/d，</w:t>
            </w:r>
            <w:r>
              <w:rPr>
                <w:rFonts w:ascii="Times New Roman" w:hAnsi="Times New Roman"/>
                <w:color w:val="auto"/>
                <w:szCs w:val="22"/>
                <w:highlight w:val="none"/>
              </w:rPr>
              <w:t>参照《陕西省行业用水定额（DB61/T943-20</w:t>
            </w:r>
            <w:r>
              <w:rPr>
                <w:rFonts w:hint="eastAsia" w:ascii="Times New Roman" w:hAnsi="Times New Roman"/>
                <w:color w:val="auto"/>
                <w:szCs w:val="22"/>
                <w:highlight w:val="none"/>
              </w:rPr>
              <w:t>20</w:t>
            </w:r>
            <w:r>
              <w:rPr>
                <w:rFonts w:ascii="Times New Roman" w:hAnsi="Times New Roman"/>
                <w:color w:val="auto"/>
                <w:szCs w:val="22"/>
                <w:highlight w:val="none"/>
              </w:rPr>
              <w:t>）》</w:t>
            </w:r>
            <w:r>
              <w:rPr>
                <w:rFonts w:hint="eastAsia" w:ascii="Times New Roman" w:hAnsi="Times New Roman"/>
                <w:color w:val="auto"/>
                <w:szCs w:val="22"/>
                <w:highlight w:val="none"/>
              </w:rPr>
              <w:t>，</w:t>
            </w:r>
            <w:r>
              <w:rPr>
                <w:rFonts w:hint="eastAsia" w:ascii="Times New Roman" w:hAnsi="Times New Roman"/>
                <w:color w:val="auto"/>
                <w:highlight w:val="none"/>
              </w:rPr>
              <w:t>门诊部</w:t>
            </w:r>
            <w:r>
              <w:rPr>
                <w:rFonts w:ascii="Times New Roman" w:hAnsi="Times New Roman"/>
                <w:color w:val="auto"/>
                <w:highlight w:val="none"/>
              </w:rPr>
              <w:t>用水为</w:t>
            </w:r>
            <w:r>
              <w:rPr>
                <w:rFonts w:hint="eastAsia" w:ascii="Times New Roman" w:hAnsi="Times New Roman"/>
                <w:color w:val="auto"/>
                <w:highlight w:val="none"/>
              </w:rPr>
              <w:t>12</w:t>
            </w:r>
            <w:r>
              <w:rPr>
                <w:rFonts w:ascii="Times New Roman" w:hAnsi="Times New Roman"/>
                <w:color w:val="auto"/>
                <w:highlight w:val="none"/>
              </w:rPr>
              <w:t>L/（人·</w:t>
            </w:r>
            <w:r>
              <w:rPr>
                <w:rFonts w:hint="eastAsia" w:ascii="Times New Roman" w:hAnsi="Times New Roman"/>
                <w:color w:val="auto"/>
                <w:highlight w:val="none"/>
              </w:rPr>
              <w:t>次</w:t>
            </w:r>
            <w:r>
              <w:rPr>
                <w:rFonts w:ascii="Times New Roman" w:hAnsi="Times New Roman"/>
                <w:color w:val="auto"/>
                <w:highlight w:val="none"/>
              </w:rPr>
              <w:t>），年工作天数为3</w:t>
            </w:r>
            <w:r>
              <w:rPr>
                <w:rFonts w:hint="eastAsia" w:ascii="Times New Roman" w:hAnsi="Times New Roman"/>
                <w:color w:val="auto"/>
                <w:highlight w:val="none"/>
              </w:rPr>
              <w:t>65</w:t>
            </w:r>
            <w:r>
              <w:rPr>
                <w:rFonts w:ascii="Times New Roman" w:hAnsi="Times New Roman"/>
                <w:color w:val="auto"/>
                <w:highlight w:val="none"/>
              </w:rPr>
              <w:t>天，</w:t>
            </w:r>
            <w:r>
              <w:rPr>
                <w:rFonts w:hint="eastAsia" w:ascii="Times New Roman" w:hAnsi="Times New Roman"/>
                <w:color w:val="auto"/>
                <w:highlight w:val="none"/>
              </w:rPr>
              <w:t>则</w:t>
            </w:r>
            <w:r>
              <w:rPr>
                <w:rFonts w:ascii="Times New Roman" w:hAnsi="Times New Roman"/>
                <w:color w:val="auto"/>
                <w:highlight w:val="none"/>
              </w:rPr>
              <w:t>项目</w:t>
            </w:r>
            <w:r>
              <w:rPr>
                <w:rFonts w:hint="eastAsia" w:ascii="Times New Roman" w:hAnsi="Times New Roman"/>
                <w:color w:val="auto"/>
                <w:highlight w:val="none"/>
              </w:rPr>
              <w:t>门诊</w:t>
            </w:r>
            <w:r>
              <w:rPr>
                <w:rFonts w:ascii="Times New Roman" w:hAnsi="Times New Roman"/>
                <w:color w:val="auto"/>
                <w:highlight w:val="none"/>
              </w:rPr>
              <w:t>用水量为0.</w:t>
            </w:r>
            <w:r>
              <w:rPr>
                <w:rFonts w:hint="eastAsia" w:ascii="Times New Roman" w:hAnsi="Times New Roman"/>
                <w:color w:val="auto"/>
                <w:highlight w:val="none"/>
              </w:rPr>
              <w:t>72</w:t>
            </w:r>
            <w:r>
              <w:rPr>
                <w:rFonts w:ascii="Times New Roman" w:hAnsi="Times New Roman"/>
                <w:color w:val="auto"/>
                <w:highlight w:val="none"/>
              </w:rPr>
              <w:t>t/d（</w:t>
            </w:r>
            <w:r>
              <w:rPr>
                <w:rFonts w:hint="eastAsia" w:ascii="Times New Roman" w:hAnsi="Times New Roman"/>
                <w:color w:val="auto"/>
                <w:highlight w:val="none"/>
              </w:rPr>
              <w:t>262.8</w:t>
            </w:r>
            <w:r>
              <w:rPr>
                <w:rFonts w:ascii="Times New Roman" w:hAnsi="Times New Roman"/>
                <w:color w:val="auto"/>
                <w:highlight w:val="none"/>
              </w:rPr>
              <w:t>t/a）。污水排放量约占用水量80%，约0.</w:t>
            </w:r>
            <w:r>
              <w:rPr>
                <w:rFonts w:hint="eastAsia" w:ascii="Times New Roman" w:hAnsi="Times New Roman"/>
                <w:color w:val="auto"/>
                <w:highlight w:val="none"/>
              </w:rPr>
              <w:t>576</w:t>
            </w:r>
            <w:r>
              <w:rPr>
                <w:rFonts w:ascii="Times New Roman" w:hAnsi="Times New Roman"/>
                <w:color w:val="auto"/>
                <w:highlight w:val="none"/>
              </w:rPr>
              <w:t>t/d（</w:t>
            </w:r>
            <w:r>
              <w:rPr>
                <w:rFonts w:hint="eastAsia" w:ascii="Times New Roman" w:hAnsi="Times New Roman"/>
                <w:color w:val="auto"/>
                <w:highlight w:val="none"/>
              </w:rPr>
              <w:t>210.24</w:t>
            </w:r>
            <w:r>
              <w:rPr>
                <w:rFonts w:ascii="Times New Roman" w:hAnsi="Times New Roman"/>
                <w:color w:val="auto"/>
                <w:highlight w:val="none"/>
              </w:rPr>
              <w:t>t/a）。生活污水</w:t>
            </w:r>
            <w:r>
              <w:rPr>
                <w:rFonts w:hint="eastAsia" w:ascii="Times New Roman" w:hAnsi="Times New Roman"/>
                <w:color w:val="auto"/>
                <w:highlight w:val="none"/>
              </w:rPr>
              <w:t>水污染物</w:t>
            </w:r>
            <w:r>
              <w:rPr>
                <w:rFonts w:ascii="Times New Roman" w:hAnsi="Times New Roman"/>
                <w:color w:val="auto"/>
                <w:highlight w:val="none"/>
              </w:rPr>
              <w:t>主要为COD、BOD</w:t>
            </w:r>
            <w:r>
              <w:rPr>
                <w:rFonts w:ascii="Times New Roman" w:hAnsi="Times New Roman"/>
                <w:color w:val="auto"/>
                <w:highlight w:val="none"/>
                <w:vertAlign w:val="subscript"/>
              </w:rPr>
              <w:t>5</w:t>
            </w:r>
            <w:r>
              <w:rPr>
                <w:rFonts w:ascii="Times New Roman" w:hAnsi="Times New Roman"/>
                <w:color w:val="auto"/>
                <w:highlight w:val="none"/>
              </w:rPr>
              <w:t>、SS、NH</w:t>
            </w:r>
            <w:r>
              <w:rPr>
                <w:rFonts w:ascii="Times New Roman" w:hAnsi="Times New Roman"/>
                <w:color w:val="auto"/>
                <w:highlight w:val="none"/>
                <w:vertAlign w:val="subscript"/>
              </w:rPr>
              <w:t>3</w:t>
            </w:r>
            <w:r>
              <w:rPr>
                <w:rFonts w:ascii="Times New Roman" w:hAnsi="Times New Roman"/>
                <w:color w:val="auto"/>
                <w:highlight w:val="none"/>
              </w:rPr>
              <w:t>-N</w:t>
            </w:r>
            <w:r>
              <w:rPr>
                <w:rFonts w:hint="eastAsia" w:ascii="Times New Roman" w:hAnsi="Times New Roman"/>
                <w:color w:val="auto"/>
                <w:szCs w:val="24"/>
                <w:highlight w:val="none"/>
              </w:rPr>
              <w:t>、</w:t>
            </w:r>
            <w:r>
              <w:rPr>
                <w:rFonts w:ascii="Times New Roman" w:hAnsi="Times New Roman"/>
                <w:color w:val="auto"/>
                <w:szCs w:val="24"/>
                <w:highlight w:val="none"/>
              </w:rPr>
              <w:t>粪大肠菌群</w:t>
            </w:r>
            <w:r>
              <w:rPr>
                <w:rFonts w:ascii="Times New Roman" w:hAnsi="Times New Roman"/>
                <w:color w:val="auto"/>
                <w:highlight w:val="none"/>
              </w:rPr>
              <w:t>等。</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②住院废水</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w:t>
            </w:r>
            <w:r>
              <w:rPr>
                <w:rFonts w:hint="eastAsia" w:ascii="Times New Roman" w:hAnsi="Times New Roman"/>
                <w:color w:val="auto"/>
                <w:highlight w:val="none"/>
              </w:rPr>
              <w:t>发热门诊设置床位</w:t>
            </w:r>
            <w:r>
              <w:rPr>
                <w:rFonts w:hint="eastAsia" w:ascii="Times New Roman" w:hAnsi="Times New Roman"/>
                <w:color w:val="auto"/>
                <w:highlight w:val="none"/>
                <w:lang w:val="en-US" w:eastAsia="zh-CN"/>
              </w:rPr>
              <w:t>90</w:t>
            </w:r>
            <w:r>
              <w:rPr>
                <w:rFonts w:hint="eastAsia" w:ascii="Times New Roman" w:hAnsi="Times New Roman"/>
                <w:color w:val="auto"/>
                <w:highlight w:val="none"/>
              </w:rPr>
              <w:t>张，</w:t>
            </w:r>
            <w:r>
              <w:rPr>
                <w:rFonts w:ascii="Times New Roman" w:hAnsi="Times New Roman"/>
                <w:color w:val="auto"/>
                <w:szCs w:val="22"/>
                <w:highlight w:val="none"/>
              </w:rPr>
              <w:t>参照《陕西省行业用水定额（DB61/T943-20</w:t>
            </w:r>
            <w:r>
              <w:rPr>
                <w:rFonts w:hint="eastAsia" w:ascii="Times New Roman" w:hAnsi="Times New Roman"/>
                <w:color w:val="auto"/>
                <w:szCs w:val="22"/>
                <w:highlight w:val="none"/>
              </w:rPr>
              <w:t>20</w:t>
            </w:r>
            <w:r>
              <w:rPr>
                <w:rFonts w:ascii="Times New Roman" w:hAnsi="Times New Roman"/>
                <w:color w:val="auto"/>
                <w:szCs w:val="22"/>
                <w:highlight w:val="none"/>
              </w:rPr>
              <w:t>）》</w:t>
            </w:r>
            <w:r>
              <w:rPr>
                <w:rFonts w:hint="eastAsia" w:ascii="Times New Roman" w:hAnsi="Times New Roman"/>
                <w:color w:val="auto"/>
                <w:szCs w:val="22"/>
                <w:highlight w:val="none"/>
              </w:rPr>
              <w:t>，</w:t>
            </w:r>
            <w:r>
              <w:rPr>
                <w:rFonts w:hint="eastAsia" w:ascii="Times New Roman" w:hAnsi="Times New Roman"/>
                <w:color w:val="auto"/>
                <w:highlight w:val="none"/>
              </w:rPr>
              <w:t>发热门诊住院</w:t>
            </w:r>
            <w:r>
              <w:rPr>
                <w:rFonts w:ascii="Times New Roman" w:hAnsi="Times New Roman"/>
                <w:color w:val="auto"/>
                <w:highlight w:val="none"/>
              </w:rPr>
              <w:t>用水</w:t>
            </w:r>
            <w:r>
              <w:rPr>
                <w:rFonts w:hint="eastAsia" w:ascii="Times New Roman" w:hAnsi="Times New Roman"/>
                <w:color w:val="auto"/>
                <w:highlight w:val="none"/>
              </w:rPr>
              <w:t>量按250</w:t>
            </w:r>
            <w:r>
              <w:rPr>
                <w:rFonts w:ascii="Times New Roman" w:hAnsi="Times New Roman"/>
                <w:color w:val="auto"/>
                <w:highlight w:val="none"/>
              </w:rPr>
              <w:t>L/</w:t>
            </w:r>
            <w:r>
              <w:rPr>
                <w:rFonts w:hint="eastAsia" w:ascii="Times New Roman" w:hAnsi="Times New Roman"/>
                <w:color w:val="auto"/>
                <w:highlight w:val="none"/>
              </w:rPr>
              <w:t>床</w:t>
            </w:r>
            <w:r>
              <w:rPr>
                <w:rFonts w:ascii="Times New Roman" w:hAnsi="Times New Roman"/>
                <w:color w:val="auto"/>
                <w:highlight w:val="none"/>
              </w:rPr>
              <w:t>·d</w:t>
            </w:r>
            <w:r>
              <w:rPr>
                <w:rFonts w:hint="eastAsia" w:ascii="Times New Roman" w:hAnsi="Times New Roman"/>
                <w:color w:val="auto"/>
                <w:highlight w:val="none"/>
              </w:rPr>
              <w:t>计，</w:t>
            </w:r>
            <w:r>
              <w:rPr>
                <w:rFonts w:ascii="Times New Roman" w:hAnsi="Times New Roman"/>
                <w:color w:val="auto"/>
                <w:highlight w:val="none"/>
              </w:rPr>
              <w:t>项目</w:t>
            </w:r>
            <w:r>
              <w:rPr>
                <w:rFonts w:hint="eastAsia" w:ascii="Times New Roman" w:hAnsi="Times New Roman"/>
                <w:color w:val="auto"/>
                <w:highlight w:val="none"/>
              </w:rPr>
              <w:t>发热门诊住院</w:t>
            </w:r>
            <w:r>
              <w:rPr>
                <w:rFonts w:ascii="Times New Roman" w:hAnsi="Times New Roman"/>
                <w:color w:val="auto"/>
                <w:highlight w:val="none"/>
              </w:rPr>
              <w:t>用水量为</w:t>
            </w:r>
            <w:r>
              <w:rPr>
                <w:rFonts w:hint="eastAsia" w:ascii="Times New Roman" w:hAnsi="Times New Roman"/>
                <w:color w:val="auto"/>
                <w:highlight w:val="none"/>
                <w:lang w:val="en-US" w:eastAsia="zh-CN"/>
              </w:rPr>
              <w:t>22.5</w:t>
            </w:r>
            <w:r>
              <w:rPr>
                <w:rFonts w:ascii="Times New Roman" w:hAnsi="Times New Roman"/>
                <w:color w:val="auto"/>
                <w:highlight w:val="none"/>
              </w:rPr>
              <w:t>t/d（</w:t>
            </w:r>
            <w:r>
              <w:rPr>
                <w:rFonts w:hint="eastAsia" w:ascii="Times New Roman" w:hAnsi="Times New Roman"/>
                <w:color w:val="auto"/>
                <w:highlight w:val="none"/>
                <w:lang w:val="en-US" w:eastAsia="zh-CN"/>
              </w:rPr>
              <w:t>8212.5</w:t>
            </w:r>
            <w:r>
              <w:rPr>
                <w:rFonts w:ascii="Times New Roman" w:hAnsi="Times New Roman"/>
                <w:color w:val="auto"/>
                <w:highlight w:val="none"/>
              </w:rPr>
              <w:t>t/a）。污水排放量约占用水量80%，约</w:t>
            </w:r>
            <w:r>
              <w:rPr>
                <w:rFonts w:hint="eastAsia" w:ascii="Times New Roman" w:hAnsi="Times New Roman"/>
                <w:color w:val="auto"/>
                <w:highlight w:val="none"/>
                <w:lang w:val="en-US" w:eastAsia="zh-CN"/>
              </w:rPr>
              <w:t>18</w:t>
            </w:r>
            <w:r>
              <w:rPr>
                <w:rFonts w:ascii="Times New Roman" w:hAnsi="Times New Roman"/>
                <w:color w:val="auto"/>
                <w:highlight w:val="none"/>
              </w:rPr>
              <w:t>t/d（</w:t>
            </w:r>
            <w:r>
              <w:rPr>
                <w:rFonts w:hint="eastAsia" w:ascii="Times New Roman" w:hAnsi="Times New Roman"/>
                <w:color w:val="auto"/>
                <w:highlight w:val="none"/>
                <w:lang w:val="en-US" w:eastAsia="zh-CN"/>
              </w:rPr>
              <w:t>6570</w:t>
            </w:r>
            <w:r>
              <w:rPr>
                <w:rFonts w:ascii="Times New Roman" w:hAnsi="Times New Roman"/>
                <w:color w:val="auto"/>
                <w:highlight w:val="none"/>
              </w:rPr>
              <w:t>t/a）。</w:t>
            </w:r>
            <w:r>
              <w:rPr>
                <w:rFonts w:hint="eastAsia" w:ascii="Times New Roman" w:hAnsi="Times New Roman"/>
                <w:color w:val="auto"/>
                <w:highlight w:val="none"/>
              </w:rPr>
              <w:t>发热门诊住院废水水污染物</w:t>
            </w:r>
            <w:r>
              <w:rPr>
                <w:rFonts w:ascii="Times New Roman" w:hAnsi="Times New Roman"/>
                <w:color w:val="auto"/>
                <w:highlight w:val="none"/>
              </w:rPr>
              <w:t>主要为COD、BOD</w:t>
            </w:r>
            <w:r>
              <w:rPr>
                <w:rFonts w:ascii="Times New Roman" w:hAnsi="Times New Roman"/>
                <w:color w:val="auto"/>
                <w:highlight w:val="none"/>
                <w:vertAlign w:val="subscript"/>
              </w:rPr>
              <w:t>5</w:t>
            </w:r>
            <w:r>
              <w:rPr>
                <w:rFonts w:ascii="Times New Roman" w:hAnsi="Times New Roman"/>
                <w:color w:val="auto"/>
                <w:highlight w:val="none"/>
              </w:rPr>
              <w:t>、SS、NH</w:t>
            </w:r>
            <w:r>
              <w:rPr>
                <w:rFonts w:ascii="Times New Roman" w:hAnsi="Times New Roman"/>
                <w:color w:val="auto"/>
                <w:highlight w:val="none"/>
                <w:vertAlign w:val="subscript"/>
              </w:rPr>
              <w:t>3</w:t>
            </w:r>
            <w:r>
              <w:rPr>
                <w:rFonts w:ascii="Times New Roman" w:hAnsi="Times New Roman"/>
                <w:color w:val="auto"/>
                <w:highlight w:val="none"/>
              </w:rPr>
              <w:t>-N</w:t>
            </w:r>
            <w:r>
              <w:rPr>
                <w:rFonts w:hint="eastAsia" w:ascii="Times New Roman" w:hAnsi="Times New Roman"/>
                <w:color w:val="auto"/>
                <w:szCs w:val="24"/>
                <w:highlight w:val="none"/>
              </w:rPr>
              <w:t>、</w:t>
            </w:r>
            <w:r>
              <w:rPr>
                <w:rFonts w:ascii="Times New Roman" w:hAnsi="Times New Roman"/>
                <w:color w:val="auto"/>
                <w:szCs w:val="24"/>
                <w:highlight w:val="none"/>
              </w:rPr>
              <w:t>粪大肠菌群</w:t>
            </w:r>
            <w:r>
              <w:rPr>
                <w:rFonts w:ascii="Times New Roman" w:hAnsi="Times New Roman"/>
                <w:color w:val="auto"/>
                <w:highlight w:val="none"/>
              </w:rPr>
              <w:t>等。</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综上，本项目发热门诊废水排放量为</w:t>
            </w:r>
            <w:r>
              <w:rPr>
                <w:rFonts w:hint="eastAsia" w:ascii="Times New Roman" w:hAnsi="Times New Roman"/>
                <w:color w:val="auto"/>
                <w:highlight w:val="none"/>
                <w:lang w:val="en-US" w:eastAsia="zh-CN"/>
              </w:rPr>
              <w:t>18</w:t>
            </w:r>
            <w:r>
              <w:rPr>
                <w:rFonts w:hint="eastAsia" w:ascii="Times New Roman" w:hAnsi="Times New Roman"/>
                <w:color w:val="auto"/>
                <w:highlight w:val="none"/>
              </w:rPr>
              <w:t>.</w:t>
            </w:r>
            <w:r>
              <w:rPr>
                <w:rFonts w:hint="eastAsia" w:ascii="Times New Roman" w:hAnsi="Times New Roman"/>
                <w:color w:val="auto"/>
                <w:highlight w:val="none"/>
                <w:lang w:val="en-US" w:eastAsia="zh-CN"/>
              </w:rPr>
              <w:t>5</w:t>
            </w:r>
            <w:r>
              <w:rPr>
                <w:rFonts w:hint="eastAsia" w:ascii="Times New Roman" w:hAnsi="Times New Roman"/>
                <w:color w:val="auto"/>
                <w:highlight w:val="none"/>
              </w:rPr>
              <w:t>76</w:t>
            </w:r>
            <w:r>
              <w:rPr>
                <w:rFonts w:ascii="Times New Roman" w:hAnsi="Times New Roman"/>
                <w:color w:val="auto"/>
                <w:highlight w:val="none"/>
              </w:rPr>
              <w:t>t/d（</w:t>
            </w:r>
            <w:r>
              <w:rPr>
                <w:rFonts w:hint="eastAsia" w:ascii="Times New Roman" w:hAnsi="Times New Roman"/>
                <w:color w:val="auto"/>
                <w:highlight w:val="none"/>
                <w:lang w:val="en-US" w:eastAsia="zh-CN"/>
              </w:rPr>
              <w:t>6780</w:t>
            </w:r>
            <w:r>
              <w:rPr>
                <w:rFonts w:hint="eastAsia" w:ascii="Times New Roman" w:hAnsi="Times New Roman"/>
                <w:color w:val="auto"/>
                <w:highlight w:val="none"/>
              </w:rPr>
              <w:t>.24</w:t>
            </w:r>
            <w:r>
              <w:rPr>
                <w:rFonts w:ascii="Times New Roman" w:hAnsi="Times New Roman"/>
                <w:color w:val="auto"/>
                <w:highlight w:val="none"/>
              </w:rPr>
              <w:t>t/a）</w:t>
            </w:r>
            <w:r>
              <w:rPr>
                <w:rFonts w:hint="eastAsia" w:ascii="Times New Roman" w:hAnsi="Times New Roman"/>
                <w:color w:val="auto"/>
                <w:highlight w:val="none"/>
              </w:rPr>
              <w:t>，</w:t>
            </w:r>
            <w:r>
              <w:rPr>
                <w:rFonts w:ascii="Times New Roman" w:hAnsi="Times New Roman"/>
                <w:color w:val="auto"/>
                <w:highlight w:val="none"/>
              </w:rPr>
              <w:t>根据</w:t>
            </w:r>
            <w:r>
              <w:rPr>
                <w:rFonts w:hint="eastAsia" w:ascii="Times New Roman" w:hAnsi="Times New Roman"/>
                <w:color w:val="auto"/>
                <w:highlight w:val="none"/>
              </w:rPr>
              <w:t>2022年3月份医院</w:t>
            </w:r>
            <w:r>
              <w:rPr>
                <w:rFonts w:ascii="Times New Roman" w:hAnsi="Times New Roman"/>
                <w:color w:val="auto"/>
                <w:highlight w:val="none"/>
              </w:rPr>
              <w:t>正常运行期间自行监测数据（</w:t>
            </w:r>
            <w:r>
              <w:rPr>
                <w:rFonts w:hint="eastAsia" w:ascii="Times New Roman" w:hAnsi="Times New Roman"/>
                <w:color w:val="auto"/>
                <w:highlight w:val="none"/>
              </w:rPr>
              <w:t>智领监（水）[2022]字第0117号</w:t>
            </w:r>
            <w:r>
              <w:rPr>
                <w:rFonts w:ascii="Times New Roman" w:hAnsi="Times New Roman"/>
                <w:color w:val="auto"/>
                <w:highlight w:val="none"/>
              </w:rPr>
              <w:t>）的监测结果，本次评价选取监测</w:t>
            </w:r>
            <w:r>
              <w:rPr>
                <w:rFonts w:hint="eastAsia" w:ascii="Times New Roman" w:hAnsi="Times New Roman"/>
                <w:color w:val="auto"/>
                <w:highlight w:val="none"/>
              </w:rPr>
              <w:t>平均</w:t>
            </w:r>
            <w:r>
              <w:rPr>
                <w:rFonts w:ascii="Times New Roman" w:hAnsi="Times New Roman"/>
                <w:color w:val="auto"/>
                <w:highlight w:val="none"/>
              </w:rPr>
              <w:t>值进行分析评价</w:t>
            </w:r>
            <w:r>
              <w:rPr>
                <w:rFonts w:hint="eastAsia" w:ascii="Times New Roman" w:hAnsi="Times New Roman"/>
                <w:color w:val="auto"/>
                <w:highlight w:val="none"/>
              </w:rPr>
              <w:t>，监测报告见附件</w:t>
            </w:r>
            <w:r>
              <w:rPr>
                <w:rFonts w:ascii="Times New Roman" w:hAnsi="Times New Roman"/>
                <w:color w:val="auto"/>
                <w:highlight w:val="none"/>
              </w:rPr>
              <w:t>。</w:t>
            </w:r>
          </w:p>
          <w:p>
            <w:pPr>
              <w:wordWrap w:val="0"/>
              <w:spacing w:line="360" w:lineRule="auto"/>
              <w:ind w:firstLine="420" w:firstLineChars="200"/>
              <w:rPr>
                <w:rFonts w:hint="eastAsia" w:ascii="Times New Roman" w:hAnsi="Times New Roman"/>
                <w:color w:val="auto"/>
                <w:highlight w:val="none"/>
              </w:rPr>
            </w:pPr>
            <w:r>
              <w:rPr>
                <w:rFonts w:hint="eastAsia" w:ascii="Times New Roman" w:hAnsi="Times New Roman"/>
                <w:color w:val="auto"/>
                <w:highlight w:val="none"/>
              </w:rPr>
              <w:t>项目水平衡图见图4-1，</w:t>
            </w:r>
            <w:r>
              <w:rPr>
                <w:rFonts w:ascii="Times New Roman" w:hAnsi="Times New Roman"/>
                <w:color w:val="auto"/>
                <w:highlight w:val="none"/>
                <w:lang w:val="zh-TW"/>
              </w:rPr>
              <w:t>项目水污染物</w:t>
            </w:r>
            <w:r>
              <w:rPr>
                <w:rFonts w:hint="eastAsia" w:ascii="Times New Roman" w:hAnsi="Times New Roman"/>
                <w:color w:val="auto"/>
                <w:highlight w:val="none"/>
              </w:rPr>
              <w:t>污染源源强核算结果及相关参数见表4-2。</w:t>
            </w:r>
          </w:p>
          <w:p>
            <w:pPr>
              <w:pStyle w:val="8"/>
              <w:rPr>
                <w:color w:val="auto"/>
                <w:highlight w:val="none"/>
              </w:rPr>
            </w:pPr>
            <w:r>
              <w:rPr>
                <w:color w:val="auto"/>
                <w:highlight w:val="none"/>
              </w:rPr>
              <mc:AlternateContent>
                <mc:Choice Requires="wps">
                  <w:drawing>
                    <wp:anchor distT="0" distB="0" distL="114300" distR="114300" simplePos="0" relativeHeight="251688960" behindDoc="0" locked="0" layoutInCell="1" allowOverlap="1">
                      <wp:simplePos x="0" y="0"/>
                      <wp:positionH relativeFrom="column">
                        <wp:posOffset>2092325</wp:posOffset>
                      </wp:positionH>
                      <wp:positionV relativeFrom="paragraph">
                        <wp:posOffset>114935</wp:posOffset>
                      </wp:positionV>
                      <wp:extent cx="492760" cy="292100"/>
                      <wp:effectExtent l="0" t="0" r="0" b="0"/>
                      <wp:wrapNone/>
                      <wp:docPr id="42" name="矩形 42"/>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0.144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4.75pt;margin-top:9.05pt;height:23pt;width:38.8pt;z-index:251688960;v-text-anchor:middle;mso-width-relative:page;mso-height-relative:page;" filled="f" stroked="f" coordsize="21600,21600" o:gfxdata="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0l2HfdUAAAAJAQAADwAA&#10;AAAAAAABACAAAAAiAAAAZHJzL2Rvd25yZXYueG1sUEsBAhQAFAAAAAgAh07iQHXudiZSAgAAlgQA&#10;AA4AAAAAAAAAAQAgAAAAJAEAAGRycy9lMm9Eb2MueG1sUEsFBgAAAAAGAAYAWQEAAOgFAAAAAA==&#10;">
                      <v:fill on="f" focussize="0,0"/>
                      <v:stroke on="f"/>
                      <v:imagedata o:title=""/>
                      <o:lock v:ext="edit" aspectratio="f"/>
                      <v:textbo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0.144</w:t>
                            </w:r>
                          </w:p>
                        </w:txbxContent>
                      </v:textbox>
                    </v:rect>
                  </w:pict>
                </mc:Fallback>
              </mc:AlternateContent>
            </w:r>
            <w:r>
              <w:rPr>
                <w:color w:val="auto"/>
                <w:highlight w:val="none"/>
              </w:rPr>
              <mc:AlternateContent>
                <mc:Choice Requires="wps">
                  <w:drawing>
                    <wp:anchor distT="0" distB="0" distL="114300" distR="114300" simplePos="0" relativeHeight="251687936" behindDoc="0" locked="0" layoutInCell="1" allowOverlap="1">
                      <wp:simplePos x="0" y="0"/>
                      <wp:positionH relativeFrom="column">
                        <wp:posOffset>1997710</wp:posOffset>
                      </wp:positionH>
                      <wp:positionV relativeFrom="paragraph">
                        <wp:posOffset>250190</wp:posOffset>
                      </wp:positionV>
                      <wp:extent cx="160020" cy="154305"/>
                      <wp:effectExtent l="3175" t="0" r="4445" b="13335"/>
                      <wp:wrapNone/>
                      <wp:docPr id="41" name="直接箭头连接符 41"/>
                      <wp:cNvGraphicFramePr/>
                      <a:graphic xmlns:a="http://schemas.openxmlformats.org/drawingml/2006/main">
                        <a:graphicData uri="http://schemas.microsoft.com/office/word/2010/wordprocessingShape">
                          <wps:wsp>
                            <wps:cNvCnPr/>
                            <wps:spPr>
                              <a:xfrm flipV="1">
                                <a:off x="0" y="0"/>
                                <a:ext cx="160020" cy="154305"/>
                              </a:xfrm>
                              <a:prstGeom prst="straightConnector1">
                                <a:avLst/>
                              </a:prstGeom>
                              <a:ln>
                                <a:prstDash val="sysDash"/>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57.3pt;margin-top:19.7pt;height:12.15pt;width:12.6pt;z-index:251687936;mso-width-relative:page;mso-height-relative:page;" filled="f" stroked="t" coordsize="21600,21600" o:gfxdata="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BKzuJtgAAAAJAQAADwAAAAAAAAABACAAAAAiAAAAZHJzL2Rvd25yZXYueG1s&#10;UEsBAhQAFAAAAAgAh07iQLVJUwExAgAAPwQAAA4AAAAAAAAAAQAgAAAAJwEAAGRycy9lMm9Eb2Mu&#10;eG1sUEsFBgAAAAAGAAYAWQEAAMoFAAAAAA==&#10;">
                      <v:fill on="f" focussize="0,0"/>
                      <v:stroke color="#000000 [3200]" joinstyle="round" dashstyle="3 1" endarrow="block"/>
                      <v:imagedata o:title=""/>
                      <o:lock v:ext="edit" aspectratio="f"/>
                    </v:shape>
                  </w:pict>
                </mc:Fallback>
              </mc:AlternateContent>
            </w:r>
          </w:p>
          <w:p>
            <w:pPr>
              <w:pStyle w:val="8"/>
              <w:rPr>
                <w:color w:val="auto"/>
                <w:highlight w:val="none"/>
              </w:rPr>
            </w:pPr>
            <w:r>
              <w:rPr>
                <w:color w:val="auto"/>
                <w:highlight w:val="none"/>
              </w:rPr>
              <mc:AlternateContent>
                <mc:Choice Requires="wps">
                  <w:drawing>
                    <wp:anchor distT="0" distB="0" distL="114300" distR="114300" simplePos="0" relativeHeight="251701248" behindDoc="0" locked="0" layoutInCell="1" allowOverlap="1">
                      <wp:simplePos x="0" y="0"/>
                      <wp:positionH relativeFrom="column">
                        <wp:posOffset>2816225</wp:posOffset>
                      </wp:positionH>
                      <wp:positionV relativeFrom="paragraph">
                        <wp:posOffset>51435</wp:posOffset>
                      </wp:positionV>
                      <wp:extent cx="492760" cy="292100"/>
                      <wp:effectExtent l="0" t="0" r="0" b="0"/>
                      <wp:wrapNone/>
                      <wp:docPr id="58" name="矩形 58"/>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0.576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1.75pt;margin-top:4.05pt;height:23pt;width:38.8pt;z-index:251701248;v-text-anchor:middle;mso-width-relative:page;mso-height-relative:page;" filled="f" stroked="f" coordsize="21600,21600" o:gfxdata="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nfdND1AAAAAgBAAAPAAAA&#10;AAAAAAEAIAAAACIAAABkcnMvZG93bnJldi54bWxQSwECFAAUAAAACACHTuJAVFzlMFICAACWBAAA&#10;DgAAAAAAAAABACAAAAAjAQAAZHJzL2Uyb0RvYy54bWxQSwUGAAAAAAYABgBZAQAA5wUAAAAA&#10;">
                      <v:fill on="f" focussize="0,0"/>
                      <v:stroke on="f"/>
                      <v:imagedata o:title=""/>
                      <o:lock v:ext="edit" aspectratio="f"/>
                      <v:textbo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0.576</w:t>
                            </w:r>
                          </w:p>
                        </w:txbxContent>
                      </v:textbox>
                    </v:rect>
                  </w:pict>
                </mc:Fallback>
              </mc:AlternateContent>
            </w:r>
            <w:r>
              <w:rPr>
                <w:color w:val="auto"/>
                <w:highlight w:val="none"/>
              </w:rPr>
              <mc:AlternateContent>
                <mc:Choice Requires="wps">
                  <w:drawing>
                    <wp:anchor distT="0" distB="0" distL="114300" distR="114300" simplePos="0" relativeHeight="251684864" behindDoc="0" locked="0" layoutInCell="1" allowOverlap="1">
                      <wp:simplePos x="0" y="0"/>
                      <wp:positionH relativeFrom="column">
                        <wp:posOffset>1627505</wp:posOffset>
                      </wp:positionH>
                      <wp:positionV relativeFrom="paragraph">
                        <wp:posOffset>127635</wp:posOffset>
                      </wp:positionV>
                      <wp:extent cx="927100" cy="292100"/>
                      <wp:effectExtent l="4445" t="4445" r="13335" b="8255"/>
                      <wp:wrapNone/>
                      <wp:docPr id="38" name="矩形 38"/>
                      <wp:cNvGraphicFramePr/>
                      <a:graphic xmlns:a="http://schemas.openxmlformats.org/drawingml/2006/main">
                        <a:graphicData uri="http://schemas.microsoft.com/office/word/2010/wordprocessingShape">
                          <wps:wsp>
                            <wps:cNvSpPr/>
                            <wps:spPr>
                              <a:xfrm>
                                <a:off x="2743835" y="2792095"/>
                                <a:ext cx="927100" cy="2921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门诊用水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8.15pt;margin-top:10.05pt;height:23pt;width:73pt;z-index:251684864;v-text-anchor:middle;mso-width-relative:page;mso-height-relative:page;" filled="f" stroked="t" coordsize="21600,21600" o:gfxdata="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FgmgznXAAAACQEAAA8AAAAAAAAAAQAgAAAAIgAAAGRycy9kb3ducmV2Lnht&#10;bFBLAQIUABQAAAAIAIdO4kCwTp2ZbAIAAMsEAAAOAAAAAAAAAAEAIAAAACYBAABkcnMvZTJvRG9j&#10;LnhtbFBLBQYAAAAABgAGAFkBAAAEBgAAAAA=&#10;">
                      <v:fill on="f" focussize="0,0"/>
                      <v:stroke color="#000000 [3213]" joinstyle="round"/>
                      <v:imagedata o:title=""/>
                      <o:lock v:ext="edit" aspectratio="f"/>
                      <v:textbox>
                        <w:txbxContent>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门诊用水</w:t>
                            </w:r>
                          </w:p>
                        </w:txbxContent>
                      </v:textbox>
                    </v:rect>
                  </w:pict>
                </mc:Fallback>
              </mc:AlternateContent>
            </w:r>
            <w:r>
              <w:rPr>
                <w:color w:val="auto"/>
                <w:highlight w:val="none"/>
              </w:rPr>
              <mc:AlternateContent>
                <mc:Choice Requires="wps">
                  <w:drawing>
                    <wp:anchor distT="0" distB="0" distL="114300" distR="114300" simplePos="0" relativeHeight="251700224" behindDoc="0" locked="0" layoutInCell="1" allowOverlap="1">
                      <wp:simplePos x="0" y="0"/>
                      <wp:positionH relativeFrom="column">
                        <wp:posOffset>865505</wp:posOffset>
                      </wp:positionH>
                      <wp:positionV relativeFrom="paragraph">
                        <wp:posOffset>51435</wp:posOffset>
                      </wp:positionV>
                      <wp:extent cx="492760" cy="292100"/>
                      <wp:effectExtent l="0" t="0" r="0" b="0"/>
                      <wp:wrapNone/>
                      <wp:docPr id="57" name="矩形 57"/>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0.72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8.15pt;margin-top:4.05pt;height:23pt;width:38.8pt;z-index:251700224;v-text-anchor:middle;mso-width-relative:page;mso-height-relative:page;" filled="f" stroked="f" coordsize="21600,21600" o:gfxdata="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lwf3tQAAAAIAQAADwAA&#10;AAAAAAABACAAAAAiAAAAZHJzL2Rvd25yZXYueG1sUEsBAhQAFAAAAAgAh07iQBdCq9tTAgAAlgQA&#10;AA4AAAAAAAAAAQAgAAAAIwEAAGRycy9lMm9Eb2MueG1sUEsFBgAAAAAGAAYAWQEAAOgFAAAAAA==&#10;">
                      <v:fill on="f" focussize="0,0"/>
                      <v:stroke on="f"/>
                      <v:imagedata o:title=""/>
                      <o:lock v:ext="edit" aspectratio="f"/>
                      <v:textbo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0.72</w:t>
                            </w:r>
                          </w:p>
                        </w:txbxContent>
                      </v:textbox>
                    </v:rect>
                  </w:pict>
                </mc:Fallback>
              </mc:AlternateContent>
            </w:r>
          </w:p>
          <w:p>
            <w:pPr>
              <w:pStyle w:val="8"/>
              <w:rPr>
                <w:color w:val="auto"/>
                <w:highlight w:val="none"/>
              </w:rPr>
            </w:pPr>
            <w:r>
              <w:rPr>
                <w:color w:val="auto"/>
                <w:highlight w:val="none"/>
              </w:rPr>
              <mc:AlternateContent>
                <mc:Choice Requires="wps">
                  <w:drawing>
                    <wp:anchor distT="0" distB="0" distL="114300" distR="114300" simplePos="0" relativeHeight="251697152" behindDoc="0" locked="0" layoutInCell="1" allowOverlap="1">
                      <wp:simplePos x="0" y="0"/>
                      <wp:positionH relativeFrom="column">
                        <wp:posOffset>4022090</wp:posOffset>
                      </wp:positionH>
                      <wp:positionV relativeFrom="paragraph">
                        <wp:posOffset>24130</wp:posOffset>
                      </wp:positionV>
                      <wp:extent cx="933450" cy="504190"/>
                      <wp:effectExtent l="5080" t="4445" r="6350" b="9525"/>
                      <wp:wrapNone/>
                      <wp:docPr id="9" name="矩形 9"/>
                      <wp:cNvGraphicFramePr/>
                      <a:graphic xmlns:a="http://schemas.openxmlformats.org/drawingml/2006/main">
                        <a:graphicData uri="http://schemas.microsoft.com/office/word/2010/wordprocessingShape">
                          <wps:wsp>
                            <wps:cNvSpPr/>
                            <wps:spPr>
                              <a:xfrm>
                                <a:off x="0" y="0"/>
                                <a:ext cx="933450" cy="50419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医院现有污水处理站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6.7pt;margin-top:1.9pt;height:39.7pt;width:73.5pt;z-index:251697152;v-text-anchor:middle;mso-width-relative:page;mso-height-relative:page;" filled="f" stroked="t" coordsize="21600,21600" o:gfxdata="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aVHFC1wAAAAgBAAAPAAAAAAAAAAEAIAAAACIAAABkcnMvZG93bnJldi54bWxQSwECFAAUAAAA&#10;CACHTuJA2F+yMmECAAC9BAAADgAAAAAAAAABACAAAAAmAQAAZHJzL2Uyb0RvYy54bWxQSwUGAAAA&#10;AAYABgBZAQAA+QUAAAAA&#10;">
                      <v:fill on="f" focussize="0,0"/>
                      <v:stroke color="#000000 [3213]" joinstyle="round"/>
                      <v:imagedata o:title=""/>
                      <o:lock v:ext="edit" aspectratio="f"/>
                      <v:textbox>
                        <w:txbxContent>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医院现有污水处理站</w:t>
                            </w:r>
                          </w:p>
                        </w:txbxContent>
                      </v:textbox>
                    </v:rect>
                  </w:pict>
                </mc:Fallback>
              </mc:AlternateContent>
            </w:r>
            <w:r>
              <w:rPr>
                <w:color w:val="auto"/>
                <w:highlight w:val="none"/>
              </w:rPr>
              <mc:AlternateContent>
                <mc:Choice Requires="wps">
                  <w:drawing>
                    <wp:anchor distT="0" distB="0" distL="114300" distR="114300" simplePos="0" relativeHeight="251706368" behindDoc="0" locked="0" layoutInCell="1" allowOverlap="1">
                      <wp:simplePos x="0" y="0"/>
                      <wp:positionH relativeFrom="column">
                        <wp:posOffset>3534410</wp:posOffset>
                      </wp:positionH>
                      <wp:positionV relativeFrom="paragraph">
                        <wp:posOffset>62230</wp:posOffset>
                      </wp:positionV>
                      <wp:extent cx="568325" cy="292100"/>
                      <wp:effectExtent l="0" t="0" r="0" b="0"/>
                      <wp:wrapNone/>
                      <wp:docPr id="19" name="矩形 19"/>
                      <wp:cNvGraphicFramePr/>
                      <a:graphic xmlns:a="http://schemas.openxmlformats.org/drawingml/2006/main">
                        <a:graphicData uri="http://schemas.microsoft.com/office/word/2010/wordprocessingShape">
                          <wps:wsp>
                            <wps:cNvSpPr/>
                            <wps:spPr>
                              <a:xfrm>
                                <a:off x="0" y="0"/>
                                <a:ext cx="56832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18</w:t>
                                  </w:r>
                                  <w:r>
                                    <w:rPr>
                                      <w:rFonts w:hint="eastAsia" w:ascii="Times New Roman" w:hAnsi="Times New Roman"/>
                                      <w:color w:val="000000" w:themeColor="text1"/>
                                      <w:sz w:val="18"/>
                                      <w:szCs w:val="18"/>
                                      <w14:textFill>
                                        <w14:solidFill>
                                          <w14:schemeClr w14:val="tx1"/>
                                        </w14:solidFill>
                                      </w14:textFill>
                                    </w:rPr>
                                    <w:t>.</w:t>
                                  </w:r>
                                  <w:r>
                                    <w:rPr>
                                      <w:rFonts w:hint="eastAsia" w:ascii="Times New Roman" w:hAnsi="Times New Roman"/>
                                      <w:color w:val="000000" w:themeColor="text1"/>
                                      <w:sz w:val="18"/>
                                      <w:szCs w:val="18"/>
                                      <w:lang w:val="en-US" w:eastAsia="zh-CN"/>
                                      <w14:textFill>
                                        <w14:solidFill>
                                          <w14:schemeClr w14:val="tx1"/>
                                        </w14:solidFill>
                                      </w14:textFill>
                                    </w:rPr>
                                    <w:t>5</w:t>
                                  </w:r>
                                  <w:r>
                                    <w:rPr>
                                      <w:rFonts w:hint="eastAsia" w:ascii="Times New Roman" w:hAnsi="Times New Roman"/>
                                      <w:color w:val="000000" w:themeColor="text1"/>
                                      <w:sz w:val="18"/>
                                      <w:szCs w:val="18"/>
                                      <w14:textFill>
                                        <w14:solidFill>
                                          <w14:schemeClr w14:val="tx1"/>
                                        </w14:solidFill>
                                      </w14:textFill>
                                    </w:rPr>
                                    <w:t>76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8.3pt;margin-top:4.9pt;height:23pt;width:44.75pt;z-index:251706368;v-text-anchor:middle;mso-width-relative:page;mso-height-relative:page;" filled="f" stroked="f" coordsize="21600,21600" o:gfxdata="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Le/dvTAAAACAEAAA8AAAAA&#10;AAAAAQAgAAAAIgAAAGRycy9kb3ducmV2LnhtbFBLAQIUABQAAAAIAIdO4kDl3jiKUgIAAJYEAAAO&#10;AAAAAAAAAAEAIAAAACIBAABkcnMvZTJvRG9jLnhtbFBLBQYAAAAABgAGAFkBAADmBQAAAAA=&#10;">
                      <v:fill on="f" focussize="0,0"/>
                      <v:stroke on="f"/>
                      <v:imagedata o:title=""/>
                      <o:lock v:ext="edit" aspectratio="f"/>
                      <v:textbox>
                        <w:txbxContent>
                          <w:p>
                            <w:pP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18</w:t>
                            </w:r>
                            <w:r>
                              <w:rPr>
                                <w:rFonts w:hint="eastAsia" w:ascii="Times New Roman" w:hAnsi="Times New Roman"/>
                                <w:color w:val="000000" w:themeColor="text1"/>
                                <w:sz w:val="18"/>
                                <w:szCs w:val="18"/>
                                <w14:textFill>
                                  <w14:solidFill>
                                    <w14:schemeClr w14:val="tx1"/>
                                  </w14:solidFill>
                                </w14:textFill>
                              </w:rPr>
                              <w:t>.</w:t>
                            </w:r>
                            <w:r>
                              <w:rPr>
                                <w:rFonts w:hint="eastAsia" w:ascii="Times New Roman" w:hAnsi="Times New Roman"/>
                                <w:color w:val="000000" w:themeColor="text1"/>
                                <w:sz w:val="18"/>
                                <w:szCs w:val="18"/>
                                <w:lang w:val="en-US" w:eastAsia="zh-CN"/>
                                <w14:textFill>
                                  <w14:solidFill>
                                    <w14:schemeClr w14:val="tx1"/>
                                  </w14:solidFill>
                                </w14:textFill>
                              </w:rPr>
                              <w:t>5</w:t>
                            </w:r>
                            <w:r>
                              <w:rPr>
                                <w:rFonts w:hint="eastAsia" w:ascii="Times New Roman" w:hAnsi="Times New Roman"/>
                                <w:color w:val="000000" w:themeColor="text1"/>
                                <w:sz w:val="18"/>
                                <w:szCs w:val="18"/>
                                <w14:textFill>
                                  <w14:solidFill>
                                    <w14:schemeClr w14:val="tx1"/>
                                  </w14:solidFill>
                                </w14:textFill>
                              </w:rPr>
                              <w:t>76</w:t>
                            </w:r>
                          </w:p>
                        </w:txbxContent>
                      </v:textbox>
                    </v:rect>
                  </w:pict>
                </mc:Fallback>
              </mc:AlternateContent>
            </w:r>
            <w:r>
              <w:rPr>
                <w:color w:val="auto"/>
                <w:highlight w:val="none"/>
              </w:rPr>
              <mc:AlternateContent>
                <mc:Choice Requires="wps">
                  <w:drawing>
                    <wp:anchor distT="0" distB="0" distL="114300" distR="114300" simplePos="0" relativeHeight="251705344" behindDoc="0" locked="0" layoutInCell="1" allowOverlap="1">
                      <wp:simplePos x="0" y="0"/>
                      <wp:positionH relativeFrom="column">
                        <wp:posOffset>115570</wp:posOffset>
                      </wp:positionH>
                      <wp:positionV relativeFrom="paragraph">
                        <wp:posOffset>121920</wp:posOffset>
                      </wp:positionV>
                      <wp:extent cx="537845" cy="292100"/>
                      <wp:effectExtent l="0" t="0" r="0" b="0"/>
                      <wp:wrapNone/>
                      <wp:docPr id="24" name="矩形 24"/>
                      <wp:cNvGraphicFramePr/>
                      <a:graphic xmlns:a="http://schemas.openxmlformats.org/drawingml/2006/main">
                        <a:graphicData uri="http://schemas.microsoft.com/office/word/2010/wordprocessingShape">
                          <wps:wsp>
                            <wps:cNvSpPr/>
                            <wps:spPr>
                              <a:xfrm>
                                <a:off x="0" y="0"/>
                                <a:ext cx="53784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default" w:ascii="Times New Roman" w:hAnsi="Times New Roman" w:eastAsia="宋体"/>
                                      <w:color w:val="0000FF"/>
                                      <w:sz w:val="18"/>
                                      <w:szCs w:val="18"/>
                                      <w:lang w:val="en-US" w:eastAsia="zh-CN"/>
                                    </w:rPr>
                                  </w:pPr>
                                  <w:r>
                                    <w:rPr>
                                      <w:rFonts w:hint="eastAsia" w:ascii="Times New Roman" w:hAnsi="Times New Roman"/>
                                      <w:color w:val="0000FF"/>
                                      <w:sz w:val="18"/>
                                      <w:szCs w:val="18"/>
                                      <w:lang w:val="en-US" w:eastAsia="zh-CN"/>
                                    </w:rPr>
                                    <w:t>23.22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1pt;margin-top:9.6pt;height:23pt;width:42.35pt;z-index:251705344;v-text-anchor:middle;mso-width-relative:page;mso-height-relative:page;" filled="f" stroked="f" coordsize="21600,21600" o:gfxdata="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j8/vLSAAAACAEAAA8AAAAA&#10;AAAAAQAgAAAAIgAAAGRycy9kb3ducmV2LnhtbFBLAQIUABQAAAAIAIdO4kDsdfG4UwIAAJYEAAAO&#10;AAAAAAAAAAEAIAAAACEBAABkcnMvZTJvRG9jLnhtbFBLBQYAAAAABgAGAFkBAADmBQAAAAA=&#10;">
                      <v:fill on="f" focussize="0,0"/>
                      <v:stroke on="f"/>
                      <v:imagedata o:title=""/>
                      <o:lock v:ext="edit" aspectratio="f"/>
                      <v:textbox>
                        <w:txbxContent>
                          <w:p>
                            <w:pPr>
                              <w:rPr>
                                <w:rFonts w:hint="default" w:ascii="Times New Roman" w:hAnsi="Times New Roman" w:eastAsia="宋体"/>
                                <w:color w:val="0000FF"/>
                                <w:sz w:val="18"/>
                                <w:szCs w:val="18"/>
                                <w:lang w:val="en-US" w:eastAsia="zh-CN"/>
                              </w:rPr>
                            </w:pPr>
                            <w:r>
                              <w:rPr>
                                <w:rFonts w:hint="eastAsia" w:ascii="Times New Roman" w:hAnsi="Times New Roman"/>
                                <w:color w:val="0000FF"/>
                                <w:sz w:val="18"/>
                                <w:szCs w:val="18"/>
                                <w:lang w:val="en-US" w:eastAsia="zh-CN"/>
                              </w:rPr>
                              <w:t>23.22</w:t>
                            </w:r>
                          </w:p>
                        </w:txbxContent>
                      </v:textbox>
                    </v:rect>
                  </w:pict>
                </mc:Fallback>
              </mc:AlternateContent>
            </w:r>
            <w:r>
              <w:rPr>
                <w:color w:val="auto"/>
                <w:highlight w:val="none"/>
              </w:rPr>
              <mc:AlternateContent>
                <mc:Choice Requires="wps">
                  <w:drawing>
                    <wp:anchor distT="0" distB="0" distL="114300" distR="114300" simplePos="0" relativeHeight="251695104" behindDoc="0" locked="0" layoutInCell="1" allowOverlap="1">
                      <wp:simplePos x="0" y="0"/>
                      <wp:positionH relativeFrom="column">
                        <wp:posOffset>615315</wp:posOffset>
                      </wp:positionH>
                      <wp:positionV relativeFrom="paragraph">
                        <wp:posOffset>60325</wp:posOffset>
                      </wp:positionV>
                      <wp:extent cx="0" cy="506095"/>
                      <wp:effectExtent l="4445" t="0" r="10795" b="12065"/>
                      <wp:wrapNone/>
                      <wp:docPr id="26" name="直接箭头连接符 26"/>
                      <wp:cNvGraphicFramePr/>
                      <a:graphic xmlns:a="http://schemas.openxmlformats.org/drawingml/2006/main">
                        <a:graphicData uri="http://schemas.microsoft.com/office/word/2010/wordprocessingShape">
                          <wps:wsp>
                            <wps:cNvCnPr/>
                            <wps:spPr>
                              <a:xfrm flipV="1">
                                <a:off x="0" y="0"/>
                                <a:ext cx="0" cy="506095"/>
                              </a:xfrm>
                              <a:prstGeom prst="straightConnector1">
                                <a:avLst/>
                              </a:prstGeom>
                              <a:ln>
                                <a:headEnd type="none"/>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48.45pt;margin-top:4.75pt;height:39.85pt;width:0pt;z-index:251695104;mso-width-relative:page;mso-height-relative:page;" filled="f" stroked="t" coordsize="21600,21600" o:gfxdata="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eiEE4tQA&#10;AAAGAQAADwAAAAAAAAABACAAAAAiAAAAZHJzL2Rvd25yZXYueG1sUEsBAhQAFAAAAAgAh07iQC9Q&#10;ZXojAgAANAQAAA4AAAAAAAAAAQAgAAAAIwEAAGRycy9lMm9Eb2MueG1sUEsFBgAAAAAGAAYAWQEA&#10;ALgFAAAAAA==&#10;">
                      <v:fill on="f" focussize="0,0"/>
                      <v:stroke color="#000000 [32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702272" behindDoc="0" locked="0" layoutInCell="1" allowOverlap="1">
                      <wp:simplePos x="0" y="0"/>
                      <wp:positionH relativeFrom="column">
                        <wp:posOffset>2016125</wp:posOffset>
                      </wp:positionH>
                      <wp:positionV relativeFrom="paragraph">
                        <wp:posOffset>104775</wp:posOffset>
                      </wp:positionV>
                      <wp:extent cx="492760" cy="292100"/>
                      <wp:effectExtent l="0" t="0" r="0" b="0"/>
                      <wp:wrapNone/>
                      <wp:docPr id="29" name="矩形 29"/>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default" w:ascii="Times New Roman" w:hAnsi="Times New Roman" w:eastAsia="宋体"/>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8.75pt;margin-top:8.25pt;height:23pt;width:38.8pt;z-index:251702272;v-text-anchor:middle;mso-width-relative:page;mso-height-relative:page;" filled="f" stroked="f" coordsize="21600,21600" o:gfxdata="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cAlA2NUAAAAJAQAADwAA&#10;AAAAAAABACAAAAAiAAAAZHJzL2Rvd25yZXYueG1sUEsBAhQAFAAAAAgAh07iQNkS085SAgAAlgQA&#10;AA4AAAAAAAAAAQAgAAAAJAEAAGRycy9lMm9Eb2MueG1sUEsFBgAAAAAGAAYAWQEAAOgFAAAAAA==&#10;">
                      <v:fill on="f" focussize="0,0"/>
                      <v:stroke on="f"/>
                      <v:imagedata o:title=""/>
                      <o:lock v:ext="edit" aspectratio="f"/>
                      <v:textbox>
                        <w:txbxContent>
                          <w:p>
                            <w:pPr>
                              <w:rPr>
                                <w:rFonts w:hint="default" w:ascii="Times New Roman" w:hAnsi="Times New Roman" w:eastAsia="宋体"/>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2.8</w:t>
                            </w:r>
                          </w:p>
                        </w:txbxContent>
                      </v:textbox>
                    </v:rect>
                  </w:pict>
                </mc:Fallback>
              </mc:AlternateContent>
            </w:r>
            <w:r>
              <w:rPr>
                <w:color w:val="auto"/>
                <w:highlight w:val="none"/>
              </w:rPr>
              <mc:AlternateContent>
                <mc:Choice Requires="wps">
                  <w:drawing>
                    <wp:anchor distT="0" distB="0" distL="114300" distR="114300" simplePos="0" relativeHeight="251692032" behindDoc="0" locked="0" layoutInCell="1" allowOverlap="1">
                      <wp:simplePos x="0" y="0"/>
                      <wp:positionH relativeFrom="column">
                        <wp:posOffset>3579495</wp:posOffset>
                      </wp:positionH>
                      <wp:positionV relativeFrom="paragraph">
                        <wp:posOffset>6985</wp:posOffset>
                      </wp:positionV>
                      <wp:extent cx="0" cy="521335"/>
                      <wp:effectExtent l="4445" t="0" r="10795" b="12065"/>
                      <wp:wrapNone/>
                      <wp:docPr id="30" name="直接箭头连接符 30"/>
                      <wp:cNvGraphicFramePr/>
                      <a:graphic xmlns:a="http://schemas.openxmlformats.org/drawingml/2006/main">
                        <a:graphicData uri="http://schemas.microsoft.com/office/word/2010/wordprocessingShape">
                          <wps:wsp>
                            <wps:cNvCnPr/>
                            <wps:spPr>
                              <a:xfrm flipV="1">
                                <a:off x="0" y="0"/>
                                <a:ext cx="0" cy="521335"/>
                              </a:xfrm>
                              <a:prstGeom prst="straightConnector1">
                                <a:avLst/>
                              </a:prstGeom>
                              <a:ln>
                                <a:headEnd type="none"/>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281.85pt;margin-top:0.55pt;height:41.05pt;width:0pt;z-index:251692032;mso-width-relative:page;mso-height-relative:page;" filled="f" stroked="t" coordsize="21600,21600" o:gfxdata="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RY6NLV&#10;AAAACAEAAA8AAAAAAAAAAQAgAAAAIgAAAGRycy9kb3ducmV2LnhtbFBLAQIUABQAAAAIAIdO4kDl&#10;BaDWIwIAADQEAAAOAAAAAAAAAAEAIAAAACQBAABkcnMvZTJvRG9jLnhtbFBLBQYAAAAABgAGAFkB&#10;AAC5BQAAAAA=&#10;">
                      <v:fill on="f" focussize="0,0"/>
                      <v:stroke color="#000000 [32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93056" behindDoc="0" locked="0" layoutInCell="1" allowOverlap="1">
                      <wp:simplePos x="0" y="0"/>
                      <wp:positionH relativeFrom="column">
                        <wp:posOffset>615315</wp:posOffset>
                      </wp:positionH>
                      <wp:positionV relativeFrom="paragraph">
                        <wp:posOffset>46990</wp:posOffset>
                      </wp:positionV>
                      <wp:extent cx="1028700" cy="0"/>
                      <wp:effectExtent l="0" t="38100" r="7620" b="38100"/>
                      <wp:wrapNone/>
                      <wp:docPr id="32" name="直接箭头连接符 32"/>
                      <wp:cNvGraphicFramePr/>
                      <a:graphic xmlns:a="http://schemas.openxmlformats.org/drawingml/2006/main">
                        <a:graphicData uri="http://schemas.microsoft.com/office/word/2010/wordprocessingShape">
                          <wps:wsp>
                            <wps:cNvCnPr/>
                            <wps:spPr>
                              <a:xfrm>
                                <a:off x="0" y="0"/>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48.45pt;margin-top:3.7pt;height:0pt;width:81pt;z-index:251693056;mso-width-relative:page;mso-height-relative:page;" filled="f" stroked="t" coordsize="21600,21600" o:gfxdata="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9od9B&#10;1QAAAAYBAAAPAAAAAAAAAAEAIAAAACIAAABkcnMvZG93bnJldi54bWxQSwECFAAUAAAACACHTuJA&#10;YhTzDyQCAAAvBAAADgAAAAAAAAABACAAAAAkAQAAZHJzL2Uyb0RvYy54bWxQSwUGAAAAAAYABgBZ&#10;AQAAugUAAAAA&#10;">
                      <v:fill on="f" focussize="0,0"/>
                      <v:stroke color="#000000 [32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89984" behindDoc="0" locked="0" layoutInCell="1" allowOverlap="1">
                      <wp:simplePos x="0" y="0"/>
                      <wp:positionH relativeFrom="column">
                        <wp:posOffset>1933575</wp:posOffset>
                      </wp:positionH>
                      <wp:positionV relativeFrom="paragraph">
                        <wp:posOffset>220980</wp:posOffset>
                      </wp:positionV>
                      <wp:extent cx="160020" cy="154305"/>
                      <wp:effectExtent l="3175" t="0" r="4445" b="13335"/>
                      <wp:wrapNone/>
                      <wp:docPr id="33" name="直接箭头连接符 33"/>
                      <wp:cNvGraphicFramePr/>
                      <a:graphic xmlns:a="http://schemas.openxmlformats.org/drawingml/2006/main">
                        <a:graphicData uri="http://schemas.microsoft.com/office/word/2010/wordprocessingShape">
                          <wps:wsp>
                            <wps:cNvCnPr/>
                            <wps:spPr>
                              <a:xfrm flipV="1">
                                <a:off x="0" y="0"/>
                                <a:ext cx="160020" cy="154305"/>
                              </a:xfrm>
                              <a:prstGeom prst="straightConnector1">
                                <a:avLst/>
                              </a:prstGeom>
                              <a:ln>
                                <a:prstDash val="sysDash"/>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52.25pt;margin-top:17.4pt;height:12.15pt;width:12.6pt;z-index:251689984;mso-width-relative:page;mso-height-relative:page;" filled="f" stroked="t" coordsize="21600,21600" o:gfxdata="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Botn9gAAAAJAQAADwAAAAAAAAABACAAAAAiAAAAZHJzL2Rvd25yZXYueG1s&#10;UEsBAhQAFAAAAAgAh07iQPSDsNsxAgAAPwQAAA4AAAAAAAAAAQAgAAAAJwEAAGRycy9lMm9Eb2Mu&#10;eG1sUEsFBgAAAAAGAAYAWQEAAMoFAAAAAA==&#10;">
                      <v:fill on="f" focussize="0,0"/>
                      <v:stroke color="#000000 [3200]" joinstyle="round" dashstyle="3 1"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85888" behindDoc="0" locked="0" layoutInCell="1" allowOverlap="1">
                      <wp:simplePos x="0" y="0"/>
                      <wp:positionH relativeFrom="column">
                        <wp:posOffset>2558415</wp:posOffset>
                      </wp:positionH>
                      <wp:positionV relativeFrom="paragraph">
                        <wp:posOffset>31750</wp:posOffset>
                      </wp:positionV>
                      <wp:extent cx="1028700" cy="0"/>
                      <wp:effectExtent l="0" t="38100" r="7620" b="38100"/>
                      <wp:wrapNone/>
                      <wp:docPr id="34" name="直接箭头连接符 34"/>
                      <wp:cNvGraphicFramePr/>
                      <a:graphic xmlns:a="http://schemas.openxmlformats.org/drawingml/2006/main">
                        <a:graphicData uri="http://schemas.microsoft.com/office/word/2010/wordprocessingShape">
                          <wps:wsp>
                            <wps:cNvCnPr/>
                            <wps:spPr>
                              <a:xfrm>
                                <a:off x="3667125" y="3328035"/>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01.45pt;margin-top:2.5pt;height:0pt;width:81pt;z-index:251685888;mso-width-relative:page;mso-height-relative:page;" filled="f" stroked="t" coordsize="21600,21600" o:gfxdata="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uBKim1gAAAAcBAAAPAAAAAAAAAAEAIAAAACIAAABkcnMvZG93bnJldi54bWxQ&#10;SwECFAAUAAAACACHTuJAVzrnIjICAAA7BAAADgAAAAAAAAABACAAAAAlAQAAZHJzL2Uyb0RvYy54&#10;bWxQSwUGAAAAAAYABgBZAQAAyQUAAAAA&#10;">
                      <v:fill on="f" focussize="0,0"/>
                      <v:stroke color="#000000 [3200]" joinstyle="round" endarrow="block"/>
                      <v:imagedata o:title=""/>
                      <o:lock v:ext="edit" aspectratio="f"/>
                    </v:shape>
                  </w:pict>
                </mc:Fallback>
              </mc:AlternateContent>
            </w:r>
          </w:p>
          <w:p>
            <w:pPr>
              <w:pStyle w:val="8"/>
              <w:rPr>
                <w:color w:val="auto"/>
                <w:highlight w:val="none"/>
              </w:rPr>
            </w:pPr>
            <w:r>
              <w:rPr>
                <w:color w:val="auto"/>
                <w:highlight w:val="none"/>
              </w:rPr>
              <mc:AlternateContent>
                <mc:Choice Requires="wps">
                  <w:drawing>
                    <wp:anchor distT="0" distB="0" distL="114300" distR="114300" simplePos="0" relativeHeight="251707392" behindDoc="0" locked="0" layoutInCell="1" allowOverlap="1">
                      <wp:simplePos x="0" y="0"/>
                      <wp:positionH relativeFrom="column">
                        <wp:posOffset>3564890</wp:posOffset>
                      </wp:positionH>
                      <wp:positionV relativeFrom="paragraph">
                        <wp:posOffset>5080</wp:posOffset>
                      </wp:positionV>
                      <wp:extent cx="575945" cy="292100"/>
                      <wp:effectExtent l="0" t="0" r="0" b="0"/>
                      <wp:wrapNone/>
                      <wp:docPr id="45" name="矩形 45"/>
                      <wp:cNvGraphicFramePr/>
                      <a:graphic xmlns:a="http://schemas.openxmlformats.org/drawingml/2006/main">
                        <a:graphicData uri="http://schemas.microsoft.com/office/word/2010/wordprocessingShape">
                          <wps:wsp>
                            <wps:cNvSpPr/>
                            <wps:spPr>
                              <a:xfrm>
                                <a:off x="0" y="0"/>
                                <a:ext cx="57594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eastAsia"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化粪池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0.7pt;margin-top:0.4pt;height:23pt;width:45.35pt;z-index:251707392;v-text-anchor:middle;mso-width-relative:page;mso-height-relative:page;" filled="f" stroked="f" coordsize="21600,21600" o:gfxdata="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4HzUdMAAAAHAQAADwAAAAAA&#10;AAABACAAAAAiAAAAZHJzL2Rvd25yZXYueG1sUEsBAhQAFAAAAAgAh07iQOfp7W5RAgAAlgQAAA4A&#10;AAAAAAAAAQAgAAAAIgEAAGRycy9lMm9Eb2MueG1sUEsFBgAAAAAGAAYAWQEAAOUFAAAAAA==&#10;">
                      <v:fill on="f" focussize="0,0"/>
                      <v:stroke on="f"/>
                      <v:imagedata o:title=""/>
                      <o:lock v:ext="edit" aspectratio="f"/>
                      <v:textbox>
                        <w:txbxContent>
                          <w:p>
                            <w:pPr>
                              <w:rPr>
                                <w:rFonts w:hint="eastAsia"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化粪池</w:t>
                            </w:r>
                          </w:p>
                        </w:txbxContent>
                      </v:textbox>
                    </v:rect>
                  </w:pict>
                </mc:Fallback>
              </mc:AlternateContent>
            </w:r>
            <w:r>
              <w:rPr>
                <w:color w:val="auto"/>
                <w:highlight w:val="none"/>
              </w:rPr>
              <mc:AlternateContent>
                <mc:Choice Requires="wps">
                  <w:drawing>
                    <wp:anchor distT="0" distB="0" distL="114300" distR="114300" simplePos="0" relativeHeight="251696128" behindDoc="0" locked="0" layoutInCell="1" allowOverlap="1">
                      <wp:simplePos x="0" y="0"/>
                      <wp:positionH relativeFrom="column">
                        <wp:posOffset>3581400</wp:posOffset>
                      </wp:positionH>
                      <wp:positionV relativeFrom="paragraph">
                        <wp:posOffset>35560</wp:posOffset>
                      </wp:positionV>
                      <wp:extent cx="434340" cy="5715"/>
                      <wp:effectExtent l="0" t="33655" r="7620" b="36830"/>
                      <wp:wrapNone/>
                      <wp:docPr id="35" name="直接箭头连接符 35"/>
                      <wp:cNvGraphicFramePr/>
                      <a:graphic xmlns:a="http://schemas.openxmlformats.org/drawingml/2006/main">
                        <a:graphicData uri="http://schemas.microsoft.com/office/word/2010/wordprocessingShape">
                          <wps:wsp>
                            <wps:cNvCnPr/>
                            <wps:spPr>
                              <a:xfrm>
                                <a:off x="0" y="0"/>
                                <a:ext cx="434340" cy="5715"/>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82pt;margin-top:2.8pt;height:0.45pt;width:34.2pt;z-index:251696128;mso-width-relative:page;mso-height-relative:page;" filled="f" stroked="t" coordsize="21600,21600" o:gfxdata="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YpRLD2AAAAAcBAAAPAAAAAAAAAAEAIAAAACIAAABkcnMvZG93bnJldi54bWxQSwECFAAUAAAA&#10;CACHTuJA3gRUeCcCAAAxBAAADgAAAAAAAAABACAAAAAnAQAAZHJzL2Uyb0RvYy54bWxQSwUGAAAA&#10;AAYABgBZAQAAwAUAAAAA&#10;">
                      <v:fill on="f" focussize="0,0"/>
                      <v:stroke color="#000000 [32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99200" behindDoc="0" locked="0" layoutInCell="1" allowOverlap="1">
                      <wp:simplePos x="0" y="0"/>
                      <wp:positionH relativeFrom="column">
                        <wp:posOffset>74930</wp:posOffset>
                      </wp:positionH>
                      <wp:positionV relativeFrom="paragraph">
                        <wp:posOffset>88900</wp:posOffset>
                      </wp:positionV>
                      <wp:extent cx="575945" cy="292100"/>
                      <wp:effectExtent l="0" t="0" r="0" b="0"/>
                      <wp:wrapNone/>
                      <wp:docPr id="36" name="矩形 36"/>
                      <wp:cNvGraphicFramePr/>
                      <a:graphic xmlns:a="http://schemas.openxmlformats.org/drawingml/2006/main">
                        <a:graphicData uri="http://schemas.microsoft.com/office/word/2010/wordprocessingShape">
                          <wps:wsp>
                            <wps:cNvSpPr/>
                            <wps:spPr>
                              <a:xfrm>
                                <a:off x="0" y="0"/>
                                <a:ext cx="57594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新鲜水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9pt;margin-top:7pt;height:23pt;width:45.35pt;z-index:251699200;v-text-anchor:middle;mso-width-relative:page;mso-height-relative:page;" filled="f" stroked="f" coordsize="21600,21600" o:gfxdata="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IYhqzSAAAACAEAAA8AAAAA&#10;AAAAAQAgAAAAIgAAAGRycy9kb3ducmV2LnhtbFBLAQIUABQAAAAIAIdO4kCZOc9KUwIAAJYEAAAO&#10;AAAAAAAAAAEAIAAAACEBAABkcnMvZTJvRG9jLnhtbFBLBQYAAAAABgAGAFkBAADmBQAAAAA=&#10;">
                      <v:fill on="f" focussize="0,0"/>
                      <v:stroke on="f"/>
                      <v:imagedata o:title=""/>
                      <o:lock v:ext="edit" aspectratio="f"/>
                      <v:textbox>
                        <w:txbxContent>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新鲜水</w:t>
                            </w:r>
                          </w:p>
                        </w:txbxContent>
                      </v:textbox>
                    </v:rect>
                  </w:pict>
                </mc:Fallback>
              </mc:AlternateContent>
            </w:r>
            <w:r>
              <w:rPr>
                <w:color w:val="auto"/>
                <w:highlight w:val="none"/>
              </w:rPr>
              <mc:AlternateContent>
                <mc:Choice Requires="wps">
                  <w:drawing>
                    <wp:anchor distT="0" distB="0" distL="114300" distR="114300" simplePos="0" relativeHeight="251698176" behindDoc="0" locked="0" layoutInCell="1" allowOverlap="1">
                      <wp:simplePos x="0" y="0"/>
                      <wp:positionH relativeFrom="column">
                        <wp:posOffset>168910</wp:posOffset>
                      </wp:positionH>
                      <wp:positionV relativeFrom="paragraph">
                        <wp:posOffset>121920</wp:posOffset>
                      </wp:positionV>
                      <wp:extent cx="434340" cy="635"/>
                      <wp:effectExtent l="0" t="37465" r="7620" b="38100"/>
                      <wp:wrapNone/>
                      <wp:docPr id="37" name="直接箭头连接符 37"/>
                      <wp:cNvGraphicFramePr/>
                      <a:graphic xmlns:a="http://schemas.openxmlformats.org/drawingml/2006/main">
                        <a:graphicData uri="http://schemas.microsoft.com/office/word/2010/wordprocessingShape">
                          <wps:wsp>
                            <wps:cNvCnPr/>
                            <wps:spPr>
                              <a:xfrm>
                                <a:off x="0" y="0"/>
                                <a:ext cx="434340" cy="635"/>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3.3pt;margin-top:9.6pt;height:0.05pt;width:34.2pt;z-index:251698176;mso-width-relative:page;mso-height-relative:page;" filled="f" stroked="t" coordsize="21600,21600" o:gfxdata="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9&#10;zQyM1gAAAAcBAAAPAAAAAAAAAAEAIAAAACIAAABkcnMvZG93bnJldi54bWxQSwECFAAUAAAACACH&#10;TuJA0XagySYCAAAwBAAADgAAAAAAAAABACAAAAAlAQAAZHJzL2Uyb0RvYy54bWxQSwUGAAAAAAYA&#10;BgBZAQAAvQUAAAAA&#10;">
                      <v:fill on="f" focussize="0,0"/>
                      <v:stroke color="#000000 [32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86912" behindDoc="0" locked="0" layoutInCell="1" allowOverlap="1">
                      <wp:simplePos x="0" y="0"/>
                      <wp:positionH relativeFrom="column">
                        <wp:posOffset>1642745</wp:posOffset>
                      </wp:positionH>
                      <wp:positionV relativeFrom="paragraph">
                        <wp:posOffset>143510</wp:posOffset>
                      </wp:positionV>
                      <wp:extent cx="927100" cy="292100"/>
                      <wp:effectExtent l="4445" t="4445" r="13335" b="8255"/>
                      <wp:wrapNone/>
                      <wp:docPr id="44" name="矩形 44"/>
                      <wp:cNvGraphicFramePr/>
                      <a:graphic xmlns:a="http://schemas.openxmlformats.org/drawingml/2006/main">
                        <a:graphicData uri="http://schemas.microsoft.com/office/word/2010/wordprocessingShape">
                          <wps:wsp>
                            <wps:cNvSpPr/>
                            <wps:spPr>
                              <a:xfrm>
                                <a:off x="0" y="0"/>
                                <a:ext cx="927100" cy="2921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住院用水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9.35pt;margin-top:11.3pt;height:23pt;width:73pt;z-index:251686912;v-text-anchor:middle;mso-width-relative:page;mso-height-relative:page;" filled="f" stroked="t" coordsize="21600,21600" o:gfxdata="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sxUlD2AAAAAkBAAAPAAAAAAAAAAEAIAAAACIAAABkcnMvZG93bnJldi54bWxQSwECFAAUAAAA&#10;CACHTuJAH33+3mACAAC/BAAADgAAAAAAAAABACAAAAAnAQAAZHJzL2Uyb0RvYy54bWxQSwUGAAAA&#10;AAYABgBZAQAA+QUAAAAA&#10;">
                      <v:fill on="f" focussize="0,0"/>
                      <v:stroke color="#000000 [3213]" joinstyle="round"/>
                      <v:imagedata o:title=""/>
                      <o:lock v:ext="edit" aspectratio="f"/>
                      <v:textbox>
                        <w:txbxContent>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住院用水</w:t>
                            </w:r>
                          </w:p>
                        </w:txbxContent>
                      </v:textbox>
                    </v:rect>
                  </w:pict>
                </mc:Fallback>
              </mc:AlternateContent>
            </w:r>
            <w:r>
              <w:rPr>
                <w:color w:val="auto"/>
                <w:highlight w:val="none"/>
              </w:rPr>
              <mc:AlternateContent>
                <mc:Choice Requires="wps">
                  <w:drawing>
                    <wp:anchor distT="0" distB="0" distL="114300" distR="114300" simplePos="0" relativeHeight="251703296" behindDoc="0" locked="0" layoutInCell="1" allowOverlap="1">
                      <wp:simplePos x="0" y="0"/>
                      <wp:positionH relativeFrom="column">
                        <wp:posOffset>2800985</wp:posOffset>
                      </wp:positionH>
                      <wp:positionV relativeFrom="paragraph">
                        <wp:posOffset>90170</wp:posOffset>
                      </wp:positionV>
                      <wp:extent cx="492760" cy="292100"/>
                      <wp:effectExtent l="0" t="0" r="0" b="0"/>
                      <wp:wrapNone/>
                      <wp:docPr id="46" name="矩形 46"/>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default" w:ascii="Times New Roman" w:hAnsi="Times New Roman" w:eastAsia="宋体"/>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0.55pt;margin-top:7.1pt;height:23pt;width:38.8pt;z-index:251703296;v-text-anchor:middle;mso-width-relative:page;mso-height-relative:page;" filled="f" stroked="f" coordsize="21600,21600" o:gfxdata="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MxUtBtQAAAAJAQAADwAA&#10;AAAAAAABACAAAAAiAAAAZHJzL2Rvd25yZXYueG1sUEsBAhQAFAAAAAgAh07iQNLVLklTAgAAlgQA&#10;AA4AAAAAAAAAAQAgAAAAIwEAAGRycy9lMm9Eb2MueG1sUEsFBgAAAAAGAAYAWQEAAOgFAAAAAA==&#10;">
                      <v:fill on="f" focussize="0,0"/>
                      <v:stroke on="f"/>
                      <v:imagedata o:title=""/>
                      <o:lock v:ext="edit" aspectratio="f"/>
                      <v:textbox>
                        <w:txbxContent>
                          <w:p>
                            <w:pPr>
                              <w:rPr>
                                <w:rFonts w:hint="default" w:ascii="Times New Roman" w:hAnsi="Times New Roman" w:eastAsia="宋体"/>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18</w:t>
                            </w:r>
                          </w:p>
                        </w:txbxContent>
                      </v:textbox>
                    </v:rect>
                  </w:pict>
                </mc:Fallback>
              </mc:AlternateContent>
            </w:r>
            <w:r>
              <w:rPr>
                <w:color w:val="auto"/>
                <w:highlight w:val="none"/>
              </w:rPr>
              <mc:AlternateContent>
                <mc:Choice Requires="wps">
                  <w:drawing>
                    <wp:anchor distT="0" distB="0" distL="114300" distR="114300" simplePos="0" relativeHeight="251704320" behindDoc="0" locked="0" layoutInCell="1" allowOverlap="1">
                      <wp:simplePos x="0" y="0"/>
                      <wp:positionH relativeFrom="column">
                        <wp:posOffset>873125</wp:posOffset>
                      </wp:positionH>
                      <wp:positionV relativeFrom="paragraph">
                        <wp:posOffset>90170</wp:posOffset>
                      </wp:positionV>
                      <wp:extent cx="492760" cy="292100"/>
                      <wp:effectExtent l="0" t="0" r="0" b="0"/>
                      <wp:wrapNone/>
                      <wp:docPr id="48" name="矩形 48"/>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rPr>
                                      <w:rFonts w:hint="default" w:ascii="Times New Roman" w:hAnsi="Times New Roman" w:eastAsia="宋体"/>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22.5</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8.75pt;margin-top:7.1pt;height:23pt;width:38.8pt;z-index:251704320;v-text-anchor:middle;mso-width-relative:page;mso-height-relative:page;" filled="f" stroked="f" coordsize="21600,21600" o:gfxdata="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n+Exh1AAAAAkBAAAPAAAA&#10;AAAAAAEAIAAAACIAAABkcnMvZG93bnJldi54bWxQSwECFAAUAAAACACHTuJAyAfSIlICAACWBAAA&#10;DgAAAAAAAAABACAAAAAjAQAAZHJzL2Uyb0RvYy54bWxQSwUGAAAAAAYABgBZAQAA5wUAAAAA&#10;">
                      <v:fill on="f" focussize="0,0"/>
                      <v:stroke on="f"/>
                      <v:imagedata o:title=""/>
                      <o:lock v:ext="edit" aspectratio="f"/>
                      <v:textbox>
                        <w:txbxContent>
                          <w:p>
                            <w:pPr>
                              <w:rPr>
                                <w:rFonts w:hint="default" w:ascii="Times New Roman" w:hAnsi="Times New Roman" w:eastAsia="宋体"/>
                                <w:color w:val="000000" w:themeColor="text1"/>
                                <w:sz w:val="18"/>
                                <w:szCs w:val="18"/>
                                <w:lang w:val="en-US" w:eastAsia="zh-CN"/>
                                <w14:textFill>
                                  <w14:solidFill>
                                    <w14:schemeClr w14:val="tx1"/>
                                  </w14:solidFill>
                                </w14:textFill>
                              </w:rPr>
                            </w:pPr>
                            <w:r>
                              <w:rPr>
                                <w:rFonts w:hint="eastAsia" w:ascii="Times New Roman" w:hAnsi="Times New Roman"/>
                                <w:color w:val="000000" w:themeColor="text1"/>
                                <w:sz w:val="18"/>
                                <w:szCs w:val="18"/>
                                <w:lang w:val="en-US" w:eastAsia="zh-CN"/>
                                <w14:textFill>
                                  <w14:solidFill>
                                    <w14:schemeClr w14:val="tx1"/>
                                  </w14:solidFill>
                                </w14:textFill>
                              </w:rPr>
                              <w:t>22.5</w:t>
                            </w:r>
                          </w:p>
                        </w:txbxContent>
                      </v:textbox>
                    </v:rect>
                  </w:pict>
                </mc:Fallback>
              </mc:AlternateContent>
            </w:r>
          </w:p>
          <w:p>
            <w:pPr>
              <w:pStyle w:val="8"/>
              <w:rPr>
                <w:color w:val="auto"/>
                <w:highlight w:val="none"/>
              </w:rPr>
            </w:pPr>
            <w:r>
              <w:rPr>
                <w:color w:val="auto"/>
                <w:highlight w:val="none"/>
              </w:rPr>
              <mc:AlternateContent>
                <mc:Choice Requires="wps">
                  <w:drawing>
                    <wp:anchor distT="0" distB="0" distL="114300" distR="114300" simplePos="0" relativeHeight="251691008" behindDoc="0" locked="0" layoutInCell="1" allowOverlap="1">
                      <wp:simplePos x="0" y="0"/>
                      <wp:positionH relativeFrom="column">
                        <wp:posOffset>2558415</wp:posOffset>
                      </wp:positionH>
                      <wp:positionV relativeFrom="paragraph">
                        <wp:posOffset>48260</wp:posOffset>
                      </wp:positionV>
                      <wp:extent cx="1028700" cy="0"/>
                      <wp:effectExtent l="0" t="38100" r="7620" b="38100"/>
                      <wp:wrapNone/>
                      <wp:docPr id="52" name="直接箭头连接符 52"/>
                      <wp:cNvGraphicFramePr/>
                      <a:graphic xmlns:a="http://schemas.openxmlformats.org/drawingml/2006/main">
                        <a:graphicData uri="http://schemas.microsoft.com/office/word/2010/wordprocessingShape">
                          <wps:wsp>
                            <wps:cNvCnPr/>
                            <wps:spPr>
                              <a:xfrm>
                                <a:off x="0" y="0"/>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01.45pt;margin-top:3.8pt;height:0pt;width:81pt;z-index:251691008;mso-width-relative:page;mso-height-relative:page;" filled="f" stroked="t" coordsize="21600,21600" o:gfxdata="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qaz9&#10;zNYAAAAHAQAADwAAAAAAAAABACAAAAAiAAAAZHJzL2Rvd25yZXYueG1sUEsBAhQAFAAAAAgAh07i&#10;QLUl4NQkAgAALwQAAA4AAAAAAAAAAQAgAAAAJQEAAGRycy9lMm9Eb2MueG1sUEsFBgAAAAAGAAYA&#10;WQEAALsFAAAAAA==&#10;">
                      <v:fill on="f" focussize="0,0"/>
                      <v:stroke color="#000000 [32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94080" behindDoc="0" locked="0" layoutInCell="1" allowOverlap="1">
                      <wp:simplePos x="0" y="0"/>
                      <wp:positionH relativeFrom="column">
                        <wp:posOffset>600075</wp:posOffset>
                      </wp:positionH>
                      <wp:positionV relativeFrom="paragraph">
                        <wp:posOffset>63500</wp:posOffset>
                      </wp:positionV>
                      <wp:extent cx="1043940" cy="5715"/>
                      <wp:effectExtent l="0" t="37465" r="7620" b="33020"/>
                      <wp:wrapNone/>
                      <wp:docPr id="60" name="直接箭头连接符 60"/>
                      <wp:cNvGraphicFramePr/>
                      <a:graphic xmlns:a="http://schemas.openxmlformats.org/drawingml/2006/main">
                        <a:graphicData uri="http://schemas.microsoft.com/office/word/2010/wordprocessingShape">
                          <wps:wsp>
                            <wps:cNvCnPr/>
                            <wps:spPr>
                              <a:xfrm flipV="1">
                                <a:off x="0" y="0"/>
                                <a:ext cx="1043940" cy="5715"/>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47.25pt;margin-top:5pt;height:0.45pt;width:82.2pt;z-index:251694080;mso-width-relative:page;mso-height-relative:page;" filled="f" stroked="t" coordsize="21600,21600" o:gfxdata="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1ZQGFNcAAAAIAQAADwAAAAAAAAABACAAAAAiAAAAZHJzL2Rvd25yZXYueG1sUEsB&#10;AhQAFAAAAAgAh07iQPXvsnYvAgAAPAQAAA4AAAAAAAAAAQAgAAAAJgEAAGRycy9lMm9Eb2MueG1s&#10;UEsFBgAAAAAGAAYAWQEAAMcFAAAAAA==&#10;">
                      <v:fill on="f" focussize="0,0"/>
                      <v:stroke color="#000000 [3200]" joinstyle="round" endarrow="block"/>
                      <v:imagedata o:title=""/>
                      <o:lock v:ext="edit" aspectratio="f"/>
                    </v:shape>
                  </w:pict>
                </mc:Fallback>
              </mc:AlternateContent>
            </w:r>
          </w:p>
          <w:p>
            <w:pPr>
              <w:pStyle w:val="8"/>
              <w:jc w:val="center"/>
              <w:rPr>
                <w:rFonts w:hint="eastAsia"/>
                <w:b/>
                <w:bCs/>
                <w:color w:val="auto"/>
                <w:sz w:val="21"/>
                <w:szCs w:val="21"/>
                <w:highlight w:val="none"/>
              </w:rPr>
            </w:pPr>
            <w:r>
              <w:rPr>
                <w:rFonts w:hint="eastAsia"/>
                <w:b/>
                <w:bCs/>
                <w:color w:val="auto"/>
                <w:sz w:val="21"/>
                <w:szCs w:val="21"/>
                <w:highlight w:val="none"/>
              </w:rPr>
              <w:t>图4-1   项目用水平衡图    （单位：m</w:t>
            </w:r>
            <w:r>
              <w:rPr>
                <w:rFonts w:hint="eastAsia"/>
                <w:b/>
                <w:bCs/>
                <w:color w:val="auto"/>
                <w:sz w:val="21"/>
                <w:szCs w:val="21"/>
                <w:highlight w:val="none"/>
                <w:vertAlign w:val="superscript"/>
              </w:rPr>
              <w:t>3</w:t>
            </w:r>
            <w:r>
              <w:rPr>
                <w:rFonts w:hint="eastAsia"/>
                <w:b/>
                <w:bCs/>
                <w:color w:val="auto"/>
                <w:sz w:val="21"/>
                <w:szCs w:val="21"/>
                <w:highlight w:val="none"/>
              </w:rPr>
              <w:t>/d）</w:t>
            </w:r>
          </w:p>
          <w:p>
            <w:pPr>
              <w:adjustRightInd w:val="0"/>
              <w:snapToGrid w:val="0"/>
              <w:spacing w:before="120" w:beforeLines="50"/>
              <w:jc w:val="center"/>
              <w:rPr>
                <w:rFonts w:ascii="Times New Roman" w:hAnsi="Times New Roman"/>
                <w:b/>
                <w:color w:val="auto"/>
                <w:highlight w:val="none"/>
              </w:rPr>
            </w:pPr>
            <w:r>
              <w:rPr>
                <w:rFonts w:ascii="Times New Roman" w:hAnsi="Times New Roman"/>
                <w:b/>
                <w:color w:val="auto"/>
                <w:highlight w:val="none"/>
              </w:rPr>
              <w:t>表4</w:t>
            </w:r>
            <w:r>
              <w:rPr>
                <w:rFonts w:hint="eastAsia" w:ascii="Times New Roman" w:hAnsi="Times New Roman"/>
                <w:b/>
                <w:color w:val="auto"/>
                <w:highlight w:val="none"/>
              </w:rPr>
              <w:t xml:space="preserve">-2 </w:t>
            </w:r>
            <w:r>
              <w:rPr>
                <w:rFonts w:ascii="Times New Roman" w:hAnsi="Times New Roman"/>
                <w:b/>
                <w:color w:val="auto"/>
                <w:highlight w:val="none"/>
              </w:rPr>
              <w:t xml:space="preserve"> 废</w:t>
            </w:r>
            <w:r>
              <w:rPr>
                <w:rFonts w:hint="eastAsia" w:ascii="Times New Roman" w:hAnsi="Times New Roman"/>
                <w:b/>
                <w:color w:val="auto"/>
                <w:highlight w:val="none"/>
              </w:rPr>
              <w:t>水污染源源强核算结果及相关参数</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9"/>
              <w:gridCol w:w="502"/>
              <w:gridCol w:w="360"/>
              <w:gridCol w:w="565"/>
              <w:gridCol w:w="360"/>
              <w:gridCol w:w="542"/>
              <w:gridCol w:w="682"/>
              <w:gridCol w:w="376"/>
              <w:gridCol w:w="502"/>
              <w:gridCol w:w="360"/>
              <w:gridCol w:w="360"/>
              <w:gridCol w:w="542"/>
              <w:gridCol w:w="682"/>
              <w:gridCol w:w="682"/>
              <w:gridCol w:w="502"/>
              <w:gridCol w:w="654"/>
              <w:gridCol w:w="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06" w:type="pct"/>
                  <w:vMerge w:val="restar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序号</w:t>
                  </w:r>
                </w:p>
              </w:tc>
              <w:tc>
                <w:tcPr>
                  <w:tcW w:w="219" w:type="pct"/>
                  <w:vMerge w:val="restar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污水</w:t>
                  </w:r>
                </w:p>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来源</w:t>
                  </w:r>
                </w:p>
              </w:tc>
              <w:tc>
                <w:tcPr>
                  <w:tcW w:w="229" w:type="pct"/>
                  <w:vMerge w:val="restar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污水类别</w:t>
                  </w:r>
                </w:p>
              </w:tc>
              <w:tc>
                <w:tcPr>
                  <w:tcW w:w="408" w:type="pct"/>
                  <w:vMerge w:val="restart"/>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污染物</w:t>
                  </w:r>
                </w:p>
              </w:tc>
              <w:tc>
                <w:tcPr>
                  <w:tcW w:w="1229" w:type="pct"/>
                  <w:gridSpan w:val="4"/>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污染物产生</w:t>
                  </w:r>
                </w:p>
              </w:tc>
              <w:tc>
                <w:tcPr>
                  <w:tcW w:w="543" w:type="pct"/>
                  <w:gridSpan w:val="2"/>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治理措施</w:t>
                  </w:r>
                </w:p>
              </w:tc>
              <w:tc>
                <w:tcPr>
                  <w:tcW w:w="1283" w:type="pct"/>
                  <w:gridSpan w:val="4"/>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污染物排放</w:t>
                  </w:r>
                </w:p>
              </w:tc>
              <w:tc>
                <w:tcPr>
                  <w:tcW w:w="651" w:type="pct"/>
                  <w:gridSpan w:val="2"/>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标准值</w:t>
                  </w:r>
                </w:p>
              </w:tc>
              <w:tc>
                <w:tcPr>
                  <w:tcW w:w="229" w:type="pct"/>
                  <w:vMerge w:val="restart"/>
                  <w:vAlign w:val="center"/>
                </w:tcPr>
                <w:p>
                  <w:pPr>
                    <w:pStyle w:val="62"/>
                    <w:jc w:val="center"/>
                    <w:rPr>
                      <w:rFonts w:ascii="Times New Roman" w:hAnsi="Times New Roman"/>
                      <w:color w:val="auto"/>
                      <w:szCs w:val="21"/>
                      <w:highlight w:val="none"/>
                    </w:rPr>
                  </w:pPr>
                  <w:r>
                    <w:rPr>
                      <w:rFonts w:ascii="Times New Roman" w:hAnsi="Times New Roman"/>
                      <w:b/>
                      <w:bCs/>
                      <w:color w:val="auto"/>
                      <w:szCs w:val="21"/>
                      <w:highlight w:val="none"/>
                    </w:rPr>
                    <w:t>排放</w:t>
                  </w:r>
                  <w:r>
                    <w:rPr>
                      <w:rFonts w:hint="eastAsia" w:ascii="Times New Roman" w:hAnsi="Times New Roman"/>
                      <w:b/>
                      <w:bCs/>
                      <w:color w:val="auto"/>
                      <w:szCs w:val="21"/>
                      <w:highlight w:val="none"/>
                    </w:rPr>
                    <w:t>时间h</w:t>
                  </w:r>
                  <w:r>
                    <w:rPr>
                      <w:rFonts w:ascii="Times New Roman" w:hAnsi="Times New Roman"/>
                      <w:b/>
                      <w:bCs/>
                      <w:color w:val="auto"/>
                      <w:szCs w:val="21"/>
                      <w:highlight w:val="none"/>
                    </w:rPr>
                    <w:t>/</w:t>
                  </w:r>
                  <w:r>
                    <w:rPr>
                      <w:rFonts w:hint="eastAsia" w:ascii="Times New Roman" w:hAnsi="Times New Roman"/>
                      <w:b/>
                      <w:bCs/>
                      <w:color w:val="auto"/>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06" w:type="pct"/>
                  <w:vMerge w:val="continue"/>
                  <w:vAlign w:val="center"/>
                </w:tcPr>
                <w:p>
                  <w:pPr>
                    <w:pStyle w:val="62"/>
                    <w:jc w:val="center"/>
                    <w:rPr>
                      <w:rFonts w:ascii="Times New Roman" w:hAnsi="Times New Roman"/>
                      <w:b/>
                      <w:bCs/>
                      <w:color w:val="auto"/>
                      <w:szCs w:val="21"/>
                      <w:highlight w:val="none"/>
                    </w:rPr>
                  </w:pPr>
                </w:p>
              </w:tc>
              <w:tc>
                <w:tcPr>
                  <w:tcW w:w="219" w:type="pct"/>
                  <w:vMerge w:val="continue"/>
                  <w:vAlign w:val="center"/>
                </w:tcPr>
                <w:p>
                  <w:pPr>
                    <w:pStyle w:val="62"/>
                    <w:jc w:val="center"/>
                    <w:rPr>
                      <w:rFonts w:ascii="Times New Roman" w:hAnsi="Times New Roman"/>
                      <w:b/>
                      <w:bCs/>
                      <w:color w:val="auto"/>
                      <w:szCs w:val="21"/>
                      <w:highlight w:val="none"/>
                    </w:rPr>
                  </w:pPr>
                </w:p>
              </w:tc>
              <w:tc>
                <w:tcPr>
                  <w:tcW w:w="229" w:type="pct"/>
                  <w:vMerge w:val="continue"/>
                  <w:vAlign w:val="center"/>
                </w:tcPr>
                <w:p>
                  <w:pPr>
                    <w:pStyle w:val="62"/>
                    <w:jc w:val="center"/>
                    <w:rPr>
                      <w:rFonts w:ascii="Times New Roman" w:hAnsi="Times New Roman"/>
                      <w:b/>
                      <w:bCs/>
                      <w:color w:val="auto"/>
                      <w:szCs w:val="21"/>
                      <w:highlight w:val="none"/>
                    </w:rPr>
                  </w:pPr>
                </w:p>
              </w:tc>
              <w:tc>
                <w:tcPr>
                  <w:tcW w:w="408" w:type="pct"/>
                  <w:vMerge w:val="continue"/>
                  <w:vAlign w:val="center"/>
                </w:tcPr>
                <w:p>
                  <w:pPr>
                    <w:pStyle w:val="62"/>
                    <w:jc w:val="center"/>
                    <w:rPr>
                      <w:rFonts w:ascii="Times New Roman" w:hAnsi="Times New Roman"/>
                      <w:b/>
                      <w:bCs/>
                      <w:color w:val="auto"/>
                      <w:szCs w:val="21"/>
                      <w:highlight w:val="none"/>
                    </w:rPr>
                  </w:pPr>
                </w:p>
              </w:tc>
              <w:tc>
                <w:tcPr>
                  <w:tcW w:w="269" w:type="pc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核算方法</w:t>
                  </w:r>
                </w:p>
              </w:tc>
              <w:tc>
                <w:tcPr>
                  <w:tcW w:w="265" w:type="pct"/>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浓度mg/</w:t>
                  </w:r>
                  <w:r>
                    <w:rPr>
                      <w:rFonts w:hint="eastAsia" w:ascii="Times New Roman" w:hAnsi="Times New Roman"/>
                      <w:b/>
                      <w:bCs/>
                      <w:color w:val="auto"/>
                      <w:szCs w:val="21"/>
                      <w:highlight w:val="none"/>
                    </w:rPr>
                    <w:t>L</w:t>
                  </w:r>
                </w:p>
              </w:tc>
              <w:tc>
                <w:tcPr>
                  <w:tcW w:w="310" w:type="pct"/>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废</w:t>
                  </w:r>
                  <w:r>
                    <w:rPr>
                      <w:rFonts w:hint="eastAsia" w:ascii="Times New Roman" w:hAnsi="Times New Roman"/>
                      <w:b/>
                      <w:bCs/>
                      <w:color w:val="auto"/>
                      <w:szCs w:val="21"/>
                      <w:highlight w:val="none"/>
                    </w:rPr>
                    <w:t>水</w:t>
                  </w:r>
                  <w:r>
                    <w:rPr>
                      <w:rFonts w:ascii="Times New Roman" w:hAnsi="Times New Roman"/>
                      <w:b/>
                      <w:bCs/>
                      <w:color w:val="auto"/>
                      <w:szCs w:val="21"/>
                      <w:highlight w:val="none"/>
                    </w:rPr>
                    <w:t>量m</w:t>
                  </w:r>
                  <w:r>
                    <w:rPr>
                      <w:rFonts w:ascii="Times New Roman" w:hAnsi="Times New Roman"/>
                      <w:b/>
                      <w:bCs/>
                      <w:color w:val="auto"/>
                      <w:szCs w:val="21"/>
                      <w:highlight w:val="none"/>
                      <w:vertAlign w:val="superscript"/>
                    </w:rPr>
                    <w:t>3</w:t>
                  </w:r>
                  <w:r>
                    <w:rPr>
                      <w:rFonts w:ascii="Times New Roman" w:hAnsi="Times New Roman"/>
                      <w:b/>
                      <w:bCs/>
                      <w:color w:val="auto"/>
                      <w:szCs w:val="21"/>
                      <w:highlight w:val="none"/>
                    </w:rPr>
                    <w:t>/</w:t>
                  </w:r>
                  <w:r>
                    <w:rPr>
                      <w:rFonts w:hint="eastAsia" w:ascii="Times New Roman" w:hAnsi="Times New Roman"/>
                      <w:b/>
                      <w:bCs/>
                      <w:color w:val="auto"/>
                      <w:szCs w:val="21"/>
                      <w:highlight w:val="none"/>
                    </w:rPr>
                    <w:t>a</w:t>
                  </w:r>
                </w:p>
              </w:tc>
              <w:tc>
                <w:tcPr>
                  <w:tcW w:w="384" w:type="pc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产生量t</w:t>
                  </w:r>
                  <w:r>
                    <w:rPr>
                      <w:rFonts w:ascii="Times New Roman" w:hAnsi="Times New Roman"/>
                      <w:b/>
                      <w:bCs/>
                      <w:color w:val="auto"/>
                      <w:szCs w:val="21"/>
                      <w:highlight w:val="none"/>
                    </w:rPr>
                    <w:t>/</w:t>
                  </w:r>
                  <w:r>
                    <w:rPr>
                      <w:rFonts w:hint="eastAsia" w:ascii="Times New Roman" w:hAnsi="Times New Roman"/>
                      <w:b/>
                      <w:bCs/>
                      <w:color w:val="auto"/>
                      <w:szCs w:val="21"/>
                      <w:highlight w:val="none"/>
                    </w:rPr>
                    <w:t>a</w:t>
                  </w:r>
                </w:p>
              </w:tc>
              <w:tc>
                <w:tcPr>
                  <w:tcW w:w="276" w:type="pc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工艺</w:t>
                  </w:r>
                </w:p>
              </w:tc>
              <w:tc>
                <w:tcPr>
                  <w:tcW w:w="267" w:type="pc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效率</w:t>
                  </w:r>
                </w:p>
              </w:tc>
              <w:tc>
                <w:tcPr>
                  <w:tcW w:w="304" w:type="pc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核算方法</w:t>
                  </w:r>
                </w:p>
              </w:tc>
              <w:tc>
                <w:tcPr>
                  <w:tcW w:w="255" w:type="pct"/>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浓度mg/</w:t>
                  </w:r>
                  <w:r>
                    <w:rPr>
                      <w:rFonts w:hint="eastAsia" w:ascii="Times New Roman" w:hAnsi="Times New Roman"/>
                      <w:b/>
                      <w:bCs/>
                      <w:color w:val="auto"/>
                      <w:szCs w:val="21"/>
                      <w:highlight w:val="none"/>
                    </w:rPr>
                    <w:t>L</w:t>
                  </w:r>
                </w:p>
              </w:tc>
              <w:tc>
                <w:tcPr>
                  <w:tcW w:w="305" w:type="pct"/>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废</w:t>
                  </w:r>
                  <w:r>
                    <w:rPr>
                      <w:rFonts w:hint="eastAsia" w:ascii="Times New Roman" w:hAnsi="Times New Roman"/>
                      <w:b/>
                      <w:bCs/>
                      <w:color w:val="auto"/>
                      <w:szCs w:val="21"/>
                      <w:highlight w:val="none"/>
                    </w:rPr>
                    <w:t>水</w:t>
                  </w:r>
                  <w:r>
                    <w:rPr>
                      <w:rFonts w:ascii="Times New Roman" w:hAnsi="Times New Roman"/>
                      <w:b/>
                      <w:bCs/>
                      <w:color w:val="auto"/>
                      <w:szCs w:val="21"/>
                      <w:highlight w:val="none"/>
                    </w:rPr>
                    <w:t>量m</w:t>
                  </w:r>
                  <w:r>
                    <w:rPr>
                      <w:rFonts w:ascii="Times New Roman" w:hAnsi="Times New Roman"/>
                      <w:b/>
                      <w:bCs/>
                      <w:color w:val="auto"/>
                      <w:szCs w:val="21"/>
                      <w:highlight w:val="none"/>
                      <w:vertAlign w:val="superscript"/>
                    </w:rPr>
                    <w:t>3</w:t>
                  </w:r>
                  <w:r>
                    <w:rPr>
                      <w:rFonts w:ascii="Times New Roman" w:hAnsi="Times New Roman"/>
                      <w:b/>
                      <w:bCs/>
                      <w:color w:val="auto"/>
                      <w:szCs w:val="21"/>
                      <w:highlight w:val="none"/>
                    </w:rPr>
                    <w:t>/</w:t>
                  </w:r>
                  <w:r>
                    <w:rPr>
                      <w:rFonts w:hint="eastAsia" w:ascii="Times New Roman" w:hAnsi="Times New Roman"/>
                      <w:b/>
                      <w:bCs/>
                      <w:color w:val="auto"/>
                      <w:szCs w:val="21"/>
                      <w:highlight w:val="none"/>
                    </w:rPr>
                    <w:t>a</w:t>
                  </w:r>
                </w:p>
              </w:tc>
              <w:tc>
                <w:tcPr>
                  <w:tcW w:w="418" w:type="pc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排方量t</w:t>
                  </w:r>
                  <w:r>
                    <w:rPr>
                      <w:rFonts w:ascii="Times New Roman" w:hAnsi="Times New Roman"/>
                      <w:b/>
                      <w:bCs/>
                      <w:color w:val="auto"/>
                      <w:szCs w:val="21"/>
                      <w:highlight w:val="none"/>
                    </w:rPr>
                    <w:t>/</w:t>
                  </w:r>
                  <w:r>
                    <w:rPr>
                      <w:rFonts w:hint="eastAsia" w:ascii="Times New Roman" w:hAnsi="Times New Roman"/>
                      <w:b/>
                      <w:bCs/>
                      <w:color w:val="auto"/>
                      <w:szCs w:val="21"/>
                      <w:highlight w:val="none"/>
                    </w:rPr>
                    <w:t>a</w:t>
                  </w:r>
                </w:p>
              </w:tc>
              <w:tc>
                <w:tcPr>
                  <w:tcW w:w="325" w:type="pct"/>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浓度</w:t>
                  </w:r>
                </w:p>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限值</w:t>
                  </w:r>
                </w:p>
              </w:tc>
              <w:tc>
                <w:tcPr>
                  <w:tcW w:w="326" w:type="pct"/>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单位</w:t>
                  </w:r>
                </w:p>
              </w:tc>
              <w:tc>
                <w:tcPr>
                  <w:tcW w:w="229" w:type="pct"/>
                  <w:vMerge w:val="continue"/>
                  <w:vAlign w:val="center"/>
                </w:tcPr>
                <w:p>
                  <w:pPr>
                    <w:pStyle w:val="62"/>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6" w:type="pct"/>
                  <w:vMerge w:val="restar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1</w:t>
                  </w:r>
                </w:p>
              </w:tc>
              <w:tc>
                <w:tcPr>
                  <w:tcW w:w="219" w:type="pct"/>
                  <w:vMerge w:val="restar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诊疗、住院等</w:t>
                  </w:r>
                </w:p>
              </w:tc>
              <w:tc>
                <w:tcPr>
                  <w:tcW w:w="229" w:type="pct"/>
                  <w:vMerge w:val="restar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医疗废水</w:t>
                  </w:r>
                </w:p>
              </w:tc>
              <w:tc>
                <w:tcPr>
                  <w:tcW w:w="408" w:type="pct"/>
                  <w:vAlign w:val="center"/>
                </w:tcPr>
                <w:p>
                  <w:pPr>
                    <w:pStyle w:val="68"/>
                    <w:rPr>
                      <w:color w:val="auto"/>
                      <w:kern w:val="2"/>
                      <w:szCs w:val="21"/>
                      <w:highlight w:val="none"/>
                    </w:rPr>
                  </w:pPr>
                  <w:r>
                    <w:rPr>
                      <w:rFonts w:hint="eastAsia"/>
                      <w:color w:val="auto"/>
                      <w:szCs w:val="21"/>
                      <w:highlight w:val="none"/>
                    </w:rPr>
                    <w:t>SS</w:t>
                  </w:r>
                </w:p>
              </w:tc>
              <w:tc>
                <w:tcPr>
                  <w:tcW w:w="26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restart"/>
                  <w:vAlign w:val="center"/>
                </w:tcPr>
                <w:p>
                  <w:pPr>
                    <w:pStyle w:val="62"/>
                    <w:jc w:val="center"/>
                    <w:rPr>
                      <w:rFonts w:ascii="Times New Roman" w:hAnsi="Times New Roman"/>
                      <w:color w:val="auto"/>
                      <w:szCs w:val="21"/>
                      <w:highlight w:val="none"/>
                    </w:rPr>
                  </w:pPr>
                  <w:r>
                    <w:rPr>
                      <w:rFonts w:hint="eastAsia" w:ascii="Times New Roman" w:hAnsi="Times New Roman"/>
                      <w:color w:val="auto"/>
                      <w:highlight w:val="none"/>
                      <w:lang w:val="en-US" w:eastAsia="zh-CN"/>
                    </w:rPr>
                    <w:t>6780</w:t>
                  </w:r>
                  <w:r>
                    <w:rPr>
                      <w:rFonts w:hint="eastAsia" w:ascii="Times New Roman" w:hAnsi="Times New Roman"/>
                      <w:color w:val="auto"/>
                      <w:highlight w:val="none"/>
                    </w:rPr>
                    <w:t>.24</w:t>
                  </w:r>
                </w:p>
              </w:tc>
              <w:tc>
                <w:tcPr>
                  <w:tcW w:w="384" w:type="pct"/>
                  <w:vAlign w:val="center"/>
                </w:tcPr>
                <w:p>
                  <w:pPr>
                    <w:widowControl/>
                    <w:jc w:val="center"/>
                    <w:textAlignment w:val="center"/>
                    <w:rPr>
                      <w:color w:val="auto"/>
                      <w:highlight w:val="none"/>
                    </w:rPr>
                  </w:pPr>
                  <w:r>
                    <w:rPr>
                      <w:rFonts w:hint="eastAsia" w:ascii="Times New Roman" w:hAnsi="Times New Roman"/>
                      <w:color w:val="auto"/>
                      <w:highlight w:val="none"/>
                    </w:rPr>
                    <w:t>/</w:t>
                  </w:r>
                </w:p>
              </w:tc>
              <w:tc>
                <w:tcPr>
                  <w:tcW w:w="276" w:type="pct"/>
                  <w:vMerge w:val="restar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“二级处理</w:t>
                  </w:r>
                  <w:r>
                    <w:rPr>
                      <w:rFonts w:ascii="Times New Roman" w:hAnsi="Times New Roman"/>
                      <w:color w:val="auto"/>
                      <w:highlight w:val="none"/>
                    </w:rPr>
                    <w:t>+</w:t>
                  </w:r>
                  <w:r>
                    <w:rPr>
                      <w:rFonts w:hint="eastAsia" w:ascii="Times New Roman" w:hAnsi="Times New Roman"/>
                      <w:color w:val="auto"/>
                      <w:highlight w:val="none"/>
                    </w:rPr>
                    <w:t>二氧化氯消毒”工艺/</w:t>
                  </w:r>
                </w:p>
              </w:tc>
              <w:tc>
                <w:tcPr>
                  <w:tcW w:w="267"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kern w:val="2"/>
                      <w:szCs w:val="21"/>
                      <w:highlight w:val="none"/>
                    </w:rPr>
                  </w:pPr>
                  <w:r>
                    <w:rPr>
                      <w:rFonts w:hint="eastAsia"/>
                      <w:color w:val="auto"/>
                      <w:szCs w:val="21"/>
                      <w:highlight w:val="none"/>
                    </w:rPr>
                    <w:t>7</w:t>
                  </w:r>
                </w:p>
              </w:tc>
              <w:tc>
                <w:tcPr>
                  <w:tcW w:w="305" w:type="pct"/>
                  <w:vMerge w:val="restart"/>
                  <w:vAlign w:val="center"/>
                </w:tcPr>
                <w:p>
                  <w:pPr>
                    <w:jc w:val="center"/>
                    <w:rPr>
                      <w:rFonts w:ascii="Times New Roman" w:hAnsi="Times New Roman"/>
                      <w:color w:val="auto"/>
                      <w:kern w:val="2"/>
                      <w:highlight w:val="none"/>
                    </w:rPr>
                  </w:pPr>
                  <w:r>
                    <w:rPr>
                      <w:rFonts w:hint="eastAsia" w:ascii="Times New Roman" w:hAnsi="Times New Roman"/>
                      <w:color w:val="auto"/>
                      <w:highlight w:val="none"/>
                      <w:lang w:val="en-US" w:eastAsia="zh-CN"/>
                    </w:rPr>
                    <w:t>6780</w:t>
                  </w:r>
                  <w:r>
                    <w:rPr>
                      <w:rFonts w:hint="eastAsia" w:ascii="Times New Roman" w:hAnsi="Times New Roman"/>
                      <w:color w:val="auto"/>
                      <w:highlight w:val="none"/>
                    </w:rPr>
                    <w:t>.24</w:t>
                  </w: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0.04746 </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60</w:t>
                  </w:r>
                </w:p>
              </w:tc>
              <w:tc>
                <w:tcPr>
                  <w:tcW w:w="326" w:type="pct"/>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mg/</w:t>
                  </w:r>
                  <w:r>
                    <w:rPr>
                      <w:rFonts w:hint="eastAsia" w:ascii="Times New Roman" w:hAnsi="Times New Roman"/>
                      <w:color w:val="auto"/>
                      <w:szCs w:val="21"/>
                      <w:highlight w:val="none"/>
                    </w:rPr>
                    <w:t>L</w:t>
                  </w:r>
                </w:p>
              </w:tc>
              <w:tc>
                <w:tcPr>
                  <w:tcW w:w="229"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color w:val="auto"/>
                      <w:kern w:val="2"/>
                      <w:szCs w:val="21"/>
                      <w:highlight w:val="none"/>
                    </w:rPr>
                  </w:pPr>
                  <w:r>
                    <w:rPr>
                      <w:rFonts w:hint="eastAsia"/>
                      <w:color w:val="auto"/>
                      <w:szCs w:val="21"/>
                      <w:highlight w:val="none"/>
                      <w:lang w:val="zh-CN"/>
                    </w:rPr>
                    <w:t>COD</w:t>
                  </w:r>
                </w:p>
              </w:tc>
              <w:tc>
                <w:tcPr>
                  <w:tcW w:w="26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continue"/>
                  <w:vAlign w:val="center"/>
                </w:tcPr>
                <w:p>
                  <w:pPr>
                    <w:pStyle w:val="62"/>
                    <w:jc w:val="center"/>
                    <w:rPr>
                      <w:rFonts w:ascii="Times New Roman" w:hAnsi="Times New Roman"/>
                      <w:color w:val="auto"/>
                      <w:szCs w:val="21"/>
                      <w:highlight w:val="none"/>
                    </w:rPr>
                  </w:pPr>
                </w:p>
              </w:tc>
              <w:tc>
                <w:tcPr>
                  <w:tcW w:w="384" w:type="pct"/>
                  <w:vAlign w:val="center"/>
                </w:tcPr>
                <w:p>
                  <w:pPr>
                    <w:widowControl/>
                    <w:jc w:val="center"/>
                    <w:textAlignment w:val="center"/>
                    <w:rPr>
                      <w:color w:val="auto"/>
                      <w:highlight w:val="none"/>
                    </w:rPr>
                  </w:pPr>
                  <w:r>
                    <w:rPr>
                      <w:rFonts w:hint="eastAsia" w:ascii="Times New Roman" w:hAnsi="Times New Roman"/>
                      <w:color w:val="auto"/>
                      <w:highlight w:val="none"/>
                    </w:rPr>
                    <w:t>/</w:t>
                  </w:r>
                </w:p>
              </w:tc>
              <w:tc>
                <w:tcPr>
                  <w:tcW w:w="276" w:type="pct"/>
                  <w:vMerge w:val="continue"/>
                  <w:vAlign w:val="center"/>
                </w:tcPr>
                <w:p>
                  <w:pPr>
                    <w:pStyle w:val="62"/>
                    <w:jc w:val="center"/>
                    <w:rPr>
                      <w:rFonts w:ascii="Times New Roman" w:hAnsi="Times New Roman"/>
                      <w:color w:val="auto"/>
                      <w:szCs w:val="21"/>
                      <w:highlight w:val="none"/>
                    </w:rPr>
                  </w:pPr>
                </w:p>
              </w:tc>
              <w:tc>
                <w:tcPr>
                  <w:tcW w:w="267"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kern w:val="2"/>
                      <w:szCs w:val="21"/>
                      <w:highlight w:val="none"/>
                    </w:rPr>
                  </w:pPr>
                  <w:r>
                    <w:rPr>
                      <w:rFonts w:hint="eastAsia"/>
                      <w:color w:val="auto"/>
                      <w:szCs w:val="21"/>
                      <w:highlight w:val="none"/>
                    </w:rPr>
                    <w:t>11</w:t>
                  </w:r>
                </w:p>
              </w:tc>
              <w:tc>
                <w:tcPr>
                  <w:tcW w:w="305" w:type="pct"/>
                  <w:vMerge w:val="continue"/>
                  <w:vAlign w:val="center"/>
                </w:tcPr>
                <w:p>
                  <w:pPr>
                    <w:pStyle w:val="62"/>
                    <w:jc w:val="center"/>
                    <w:rPr>
                      <w:rFonts w:ascii="Times New Roman" w:hAnsi="Times New Roman"/>
                      <w:color w:val="auto"/>
                      <w:szCs w:val="21"/>
                      <w:highlight w:val="none"/>
                    </w:rPr>
                  </w:pP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0000FF"/>
                      <w:highlight w:val="none"/>
                      <w:lang w:val="en-US" w:eastAsia="zh-CN"/>
                    </w:rPr>
                    <w:t>0.07458</w:t>
                  </w:r>
                  <w:r>
                    <w:rPr>
                      <w:rFonts w:hint="eastAsia" w:ascii="Times New Roman" w:hAnsi="Times New Roman" w:eastAsia="宋体" w:cs="Times New Roman"/>
                      <w:color w:val="auto"/>
                      <w:highlight w:val="none"/>
                      <w:lang w:val="en-US" w:eastAsia="zh-CN"/>
                    </w:rPr>
                    <w:t xml:space="preserve"> </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250</w:t>
                  </w:r>
                </w:p>
              </w:tc>
              <w:tc>
                <w:tcPr>
                  <w:tcW w:w="326" w:type="pct"/>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mg/</w:t>
                  </w:r>
                  <w:r>
                    <w:rPr>
                      <w:rFonts w:hint="eastAsia" w:ascii="Times New Roman" w:hAnsi="Times New Roman"/>
                      <w:color w:val="auto"/>
                      <w:szCs w:val="21"/>
                      <w:highlight w:val="none"/>
                    </w:rPr>
                    <w:t>L</w:t>
                  </w:r>
                </w:p>
              </w:tc>
              <w:tc>
                <w:tcPr>
                  <w:tcW w:w="22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color w:val="auto"/>
                      <w:kern w:val="2"/>
                      <w:szCs w:val="21"/>
                      <w:highlight w:val="none"/>
                    </w:rPr>
                  </w:pPr>
                  <w:r>
                    <w:rPr>
                      <w:rFonts w:hint="eastAsia"/>
                      <w:color w:val="auto"/>
                      <w:szCs w:val="21"/>
                      <w:highlight w:val="none"/>
                      <w:lang w:val="zh-CN"/>
                    </w:rPr>
                    <w:t>粪大肠菌群</w:t>
                  </w:r>
                </w:p>
              </w:tc>
              <w:tc>
                <w:tcPr>
                  <w:tcW w:w="269" w:type="pct"/>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continue"/>
                  <w:vAlign w:val="center"/>
                </w:tcPr>
                <w:p>
                  <w:pPr>
                    <w:pStyle w:val="62"/>
                    <w:jc w:val="center"/>
                    <w:rPr>
                      <w:rFonts w:ascii="Times New Roman" w:hAnsi="Times New Roman"/>
                      <w:color w:val="auto"/>
                      <w:szCs w:val="21"/>
                      <w:highlight w:val="none"/>
                    </w:rPr>
                  </w:pPr>
                </w:p>
              </w:tc>
              <w:tc>
                <w:tcPr>
                  <w:tcW w:w="384" w:type="pct"/>
                  <w:vAlign w:val="center"/>
                </w:tcPr>
                <w:p>
                  <w:pPr>
                    <w:jc w:val="center"/>
                    <w:rPr>
                      <w:color w:val="auto"/>
                      <w:highlight w:val="none"/>
                    </w:rPr>
                  </w:pPr>
                  <w:r>
                    <w:rPr>
                      <w:rFonts w:hint="eastAsia" w:ascii="Times New Roman" w:hAnsi="Times New Roman"/>
                      <w:color w:val="auto"/>
                      <w:highlight w:val="none"/>
                    </w:rPr>
                    <w:t>/</w:t>
                  </w:r>
                </w:p>
              </w:tc>
              <w:tc>
                <w:tcPr>
                  <w:tcW w:w="276" w:type="pct"/>
                  <w:vMerge w:val="continue"/>
                  <w:vAlign w:val="center"/>
                </w:tcPr>
                <w:p>
                  <w:pPr>
                    <w:pStyle w:val="62"/>
                    <w:jc w:val="center"/>
                    <w:rPr>
                      <w:rFonts w:ascii="Times New Roman" w:hAnsi="Times New Roman"/>
                      <w:color w:val="auto"/>
                      <w:szCs w:val="21"/>
                      <w:highlight w:val="none"/>
                    </w:rPr>
                  </w:pPr>
                </w:p>
              </w:tc>
              <w:tc>
                <w:tcPr>
                  <w:tcW w:w="267" w:type="pct"/>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kern w:val="2"/>
                      <w:szCs w:val="21"/>
                      <w:highlight w:val="none"/>
                    </w:rPr>
                  </w:pPr>
                  <w:r>
                    <w:rPr>
                      <w:rFonts w:hint="eastAsia"/>
                      <w:color w:val="auto"/>
                      <w:szCs w:val="21"/>
                      <w:highlight w:val="none"/>
                    </w:rPr>
                    <w:t>未检出</w:t>
                  </w:r>
                </w:p>
              </w:tc>
              <w:tc>
                <w:tcPr>
                  <w:tcW w:w="305" w:type="pct"/>
                  <w:vMerge w:val="continue"/>
                  <w:vAlign w:val="center"/>
                </w:tcPr>
                <w:p>
                  <w:pPr>
                    <w:pStyle w:val="62"/>
                    <w:jc w:val="center"/>
                    <w:rPr>
                      <w:rFonts w:ascii="Times New Roman" w:hAnsi="Times New Roman"/>
                      <w:color w:val="auto"/>
                      <w:szCs w:val="21"/>
                      <w:highlight w:val="none"/>
                    </w:rPr>
                  </w:pP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5000</w:t>
                  </w:r>
                </w:p>
              </w:tc>
              <w:tc>
                <w:tcPr>
                  <w:tcW w:w="326"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MPN/L</w:t>
                  </w:r>
                </w:p>
              </w:tc>
              <w:tc>
                <w:tcPr>
                  <w:tcW w:w="229" w:type="pct"/>
                  <w:vAlign w:val="center"/>
                </w:tcPr>
                <w:p>
                  <w:pPr>
                    <w:jc w:val="center"/>
                    <w:rPr>
                      <w:rFonts w:ascii="Times New Roman" w:hAnsi="Times New Roman"/>
                      <w:color w:val="auto"/>
                      <w:highlight w:val="none"/>
                    </w:rPr>
                  </w:pPr>
                  <w:r>
                    <w:rPr>
                      <w:rFonts w:hint="eastAsia" w:ascii="Times New Roman" w:hAnsi="Times New Roman"/>
                      <w:color w:val="auto"/>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color w:val="auto"/>
                      <w:kern w:val="2"/>
                      <w:szCs w:val="21"/>
                      <w:highlight w:val="none"/>
                    </w:rPr>
                  </w:pPr>
                  <w:r>
                    <w:rPr>
                      <w:rFonts w:hint="eastAsia"/>
                      <w:color w:val="auto"/>
                      <w:szCs w:val="21"/>
                      <w:highlight w:val="none"/>
                      <w:lang w:val="zh-CN"/>
                    </w:rPr>
                    <w:t>BOD</w:t>
                  </w:r>
                  <w:r>
                    <w:rPr>
                      <w:rFonts w:hint="eastAsia"/>
                      <w:color w:val="auto"/>
                      <w:szCs w:val="21"/>
                      <w:highlight w:val="none"/>
                      <w:vertAlign w:val="subscript"/>
                      <w:lang w:val="zh-CN"/>
                    </w:rPr>
                    <w:t>5</w:t>
                  </w:r>
                </w:p>
              </w:tc>
              <w:tc>
                <w:tcPr>
                  <w:tcW w:w="26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continue"/>
                  <w:vAlign w:val="center"/>
                </w:tcPr>
                <w:p>
                  <w:pPr>
                    <w:pStyle w:val="62"/>
                    <w:jc w:val="center"/>
                    <w:rPr>
                      <w:rFonts w:ascii="Times New Roman" w:hAnsi="Times New Roman"/>
                      <w:color w:val="auto"/>
                      <w:szCs w:val="21"/>
                      <w:highlight w:val="none"/>
                    </w:rPr>
                  </w:pPr>
                </w:p>
              </w:tc>
              <w:tc>
                <w:tcPr>
                  <w:tcW w:w="384" w:type="pct"/>
                  <w:vAlign w:val="center"/>
                </w:tcPr>
                <w:p>
                  <w:pPr>
                    <w:jc w:val="center"/>
                    <w:rPr>
                      <w:color w:val="auto"/>
                      <w:highlight w:val="none"/>
                    </w:rPr>
                  </w:pPr>
                  <w:r>
                    <w:rPr>
                      <w:rFonts w:hint="eastAsia" w:ascii="Times New Roman" w:hAnsi="Times New Roman"/>
                      <w:color w:val="auto"/>
                      <w:highlight w:val="none"/>
                    </w:rPr>
                    <w:t>/</w:t>
                  </w:r>
                </w:p>
              </w:tc>
              <w:tc>
                <w:tcPr>
                  <w:tcW w:w="276" w:type="pct"/>
                  <w:vMerge w:val="continue"/>
                  <w:vAlign w:val="center"/>
                </w:tcPr>
                <w:p>
                  <w:pPr>
                    <w:pStyle w:val="62"/>
                    <w:jc w:val="center"/>
                    <w:rPr>
                      <w:rFonts w:ascii="Times New Roman" w:hAnsi="Times New Roman"/>
                      <w:color w:val="auto"/>
                      <w:szCs w:val="21"/>
                      <w:highlight w:val="none"/>
                    </w:rPr>
                  </w:pPr>
                </w:p>
              </w:tc>
              <w:tc>
                <w:tcPr>
                  <w:tcW w:w="267" w:type="pct"/>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kern w:val="2"/>
                      <w:szCs w:val="21"/>
                      <w:highlight w:val="none"/>
                    </w:rPr>
                  </w:pPr>
                  <w:r>
                    <w:rPr>
                      <w:rFonts w:hint="eastAsia"/>
                      <w:color w:val="auto"/>
                      <w:szCs w:val="21"/>
                      <w:highlight w:val="none"/>
                    </w:rPr>
                    <w:t>2.9</w:t>
                  </w:r>
                </w:p>
              </w:tc>
              <w:tc>
                <w:tcPr>
                  <w:tcW w:w="305" w:type="pct"/>
                  <w:vMerge w:val="continue"/>
                  <w:vAlign w:val="center"/>
                </w:tcPr>
                <w:p>
                  <w:pPr>
                    <w:pStyle w:val="62"/>
                    <w:jc w:val="center"/>
                    <w:rPr>
                      <w:rFonts w:ascii="Times New Roman" w:hAnsi="Times New Roman"/>
                      <w:color w:val="auto"/>
                      <w:szCs w:val="21"/>
                      <w:highlight w:val="none"/>
                    </w:rPr>
                  </w:pP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0.01966 </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20</w:t>
                  </w:r>
                </w:p>
              </w:tc>
              <w:tc>
                <w:tcPr>
                  <w:tcW w:w="326" w:type="pct"/>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mg/</w:t>
                  </w:r>
                  <w:r>
                    <w:rPr>
                      <w:rFonts w:hint="eastAsia" w:ascii="Times New Roman" w:hAnsi="Times New Roman"/>
                      <w:color w:val="auto"/>
                      <w:szCs w:val="21"/>
                      <w:highlight w:val="none"/>
                    </w:rPr>
                    <w:t>L</w:t>
                  </w:r>
                </w:p>
              </w:tc>
              <w:tc>
                <w:tcPr>
                  <w:tcW w:w="22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color w:val="auto"/>
                      <w:kern w:val="2"/>
                      <w:szCs w:val="21"/>
                      <w:highlight w:val="none"/>
                    </w:rPr>
                  </w:pPr>
                  <w:r>
                    <w:rPr>
                      <w:rFonts w:hint="eastAsia"/>
                      <w:color w:val="auto"/>
                      <w:szCs w:val="21"/>
                      <w:highlight w:val="none"/>
                      <w:lang w:val="zh-CN"/>
                    </w:rPr>
                    <w:t>阴离子表面活性剂</w:t>
                  </w:r>
                </w:p>
              </w:tc>
              <w:tc>
                <w:tcPr>
                  <w:tcW w:w="26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continue"/>
                  <w:vAlign w:val="center"/>
                </w:tcPr>
                <w:p>
                  <w:pPr>
                    <w:jc w:val="center"/>
                    <w:rPr>
                      <w:rFonts w:ascii="Times New Roman" w:hAnsi="Times New Roman"/>
                      <w:color w:val="auto"/>
                      <w:kern w:val="2"/>
                      <w:highlight w:val="none"/>
                    </w:rPr>
                  </w:pPr>
                </w:p>
              </w:tc>
              <w:tc>
                <w:tcPr>
                  <w:tcW w:w="384"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76" w:type="pct"/>
                  <w:vMerge w:val="continue"/>
                  <w:vAlign w:val="center"/>
                </w:tcPr>
                <w:p>
                  <w:pPr>
                    <w:jc w:val="center"/>
                    <w:rPr>
                      <w:rFonts w:ascii="Times New Roman" w:hAnsi="Times New Roman"/>
                      <w:color w:val="auto"/>
                      <w:kern w:val="2"/>
                      <w:highlight w:val="none"/>
                    </w:rPr>
                  </w:pPr>
                </w:p>
              </w:tc>
              <w:tc>
                <w:tcPr>
                  <w:tcW w:w="267"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szCs w:val="21"/>
                      <w:highlight w:val="none"/>
                    </w:rPr>
                  </w:pPr>
                  <w:r>
                    <w:rPr>
                      <w:rFonts w:hint="eastAsia"/>
                      <w:color w:val="auto"/>
                      <w:szCs w:val="21"/>
                      <w:highlight w:val="none"/>
                    </w:rPr>
                    <w:t>0.1</w:t>
                  </w:r>
                </w:p>
              </w:tc>
              <w:tc>
                <w:tcPr>
                  <w:tcW w:w="305" w:type="pct"/>
                  <w:vMerge w:val="continue"/>
                  <w:vAlign w:val="center"/>
                </w:tcPr>
                <w:p>
                  <w:pPr>
                    <w:jc w:val="center"/>
                    <w:rPr>
                      <w:rFonts w:ascii="Times New Roman" w:hAnsi="Times New Roman"/>
                      <w:color w:val="auto"/>
                      <w:kern w:val="2"/>
                      <w:highlight w:val="none"/>
                    </w:rPr>
                  </w:pP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0.00068 </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10</w:t>
                  </w:r>
                </w:p>
              </w:tc>
              <w:tc>
                <w:tcPr>
                  <w:tcW w:w="326" w:type="pct"/>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mg/</w:t>
                  </w:r>
                  <w:r>
                    <w:rPr>
                      <w:rFonts w:hint="eastAsia" w:ascii="Times New Roman" w:hAnsi="Times New Roman"/>
                      <w:color w:val="auto"/>
                      <w:szCs w:val="21"/>
                      <w:highlight w:val="none"/>
                    </w:rPr>
                    <w:t>L</w:t>
                  </w:r>
                </w:p>
              </w:tc>
              <w:tc>
                <w:tcPr>
                  <w:tcW w:w="22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color w:val="auto"/>
                      <w:kern w:val="2"/>
                      <w:szCs w:val="21"/>
                      <w:highlight w:val="none"/>
                    </w:rPr>
                  </w:pPr>
                  <w:r>
                    <w:rPr>
                      <w:rFonts w:hint="eastAsia"/>
                      <w:color w:val="auto"/>
                      <w:szCs w:val="21"/>
                      <w:highlight w:val="none"/>
                      <w:lang w:val="zh-CN"/>
                    </w:rPr>
                    <w:t>氨氮</w:t>
                  </w:r>
                </w:p>
              </w:tc>
              <w:tc>
                <w:tcPr>
                  <w:tcW w:w="26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continue"/>
                  <w:vAlign w:val="center"/>
                </w:tcPr>
                <w:p>
                  <w:pPr>
                    <w:jc w:val="center"/>
                    <w:rPr>
                      <w:rFonts w:ascii="Times New Roman" w:hAnsi="Times New Roman"/>
                      <w:color w:val="auto"/>
                      <w:kern w:val="2"/>
                      <w:highlight w:val="none"/>
                    </w:rPr>
                  </w:pPr>
                </w:p>
              </w:tc>
              <w:tc>
                <w:tcPr>
                  <w:tcW w:w="384"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76" w:type="pct"/>
                  <w:vMerge w:val="continue"/>
                  <w:vAlign w:val="center"/>
                </w:tcPr>
                <w:p>
                  <w:pPr>
                    <w:jc w:val="center"/>
                    <w:rPr>
                      <w:rFonts w:ascii="Times New Roman" w:hAnsi="Times New Roman"/>
                      <w:color w:val="auto"/>
                      <w:kern w:val="2"/>
                      <w:highlight w:val="none"/>
                    </w:rPr>
                  </w:pPr>
                </w:p>
              </w:tc>
              <w:tc>
                <w:tcPr>
                  <w:tcW w:w="267"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szCs w:val="21"/>
                      <w:highlight w:val="none"/>
                    </w:rPr>
                  </w:pPr>
                  <w:r>
                    <w:rPr>
                      <w:rFonts w:hint="eastAsia"/>
                      <w:color w:val="auto"/>
                      <w:szCs w:val="21"/>
                      <w:highlight w:val="none"/>
                    </w:rPr>
                    <w:t>0.025</w:t>
                  </w:r>
                </w:p>
              </w:tc>
              <w:tc>
                <w:tcPr>
                  <w:tcW w:w="305" w:type="pct"/>
                  <w:vMerge w:val="continue"/>
                  <w:vAlign w:val="center"/>
                </w:tcPr>
                <w:p>
                  <w:pPr>
                    <w:jc w:val="center"/>
                    <w:rPr>
                      <w:rFonts w:ascii="Times New Roman" w:hAnsi="Times New Roman"/>
                      <w:color w:val="auto"/>
                      <w:kern w:val="2"/>
                      <w:highlight w:val="none"/>
                    </w:rPr>
                  </w:pP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0.00017 </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45</w:t>
                  </w:r>
                </w:p>
              </w:tc>
              <w:tc>
                <w:tcPr>
                  <w:tcW w:w="326" w:type="pct"/>
                  <w:vAlign w:val="center"/>
                </w:tcPr>
                <w:p>
                  <w:pPr>
                    <w:jc w:val="center"/>
                    <w:rPr>
                      <w:rFonts w:ascii="Times New Roman" w:hAnsi="Times New Roman"/>
                      <w:color w:val="auto"/>
                      <w:kern w:val="2"/>
                      <w:highlight w:val="none"/>
                    </w:rPr>
                  </w:pPr>
                  <w:r>
                    <w:rPr>
                      <w:rFonts w:ascii="Times New Roman" w:hAnsi="Times New Roman"/>
                      <w:color w:val="auto"/>
                      <w:kern w:val="2"/>
                      <w:highlight w:val="none"/>
                    </w:rPr>
                    <w:t>mg/</w:t>
                  </w:r>
                  <w:r>
                    <w:rPr>
                      <w:rFonts w:hint="eastAsia" w:ascii="Times New Roman" w:hAnsi="Times New Roman"/>
                      <w:color w:val="auto"/>
                      <w:kern w:val="2"/>
                      <w:highlight w:val="none"/>
                    </w:rPr>
                    <w:t>L</w:t>
                  </w:r>
                </w:p>
              </w:tc>
              <w:tc>
                <w:tcPr>
                  <w:tcW w:w="22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color w:val="auto"/>
                      <w:kern w:val="2"/>
                      <w:szCs w:val="21"/>
                      <w:highlight w:val="none"/>
                    </w:rPr>
                  </w:pPr>
                  <w:r>
                    <w:rPr>
                      <w:rFonts w:hint="eastAsia"/>
                      <w:color w:val="auto"/>
                      <w:szCs w:val="21"/>
                      <w:highlight w:val="none"/>
                      <w:lang w:val="zh-CN"/>
                    </w:rPr>
                    <w:t>总氮</w:t>
                  </w:r>
                </w:p>
              </w:tc>
              <w:tc>
                <w:tcPr>
                  <w:tcW w:w="26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continue"/>
                  <w:vAlign w:val="center"/>
                </w:tcPr>
                <w:p>
                  <w:pPr>
                    <w:jc w:val="center"/>
                    <w:rPr>
                      <w:rFonts w:ascii="Times New Roman" w:hAnsi="Times New Roman"/>
                      <w:color w:val="auto"/>
                      <w:kern w:val="2"/>
                      <w:highlight w:val="none"/>
                    </w:rPr>
                  </w:pPr>
                </w:p>
              </w:tc>
              <w:tc>
                <w:tcPr>
                  <w:tcW w:w="384"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76" w:type="pct"/>
                  <w:vMerge w:val="continue"/>
                  <w:vAlign w:val="center"/>
                </w:tcPr>
                <w:p>
                  <w:pPr>
                    <w:jc w:val="center"/>
                    <w:rPr>
                      <w:rFonts w:ascii="Times New Roman" w:hAnsi="Times New Roman"/>
                      <w:color w:val="auto"/>
                      <w:kern w:val="2"/>
                      <w:highlight w:val="none"/>
                    </w:rPr>
                  </w:pPr>
                </w:p>
              </w:tc>
              <w:tc>
                <w:tcPr>
                  <w:tcW w:w="267"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szCs w:val="21"/>
                      <w:highlight w:val="none"/>
                    </w:rPr>
                  </w:pPr>
                  <w:r>
                    <w:rPr>
                      <w:rFonts w:hint="eastAsia"/>
                      <w:color w:val="auto"/>
                      <w:szCs w:val="21"/>
                      <w:highlight w:val="none"/>
                    </w:rPr>
                    <w:t>1.3</w:t>
                  </w:r>
                </w:p>
              </w:tc>
              <w:tc>
                <w:tcPr>
                  <w:tcW w:w="305" w:type="pct"/>
                  <w:vMerge w:val="continue"/>
                  <w:vAlign w:val="center"/>
                </w:tcPr>
                <w:p>
                  <w:pPr>
                    <w:jc w:val="center"/>
                    <w:rPr>
                      <w:rFonts w:ascii="Times New Roman" w:hAnsi="Times New Roman"/>
                      <w:color w:val="auto"/>
                      <w:kern w:val="2"/>
                      <w:highlight w:val="none"/>
                    </w:rPr>
                  </w:pP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0.00881 </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70</w:t>
                  </w:r>
                </w:p>
              </w:tc>
              <w:tc>
                <w:tcPr>
                  <w:tcW w:w="326" w:type="pct"/>
                  <w:vAlign w:val="center"/>
                </w:tcPr>
                <w:p>
                  <w:pPr>
                    <w:jc w:val="center"/>
                    <w:rPr>
                      <w:rFonts w:ascii="Times New Roman" w:hAnsi="Times New Roman"/>
                      <w:color w:val="auto"/>
                      <w:kern w:val="2"/>
                      <w:highlight w:val="none"/>
                    </w:rPr>
                  </w:pPr>
                  <w:r>
                    <w:rPr>
                      <w:rFonts w:ascii="Times New Roman" w:hAnsi="Times New Roman"/>
                      <w:color w:val="auto"/>
                      <w:kern w:val="2"/>
                      <w:highlight w:val="none"/>
                    </w:rPr>
                    <w:t>mg/</w:t>
                  </w:r>
                  <w:r>
                    <w:rPr>
                      <w:rFonts w:hint="eastAsia" w:ascii="Times New Roman" w:hAnsi="Times New Roman"/>
                      <w:color w:val="auto"/>
                      <w:kern w:val="2"/>
                      <w:highlight w:val="none"/>
                    </w:rPr>
                    <w:t>L</w:t>
                  </w:r>
                </w:p>
              </w:tc>
              <w:tc>
                <w:tcPr>
                  <w:tcW w:w="229" w:type="pct"/>
                  <w:vAlign w:val="center"/>
                </w:tcPr>
                <w:p>
                  <w:pPr>
                    <w:jc w:val="center"/>
                    <w:rPr>
                      <w:rFonts w:ascii="Times New Roman" w:hAnsi="Times New Roman"/>
                      <w:color w:val="auto"/>
                      <w:highlight w:val="none"/>
                    </w:rPr>
                  </w:pPr>
                  <w:r>
                    <w:rPr>
                      <w:rFonts w:hint="eastAsia" w:ascii="Times New Roman" w:hAnsi="Times New Roman"/>
                      <w:color w:val="auto"/>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rFonts w:hint="eastAsia" w:eastAsia="宋体"/>
                      <w:color w:val="auto"/>
                      <w:szCs w:val="21"/>
                      <w:highlight w:val="none"/>
                      <w:lang w:val="en-US" w:eastAsia="zh-CN"/>
                    </w:rPr>
                  </w:pPr>
                  <w:r>
                    <w:rPr>
                      <w:rFonts w:hint="eastAsia"/>
                      <w:color w:val="auto"/>
                      <w:szCs w:val="21"/>
                      <w:highlight w:val="none"/>
                      <w:lang w:val="en-US" w:eastAsia="zh-CN"/>
                    </w:rPr>
                    <w:t>总余氯</w:t>
                  </w:r>
                </w:p>
              </w:tc>
              <w:tc>
                <w:tcPr>
                  <w:tcW w:w="269" w:type="pct"/>
                  <w:vAlign w:val="center"/>
                </w:tcPr>
                <w:p>
                  <w:pPr>
                    <w:jc w:val="center"/>
                    <w:rPr>
                      <w:rFonts w:hint="eastAsia" w:ascii="Times New Roman" w:hAnsi="Times New Roman"/>
                      <w:color w:val="auto"/>
                      <w:highlight w:val="none"/>
                    </w:rPr>
                  </w:pPr>
                  <w:r>
                    <w:rPr>
                      <w:rFonts w:hint="eastAsia" w:ascii="Times New Roman" w:hAnsi="Times New Roman"/>
                      <w:color w:val="auto"/>
                      <w:highlight w:val="none"/>
                    </w:rPr>
                    <w:t>/</w:t>
                  </w:r>
                </w:p>
              </w:tc>
              <w:tc>
                <w:tcPr>
                  <w:tcW w:w="265" w:type="pct"/>
                  <w:vAlign w:val="center"/>
                </w:tcPr>
                <w:p>
                  <w:pPr>
                    <w:jc w:val="center"/>
                    <w:rPr>
                      <w:rFonts w:hint="eastAsia" w:ascii="Times New Roman" w:hAnsi="Times New Roman"/>
                      <w:color w:val="auto"/>
                      <w:highlight w:val="none"/>
                    </w:rPr>
                  </w:pPr>
                  <w:r>
                    <w:rPr>
                      <w:rFonts w:hint="eastAsia" w:ascii="Times New Roman" w:hAnsi="Times New Roman"/>
                      <w:color w:val="auto"/>
                      <w:highlight w:val="none"/>
                    </w:rPr>
                    <w:t>/</w:t>
                  </w:r>
                </w:p>
              </w:tc>
              <w:tc>
                <w:tcPr>
                  <w:tcW w:w="310" w:type="pct"/>
                  <w:vMerge w:val="continue"/>
                  <w:vAlign w:val="center"/>
                </w:tcPr>
                <w:p>
                  <w:pPr>
                    <w:jc w:val="center"/>
                    <w:rPr>
                      <w:rFonts w:ascii="Times New Roman" w:hAnsi="Times New Roman"/>
                      <w:color w:val="auto"/>
                      <w:kern w:val="2"/>
                      <w:highlight w:val="none"/>
                    </w:rPr>
                  </w:pPr>
                </w:p>
              </w:tc>
              <w:tc>
                <w:tcPr>
                  <w:tcW w:w="384"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highlight w:val="none"/>
                    </w:rPr>
                    <w:t>/</w:t>
                  </w:r>
                </w:p>
              </w:tc>
              <w:tc>
                <w:tcPr>
                  <w:tcW w:w="276" w:type="pct"/>
                  <w:vMerge w:val="continue"/>
                  <w:vAlign w:val="center"/>
                </w:tcPr>
                <w:p>
                  <w:pPr>
                    <w:jc w:val="center"/>
                    <w:rPr>
                      <w:rFonts w:ascii="Calibri" w:hAnsi="Calibri" w:eastAsia="宋体" w:cs="Times New Roman"/>
                      <w:color w:val="auto"/>
                      <w:kern w:val="2"/>
                      <w:sz w:val="21"/>
                      <w:szCs w:val="21"/>
                      <w:highlight w:val="none"/>
                      <w:lang w:val="en-US" w:eastAsia="zh-CN" w:bidi="ar-SA"/>
                    </w:rPr>
                  </w:pPr>
                </w:p>
              </w:tc>
              <w:tc>
                <w:tcPr>
                  <w:tcW w:w="267" w:type="pct"/>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highlight w:val="none"/>
                    </w:rPr>
                    <w:t>/</w:t>
                  </w:r>
                </w:p>
              </w:tc>
              <w:tc>
                <w:tcPr>
                  <w:tcW w:w="304" w:type="pct"/>
                  <w:vAlign w:val="center"/>
                </w:tcPr>
                <w:p>
                  <w:pPr>
                    <w:jc w:val="center"/>
                    <w:rPr>
                      <w:rFonts w:hint="eastAsia" w:ascii="Calibri" w:hAnsi="Calibri" w:eastAsia="宋体" w:cs="Times New Roman"/>
                      <w:color w:val="auto"/>
                      <w:kern w:val="2"/>
                      <w:sz w:val="21"/>
                      <w:szCs w:val="21"/>
                      <w:highlight w:val="none"/>
                      <w:lang w:val="en-US" w:eastAsia="zh-CN" w:bidi="ar-SA"/>
                    </w:rPr>
                  </w:pPr>
                  <w:r>
                    <w:rPr>
                      <w:rFonts w:hint="eastAsia" w:ascii="Times New Roman" w:hAnsi="Times New Roman"/>
                      <w:color w:val="auto"/>
                      <w:highlight w:val="none"/>
                      <w:lang w:val="en-US" w:eastAsia="zh-CN"/>
                    </w:rPr>
                    <w:t>类比法</w:t>
                  </w:r>
                </w:p>
              </w:tc>
              <w:tc>
                <w:tcPr>
                  <w:tcW w:w="255" w:type="pct"/>
                  <w:vAlign w:val="center"/>
                </w:tcPr>
                <w:p>
                  <w:pPr>
                    <w:pStyle w:val="68"/>
                    <w:rPr>
                      <w:rFonts w:hint="default" w:eastAsia="宋体"/>
                      <w:color w:val="auto"/>
                      <w:szCs w:val="21"/>
                      <w:highlight w:val="none"/>
                      <w:lang w:val="en-US" w:eastAsia="zh-CN"/>
                    </w:rPr>
                  </w:pPr>
                  <w:r>
                    <w:rPr>
                      <w:rFonts w:hint="eastAsia"/>
                      <w:color w:val="auto"/>
                      <w:szCs w:val="21"/>
                      <w:highlight w:val="none"/>
                      <w:lang w:val="en-US" w:eastAsia="zh-CN"/>
                    </w:rPr>
                    <w:t>7.5</w:t>
                  </w:r>
                </w:p>
              </w:tc>
              <w:tc>
                <w:tcPr>
                  <w:tcW w:w="305" w:type="pct"/>
                  <w:vMerge w:val="continue"/>
                  <w:vAlign w:val="center"/>
                </w:tcPr>
                <w:p>
                  <w:pPr>
                    <w:jc w:val="center"/>
                    <w:rPr>
                      <w:rFonts w:ascii="Times New Roman" w:hAnsi="Times New Roman"/>
                      <w:color w:val="auto"/>
                      <w:kern w:val="2"/>
                      <w:highlight w:val="none"/>
                    </w:rPr>
                  </w:pPr>
                </w:p>
              </w:tc>
              <w:tc>
                <w:tcPr>
                  <w:tcW w:w="418" w:type="pct"/>
                  <w:vAlign w:val="center"/>
                </w:tcPr>
                <w:p>
                  <w:pPr>
                    <w:jc w:val="center"/>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0.051</w:t>
                  </w:r>
                </w:p>
              </w:tc>
              <w:tc>
                <w:tcPr>
                  <w:tcW w:w="325" w:type="pct"/>
                  <w:vAlign w:val="center"/>
                </w:tcPr>
                <w:p>
                  <w:pPr>
                    <w:pStyle w:val="62"/>
                    <w:jc w:val="center"/>
                    <w:rPr>
                      <w:rFonts w:hint="eastAsia" w:ascii="Times New Roman" w:hAnsi="Times New Roman"/>
                      <w:color w:val="auto"/>
                      <w:szCs w:val="21"/>
                      <w:highlight w:val="none"/>
                    </w:rPr>
                  </w:pPr>
                  <w:r>
                    <w:rPr>
                      <w:rFonts w:hint="eastAsia" w:ascii="Times New Roman" w:hAnsi="Times New Roman"/>
                      <w:color w:val="auto"/>
                      <w:highlight w:val="none"/>
                      <w:lang w:val="en-US" w:eastAsia="zh-CN"/>
                    </w:rPr>
                    <w:t>2-8</w:t>
                  </w:r>
                </w:p>
              </w:tc>
              <w:tc>
                <w:tcPr>
                  <w:tcW w:w="326" w:type="pct"/>
                  <w:vAlign w:val="center"/>
                </w:tcPr>
                <w:p>
                  <w:pPr>
                    <w:jc w:val="center"/>
                    <w:rPr>
                      <w:rFonts w:ascii="Times New Roman" w:hAnsi="Times New Roman"/>
                      <w:color w:val="auto"/>
                      <w:kern w:val="2"/>
                      <w:highlight w:val="none"/>
                    </w:rPr>
                  </w:pPr>
                  <w:r>
                    <w:rPr>
                      <w:rFonts w:ascii="Times New Roman" w:hAnsi="Times New Roman"/>
                      <w:color w:val="auto"/>
                      <w:kern w:val="2"/>
                      <w:highlight w:val="none"/>
                    </w:rPr>
                    <w:t>mg/</w:t>
                  </w:r>
                  <w:r>
                    <w:rPr>
                      <w:rFonts w:hint="eastAsia" w:ascii="Times New Roman" w:hAnsi="Times New Roman"/>
                      <w:color w:val="auto"/>
                      <w:kern w:val="2"/>
                      <w:highlight w:val="none"/>
                    </w:rPr>
                    <w:t>L</w:t>
                  </w:r>
                </w:p>
              </w:tc>
              <w:tc>
                <w:tcPr>
                  <w:tcW w:w="229" w:type="pct"/>
                  <w:vAlign w:val="center"/>
                </w:tcPr>
                <w:p>
                  <w:pPr>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6" w:type="pct"/>
                  <w:vMerge w:val="continue"/>
                  <w:vAlign w:val="center"/>
                </w:tcPr>
                <w:p>
                  <w:pPr>
                    <w:pStyle w:val="62"/>
                    <w:jc w:val="center"/>
                    <w:rPr>
                      <w:rFonts w:ascii="Times New Roman" w:hAnsi="Times New Roman"/>
                      <w:color w:val="auto"/>
                      <w:szCs w:val="21"/>
                      <w:highlight w:val="none"/>
                    </w:rPr>
                  </w:pPr>
                </w:p>
              </w:tc>
              <w:tc>
                <w:tcPr>
                  <w:tcW w:w="219" w:type="pct"/>
                  <w:vMerge w:val="continue"/>
                  <w:vAlign w:val="center"/>
                </w:tcPr>
                <w:p>
                  <w:pPr>
                    <w:pStyle w:val="62"/>
                    <w:jc w:val="center"/>
                    <w:rPr>
                      <w:rFonts w:ascii="Times New Roman" w:hAnsi="Times New Roman"/>
                      <w:color w:val="auto"/>
                      <w:szCs w:val="21"/>
                      <w:highlight w:val="none"/>
                    </w:rPr>
                  </w:pPr>
                </w:p>
              </w:tc>
              <w:tc>
                <w:tcPr>
                  <w:tcW w:w="229" w:type="pct"/>
                  <w:vMerge w:val="continue"/>
                  <w:vAlign w:val="center"/>
                </w:tcPr>
                <w:p>
                  <w:pPr>
                    <w:pStyle w:val="62"/>
                    <w:jc w:val="center"/>
                    <w:rPr>
                      <w:rFonts w:ascii="Times New Roman" w:hAnsi="Times New Roman"/>
                      <w:color w:val="auto"/>
                      <w:szCs w:val="21"/>
                      <w:highlight w:val="none"/>
                    </w:rPr>
                  </w:pPr>
                </w:p>
              </w:tc>
              <w:tc>
                <w:tcPr>
                  <w:tcW w:w="408" w:type="pct"/>
                  <w:vAlign w:val="center"/>
                </w:tcPr>
                <w:p>
                  <w:pPr>
                    <w:pStyle w:val="68"/>
                    <w:rPr>
                      <w:color w:val="auto"/>
                      <w:kern w:val="2"/>
                      <w:szCs w:val="21"/>
                      <w:highlight w:val="none"/>
                    </w:rPr>
                  </w:pPr>
                  <w:r>
                    <w:rPr>
                      <w:rFonts w:hint="eastAsia"/>
                      <w:color w:val="auto"/>
                      <w:szCs w:val="21"/>
                      <w:highlight w:val="none"/>
                      <w:lang w:val="zh-CN"/>
                    </w:rPr>
                    <w:t>总磷</w:t>
                  </w:r>
                </w:p>
              </w:tc>
              <w:tc>
                <w:tcPr>
                  <w:tcW w:w="26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65" w:type="pct"/>
                  <w:vAlign w:val="center"/>
                </w:tcPr>
                <w:p>
                  <w:pPr>
                    <w:jc w:val="center"/>
                    <w:rPr>
                      <w:color w:val="auto"/>
                      <w:kern w:val="2"/>
                      <w:highlight w:val="none"/>
                    </w:rPr>
                  </w:pPr>
                  <w:r>
                    <w:rPr>
                      <w:rFonts w:hint="eastAsia" w:ascii="Times New Roman" w:hAnsi="Times New Roman"/>
                      <w:color w:val="auto"/>
                      <w:highlight w:val="none"/>
                    </w:rPr>
                    <w:t>/</w:t>
                  </w:r>
                </w:p>
              </w:tc>
              <w:tc>
                <w:tcPr>
                  <w:tcW w:w="310" w:type="pct"/>
                  <w:vMerge w:val="continue"/>
                  <w:vAlign w:val="center"/>
                </w:tcPr>
                <w:p>
                  <w:pPr>
                    <w:jc w:val="center"/>
                    <w:rPr>
                      <w:rFonts w:ascii="Times New Roman" w:hAnsi="Times New Roman"/>
                      <w:color w:val="auto"/>
                      <w:kern w:val="2"/>
                      <w:highlight w:val="none"/>
                    </w:rPr>
                  </w:pPr>
                </w:p>
              </w:tc>
              <w:tc>
                <w:tcPr>
                  <w:tcW w:w="384"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w:t>
                  </w:r>
                </w:p>
              </w:tc>
              <w:tc>
                <w:tcPr>
                  <w:tcW w:w="276" w:type="pct"/>
                  <w:vMerge w:val="continue"/>
                  <w:vAlign w:val="center"/>
                </w:tcPr>
                <w:p>
                  <w:pPr>
                    <w:jc w:val="center"/>
                    <w:rPr>
                      <w:rFonts w:ascii="Times New Roman" w:hAnsi="Times New Roman"/>
                      <w:color w:val="auto"/>
                      <w:kern w:val="2"/>
                      <w:highlight w:val="none"/>
                    </w:rPr>
                  </w:pPr>
                </w:p>
              </w:tc>
              <w:tc>
                <w:tcPr>
                  <w:tcW w:w="267"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w:t>
                  </w:r>
                </w:p>
              </w:tc>
              <w:tc>
                <w:tcPr>
                  <w:tcW w:w="304" w:type="pct"/>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实测法</w:t>
                  </w:r>
                </w:p>
              </w:tc>
              <w:tc>
                <w:tcPr>
                  <w:tcW w:w="255" w:type="pct"/>
                  <w:vAlign w:val="center"/>
                </w:tcPr>
                <w:p>
                  <w:pPr>
                    <w:pStyle w:val="68"/>
                    <w:rPr>
                      <w:color w:val="auto"/>
                      <w:szCs w:val="21"/>
                      <w:highlight w:val="none"/>
                    </w:rPr>
                  </w:pPr>
                  <w:r>
                    <w:rPr>
                      <w:rFonts w:hint="eastAsia"/>
                      <w:color w:val="auto"/>
                      <w:szCs w:val="21"/>
                      <w:highlight w:val="none"/>
                    </w:rPr>
                    <w:t>0.03</w:t>
                  </w:r>
                </w:p>
              </w:tc>
              <w:tc>
                <w:tcPr>
                  <w:tcW w:w="305" w:type="pct"/>
                  <w:vMerge w:val="continue"/>
                  <w:vAlign w:val="center"/>
                </w:tcPr>
                <w:p>
                  <w:pPr>
                    <w:jc w:val="center"/>
                    <w:rPr>
                      <w:rFonts w:ascii="Times New Roman" w:hAnsi="Times New Roman"/>
                      <w:color w:val="auto"/>
                      <w:kern w:val="2"/>
                      <w:highlight w:val="none"/>
                    </w:rPr>
                  </w:pPr>
                </w:p>
              </w:tc>
              <w:tc>
                <w:tcPr>
                  <w:tcW w:w="418"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0.00020 </w:t>
                  </w:r>
                </w:p>
              </w:tc>
              <w:tc>
                <w:tcPr>
                  <w:tcW w:w="325" w:type="pct"/>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8</w:t>
                  </w:r>
                </w:p>
              </w:tc>
              <w:tc>
                <w:tcPr>
                  <w:tcW w:w="326" w:type="pct"/>
                  <w:vAlign w:val="center"/>
                </w:tcPr>
                <w:p>
                  <w:pPr>
                    <w:jc w:val="center"/>
                    <w:rPr>
                      <w:rFonts w:ascii="Times New Roman" w:hAnsi="Times New Roman"/>
                      <w:color w:val="auto"/>
                      <w:kern w:val="2"/>
                      <w:highlight w:val="none"/>
                    </w:rPr>
                  </w:pPr>
                  <w:r>
                    <w:rPr>
                      <w:rFonts w:ascii="Times New Roman" w:hAnsi="Times New Roman"/>
                      <w:color w:val="auto"/>
                      <w:kern w:val="2"/>
                      <w:highlight w:val="none"/>
                    </w:rPr>
                    <w:t>mg/</w:t>
                  </w:r>
                  <w:r>
                    <w:rPr>
                      <w:rFonts w:hint="eastAsia" w:ascii="Times New Roman" w:hAnsi="Times New Roman"/>
                      <w:color w:val="auto"/>
                      <w:kern w:val="2"/>
                      <w:highlight w:val="none"/>
                    </w:rPr>
                    <w:t>L</w:t>
                  </w:r>
                </w:p>
              </w:tc>
              <w:tc>
                <w:tcPr>
                  <w:tcW w:w="229" w:type="pct"/>
                  <w:vAlign w:val="center"/>
                </w:tcPr>
                <w:p>
                  <w:pPr>
                    <w:jc w:val="center"/>
                    <w:rPr>
                      <w:rFonts w:ascii="Times New Roman" w:hAnsi="Times New Roman"/>
                      <w:color w:val="auto"/>
                      <w:kern w:val="2"/>
                      <w:highlight w:val="none"/>
                    </w:rPr>
                  </w:pPr>
                  <w:r>
                    <w:rPr>
                      <w:rFonts w:hint="eastAsia" w:ascii="Times New Roman" w:hAnsi="Times New Roman"/>
                      <w:color w:val="auto"/>
                      <w:highlight w:val="none"/>
                    </w:rPr>
                    <w:t>8760</w:t>
                  </w:r>
                </w:p>
              </w:tc>
            </w:tr>
          </w:tbl>
          <w:p>
            <w:pPr>
              <w:wordWrap w:val="0"/>
              <w:spacing w:line="360" w:lineRule="auto"/>
              <w:ind w:firstLine="420" w:firstLineChars="200"/>
              <w:rPr>
                <w:rFonts w:ascii="Times New Roman" w:hAnsi="Times New Roman"/>
                <w:color w:val="auto"/>
                <w:highlight w:val="none"/>
              </w:rPr>
            </w:pP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（3）</w:t>
            </w:r>
            <w:r>
              <w:rPr>
                <w:rFonts w:hint="eastAsia" w:ascii="Times New Roman" w:hAnsi="Times New Roman"/>
                <w:color w:val="auto"/>
                <w:highlight w:val="none"/>
              </w:rPr>
              <w:t>污水处理站依托</w:t>
            </w:r>
            <w:r>
              <w:rPr>
                <w:rFonts w:ascii="Times New Roman" w:hAnsi="Times New Roman"/>
                <w:color w:val="auto"/>
                <w:highlight w:val="none"/>
              </w:rPr>
              <w:t>可行性分析</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废水排放</w:t>
            </w:r>
            <w:r>
              <w:rPr>
                <w:rFonts w:ascii="Times New Roman" w:hAnsi="Times New Roman"/>
                <w:color w:val="auto"/>
                <w:highlight w:val="none"/>
              </w:rPr>
              <w:t>依托</w:t>
            </w:r>
            <w:r>
              <w:rPr>
                <w:rFonts w:hint="eastAsia" w:ascii="Times New Roman" w:hAnsi="Times New Roman"/>
                <w:color w:val="auto"/>
                <w:highlight w:val="none"/>
              </w:rPr>
              <w:t>医院现有1座污水站</w:t>
            </w:r>
            <w:r>
              <w:rPr>
                <w:rFonts w:ascii="Times New Roman" w:hAnsi="Times New Roman"/>
                <w:color w:val="auto"/>
                <w:highlight w:val="none"/>
              </w:rPr>
              <w:t>进行处理</w:t>
            </w:r>
            <w:r>
              <w:rPr>
                <w:rFonts w:hint="eastAsia" w:ascii="Times New Roman" w:hAnsi="Times New Roman"/>
                <w:color w:val="auto"/>
                <w:highlight w:val="none"/>
              </w:rPr>
              <w:t>，该</w:t>
            </w:r>
            <w:r>
              <w:rPr>
                <w:rFonts w:ascii="Times New Roman" w:hAnsi="Times New Roman"/>
                <w:color w:val="auto"/>
                <w:highlight w:val="none"/>
              </w:rPr>
              <w:t>污水处理站</w:t>
            </w:r>
            <w:r>
              <w:rPr>
                <w:rFonts w:hint="eastAsia" w:ascii="Times New Roman" w:hAnsi="Times New Roman"/>
                <w:color w:val="auto"/>
                <w:highlight w:val="none"/>
              </w:rPr>
              <w:t>设计日处理规模35</w:t>
            </w:r>
            <w:r>
              <w:rPr>
                <w:rFonts w:ascii="Times New Roman" w:hAnsi="Times New Roman"/>
                <w:color w:val="auto"/>
                <w:highlight w:val="none"/>
              </w:rPr>
              <w:t>0m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，污水站处理工艺为“二级处理</w:t>
            </w:r>
            <w:r>
              <w:rPr>
                <w:rFonts w:ascii="Times New Roman" w:hAnsi="Times New Roman"/>
                <w:color w:val="auto"/>
                <w:highlight w:val="none"/>
              </w:rPr>
              <w:t>+</w:t>
            </w:r>
            <w:r>
              <w:rPr>
                <w:rFonts w:hint="eastAsia" w:ascii="Times New Roman" w:hAnsi="Times New Roman"/>
                <w:color w:val="auto"/>
                <w:highlight w:val="none"/>
              </w:rPr>
              <w:t>消毒”，其污染防治设施属于《</w:t>
            </w:r>
            <w:r>
              <w:rPr>
                <w:rFonts w:ascii="Times New Roman" w:hAnsi="Times New Roman"/>
                <w:color w:val="auto"/>
                <w:highlight w:val="none"/>
              </w:rPr>
              <w:t xml:space="preserve">排污许可证申请与核发技术规范 </w:t>
            </w:r>
            <w:r>
              <w:rPr>
                <w:rFonts w:hint="eastAsia" w:ascii="Times New Roman" w:hAnsi="Times New Roman"/>
                <w:color w:val="auto"/>
                <w:highlight w:val="none"/>
              </w:rPr>
              <w:t>医疗机构》</w:t>
            </w:r>
            <w:r>
              <w:rPr>
                <w:rFonts w:ascii="Times New Roman" w:hAnsi="Times New Roman"/>
                <w:color w:val="auto"/>
                <w:highlight w:val="none"/>
              </w:rPr>
              <w:t>（HJ1</w:t>
            </w:r>
            <w:r>
              <w:rPr>
                <w:rFonts w:hint="eastAsia" w:ascii="Times New Roman" w:hAnsi="Times New Roman"/>
                <w:color w:val="auto"/>
                <w:highlight w:val="none"/>
              </w:rPr>
              <w:t>105</w:t>
            </w:r>
            <w:r>
              <w:rPr>
                <w:rFonts w:ascii="Times New Roman" w:hAnsi="Times New Roman"/>
                <w:color w:val="auto"/>
                <w:highlight w:val="none"/>
              </w:rPr>
              <w:t>-20</w:t>
            </w:r>
            <w:r>
              <w:rPr>
                <w:rFonts w:hint="eastAsia" w:ascii="Times New Roman" w:hAnsi="Times New Roman"/>
                <w:color w:val="auto"/>
                <w:highlight w:val="none"/>
              </w:rPr>
              <w:t>20</w:t>
            </w:r>
            <w:r>
              <w:rPr>
                <w:rFonts w:ascii="Times New Roman" w:hAnsi="Times New Roman"/>
                <w:color w:val="auto"/>
                <w:highlight w:val="none"/>
              </w:rPr>
              <w:t>）</w:t>
            </w:r>
            <w:r>
              <w:rPr>
                <w:rFonts w:hint="eastAsia" w:ascii="Times New Roman" w:hAnsi="Times New Roman"/>
                <w:color w:val="auto"/>
                <w:highlight w:val="none"/>
              </w:rPr>
              <w:t>中表A.2医疗机构排污单位污水治理可行技术参照表中“可行技术”。根据医院用排水统计</w:t>
            </w:r>
            <w:r>
              <w:rPr>
                <w:rFonts w:ascii="Times New Roman" w:hAnsi="Times New Roman"/>
                <w:color w:val="auto"/>
                <w:highlight w:val="none"/>
              </w:rPr>
              <w:t>，</w:t>
            </w:r>
            <w:r>
              <w:rPr>
                <w:rFonts w:hint="eastAsia" w:ascii="Times New Roman" w:hAnsi="Times New Roman"/>
                <w:color w:val="auto"/>
                <w:highlight w:val="none"/>
              </w:rPr>
              <w:t>目前医院污水站日处理水量约</w:t>
            </w:r>
            <w:r>
              <w:rPr>
                <w:rFonts w:hint="eastAsia" w:ascii="Times New Roman" w:hAnsi="Times New Roman"/>
                <w:color w:val="auto"/>
                <w:highlight w:val="none"/>
                <w:lang w:eastAsia="zh-CN"/>
              </w:rPr>
              <w:t>247</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lang w:val="en-US" w:eastAsia="zh-CN"/>
              </w:rPr>
              <w:t>根据调查，平均日最大用水量期间医院运营负荷约80%，以满负荷计算则污水站剩余能力为41.25</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lang w:val="en-US" w:eastAsia="zh-CN"/>
              </w:rPr>
              <w:t>。</w:t>
            </w:r>
            <w:r>
              <w:rPr>
                <w:rFonts w:hint="eastAsia" w:ascii="Times New Roman" w:hAnsi="Times New Roman"/>
                <w:color w:val="auto"/>
                <w:highlight w:val="none"/>
              </w:rPr>
              <w:t>本项目污水产生量较小</w:t>
            </w:r>
            <w:r>
              <w:rPr>
                <w:rFonts w:hint="eastAsia" w:ascii="Times New Roman" w:hAnsi="Times New Roman"/>
                <w:color w:val="auto"/>
                <w:highlight w:val="none"/>
                <w:lang w:val="en-US" w:eastAsia="zh-CN"/>
              </w:rPr>
              <w:t>约19</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污水站处理能力余量充足，完全</w:t>
            </w:r>
            <w:r>
              <w:rPr>
                <w:rFonts w:ascii="Times New Roman" w:hAnsi="Times New Roman"/>
                <w:color w:val="auto"/>
                <w:highlight w:val="none"/>
              </w:rPr>
              <w:t>可接纳处理本项目</w:t>
            </w:r>
            <w:r>
              <w:rPr>
                <w:rFonts w:hint="eastAsia" w:ascii="Times New Roman" w:hAnsi="Times New Roman"/>
                <w:color w:val="auto"/>
                <w:highlight w:val="none"/>
              </w:rPr>
              <w:t>废水。</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根据</w:t>
            </w:r>
            <w:r>
              <w:rPr>
                <w:rFonts w:ascii="Times New Roman" w:hAnsi="Times New Roman"/>
                <w:color w:val="auto"/>
                <w:highlight w:val="none"/>
                <w:lang w:val="zh-TW"/>
              </w:rPr>
              <w:t>水污染物</w:t>
            </w:r>
            <w:r>
              <w:rPr>
                <w:rFonts w:hint="eastAsia" w:ascii="Times New Roman" w:hAnsi="Times New Roman"/>
                <w:color w:val="auto"/>
                <w:highlight w:val="none"/>
              </w:rPr>
              <w:t>污染源源强核算结果</w:t>
            </w:r>
            <w:r>
              <w:rPr>
                <w:rFonts w:ascii="Times New Roman" w:hAnsi="Times New Roman"/>
                <w:color w:val="auto"/>
                <w:highlight w:val="none"/>
              </w:rPr>
              <w:t>，</w:t>
            </w:r>
            <w:r>
              <w:rPr>
                <w:rFonts w:hint="eastAsia" w:ascii="Times New Roman" w:hAnsi="Times New Roman"/>
                <w:color w:val="auto"/>
                <w:highlight w:val="none"/>
              </w:rPr>
              <w:t>项目依托现有污水站出口水质中pH、</w:t>
            </w:r>
            <w:r>
              <w:rPr>
                <w:rFonts w:hint="eastAsia" w:ascii="Times New Roman" w:hAnsi="Times New Roman"/>
                <w:color w:val="auto"/>
                <w:highlight w:val="none"/>
                <w:lang w:val="zh-CN"/>
              </w:rPr>
              <w:t>COD</w:t>
            </w:r>
            <w:r>
              <w:rPr>
                <w:rFonts w:hint="eastAsia" w:ascii="Times New Roman" w:hAnsi="Times New Roman"/>
                <w:color w:val="auto"/>
                <w:highlight w:val="none"/>
              </w:rPr>
              <w:t>、</w:t>
            </w:r>
            <w:r>
              <w:rPr>
                <w:rFonts w:hint="eastAsia" w:ascii="Times New Roman" w:hAnsi="Times New Roman"/>
                <w:color w:val="auto"/>
                <w:highlight w:val="none"/>
                <w:lang w:val="zh-CN"/>
              </w:rPr>
              <w:t>SS</w:t>
            </w:r>
            <w:r>
              <w:rPr>
                <w:rFonts w:hint="eastAsia" w:ascii="Times New Roman" w:hAnsi="Times New Roman"/>
                <w:color w:val="auto"/>
                <w:highlight w:val="none"/>
              </w:rPr>
              <w:t>、粪大肠菌群、</w:t>
            </w:r>
            <w:r>
              <w:rPr>
                <w:rFonts w:hint="eastAsia" w:ascii="Times New Roman" w:hAnsi="Times New Roman"/>
                <w:color w:val="auto"/>
                <w:highlight w:val="none"/>
                <w:lang w:val="en-US" w:eastAsia="zh-CN"/>
              </w:rPr>
              <w:t>总余氯</w:t>
            </w:r>
            <w:r>
              <w:rPr>
                <w:rFonts w:hint="eastAsia" w:ascii="Times New Roman" w:hAnsi="Times New Roman"/>
                <w:color w:val="auto"/>
                <w:highlight w:val="none"/>
                <w:lang w:eastAsia="zh-CN"/>
              </w:rPr>
              <w:t>、</w:t>
            </w:r>
            <w:r>
              <w:rPr>
                <w:rFonts w:hint="eastAsia" w:ascii="Times New Roman" w:hAnsi="Times New Roman"/>
                <w:color w:val="auto"/>
                <w:highlight w:val="none"/>
                <w:lang w:val="zh-CN"/>
              </w:rPr>
              <w:t>BOD</w:t>
            </w:r>
            <w:r>
              <w:rPr>
                <w:rFonts w:hint="eastAsia" w:ascii="Times New Roman" w:hAnsi="Times New Roman"/>
                <w:color w:val="auto"/>
                <w:highlight w:val="none"/>
                <w:vertAlign w:val="subscript"/>
                <w:lang w:val="zh-CN"/>
              </w:rPr>
              <w:t>5</w:t>
            </w:r>
            <w:r>
              <w:rPr>
                <w:rFonts w:hint="eastAsia" w:ascii="Times New Roman" w:hAnsi="Times New Roman"/>
                <w:color w:val="auto"/>
                <w:highlight w:val="none"/>
                <w:lang w:val="zh-CN"/>
              </w:rPr>
              <w:t>以及阴离子表面活性剂</w:t>
            </w:r>
            <w:r>
              <w:rPr>
                <w:rFonts w:hint="eastAsia" w:ascii="Times New Roman" w:hAnsi="Times New Roman"/>
                <w:color w:val="auto"/>
                <w:highlight w:val="none"/>
              </w:rPr>
              <w:t>监测结果能够满足《医疗机构水污染物排放标准》（GB18466-2005）表2预处理标准；</w:t>
            </w:r>
            <w:r>
              <w:rPr>
                <w:rFonts w:hint="eastAsia" w:ascii="Times New Roman" w:hAnsi="Times New Roman"/>
                <w:color w:val="auto"/>
                <w:highlight w:val="none"/>
                <w:lang w:val="zh-CN"/>
              </w:rPr>
              <w:t>氨氮、总磷</w:t>
            </w:r>
            <w:r>
              <w:rPr>
                <w:rFonts w:hint="eastAsia" w:ascii="Times New Roman" w:hAnsi="Times New Roman"/>
                <w:color w:val="auto"/>
                <w:highlight w:val="none"/>
              </w:rPr>
              <w:t>及</w:t>
            </w:r>
            <w:r>
              <w:rPr>
                <w:rFonts w:hint="eastAsia" w:ascii="Times New Roman" w:hAnsi="Times New Roman"/>
                <w:color w:val="auto"/>
                <w:highlight w:val="none"/>
                <w:lang w:val="zh-CN"/>
              </w:rPr>
              <w:t>总氮监测结果满足《污水排入城镇下水道水质标准》（GB/T31962-2015）中</w:t>
            </w:r>
            <w:r>
              <w:rPr>
                <w:rFonts w:hint="eastAsia" w:ascii="Times New Roman" w:hAnsi="Times New Roman"/>
                <w:color w:val="auto"/>
                <w:highlight w:val="none"/>
              </w:rPr>
              <w:t>B</w:t>
            </w:r>
            <w:r>
              <w:rPr>
                <w:rFonts w:hint="eastAsia" w:ascii="Times New Roman" w:hAnsi="Times New Roman"/>
                <w:color w:val="auto"/>
                <w:highlight w:val="none"/>
                <w:lang w:val="zh-CN"/>
              </w:rPr>
              <w:t>级标准限值要求</w:t>
            </w:r>
            <w:r>
              <w:rPr>
                <w:rFonts w:ascii="Times New Roman" w:hAnsi="Times New Roman"/>
                <w:color w:val="auto"/>
                <w:highlight w:val="none"/>
              </w:rPr>
              <w:t>，因此</w:t>
            </w:r>
            <w:r>
              <w:rPr>
                <w:rFonts w:hint="eastAsia" w:ascii="Times New Roman" w:hAnsi="Times New Roman"/>
                <w:color w:val="auto"/>
                <w:highlight w:val="none"/>
              </w:rPr>
              <w:t>本</w:t>
            </w:r>
            <w:r>
              <w:rPr>
                <w:rFonts w:ascii="Times New Roman" w:hAnsi="Times New Roman"/>
                <w:color w:val="auto"/>
                <w:highlight w:val="none"/>
              </w:rPr>
              <w:t>项目</w:t>
            </w:r>
            <w:r>
              <w:rPr>
                <w:rFonts w:hint="eastAsia" w:ascii="Times New Roman" w:hAnsi="Times New Roman"/>
                <w:color w:val="auto"/>
                <w:highlight w:val="none"/>
              </w:rPr>
              <w:t>污水</w:t>
            </w:r>
            <w:r>
              <w:rPr>
                <w:rFonts w:ascii="Times New Roman" w:hAnsi="Times New Roman"/>
                <w:color w:val="auto"/>
                <w:highlight w:val="none"/>
              </w:rPr>
              <w:t>依托</w:t>
            </w:r>
            <w:r>
              <w:rPr>
                <w:rFonts w:hint="eastAsia" w:ascii="Times New Roman" w:hAnsi="Times New Roman"/>
                <w:color w:val="auto"/>
                <w:highlight w:val="none"/>
              </w:rPr>
              <w:t>医院现有污水站是</w:t>
            </w:r>
            <w:r>
              <w:rPr>
                <w:rFonts w:ascii="Times New Roman" w:hAnsi="Times New Roman"/>
                <w:color w:val="auto"/>
                <w:highlight w:val="none"/>
              </w:rPr>
              <w:t>可行</w:t>
            </w:r>
            <w:r>
              <w:rPr>
                <w:rFonts w:hint="eastAsia" w:ascii="Times New Roman" w:hAnsi="Times New Roman"/>
                <w:color w:val="auto"/>
                <w:highlight w:val="none"/>
              </w:rPr>
              <w:t>的</w:t>
            </w:r>
            <w:r>
              <w:rPr>
                <w:rFonts w:ascii="Times New Roman" w:hAnsi="Times New Roman"/>
                <w:color w:val="auto"/>
                <w:highlight w:val="none"/>
              </w:rPr>
              <w:t>。</w:t>
            </w:r>
          </w:p>
          <w:p>
            <w:pPr>
              <w:wordWrap w:val="0"/>
              <w:spacing w:line="360" w:lineRule="auto"/>
              <w:ind w:firstLine="420" w:firstLineChars="200"/>
              <w:rPr>
                <w:rFonts w:ascii="Times New Roman" w:hAnsi="Times New Roman"/>
                <w:bCs/>
                <w:color w:val="auto"/>
                <w:highlight w:val="none"/>
              </w:rPr>
            </w:pPr>
            <w:r>
              <w:rPr>
                <w:rFonts w:ascii="Times New Roman" w:hAnsi="Times New Roman"/>
                <w:bCs/>
                <w:color w:val="auto"/>
                <w:highlight w:val="none"/>
              </w:rPr>
              <w:t>（4）污水处理厂可依托性分析</w:t>
            </w:r>
          </w:p>
          <w:p>
            <w:pPr>
              <w:wordWrap w:val="0"/>
              <w:spacing w:line="360" w:lineRule="auto"/>
              <w:ind w:firstLine="420" w:firstLineChars="200"/>
              <w:rPr>
                <w:rFonts w:ascii="Times New Roman" w:hAnsi="Times New Roman"/>
                <w:color w:val="auto"/>
                <w:highlight w:val="none"/>
              </w:rPr>
            </w:pPr>
            <w:r>
              <w:rPr>
                <w:rFonts w:hint="eastAsia"/>
                <w:color w:val="auto"/>
                <w:highlight w:val="none"/>
              </w:rPr>
              <w:t>西安市第一污水处理厂</w:t>
            </w:r>
            <w:r>
              <w:rPr>
                <w:rFonts w:ascii="Times New Roman" w:hAnsi="Times New Roman"/>
                <w:color w:val="auto"/>
                <w:highlight w:val="none"/>
              </w:rPr>
              <w:t>位于西安城西邓家村</w:t>
            </w:r>
            <w:r>
              <w:rPr>
                <w:rFonts w:hint="eastAsia" w:ascii="Times New Roman" w:hAnsi="Times New Roman"/>
                <w:color w:val="auto"/>
                <w:highlight w:val="none"/>
              </w:rPr>
              <w:t>，采取</w:t>
            </w:r>
            <w:r>
              <w:rPr>
                <w:rFonts w:ascii="Times New Roman" w:hAnsi="Times New Roman"/>
                <w:color w:val="auto"/>
                <w:highlight w:val="none"/>
              </w:rPr>
              <w:t>“多段多级AO除磷脱氮+混凝沉淀过滤”工艺，污泥处理采用“重力浓缩＋机械脱水”工艺，除臭处理采用“CYYF全过程除臭”工艺，出水水质满足《城镇污水处理厂污染物排放标准》（GB18918-2002）中的一级A排放标准</w:t>
            </w:r>
            <w:r>
              <w:rPr>
                <w:rFonts w:hint="eastAsia" w:ascii="Times New Roman" w:hAnsi="Times New Roman"/>
                <w:color w:val="auto"/>
                <w:highlight w:val="none"/>
              </w:rPr>
              <w:t>。</w:t>
            </w:r>
            <w:r>
              <w:rPr>
                <w:rFonts w:hint="eastAsia"/>
                <w:color w:val="auto"/>
                <w:highlight w:val="none"/>
              </w:rPr>
              <w:t>西安市第一污水处理</w:t>
            </w:r>
            <w:r>
              <w:rPr>
                <w:rFonts w:hint="eastAsia" w:ascii="Times New Roman" w:hAnsi="Times New Roman"/>
                <w:color w:val="auto"/>
                <w:highlight w:val="none"/>
              </w:rPr>
              <w:t>厂</w:t>
            </w:r>
            <w:r>
              <w:rPr>
                <w:rFonts w:ascii="Times New Roman" w:hAnsi="Times New Roman"/>
                <w:color w:val="auto"/>
                <w:highlight w:val="none"/>
              </w:rPr>
              <w:t>处理能力12万m</w:t>
            </w:r>
            <w:r>
              <w:rPr>
                <w:rFonts w:ascii="Times New Roman" w:hAnsi="Times New Roman"/>
                <w:color w:val="auto"/>
                <w:highlight w:val="none"/>
                <w:vertAlign w:val="superscript"/>
              </w:rPr>
              <w:t>3</w:t>
            </w:r>
            <w:r>
              <w:rPr>
                <w:rFonts w:ascii="Times New Roman" w:hAnsi="Times New Roman"/>
                <w:color w:val="auto"/>
                <w:highlight w:val="none"/>
              </w:rPr>
              <w:t>/d，处理深度为三级处理。服务区面积41.68平方公里，主要接纳西安市环城西路以西、三桥皂河以东、南至大环河以北，处理的废水类型主要是工业废水+生活污水</w:t>
            </w:r>
            <w:r>
              <w:rPr>
                <w:rFonts w:hint="eastAsia" w:ascii="Times New Roman" w:hAnsi="Times New Roman"/>
                <w:color w:val="auto"/>
                <w:highlight w:val="none"/>
              </w:rPr>
              <w:t>。</w:t>
            </w:r>
          </w:p>
          <w:p>
            <w:pPr>
              <w:wordWrap w:val="0"/>
              <w:spacing w:line="360" w:lineRule="auto"/>
              <w:ind w:firstLine="420" w:firstLineChars="200"/>
              <w:rPr>
                <w:rFonts w:ascii="Times New Roman" w:hAnsi="Times New Roman"/>
                <w:bCs/>
                <w:color w:val="auto"/>
                <w:highlight w:val="none"/>
              </w:rPr>
            </w:pPr>
            <w:r>
              <w:rPr>
                <w:rFonts w:ascii="Times New Roman" w:hAnsi="Times New Roman"/>
                <w:color w:val="auto"/>
                <w:highlight w:val="none"/>
              </w:rPr>
              <w:t>本项目处于该污水处理厂收水范围内，根据现场勘查，</w:t>
            </w:r>
            <w:r>
              <w:rPr>
                <w:rFonts w:hint="eastAsia" w:ascii="Times New Roman" w:hAnsi="Times New Roman"/>
                <w:color w:val="auto"/>
                <w:highlight w:val="none"/>
              </w:rPr>
              <w:t>现有医院污水管网已接入</w:t>
            </w:r>
            <w:r>
              <w:rPr>
                <w:rFonts w:ascii="Times New Roman" w:hAnsi="Times New Roman"/>
                <w:color w:val="auto"/>
                <w:highlight w:val="none"/>
              </w:rPr>
              <w:t>市政污水管网，项目运营期污水排放量为占污水处理厂近期污水处理能力的0.0</w:t>
            </w:r>
            <w:r>
              <w:rPr>
                <w:rFonts w:hint="eastAsia" w:ascii="Times New Roman" w:hAnsi="Times New Roman"/>
                <w:color w:val="auto"/>
                <w:highlight w:val="none"/>
              </w:rPr>
              <w:t>001</w:t>
            </w:r>
            <w:r>
              <w:rPr>
                <w:rFonts w:ascii="Times New Roman" w:hAnsi="Times New Roman"/>
                <w:color w:val="auto"/>
                <w:highlight w:val="none"/>
              </w:rPr>
              <w:t>%，对污水处理厂的处理负荷冲击较小。因此，项目</w:t>
            </w:r>
            <w:r>
              <w:rPr>
                <w:rFonts w:hint="eastAsia" w:ascii="Times New Roman" w:hAnsi="Times New Roman"/>
                <w:color w:val="auto"/>
                <w:highlight w:val="none"/>
              </w:rPr>
              <w:t>废水</w:t>
            </w:r>
            <w:r>
              <w:rPr>
                <w:rFonts w:ascii="Times New Roman" w:hAnsi="Times New Roman"/>
                <w:color w:val="auto"/>
                <w:highlight w:val="none"/>
              </w:rPr>
              <w:t>依托</w:t>
            </w:r>
            <w:r>
              <w:rPr>
                <w:rFonts w:hint="eastAsia"/>
                <w:color w:val="auto"/>
                <w:highlight w:val="none"/>
              </w:rPr>
              <w:t>西安市第一污水处理厂</w:t>
            </w:r>
            <w:r>
              <w:rPr>
                <w:rFonts w:ascii="Times New Roman" w:hAnsi="Times New Roman"/>
                <w:color w:val="auto"/>
                <w:highlight w:val="none"/>
              </w:rPr>
              <w:t>处理可行。</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综上所述，经处理后废水对项目周边水环境产生的影响较小，采取上述废水防治措施是可行的。</w:t>
            </w:r>
          </w:p>
          <w:p>
            <w:pPr>
              <w:wordWrap w:val="0"/>
              <w:spacing w:line="360" w:lineRule="auto"/>
              <w:ind w:firstLine="420" w:firstLineChars="200"/>
              <w:rPr>
                <w:rFonts w:ascii="Times New Roman" w:hAnsi="Times New Roman"/>
                <w:bCs/>
                <w:color w:val="auto"/>
                <w:highlight w:val="none"/>
              </w:rPr>
            </w:pPr>
            <w:r>
              <w:rPr>
                <w:rFonts w:hint="eastAsia" w:ascii="Times New Roman" w:hAnsi="Times New Roman"/>
                <w:bCs/>
                <w:color w:val="auto"/>
                <w:highlight w:val="none"/>
              </w:rPr>
              <w:t>（5）监测计划</w:t>
            </w:r>
          </w:p>
          <w:p>
            <w:pPr>
              <w:spacing w:line="360" w:lineRule="auto"/>
              <w:ind w:firstLine="420" w:firstLineChars="200"/>
              <w:rPr>
                <w:rFonts w:ascii="Times New Roman" w:hAnsi="Times New Roman"/>
                <w:color w:val="auto"/>
                <w:highlight w:val="none"/>
              </w:rPr>
            </w:pPr>
            <w:r>
              <w:rPr>
                <w:rFonts w:hint="eastAsia" w:ascii="Times New Roman" w:hAnsi="Times New Roman" w:cs="Times New Roman"/>
                <w:color w:val="auto"/>
                <w:sz w:val="21"/>
                <w:szCs w:val="21"/>
                <w:highlight w:val="none"/>
                <w:shd w:val="clear" w:color="auto" w:fill="auto"/>
              </w:rPr>
              <w:t>根据《</w:t>
            </w:r>
            <w:r>
              <w:rPr>
                <w:rStyle w:val="28"/>
                <w:rFonts w:hint="eastAsia" w:ascii="Times New Roman" w:hAnsi="Times New Roman" w:eastAsia="Helvetica" w:cs="Helvetica"/>
                <w:color w:val="auto"/>
                <w:sz w:val="21"/>
                <w:szCs w:val="21"/>
                <w:highlight w:val="none"/>
                <w:shd w:val="clear" w:color="auto" w:fill="FFFFFF"/>
              </w:rPr>
              <w:t>排污许可证申请与核发技术规范 医疗机构</w:t>
            </w:r>
            <w:r>
              <w:rPr>
                <w:rFonts w:hint="eastAsia" w:ascii="Times New Roman" w:hAnsi="Times New Roman" w:cs="Times New Roman"/>
                <w:color w:val="auto"/>
                <w:sz w:val="21"/>
                <w:szCs w:val="21"/>
                <w:highlight w:val="none"/>
                <w:shd w:val="clear" w:color="auto" w:fill="auto"/>
              </w:rPr>
              <w:t>》</w:t>
            </w:r>
            <w:r>
              <w:rPr>
                <w:rFonts w:hint="eastAsia" w:ascii="Times New Roman" w:hAnsi="Times New Roman" w:eastAsia="宋体" w:cs="Times New Roman"/>
                <w:color w:val="auto"/>
                <w:sz w:val="21"/>
                <w:szCs w:val="21"/>
                <w:highlight w:val="none"/>
                <w:shd w:val="clear" w:color="auto" w:fill="auto"/>
              </w:rPr>
              <w:fldChar w:fldCharType="begin"/>
            </w:r>
            <w:r>
              <w:rPr>
                <w:rFonts w:hint="eastAsia" w:ascii="Times New Roman" w:hAnsi="Times New Roman" w:eastAsia="宋体" w:cs="Times New Roman"/>
                <w:color w:val="auto"/>
                <w:sz w:val="21"/>
                <w:szCs w:val="21"/>
                <w:highlight w:val="none"/>
                <w:shd w:val="clear" w:color="auto" w:fill="auto"/>
              </w:rPr>
              <w:instrText xml:space="preserve"> HYPERLINK "https://www.eiacloud.com/hpyzs/lawsRegulations/searchDetail?modelName=%E6%8E%92%E6%B1%A1%E5%90%8D%E5%BD%95&amp;id=84620e16ef7647dbb6a5b80a4e676265" \t "https://www.eiacloud.com/hpyzs/category/_blank" </w:instrText>
            </w:r>
            <w:r>
              <w:rPr>
                <w:rFonts w:hint="eastAsia" w:ascii="Times New Roman" w:hAnsi="Times New Roman" w:eastAsia="宋体" w:cs="Times New Roman"/>
                <w:color w:val="auto"/>
                <w:sz w:val="21"/>
                <w:szCs w:val="21"/>
                <w:highlight w:val="none"/>
                <w:shd w:val="clear" w:color="auto" w:fill="auto"/>
              </w:rPr>
              <w:fldChar w:fldCharType="separate"/>
            </w:r>
            <w:r>
              <w:rPr>
                <w:rStyle w:val="28"/>
                <w:rFonts w:hint="eastAsia" w:ascii="Times New Roman" w:hAnsi="Times New Roman" w:cs="Helvetica"/>
                <w:color w:val="auto"/>
                <w:sz w:val="21"/>
                <w:szCs w:val="21"/>
                <w:highlight w:val="none"/>
                <w:shd w:val="clear" w:color="auto" w:fill="FFFFFF"/>
              </w:rPr>
              <w:t>（</w:t>
            </w:r>
            <w:r>
              <w:rPr>
                <w:rStyle w:val="28"/>
                <w:rFonts w:hint="eastAsia" w:ascii="Times New Roman" w:hAnsi="Times New Roman" w:eastAsia="Helvetica" w:cs="Helvetica"/>
                <w:color w:val="auto"/>
                <w:sz w:val="21"/>
                <w:szCs w:val="21"/>
                <w:highlight w:val="none"/>
                <w:shd w:val="clear" w:color="auto" w:fill="FFFFFF"/>
              </w:rPr>
              <w:t>HJ1105-2020</w:t>
            </w:r>
            <w:r>
              <w:rPr>
                <w:rStyle w:val="28"/>
                <w:rFonts w:hint="eastAsia" w:ascii="Times New Roman" w:hAnsi="Times New Roman" w:cs="Helvetica"/>
                <w:color w:val="auto"/>
                <w:sz w:val="21"/>
                <w:szCs w:val="21"/>
                <w:highlight w:val="none"/>
                <w:shd w:val="clear" w:color="auto" w:fill="FFFFFF"/>
              </w:rPr>
              <w:t>）</w:t>
            </w:r>
            <w:r>
              <w:rPr>
                <w:rFonts w:hint="eastAsia" w:ascii="Times New Roman" w:hAnsi="Times New Roman" w:eastAsia="宋体" w:cs="Times New Roman"/>
                <w:color w:val="auto"/>
                <w:sz w:val="21"/>
                <w:szCs w:val="21"/>
                <w:highlight w:val="none"/>
                <w:shd w:val="clear" w:color="auto" w:fill="auto"/>
              </w:rPr>
              <w:fldChar w:fldCharType="end"/>
            </w:r>
            <w:r>
              <w:rPr>
                <w:rFonts w:hint="eastAsia" w:ascii="Times New Roman" w:hAnsi="Times New Roman"/>
                <w:color w:val="auto"/>
                <w:highlight w:val="none"/>
              </w:rPr>
              <w:t>要求</w:t>
            </w:r>
            <w:r>
              <w:rPr>
                <w:rFonts w:hint="eastAsia" w:ascii="Times New Roman" w:hAnsi="Times New Roman"/>
                <w:color w:val="auto"/>
                <w:highlight w:val="none"/>
                <w:lang w:val="en-US" w:eastAsia="zh-CN"/>
              </w:rPr>
              <w:t>并结合项目实际情况</w:t>
            </w:r>
            <w:r>
              <w:rPr>
                <w:rFonts w:hint="eastAsia" w:ascii="Times New Roman" w:hAnsi="Times New Roman"/>
                <w:color w:val="auto"/>
                <w:highlight w:val="none"/>
              </w:rPr>
              <w:t>，本次评价废水监测计划根据原有项目监测计划执行，废水监测计划</w:t>
            </w:r>
            <w:r>
              <w:rPr>
                <w:rFonts w:ascii="Times New Roman" w:hAnsi="Times New Roman"/>
                <w:color w:val="auto"/>
                <w:highlight w:val="none"/>
              </w:rPr>
              <w:t>见表</w:t>
            </w:r>
            <w:r>
              <w:rPr>
                <w:rFonts w:hint="eastAsia" w:ascii="Times New Roman" w:hAnsi="Times New Roman"/>
                <w:color w:val="auto"/>
                <w:highlight w:val="none"/>
              </w:rPr>
              <w:t>4</w:t>
            </w: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w:t>
            </w:r>
          </w:p>
          <w:p>
            <w:pPr>
              <w:pStyle w:val="2"/>
              <w:ind w:firstLine="422"/>
              <w:jc w:val="center"/>
              <w:rPr>
                <w:b/>
                <w:bCs/>
                <w:color w:val="auto"/>
                <w:highlight w:val="none"/>
              </w:rPr>
            </w:pPr>
            <w:r>
              <w:rPr>
                <w:b/>
                <w:bCs/>
                <w:color w:val="auto"/>
                <w:highlight w:val="none"/>
              </w:rPr>
              <w:t>表</w:t>
            </w:r>
            <w:r>
              <w:rPr>
                <w:rFonts w:hint="eastAsia"/>
                <w:b/>
                <w:bCs/>
                <w:color w:val="auto"/>
                <w:highlight w:val="none"/>
              </w:rPr>
              <w:t>4</w:t>
            </w:r>
            <w:r>
              <w:rPr>
                <w:b/>
                <w:bCs/>
                <w:color w:val="auto"/>
                <w:highlight w:val="none"/>
              </w:rPr>
              <w:t>-</w:t>
            </w:r>
            <w:r>
              <w:rPr>
                <w:rFonts w:hint="eastAsia"/>
                <w:b/>
                <w:bCs/>
                <w:color w:val="auto"/>
                <w:highlight w:val="none"/>
              </w:rPr>
              <w:t>3</w:t>
            </w:r>
            <w:r>
              <w:rPr>
                <w:b/>
                <w:bCs/>
                <w:color w:val="auto"/>
                <w:highlight w:val="none"/>
              </w:rPr>
              <w:t xml:space="preserve">  运营期</w:t>
            </w:r>
            <w:r>
              <w:rPr>
                <w:rFonts w:hint="eastAsia"/>
                <w:b/>
                <w:bCs/>
                <w:color w:val="auto"/>
                <w:highlight w:val="none"/>
              </w:rPr>
              <w:t>废水</w:t>
            </w:r>
            <w:r>
              <w:rPr>
                <w:b/>
                <w:bCs/>
                <w:color w:val="auto"/>
                <w:highlight w:val="none"/>
              </w:rPr>
              <w:t>环境监测计划一览表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76"/>
              <w:gridCol w:w="2429"/>
              <w:gridCol w:w="3581"/>
              <w:gridCol w:w="1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jc w:val="center"/>
              </w:trPr>
              <w:tc>
                <w:tcPr>
                  <w:tcW w:w="572" w:type="pct"/>
                  <w:vAlign w:val="center"/>
                </w:tcPr>
                <w:p>
                  <w:pPr>
                    <w:jc w:val="center"/>
                    <w:rPr>
                      <w:rFonts w:ascii="Times New Roman" w:hAnsi="Times New Roman"/>
                      <w:b/>
                      <w:color w:val="auto"/>
                      <w:highlight w:val="none"/>
                    </w:rPr>
                  </w:pPr>
                  <w:r>
                    <w:rPr>
                      <w:rFonts w:ascii="Times New Roman" w:hAnsi="Times New Roman"/>
                      <w:b/>
                      <w:color w:val="auto"/>
                      <w:highlight w:val="none"/>
                    </w:rPr>
                    <w:t>项目</w:t>
                  </w:r>
                </w:p>
              </w:tc>
              <w:tc>
                <w:tcPr>
                  <w:tcW w:w="1423" w:type="pct"/>
                  <w:vAlign w:val="center"/>
                </w:tcPr>
                <w:p>
                  <w:pPr>
                    <w:jc w:val="center"/>
                    <w:rPr>
                      <w:rFonts w:ascii="Times New Roman" w:hAnsi="Times New Roman"/>
                      <w:b/>
                      <w:color w:val="auto"/>
                      <w:highlight w:val="none"/>
                    </w:rPr>
                  </w:pPr>
                  <w:r>
                    <w:rPr>
                      <w:rFonts w:ascii="Times New Roman" w:hAnsi="Times New Roman"/>
                      <w:b/>
                      <w:color w:val="auto"/>
                      <w:highlight w:val="none"/>
                    </w:rPr>
                    <w:t>监测点位</w:t>
                  </w:r>
                </w:p>
              </w:tc>
              <w:tc>
                <w:tcPr>
                  <w:tcW w:w="2098" w:type="pct"/>
                  <w:vAlign w:val="center"/>
                </w:tcPr>
                <w:p>
                  <w:pPr>
                    <w:jc w:val="center"/>
                    <w:rPr>
                      <w:rFonts w:ascii="Times New Roman" w:hAnsi="Times New Roman"/>
                      <w:b/>
                      <w:color w:val="auto"/>
                      <w:highlight w:val="none"/>
                    </w:rPr>
                  </w:pPr>
                  <w:r>
                    <w:rPr>
                      <w:rFonts w:ascii="Times New Roman" w:hAnsi="Times New Roman"/>
                      <w:b/>
                      <w:color w:val="auto"/>
                      <w:highlight w:val="none"/>
                    </w:rPr>
                    <w:t>监测项目</w:t>
                  </w:r>
                </w:p>
              </w:tc>
              <w:tc>
                <w:tcPr>
                  <w:tcW w:w="905" w:type="pct"/>
                  <w:vAlign w:val="center"/>
                </w:tcPr>
                <w:p>
                  <w:pPr>
                    <w:jc w:val="center"/>
                    <w:rPr>
                      <w:rFonts w:ascii="Times New Roman" w:hAnsi="Times New Roman"/>
                      <w:b/>
                      <w:color w:val="auto"/>
                      <w:highlight w:val="none"/>
                    </w:rPr>
                  </w:pPr>
                  <w:r>
                    <w:rPr>
                      <w:rFonts w:ascii="Times New Roman" w:hAnsi="Times New Roman"/>
                      <w:b/>
                      <w:color w:val="auto"/>
                      <w:highlight w:val="none"/>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restart"/>
                  <w:vAlign w:val="center"/>
                </w:tcPr>
                <w:p>
                  <w:pPr>
                    <w:jc w:val="center"/>
                    <w:rPr>
                      <w:rFonts w:ascii="Times New Roman" w:hAnsi="Times New Roman"/>
                      <w:bCs/>
                      <w:color w:val="auto"/>
                      <w:highlight w:val="none"/>
                    </w:rPr>
                  </w:pPr>
                  <w:r>
                    <w:rPr>
                      <w:rFonts w:hint="eastAsia" w:ascii="Times New Roman" w:hAnsi="Times New Roman"/>
                      <w:bCs/>
                      <w:color w:val="auto"/>
                      <w:highlight w:val="none"/>
                    </w:rPr>
                    <w:t>废水</w:t>
                  </w:r>
                </w:p>
              </w:tc>
              <w:tc>
                <w:tcPr>
                  <w:tcW w:w="1423" w:type="pct"/>
                  <w:vMerge w:val="restart"/>
                  <w:vAlign w:val="center"/>
                </w:tcPr>
                <w:p>
                  <w:pPr>
                    <w:jc w:val="center"/>
                    <w:rPr>
                      <w:rFonts w:ascii="Times New Roman" w:hAnsi="Times New Roman"/>
                      <w:bCs/>
                      <w:color w:val="auto"/>
                      <w:highlight w:val="none"/>
                    </w:rPr>
                  </w:pPr>
                  <w:r>
                    <w:rPr>
                      <w:rFonts w:hint="eastAsia" w:ascii="Times New Roman" w:hAnsi="Times New Roman"/>
                      <w:color w:val="auto"/>
                      <w:highlight w:val="none"/>
                    </w:rPr>
                    <w:t>污水处理站排放口</w:t>
                  </w:r>
                </w:p>
              </w:tc>
              <w:tc>
                <w:tcPr>
                  <w:tcW w:w="2098" w:type="pct"/>
                  <w:vAlign w:val="center"/>
                </w:tcPr>
                <w:p>
                  <w:pPr>
                    <w:jc w:val="center"/>
                    <w:rPr>
                      <w:rFonts w:ascii="Times New Roman" w:hAnsi="Times New Roman"/>
                      <w:bCs/>
                      <w:color w:val="auto"/>
                      <w:highlight w:val="none"/>
                    </w:rPr>
                  </w:pPr>
                  <w:r>
                    <w:rPr>
                      <w:rFonts w:hint="eastAsia" w:ascii="Times New Roman" w:hAnsi="Times New Roman"/>
                      <w:color w:val="auto"/>
                      <w:highlight w:val="none"/>
                    </w:rPr>
                    <w:t>pH</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w:t>
                  </w:r>
                  <w:r>
                    <w:rPr>
                      <w:rFonts w:hint="eastAsia" w:ascii="Times New Roman" w:hAnsi="Times New Roman"/>
                      <w:bCs/>
                      <w:color w:val="auto"/>
                      <w:highlight w:val="none"/>
                    </w:rPr>
                    <w:t>12h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lang w:val="zh-CN"/>
                    </w:rPr>
                    <w:t>SS</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w:t>
                  </w:r>
                  <w:r>
                    <w:rPr>
                      <w:rFonts w:hint="eastAsia" w:ascii="Times New Roman" w:hAnsi="Times New Roman"/>
                      <w:bCs/>
                      <w:color w:val="auto"/>
                      <w:highlight w:val="none"/>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ascii="Times New Roman" w:hAnsi="Times New Roman"/>
                      <w:color w:val="auto"/>
                      <w:highlight w:val="none"/>
                    </w:rPr>
                    <w:t>BOD</w:t>
                  </w:r>
                  <w:r>
                    <w:rPr>
                      <w:rFonts w:ascii="Times New Roman" w:hAnsi="Times New Roman"/>
                      <w:color w:val="auto"/>
                      <w:highlight w:val="none"/>
                      <w:vertAlign w:val="subscript"/>
                    </w:rPr>
                    <w:t>5</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lang w:val="zh-CN"/>
                    </w:rPr>
                    <w:t>COD</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w:t>
                  </w:r>
                  <w:r>
                    <w:rPr>
                      <w:rFonts w:hint="eastAsia" w:ascii="Times New Roman" w:hAnsi="Times New Roman"/>
                      <w:bCs/>
                      <w:color w:val="auto"/>
                      <w:highlight w:val="none"/>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rPr>
                    <w:t>粪大肠菌群</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w:t>
                  </w:r>
                  <w:r>
                    <w:rPr>
                      <w:rFonts w:hint="eastAsia" w:ascii="Times New Roman" w:hAnsi="Times New Roman"/>
                      <w:bCs/>
                      <w:color w:val="auto"/>
                      <w:highlight w:val="none"/>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rPr>
                    <w:t>阴离子表面活性剂</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rPr>
                    <w:t>总余氯</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rPr>
                    <w:t>氨氮</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rPr>
                    <w:t>总磷</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572" w:type="pct"/>
                  <w:vMerge w:val="continue"/>
                  <w:vAlign w:val="center"/>
                </w:tcPr>
                <w:p>
                  <w:pPr>
                    <w:jc w:val="center"/>
                    <w:rPr>
                      <w:rFonts w:ascii="Times New Roman" w:hAnsi="Times New Roman"/>
                      <w:bCs/>
                      <w:color w:val="auto"/>
                      <w:highlight w:val="none"/>
                    </w:rPr>
                  </w:pPr>
                </w:p>
              </w:tc>
              <w:tc>
                <w:tcPr>
                  <w:tcW w:w="1423" w:type="pct"/>
                  <w:vMerge w:val="continue"/>
                  <w:vAlign w:val="center"/>
                </w:tcPr>
                <w:p>
                  <w:pPr>
                    <w:jc w:val="center"/>
                    <w:rPr>
                      <w:rFonts w:ascii="Times New Roman" w:hAnsi="Times New Roman"/>
                      <w:color w:val="auto"/>
                      <w:highlight w:val="none"/>
                    </w:rPr>
                  </w:pPr>
                </w:p>
              </w:tc>
              <w:tc>
                <w:tcPr>
                  <w:tcW w:w="2098" w:type="pct"/>
                  <w:vAlign w:val="center"/>
                </w:tcPr>
                <w:p>
                  <w:pPr>
                    <w:jc w:val="center"/>
                    <w:rPr>
                      <w:rFonts w:ascii="Times New Roman" w:hAnsi="Times New Roman"/>
                      <w:color w:val="auto"/>
                      <w:highlight w:val="none"/>
                    </w:rPr>
                  </w:pPr>
                  <w:r>
                    <w:rPr>
                      <w:rFonts w:hint="eastAsia" w:ascii="Times New Roman" w:hAnsi="Times New Roman"/>
                      <w:color w:val="auto"/>
                      <w:highlight w:val="none"/>
                    </w:rPr>
                    <w:t>总氮</w:t>
                  </w:r>
                </w:p>
              </w:tc>
              <w:tc>
                <w:tcPr>
                  <w:tcW w:w="905"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w:t>
                  </w:r>
                </w:p>
              </w:tc>
            </w:tr>
          </w:tbl>
          <w:p>
            <w:pPr>
              <w:spacing w:line="360" w:lineRule="auto"/>
              <w:ind w:firstLine="422" w:firstLineChars="200"/>
              <w:rPr>
                <w:rFonts w:ascii="Times New Roman" w:hAnsi="Times New Roman"/>
                <w:b/>
                <w:bCs/>
                <w:color w:val="auto"/>
                <w:highlight w:val="none"/>
              </w:rPr>
            </w:pPr>
            <w:r>
              <w:rPr>
                <w:rFonts w:ascii="Times New Roman" w:hAnsi="Times New Roman"/>
                <w:b/>
                <w:bCs/>
                <w:color w:val="auto"/>
                <w:highlight w:val="none"/>
              </w:rPr>
              <w:t>3、噪声</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（1）噪声源强</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w:t>
            </w:r>
            <w:r>
              <w:rPr>
                <w:rFonts w:ascii="Times New Roman" w:hAnsi="Times New Roman"/>
                <w:color w:val="auto"/>
                <w:highlight w:val="none"/>
              </w:rPr>
              <w:t>项目主要噪声源为</w:t>
            </w:r>
            <w:r>
              <w:rPr>
                <w:rFonts w:hint="eastAsia" w:ascii="Times New Roman" w:hAnsi="Times New Roman"/>
                <w:color w:val="auto"/>
                <w:highlight w:val="none"/>
              </w:rPr>
              <w:t>发热门诊运营</w:t>
            </w:r>
            <w:r>
              <w:rPr>
                <w:rFonts w:ascii="Times New Roman" w:hAnsi="Times New Roman"/>
                <w:color w:val="auto"/>
                <w:highlight w:val="none"/>
              </w:rPr>
              <w:t>过程中</w:t>
            </w:r>
            <w:r>
              <w:rPr>
                <w:rFonts w:hint="eastAsia" w:ascii="Times New Roman" w:hAnsi="Times New Roman"/>
                <w:color w:val="auto"/>
                <w:highlight w:val="none"/>
              </w:rPr>
              <w:t>空调外机及各类水泵等</w:t>
            </w:r>
            <w:r>
              <w:rPr>
                <w:rFonts w:ascii="Times New Roman" w:hAnsi="Times New Roman"/>
                <w:color w:val="auto"/>
                <w:highlight w:val="none"/>
              </w:rPr>
              <w:t>设备</w:t>
            </w:r>
            <w:r>
              <w:rPr>
                <w:rFonts w:hint="eastAsia" w:ascii="Times New Roman" w:hAnsi="Times New Roman"/>
                <w:color w:val="auto"/>
                <w:highlight w:val="none"/>
              </w:rPr>
              <w:t>运行</w:t>
            </w:r>
            <w:r>
              <w:rPr>
                <w:rFonts w:ascii="Times New Roman" w:hAnsi="Times New Roman"/>
                <w:color w:val="auto"/>
                <w:highlight w:val="none"/>
              </w:rPr>
              <w:t>噪声，</w:t>
            </w:r>
            <w:r>
              <w:rPr>
                <w:rFonts w:hint="eastAsia" w:ascii="Times New Roman" w:hAnsi="Times New Roman"/>
                <w:color w:val="auto"/>
                <w:highlight w:val="none"/>
              </w:rPr>
              <w:t>根据现有的行业污染源强核算技术指南，</w:t>
            </w:r>
            <w:r>
              <w:rPr>
                <w:rFonts w:ascii="Times New Roman" w:hAnsi="Times New Roman"/>
                <w:color w:val="auto"/>
                <w:highlight w:val="none"/>
              </w:rPr>
              <w:t>具体噪声源强见下表</w:t>
            </w:r>
            <w:r>
              <w:rPr>
                <w:rFonts w:hint="eastAsia" w:ascii="Times New Roman" w:hAnsi="Times New Roman"/>
                <w:color w:val="auto"/>
                <w:highlight w:val="none"/>
              </w:rPr>
              <w:t>4-4</w:t>
            </w:r>
            <w:r>
              <w:rPr>
                <w:rFonts w:ascii="Times New Roman" w:hAnsi="Times New Roman"/>
                <w:color w:val="auto"/>
                <w:highlight w:val="none"/>
              </w:rPr>
              <w:t>。</w:t>
            </w:r>
          </w:p>
          <w:p>
            <w:pPr>
              <w:adjustRightInd w:val="0"/>
              <w:snapToGrid w:val="0"/>
              <w:spacing w:before="120" w:beforeLines="50"/>
              <w:jc w:val="center"/>
              <w:rPr>
                <w:rFonts w:ascii="Times New Roman" w:hAnsi="Times New Roman"/>
                <w:b/>
                <w:color w:val="auto"/>
                <w:highlight w:val="none"/>
              </w:rPr>
            </w:pPr>
            <w:r>
              <w:rPr>
                <w:rFonts w:ascii="Times New Roman" w:hAnsi="Times New Roman"/>
                <w:b/>
                <w:color w:val="auto"/>
                <w:highlight w:val="none"/>
              </w:rPr>
              <w:t>表4</w:t>
            </w:r>
            <w:r>
              <w:rPr>
                <w:rFonts w:hint="eastAsia" w:ascii="Times New Roman" w:hAnsi="Times New Roman"/>
                <w:b/>
                <w:color w:val="auto"/>
                <w:highlight w:val="none"/>
              </w:rPr>
              <w:t xml:space="preserve">-4 </w:t>
            </w:r>
            <w:r>
              <w:rPr>
                <w:rFonts w:ascii="Times New Roman" w:hAnsi="Times New Roman"/>
                <w:b/>
                <w:color w:val="auto"/>
                <w:highlight w:val="none"/>
              </w:rPr>
              <w:t xml:space="preserve"> </w:t>
            </w:r>
            <w:r>
              <w:rPr>
                <w:rFonts w:hint="eastAsia" w:ascii="Times New Roman" w:hAnsi="Times New Roman"/>
                <w:b/>
                <w:color w:val="auto"/>
                <w:highlight w:val="none"/>
              </w:rPr>
              <w:t>项目噪声产生及排放情况一览</w:t>
            </w:r>
            <w:r>
              <w:rPr>
                <w:rFonts w:ascii="Times New Roman" w:hAnsi="Times New Roman"/>
                <w:b/>
                <w:color w:val="auto"/>
                <w:highlight w:val="none"/>
              </w:rPr>
              <w:t>表</w:t>
            </w:r>
            <w:r>
              <w:rPr>
                <w:rFonts w:hint="eastAsia" w:ascii="Times New Roman" w:hAnsi="Times New Roman"/>
                <w:b/>
                <w:color w:val="auto"/>
                <w:highlight w:val="none"/>
              </w:rPr>
              <w:t xml:space="preserve">     单位</w:t>
            </w:r>
            <w:r>
              <w:rPr>
                <w:rFonts w:ascii="Times New Roman" w:hAnsi="Times New Roman"/>
                <w:b/>
                <w:color w:val="auto"/>
                <w:highlight w:val="none"/>
              </w:rPr>
              <w:t>dB（A）</w:t>
            </w:r>
          </w:p>
          <w:tbl>
            <w:tblPr>
              <w:tblStyle w:val="20"/>
              <w:tblW w:w="8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1"/>
              <w:gridCol w:w="401"/>
              <w:gridCol w:w="401"/>
              <w:gridCol w:w="401"/>
              <w:gridCol w:w="585"/>
              <w:gridCol w:w="401"/>
              <w:gridCol w:w="401"/>
              <w:gridCol w:w="685"/>
              <w:gridCol w:w="585"/>
              <w:gridCol w:w="462"/>
              <w:gridCol w:w="685"/>
              <w:gridCol w:w="586"/>
              <w:gridCol w:w="1734"/>
              <w:gridCol w:w="402"/>
              <w:gridCol w:w="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36"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b/>
                      <w:bCs/>
                      <w:color w:val="auto"/>
                      <w:szCs w:val="21"/>
                      <w:highlight w:val="none"/>
                    </w:rPr>
                    <w:t>序号</w:t>
                  </w:r>
                </w:p>
              </w:tc>
              <w:tc>
                <w:tcPr>
                  <w:tcW w:w="238"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工序/</w:t>
                  </w:r>
                  <w:r>
                    <w:rPr>
                      <w:rFonts w:ascii="Times New Roman" w:hAnsi="Times New Roman"/>
                      <w:b/>
                      <w:bCs/>
                      <w:color w:val="auto"/>
                      <w:szCs w:val="21"/>
                      <w:highlight w:val="none"/>
                    </w:rPr>
                    <w:t>生产线</w:t>
                  </w:r>
                </w:p>
              </w:tc>
              <w:tc>
                <w:tcPr>
                  <w:tcW w:w="238"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设备装置</w:t>
                  </w:r>
                </w:p>
              </w:tc>
              <w:tc>
                <w:tcPr>
                  <w:tcW w:w="238"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噪声源</w:t>
                  </w:r>
                </w:p>
              </w:tc>
              <w:tc>
                <w:tcPr>
                  <w:tcW w:w="290"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声源类型</w:t>
                  </w:r>
                </w:p>
              </w:tc>
              <w:tc>
                <w:tcPr>
                  <w:tcW w:w="197" w:type="pct"/>
                  <w:vMerge w:val="restart"/>
                  <w:tcMar>
                    <w:top w:w="0" w:type="dxa"/>
                    <w:left w:w="108" w:type="dxa"/>
                    <w:bottom w:w="0" w:type="dxa"/>
                    <w:right w:w="108" w:type="dxa"/>
                  </w:tcMar>
                  <w:vAlign w:val="center"/>
                </w:tcPr>
                <w:p>
                  <w:pPr>
                    <w:pStyle w:val="62"/>
                    <w:jc w:val="center"/>
                    <w:rPr>
                      <w:rFonts w:hint="eastAsia" w:ascii="Times New Roman" w:hAnsi="Times New Roman" w:eastAsia="宋体"/>
                      <w:b/>
                      <w:bCs/>
                      <w:color w:val="auto"/>
                      <w:szCs w:val="21"/>
                      <w:highlight w:val="none"/>
                      <w:lang w:val="en-US" w:eastAsia="zh-CN"/>
                    </w:rPr>
                  </w:pPr>
                  <w:r>
                    <w:rPr>
                      <w:rFonts w:hint="eastAsia" w:ascii="Times New Roman" w:hAnsi="Times New Roman"/>
                      <w:b/>
                      <w:bCs/>
                      <w:color w:val="auto"/>
                      <w:szCs w:val="21"/>
                      <w:highlight w:val="none"/>
                      <w:lang w:val="en-US" w:eastAsia="zh-CN"/>
                    </w:rPr>
                    <w:t>数量</w:t>
                  </w:r>
                </w:p>
              </w:tc>
              <w:tc>
                <w:tcPr>
                  <w:tcW w:w="649" w:type="pct"/>
                  <w:gridSpan w:val="2"/>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噪声源强</w:t>
                  </w:r>
                </w:p>
              </w:tc>
              <w:tc>
                <w:tcPr>
                  <w:tcW w:w="625" w:type="pct"/>
                  <w:gridSpan w:val="2"/>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降噪措施</w:t>
                  </w:r>
                </w:p>
              </w:tc>
              <w:tc>
                <w:tcPr>
                  <w:tcW w:w="410"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排放值</w:t>
                  </w:r>
                </w:p>
              </w:tc>
              <w:tc>
                <w:tcPr>
                  <w:tcW w:w="349"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持续时间h/a</w:t>
                  </w:r>
                </w:p>
              </w:tc>
              <w:tc>
                <w:tcPr>
                  <w:tcW w:w="1047"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执行</w:t>
                  </w:r>
                </w:p>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标准</w:t>
                  </w:r>
                </w:p>
              </w:tc>
              <w:tc>
                <w:tcPr>
                  <w:tcW w:w="477" w:type="pct"/>
                  <w:gridSpan w:val="2"/>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236"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238"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238"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238"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290"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197"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238"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核算方法</w:t>
                  </w:r>
                </w:p>
              </w:tc>
              <w:tc>
                <w:tcPr>
                  <w:tcW w:w="410"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产生源强</w:t>
                  </w:r>
                </w:p>
              </w:tc>
              <w:tc>
                <w:tcPr>
                  <w:tcW w:w="349"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降噪工艺</w:t>
                  </w:r>
                </w:p>
              </w:tc>
              <w:tc>
                <w:tcPr>
                  <w:tcW w:w="275"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降噪效果</w:t>
                  </w:r>
                </w:p>
              </w:tc>
              <w:tc>
                <w:tcPr>
                  <w:tcW w:w="410"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349"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1047"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238"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昼间</w:t>
                  </w:r>
                </w:p>
              </w:tc>
              <w:tc>
                <w:tcPr>
                  <w:tcW w:w="238"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236"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1</w:t>
                  </w:r>
                </w:p>
              </w:tc>
              <w:tc>
                <w:tcPr>
                  <w:tcW w:w="238"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医院运营</w:t>
                  </w:r>
                </w:p>
              </w:tc>
              <w:tc>
                <w:tcPr>
                  <w:tcW w:w="23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空调机</w:t>
                  </w:r>
                </w:p>
              </w:tc>
              <w:tc>
                <w:tcPr>
                  <w:tcW w:w="23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空调机组</w:t>
                  </w:r>
                </w:p>
              </w:tc>
              <w:tc>
                <w:tcPr>
                  <w:tcW w:w="290"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固定源，频发</w:t>
                  </w:r>
                </w:p>
              </w:tc>
              <w:tc>
                <w:tcPr>
                  <w:tcW w:w="197" w:type="pct"/>
                  <w:tcMar>
                    <w:top w:w="0" w:type="dxa"/>
                    <w:left w:w="108" w:type="dxa"/>
                    <w:bottom w:w="0" w:type="dxa"/>
                    <w:right w:w="108" w:type="dxa"/>
                  </w:tcMar>
                  <w:vAlign w:val="center"/>
                </w:tcPr>
                <w:p>
                  <w:pPr>
                    <w:pStyle w:val="62"/>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12台</w:t>
                  </w:r>
                </w:p>
              </w:tc>
              <w:tc>
                <w:tcPr>
                  <w:tcW w:w="23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类比法</w:t>
                  </w:r>
                </w:p>
              </w:tc>
              <w:tc>
                <w:tcPr>
                  <w:tcW w:w="410"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70~80</w:t>
                  </w:r>
                </w:p>
              </w:tc>
              <w:tc>
                <w:tcPr>
                  <w:tcW w:w="34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基础减振</w:t>
                  </w:r>
                </w:p>
              </w:tc>
              <w:tc>
                <w:tcPr>
                  <w:tcW w:w="275" w:type="pct"/>
                  <w:tcMar>
                    <w:top w:w="0" w:type="dxa"/>
                    <w:left w:w="108" w:type="dxa"/>
                    <w:bottom w:w="0" w:type="dxa"/>
                    <w:right w:w="108" w:type="dxa"/>
                  </w:tcMar>
                  <w:vAlign w:val="center"/>
                </w:tcPr>
                <w:p>
                  <w:pPr>
                    <w:pStyle w:val="62"/>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rPr>
                    <w:t>-</w:t>
                  </w:r>
                  <w:r>
                    <w:rPr>
                      <w:rFonts w:hint="eastAsia" w:ascii="Times New Roman" w:hAnsi="Times New Roman"/>
                      <w:color w:val="auto"/>
                      <w:szCs w:val="21"/>
                      <w:highlight w:val="none"/>
                      <w:lang w:val="en-US" w:eastAsia="zh-CN"/>
                    </w:rPr>
                    <w:t>15</w:t>
                  </w:r>
                </w:p>
              </w:tc>
              <w:tc>
                <w:tcPr>
                  <w:tcW w:w="410" w:type="pct"/>
                  <w:tcMar>
                    <w:top w:w="0" w:type="dxa"/>
                    <w:left w:w="108" w:type="dxa"/>
                    <w:bottom w:w="0" w:type="dxa"/>
                    <w:right w:w="108" w:type="dxa"/>
                  </w:tcMar>
                  <w:vAlign w:val="center"/>
                </w:tcPr>
                <w:p>
                  <w:pPr>
                    <w:pStyle w:val="62"/>
                    <w:jc w:val="center"/>
                    <w:rPr>
                      <w:rFonts w:hint="eastAsia" w:ascii="Times New Roman" w:hAnsi="Times New Roman" w:eastAsia="宋体"/>
                      <w:color w:val="auto"/>
                      <w:szCs w:val="21"/>
                      <w:highlight w:val="none"/>
                      <w:lang w:eastAsia="zh-CN"/>
                    </w:rPr>
                  </w:pPr>
                  <w:r>
                    <w:rPr>
                      <w:rFonts w:hint="eastAsia" w:ascii="Times New Roman" w:hAnsi="Times New Roman"/>
                      <w:color w:val="auto"/>
                      <w:szCs w:val="21"/>
                      <w:highlight w:val="none"/>
                    </w:rPr>
                    <w:t>5</w:t>
                  </w:r>
                  <w:r>
                    <w:rPr>
                      <w:rFonts w:hint="eastAsia" w:ascii="Times New Roman" w:hAnsi="Times New Roman"/>
                      <w:color w:val="auto"/>
                      <w:szCs w:val="21"/>
                      <w:highlight w:val="none"/>
                      <w:lang w:val="en-US" w:eastAsia="zh-CN"/>
                    </w:rPr>
                    <w:t>5</w:t>
                  </w:r>
                  <w:r>
                    <w:rPr>
                      <w:rFonts w:hint="eastAsia" w:ascii="Times New Roman" w:hAnsi="Times New Roman"/>
                      <w:color w:val="auto"/>
                      <w:szCs w:val="21"/>
                      <w:highlight w:val="none"/>
                    </w:rPr>
                    <w:t>~6</w:t>
                  </w:r>
                  <w:r>
                    <w:rPr>
                      <w:rFonts w:hint="eastAsia" w:ascii="Times New Roman" w:hAnsi="Times New Roman"/>
                      <w:color w:val="auto"/>
                      <w:szCs w:val="21"/>
                      <w:highlight w:val="none"/>
                      <w:lang w:val="en-US" w:eastAsia="zh-CN"/>
                    </w:rPr>
                    <w:t>5</w:t>
                  </w:r>
                </w:p>
              </w:tc>
              <w:tc>
                <w:tcPr>
                  <w:tcW w:w="34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＜8760</w:t>
                  </w:r>
                </w:p>
              </w:tc>
              <w:tc>
                <w:tcPr>
                  <w:tcW w:w="1047"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《工业企业厂界环境噪声排放标准》（GB12348-2008）中3类标准</w:t>
                  </w:r>
                </w:p>
              </w:tc>
              <w:tc>
                <w:tcPr>
                  <w:tcW w:w="238"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65</w:t>
                  </w:r>
                </w:p>
              </w:tc>
              <w:tc>
                <w:tcPr>
                  <w:tcW w:w="238"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jc w:val="center"/>
              </w:trPr>
              <w:tc>
                <w:tcPr>
                  <w:tcW w:w="236"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3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3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泵类</w:t>
                  </w:r>
                </w:p>
              </w:tc>
              <w:tc>
                <w:tcPr>
                  <w:tcW w:w="23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水泵</w:t>
                  </w:r>
                </w:p>
              </w:tc>
              <w:tc>
                <w:tcPr>
                  <w:tcW w:w="290"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固定源，频发</w:t>
                  </w:r>
                </w:p>
              </w:tc>
              <w:tc>
                <w:tcPr>
                  <w:tcW w:w="197" w:type="pct"/>
                  <w:tcMar>
                    <w:top w:w="0" w:type="dxa"/>
                    <w:left w:w="108" w:type="dxa"/>
                    <w:bottom w:w="0" w:type="dxa"/>
                    <w:right w:w="108" w:type="dxa"/>
                  </w:tcMar>
                  <w:vAlign w:val="center"/>
                </w:tcPr>
                <w:p>
                  <w:pPr>
                    <w:pStyle w:val="62"/>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6台</w:t>
                  </w:r>
                </w:p>
              </w:tc>
              <w:tc>
                <w:tcPr>
                  <w:tcW w:w="23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类比法</w:t>
                  </w:r>
                </w:p>
              </w:tc>
              <w:tc>
                <w:tcPr>
                  <w:tcW w:w="410"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70~80</w:t>
                  </w:r>
                </w:p>
              </w:tc>
              <w:tc>
                <w:tcPr>
                  <w:tcW w:w="34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基础减振、墙体隔声</w:t>
                  </w:r>
                </w:p>
              </w:tc>
              <w:tc>
                <w:tcPr>
                  <w:tcW w:w="275"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-20</w:t>
                  </w:r>
                </w:p>
              </w:tc>
              <w:tc>
                <w:tcPr>
                  <w:tcW w:w="410"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50~60</w:t>
                  </w:r>
                </w:p>
              </w:tc>
              <w:tc>
                <w:tcPr>
                  <w:tcW w:w="34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＜8760</w:t>
                  </w:r>
                </w:p>
              </w:tc>
              <w:tc>
                <w:tcPr>
                  <w:tcW w:w="1047"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3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3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r>
          </w:tbl>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（2）声环境影响分析</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本项目厂界外</w:t>
            </w:r>
            <w:r>
              <w:rPr>
                <w:rFonts w:ascii="Times New Roman" w:hAnsi="Times New Roman"/>
                <w:color w:val="auto"/>
                <w:highlight w:val="none"/>
              </w:rPr>
              <w:t>50m</w:t>
            </w:r>
            <w:r>
              <w:rPr>
                <w:rFonts w:hint="eastAsia" w:ascii="Times New Roman" w:hAnsi="Times New Roman"/>
                <w:color w:val="auto"/>
                <w:highlight w:val="none"/>
              </w:rPr>
              <w:t>范围内不涉及声敏感目标，空调外机及各类水泵等</w:t>
            </w:r>
            <w:r>
              <w:rPr>
                <w:rFonts w:ascii="Times New Roman" w:hAnsi="Times New Roman"/>
                <w:color w:val="auto"/>
                <w:highlight w:val="none"/>
              </w:rPr>
              <w:t>设备</w:t>
            </w:r>
            <w:r>
              <w:rPr>
                <w:rFonts w:hint="eastAsia" w:ascii="Times New Roman" w:hAnsi="Times New Roman"/>
                <w:color w:val="auto"/>
                <w:highlight w:val="none"/>
              </w:rPr>
              <w:t>噪声，经隔声、基础减振等措施治理后噪声值可低于</w:t>
            </w:r>
            <w:r>
              <w:rPr>
                <w:rFonts w:ascii="Times New Roman" w:hAnsi="Times New Roman"/>
                <w:color w:val="auto"/>
                <w:highlight w:val="none"/>
              </w:rPr>
              <w:t>6</w:t>
            </w:r>
            <w:r>
              <w:rPr>
                <w:rFonts w:hint="eastAsia" w:ascii="Times New Roman" w:hAnsi="Times New Roman"/>
                <w:color w:val="auto"/>
                <w:highlight w:val="none"/>
                <w:lang w:val="en-US" w:eastAsia="zh-CN"/>
              </w:rPr>
              <w:t>5</w:t>
            </w:r>
            <w:r>
              <w:rPr>
                <w:rFonts w:ascii="Times New Roman" w:hAnsi="Times New Roman"/>
                <w:bCs/>
                <w:color w:val="auto"/>
                <w:highlight w:val="none"/>
              </w:rPr>
              <w:t>dB</w:t>
            </w:r>
            <w:r>
              <w:rPr>
                <w:rFonts w:hint="eastAsia" w:ascii="Times New Roman" w:hAnsi="Times New Roman"/>
                <w:bCs/>
                <w:color w:val="auto"/>
                <w:highlight w:val="none"/>
              </w:rPr>
              <w:t>（</w:t>
            </w:r>
            <w:r>
              <w:rPr>
                <w:rFonts w:ascii="Times New Roman" w:hAnsi="Times New Roman"/>
                <w:bCs/>
                <w:color w:val="auto"/>
                <w:highlight w:val="none"/>
              </w:rPr>
              <w:t>A</w:t>
            </w:r>
            <w:r>
              <w:rPr>
                <w:rFonts w:hint="eastAsia" w:ascii="Times New Roman" w:hAnsi="Times New Roman"/>
                <w:bCs/>
                <w:color w:val="auto"/>
                <w:highlight w:val="none"/>
              </w:rPr>
              <w:t>）</w:t>
            </w:r>
            <w:r>
              <w:rPr>
                <w:rFonts w:ascii="Times New Roman" w:hAnsi="Times New Roman"/>
                <w:color w:val="auto"/>
                <w:highlight w:val="none"/>
              </w:rPr>
              <w:t>，</w:t>
            </w:r>
            <w:r>
              <w:rPr>
                <w:rFonts w:hint="eastAsia" w:ascii="Times New Roman" w:hAnsi="Times New Roman"/>
                <w:color w:val="auto"/>
                <w:highlight w:val="none"/>
              </w:rPr>
              <w:t>经距离衰减后，</w:t>
            </w:r>
            <w:r>
              <w:rPr>
                <w:rFonts w:ascii="Times New Roman" w:hAnsi="Times New Roman"/>
                <w:color w:val="auto"/>
                <w:highlight w:val="none"/>
              </w:rPr>
              <w:t>厂界噪声</w:t>
            </w:r>
            <w:r>
              <w:rPr>
                <w:rFonts w:hint="eastAsia" w:ascii="Times New Roman" w:hAnsi="Times New Roman"/>
                <w:color w:val="auto"/>
                <w:highlight w:val="none"/>
              </w:rPr>
              <w:t>可达标排放。</w:t>
            </w:r>
            <w:r>
              <w:rPr>
                <w:rFonts w:ascii="Times New Roman" w:hAnsi="Times New Roman"/>
                <w:b w:val="0"/>
                <w:bCs w:val="0"/>
                <w:color w:val="auto"/>
                <w:highlight w:val="none"/>
              </w:rPr>
              <w:t>根据</w:t>
            </w:r>
            <w:r>
              <w:rPr>
                <w:rFonts w:hint="eastAsia" w:ascii="Times New Roman" w:hAnsi="Times New Roman"/>
                <w:b w:val="0"/>
                <w:bCs w:val="0"/>
                <w:color w:val="auto"/>
                <w:highlight w:val="none"/>
              </w:rPr>
              <w:t>202</w:t>
            </w:r>
            <w:r>
              <w:rPr>
                <w:rFonts w:hint="eastAsia" w:ascii="Times New Roman" w:hAnsi="Times New Roman"/>
                <w:b w:val="0"/>
                <w:bCs w:val="0"/>
                <w:color w:val="auto"/>
                <w:highlight w:val="none"/>
                <w:lang w:val="en-US" w:eastAsia="zh-CN"/>
              </w:rPr>
              <w:t>3</w:t>
            </w:r>
            <w:r>
              <w:rPr>
                <w:rFonts w:hint="eastAsia" w:ascii="Times New Roman" w:hAnsi="Times New Roman"/>
                <w:b w:val="0"/>
                <w:bCs w:val="0"/>
                <w:color w:val="auto"/>
                <w:highlight w:val="none"/>
              </w:rPr>
              <w:t>年</w:t>
            </w:r>
            <w:r>
              <w:rPr>
                <w:rFonts w:hint="eastAsia" w:ascii="Times New Roman" w:hAnsi="Times New Roman"/>
                <w:b w:val="0"/>
                <w:bCs w:val="0"/>
                <w:color w:val="auto"/>
                <w:highlight w:val="none"/>
                <w:lang w:val="en-US" w:eastAsia="zh-CN"/>
              </w:rPr>
              <w:t>6</w:t>
            </w:r>
            <w:r>
              <w:rPr>
                <w:rFonts w:hint="eastAsia" w:ascii="Times New Roman" w:hAnsi="Times New Roman"/>
                <w:b w:val="0"/>
                <w:bCs w:val="0"/>
                <w:color w:val="auto"/>
                <w:highlight w:val="none"/>
              </w:rPr>
              <w:t>月份医院</w:t>
            </w:r>
            <w:r>
              <w:rPr>
                <w:rFonts w:ascii="Times New Roman" w:hAnsi="Times New Roman"/>
                <w:b w:val="0"/>
                <w:bCs w:val="0"/>
                <w:color w:val="auto"/>
                <w:highlight w:val="none"/>
              </w:rPr>
              <w:t>正常运行期间监测数据（</w:t>
            </w:r>
            <w:r>
              <w:rPr>
                <w:rFonts w:hint="eastAsia" w:ascii="Times New Roman" w:hAnsi="Times New Roman"/>
                <w:b w:val="0"/>
                <w:bCs w:val="0"/>
                <w:color w:val="auto"/>
                <w:highlight w:val="none"/>
              </w:rPr>
              <w:t>智领监（声）[202</w:t>
            </w:r>
            <w:r>
              <w:rPr>
                <w:rFonts w:hint="eastAsia" w:ascii="Times New Roman" w:hAnsi="Times New Roman"/>
                <w:b w:val="0"/>
                <w:bCs w:val="0"/>
                <w:color w:val="auto"/>
                <w:highlight w:val="none"/>
                <w:lang w:val="en-US" w:eastAsia="zh-CN"/>
              </w:rPr>
              <w:t>3</w:t>
            </w:r>
            <w:r>
              <w:rPr>
                <w:rFonts w:hint="eastAsia" w:ascii="Times New Roman" w:hAnsi="Times New Roman"/>
                <w:b w:val="0"/>
                <w:bCs w:val="0"/>
                <w:color w:val="auto"/>
                <w:highlight w:val="none"/>
              </w:rPr>
              <w:t>]字第0</w:t>
            </w:r>
            <w:r>
              <w:rPr>
                <w:rFonts w:hint="eastAsia" w:ascii="Times New Roman" w:hAnsi="Times New Roman"/>
                <w:b w:val="0"/>
                <w:bCs w:val="0"/>
                <w:color w:val="auto"/>
                <w:highlight w:val="none"/>
                <w:lang w:val="en-US" w:eastAsia="zh-CN"/>
              </w:rPr>
              <w:t>170</w:t>
            </w:r>
            <w:r>
              <w:rPr>
                <w:rFonts w:hint="eastAsia" w:ascii="Times New Roman" w:hAnsi="Times New Roman"/>
                <w:b w:val="0"/>
                <w:bCs w:val="0"/>
                <w:color w:val="auto"/>
                <w:highlight w:val="none"/>
              </w:rPr>
              <w:t>号</w:t>
            </w:r>
            <w:r>
              <w:rPr>
                <w:rFonts w:ascii="Times New Roman" w:hAnsi="Times New Roman"/>
                <w:b w:val="0"/>
                <w:bCs w:val="0"/>
                <w:color w:val="auto"/>
                <w:highlight w:val="none"/>
              </w:rPr>
              <w:t>）</w:t>
            </w:r>
            <w:r>
              <w:rPr>
                <w:rFonts w:hint="eastAsia" w:ascii="Times New Roman" w:hAnsi="Times New Roman"/>
                <w:b w:val="0"/>
                <w:bCs w:val="0"/>
                <w:color w:val="auto"/>
                <w:highlight w:val="none"/>
                <w:lang w:val="en-US" w:eastAsia="zh-CN"/>
              </w:rPr>
              <w:t>进行评价</w:t>
            </w:r>
            <w:r>
              <w:rPr>
                <w:rFonts w:hint="eastAsia" w:ascii="Times New Roman" w:hAnsi="Times New Roman"/>
                <w:b w:val="0"/>
                <w:bCs w:val="0"/>
                <w:color w:val="auto"/>
                <w:highlight w:val="none"/>
                <w:lang w:eastAsia="zh-CN"/>
              </w:rPr>
              <w:t>，</w:t>
            </w:r>
            <w:r>
              <w:rPr>
                <w:rFonts w:ascii="Times New Roman" w:hAnsi="Times New Roman"/>
                <w:color w:val="auto"/>
                <w:highlight w:val="none"/>
              </w:rPr>
              <w:t>监测</w:t>
            </w:r>
            <w:r>
              <w:rPr>
                <w:rFonts w:hint="eastAsia" w:ascii="Times New Roman" w:hAnsi="Times New Roman"/>
                <w:color w:val="auto"/>
                <w:highlight w:val="none"/>
                <w:lang w:val="en-US" w:eastAsia="zh-CN"/>
              </w:rPr>
              <w:t>数据</w:t>
            </w:r>
            <w:r>
              <w:rPr>
                <w:rFonts w:ascii="Times New Roman" w:hAnsi="Times New Roman"/>
                <w:color w:val="auto"/>
                <w:highlight w:val="none"/>
              </w:rPr>
              <w:t>如下表</w:t>
            </w:r>
            <w:r>
              <w:rPr>
                <w:rFonts w:hint="eastAsia" w:ascii="Times New Roman" w:hAnsi="Times New Roman"/>
                <w:color w:val="auto"/>
                <w:highlight w:val="none"/>
              </w:rPr>
              <w:t>4-5</w:t>
            </w:r>
            <w:r>
              <w:rPr>
                <w:rFonts w:ascii="Times New Roman" w:hAnsi="Times New Roman"/>
                <w:color w:val="auto"/>
                <w:highlight w:val="none"/>
              </w:rPr>
              <w:t>所示，</w:t>
            </w:r>
            <w:r>
              <w:rPr>
                <w:rFonts w:hint="eastAsia" w:ascii="Times New Roman" w:hAnsi="Times New Roman"/>
                <w:color w:val="auto"/>
                <w:highlight w:val="none"/>
              </w:rPr>
              <w:t>监测报告见附件</w:t>
            </w:r>
            <w:r>
              <w:rPr>
                <w:rFonts w:ascii="Times New Roman" w:hAnsi="Times New Roman"/>
                <w:color w:val="auto"/>
                <w:highlight w:val="none"/>
              </w:rPr>
              <w:t>。</w:t>
            </w:r>
          </w:p>
          <w:p>
            <w:pPr>
              <w:widowControl/>
              <w:spacing w:line="360" w:lineRule="exact"/>
              <w:jc w:val="center"/>
              <w:rPr>
                <w:rFonts w:ascii="Times New Roman" w:hAnsi="Times New Roman"/>
                <w:b/>
                <w:bCs/>
                <w:color w:val="auto"/>
                <w:highlight w:val="none"/>
              </w:rPr>
            </w:pPr>
            <w:r>
              <w:rPr>
                <w:rFonts w:ascii="Times New Roman" w:hAnsi="Times New Roman"/>
                <w:b/>
                <w:bCs/>
                <w:color w:val="auto"/>
                <w:highlight w:val="none"/>
              </w:rPr>
              <w:t>表</w:t>
            </w:r>
            <w:r>
              <w:rPr>
                <w:rFonts w:hint="eastAsia" w:ascii="Times New Roman" w:hAnsi="Times New Roman"/>
                <w:b/>
                <w:bCs/>
                <w:color w:val="auto"/>
                <w:highlight w:val="none"/>
              </w:rPr>
              <w:t>4-5</w:t>
            </w:r>
            <w:r>
              <w:rPr>
                <w:rFonts w:ascii="Times New Roman" w:hAnsi="Times New Roman"/>
                <w:b/>
                <w:bCs/>
                <w:color w:val="auto"/>
                <w:highlight w:val="none"/>
              </w:rPr>
              <w:t xml:space="preserve">  </w:t>
            </w:r>
            <w:r>
              <w:rPr>
                <w:rFonts w:hint="eastAsia" w:ascii="Times New Roman" w:hAnsi="Times New Roman"/>
                <w:b/>
                <w:bCs/>
                <w:color w:val="auto"/>
                <w:highlight w:val="none"/>
              </w:rPr>
              <w:t>医院厂</w:t>
            </w:r>
            <w:r>
              <w:rPr>
                <w:rFonts w:ascii="Times New Roman" w:hAnsi="Times New Roman"/>
                <w:b/>
                <w:bCs/>
                <w:color w:val="auto"/>
                <w:highlight w:val="none"/>
              </w:rPr>
              <w:t>界</w:t>
            </w:r>
            <w:r>
              <w:rPr>
                <w:rFonts w:hint="eastAsia" w:ascii="Times New Roman" w:hAnsi="Times New Roman"/>
                <w:b/>
                <w:bCs/>
                <w:color w:val="auto"/>
                <w:highlight w:val="none"/>
              </w:rPr>
              <w:t>噪</w:t>
            </w:r>
            <w:r>
              <w:rPr>
                <w:rFonts w:ascii="Times New Roman" w:hAnsi="Times New Roman"/>
                <w:b/>
                <w:bCs/>
                <w:color w:val="auto"/>
                <w:highlight w:val="none"/>
              </w:rPr>
              <w:t>声</w:t>
            </w:r>
            <w:r>
              <w:rPr>
                <w:rFonts w:hint="eastAsia" w:ascii="Times New Roman" w:hAnsi="Times New Roman"/>
                <w:b/>
                <w:bCs/>
                <w:color w:val="auto"/>
                <w:highlight w:val="none"/>
              </w:rPr>
              <w:t>监测结果</w:t>
            </w:r>
            <w:r>
              <w:rPr>
                <w:rFonts w:ascii="Times New Roman" w:hAnsi="Times New Roman"/>
                <w:b/>
                <w:bCs/>
                <w:color w:val="auto"/>
                <w:highlight w:val="none"/>
              </w:rPr>
              <w:t xml:space="preserve">     单位：dB(A)</w:t>
            </w:r>
          </w:p>
          <w:tbl>
            <w:tblPr>
              <w:tblStyle w:val="21"/>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1"/>
              <w:gridCol w:w="3836"/>
              <w:gridCol w:w="1679"/>
              <w:gridCol w:w="1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0" w:type="pct"/>
                  <w:vMerge w:val="restart"/>
                  <w:vAlign w:val="center"/>
                </w:tcPr>
                <w:p>
                  <w:pPr>
                    <w:widowControl/>
                    <w:jc w:val="center"/>
                    <w:rPr>
                      <w:rFonts w:ascii="Times New Roman" w:hAnsi="Times New Roman"/>
                      <w:b/>
                      <w:bCs/>
                      <w:color w:val="auto"/>
                      <w:highlight w:val="none"/>
                    </w:rPr>
                  </w:pPr>
                  <w:r>
                    <w:rPr>
                      <w:rFonts w:ascii="Times New Roman" w:hAnsi="Times New Roman"/>
                      <w:b/>
                      <w:bCs/>
                      <w:color w:val="auto"/>
                      <w:highlight w:val="none"/>
                    </w:rPr>
                    <w:t>监测日期</w:t>
                  </w:r>
                </w:p>
              </w:tc>
              <w:tc>
                <w:tcPr>
                  <w:tcW w:w="2252" w:type="pct"/>
                  <w:vMerge w:val="restart"/>
                  <w:vAlign w:val="center"/>
                </w:tcPr>
                <w:p>
                  <w:pPr>
                    <w:widowControl/>
                    <w:jc w:val="center"/>
                    <w:rPr>
                      <w:rFonts w:ascii="Times New Roman" w:hAnsi="Times New Roman"/>
                      <w:b/>
                      <w:bCs/>
                      <w:color w:val="auto"/>
                      <w:highlight w:val="none"/>
                    </w:rPr>
                  </w:pPr>
                  <w:r>
                    <w:rPr>
                      <w:rFonts w:ascii="Times New Roman" w:hAnsi="Times New Roman"/>
                      <w:b/>
                      <w:bCs/>
                      <w:color w:val="auto"/>
                      <w:highlight w:val="none"/>
                    </w:rPr>
                    <w:t>监测点位</w:t>
                  </w:r>
                </w:p>
              </w:tc>
              <w:tc>
                <w:tcPr>
                  <w:tcW w:w="1976" w:type="pct"/>
                  <w:gridSpan w:val="2"/>
                  <w:vAlign w:val="center"/>
                </w:tcPr>
                <w:p>
                  <w:pPr>
                    <w:widowControl/>
                    <w:jc w:val="center"/>
                    <w:rPr>
                      <w:rFonts w:ascii="Times New Roman" w:hAnsi="Times New Roman"/>
                      <w:b/>
                      <w:bCs/>
                      <w:color w:val="auto"/>
                      <w:highlight w:val="none"/>
                    </w:rPr>
                  </w:pPr>
                  <w:r>
                    <w:rPr>
                      <w:rFonts w:ascii="Times New Roman" w:hAnsi="Times New Roman"/>
                      <w:b/>
                      <w:bCs/>
                      <w:color w:val="auto"/>
                      <w:highlight w:val="none"/>
                    </w:rPr>
                    <w:t>监测结果（dB(A)）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0" w:type="pct"/>
                  <w:vMerge w:val="continue"/>
                  <w:vAlign w:val="center"/>
                </w:tcPr>
                <w:p>
                  <w:pPr>
                    <w:widowControl/>
                    <w:jc w:val="center"/>
                    <w:rPr>
                      <w:rFonts w:ascii="Times New Roman" w:hAnsi="Times New Roman"/>
                      <w:b/>
                      <w:bCs/>
                      <w:color w:val="auto"/>
                      <w:highlight w:val="none"/>
                    </w:rPr>
                  </w:pPr>
                </w:p>
              </w:tc>
              <w:tc>
                <w:tcPr>
                  <w:tcW w:w="2252" w:type="pct"/>
                  <w:vMerge w:val="continue"/>
                  <w:vAlign w:val="center"/>
                </w:tcPr>
                <w:p>
                  <w:pPr>
                    <w:widowControl/>
                    <w:jc w:val="center"/>
                    <w:rPr>
                      <w:rFonts w:ascii="Times New Roman" w:hAnsi="Times New Roman"/>
                      <w:b/>
                      <w:bCs/>
                      <w:color w:val="auto"/>
                      <w:highlight w:val="none"/>
                    </w:rPr>
                  </w:pPr>
                </w:p>
              </w:tc>
              <w:tc>
                <w:tcPr>
                  <w:tcW w:w="986" w:type="pct"/>
                  <w:vAlign w:val="center"/>
                </w:tcPr>
                <w:p>
                  <w:pPr>
                    <w:widowControl/>
                    <w:jc w:val="center"/>
                    <w:rPr>
                      <w:rFonts w:ascii="Times New Roman" w:hAnsi="Times New Roman"/>
                      <w:b/>
                      <w:bCs/>
                      <w:color w:val="auto"/>
                      <w:highlight w:val="none"/>
                    </w:rPr>
                  </w:pPr>
                  <w:r>
                    <w:rPr>
                      <w:rFonts w:ascii="Times New Roman" w:hAnsi="Times New Roman"/>
                      <w:b/>
                      <w:bCs/>
                      <w:color w:val="auto"/>
                      <w:highlight w:val="none"/>
                    </w:rPr>
                    <w:t>昼间</w:t>
                  </w:r>
                </w:p>
              </w:tc>
              <w:tc>
                <w:tcPr>
                  <w:tcW w:w="989" w:type="pct"/>
                  <w:vAlign w:val="center"/>
                </w:tcPr>
                <w:p>
                  <w:pPr>
                    <w:widowControl/>
                    <w:jc w:val="center"/>
                    <w:rPr>
                      <w:rFonts w:ascii="Times New Roman" w:hAnsi="Times New Roman"/>
                      <w:b/>
                      <w:bCs/>
                      <w:color w:val="auto"/>
                      <w:highlight w:val="none"/>
                    </w:rPr>
                  </w:pPr>
                  <w:r>
                    <w:rPr>
                      <w:rFonts w:ascii="Times New Roman" w:hAnsi="Times New Roman"/>
                      <w:b/>
                      <w:bCs/>
                      <w:color w:val="auto"/>
                      <w:highlight w:val="none"/>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0" w:type="pct"/>
                  <w:vMerge w:val="restart"/>
                  <w:vAlign w:val="center"/>
                </w:tcPr>
                <w:p>
                  <w:pPr>
                    <w:widowControl/>
                    <w:jc w:val="center"/>
                    <w:rPr>
                      <w:rFonts w:ascii="Times New Roman" w:hAnsi="Times New Roman"/>
                      <w:color w:val="auto"/>
                      <w:highlight w:val="none"/>
                    </w:rPr>
                  </w:pPr>
                  <w:r>
                    <w:rPr>
                      <w:rFonts w:hint="eastAsia" w:ascii="Times New Roman" w:hAnsi="Times New Roman"/>
                      <w:color w:val="auto"/>
                      <w:highlight w:val="none"/>
                    </w:rPr>
                    <w:t>202</w:t>
                  </w:r>
                  <w:r>
                    <w:rPr>
                      <w:rFonts w:hint="eastAsia" w:ascii="Times New Roman" w:hAnsi="Times New Roman"/>
                      <w:color w:val="auto"/>
                      <w:highlight w:val="none"/>
                      <w:lang w:val="en-US" w:eastAsia="zh-CN"/>
                    </w:rPr>
                    <w:t>3</w:t>
                  </w:r>
                  <w:r>
                    <w:rPr>
                      <w:rFonts w:hint="eastAsia" w:ascii="Times New Roman" w:hAnsi="Times New Roman"/>
                      <w:color w:val="auto"/>
                      <w:highlight w:val="none"/>
                    </w:rPr>
                    <w:t>.</w:t>
                  </w:r>
                  <w:r>
                    <w:rPr>
                      <w:rFonts w:hint="eastAsia" w:ascii="Times New Roman" w:hAnsi="Times New Roman"/>
                      <w:color w:val="auto"/>
                      <w:highlight w:val="none"/>
                      <w:lang w:val="en-US" w:eastAsia="zh-CN"/>
                    </w:rPr>
                    <w:t>6</w:t>
                  </w:r>
                  <w:r>
                    <w:rPr>
                      <w:rFonts w:hint="eastAsia" w:ascii="Times New Roman" w:hAnsi="Times New Roman"/>
                      <w:color w:val="auto"/>
                      <w:highlight w:val="none"/>
                    </w:rPr>
                    <w:t>.19</w:t>
                  </w:r>
                </w:p>
              </w:tc>
              <w:tc>
                <w:tcPr>
                  <w:tcW w:w="2252" w:type="pct"/>
                  <w:vAlign w:val="center"/>
                </w:tcPr>
                <w:p>
                  <w:pPr>
                    <w:widowControl/>
                    <w:jc w:val="center"/>
                    <w:rPr>
                      <w:rFonts w:ascii="Times New Roman" w:hAnsi="Times New Roman"/>
                      <w:color w:val="auto"/>
                      <w:highlight w:val="none"/>
                    </w:rPr>
                  </w:pPr>
                  <w:r>
                    <w:rPr>
                      <w:rFonts w:ascii="Times New Roman" w:hAnsi="Times New Roman"/>
                      <w:color w:val="auto"/>
                      <w:highlight w:val="none"/>
                    </w:rPr>
                    <w:t>厂界</w:t>
                  </w:r>
                  <w:r>
                    <w:rPr>
                      <w:rFonts w:hint="eastAsia" w:ascii="Times New Roman" w:hAnsi="Times New Roman"/>
                      <w:color w:val="auto"/>
                      <w:highlight w:val="none"/>
                    </w:rPr>
                    <w:t>北</w:t>
                  </w:r>
                  <w:r>
                    <w:rPr>
                      <w:rFonts w:ascii="Times New Roman" w:hAnsi="Times New Roman"/>
                      <w:color w:val="auto"/>
                      <w:highlight w:val="none"/>
                    </w:rPr>
                    <w:t>侧1#</w:t>
                  </w:r>
                </w:p>
              </w:tc>
              <w:tc>
                <w:tcPr>
                  <w:tcW w:w="986" w:type="pct"/>
                  <w:vAlign w:val="center"/>
                </w:tcPr>
                <w:p>
                  <w:pPr>
                    <w:widowControl/>
                    <w:jc w:val="center"/>
                    <w:rPr>
                      <w:rFonts w:hint="eastAsia" w:ascii="Times New Roman" w:hAnsi="Times New Roman" w:eastAsia="宋体"/>
                      <w:color w:val="auto"/>
                      <w:highlight w:val="none"/>
                      <w:lang w:eastAsia="zh-CN"/>
                    </w:rPr>
                  </w:pPr>
                  <w:r>
                    <w:rPr>
                      <w:rFonts w:ascii="Times New Roman" w:hAnsi="Times New Roman"/>
                      <w:color w:val="auto"/>
                      <w:highlight w:val="none"/>
                    </w:rPr>
                    <w:t>5</w:t>
                  </w:r>
                  <w:r>
                    <w:rPr>
                      <w:rFonts w:hint="eastAsia" w:ascii="Times New Roman" w:hAnsi="Times New Roman"/>
                      <w:color w:val="auto"/>
                      <w:highlight w:val="none"/>
                      <w:lang w:val="en-US" w:eastAsia="zh-CN"/>
                    </w:rPr>
                    <w:t>8</w:t>
                  </w:r>
                </w:p>
              </w:tc>
              <w:tc>
                <w:tcPr>
                  <w:tcW w:w="989" w:type="pct"/>
                  <w:vAlign w:val="center"/>
                </w:tcPr>
                <w:p>
                  <w:pPr>
                    <w:widowControl/>
                    <w:jc w:val="center"/>
                    <w:rPr>
                      <w:rFonts w:hint="eastAsia" w:ascii="Times New Roman" w:hAnsi="Times New Roman" w:eastAsia="宋体"/>
                      <w:color w:val="auto"/>
                      <w:highlight w:val="none"/>
                      <w:lang w:eastAsia="zh-CN"/>
                    </w:rPr>
                  </w:pPr>
                  <w:r>
                    <w:rPr>
                      <w:rFonts w:ascii="Times New Roman" w:hAnsi="Times New Roman"/>
                      <w:color w:val="auto"/>
                      <w:highlight w:val="none"/>
                    </w:rPr>
                    <w:t>4</w:t>
                  </w:r>
                  <w:r>
                    <w:rPr>
                      <w:rFonts w:hint="eastAsia" w:ascii="Times New Roman" w:hAnsi="Times New Roman"/>
                      <w:color w:val="auto"/>
                      <w:highlight w:val="no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0" w:type="pct"/>
                  <w:vMerge w:val="continue"/>
                  <w:vAlign w:val="center"/>
                </w:tcPr>
                <w:p>
                  <w:pPr>
                    <w:widowControl/>
                    <w:jc w:val="center"/>
                    <w:rPr>
                      <w:rFonts w:ascii="Times New Roman" w:hAnsi="Times New Roman"/>
                      <w:color w:val="auto"/>
                      <w:highlight w:val="none"/>
                    </w:rPr>
                  </w:pPr>
                </w:p>
              </w:tc>
              <w:tc>
                <w:tcPr>
                  <w:tcW w:w="2252" w:type="pct"/>
                  <w:vAlign w:val="center"/>
                </w:tcPr>
                <w:p>
                  <w:pPr>
                    <w:widowControl/>
                    <w:jc w:val="center"/>
                    <w:rPr>
                      <w:rFonts w:ascii="Times New Roman" w:hAnsi="Times New Roman"/>
                      <w:color w:val="auto"/>
                      <w:highlight w:val="none"/>
                    </w:rPr>
                  </w:pPr>
                  <w:r>
                    <w:rPr>
                      <w:rFonts w:ascii="Times New Roman" w:hAnsi="Times New Roman"/>
                      <w:color w:val="auto"/>
                      <w:highlight w:val="none"/>
                    </w:rPr>
                    <w:t>厂界</w:t>
                  </w:r>
                  <w:r>
                    <w:rPr>
                      <w:rFonts w:hint="eastAsia" w:ascii="Times New Roman" w:hAnsi="Times New Roman"/>
                      <w:color w:val="auto"/>
                      <w:highlight w:val="none"/>
                      <w:lang w:val="en-US" w:eastAsia="zh-CN"/>
                    </w:rPr>
                    <w:t>西</w:t>
                  </w:r>
                  <w:r>
                    <w:rPr>
                      <w:rFonts w:ascii="Times New Roman" w:hAnsi="Times New Roman"/>
                      <w:color w:val="auto"/>
                      <w:highlight w:val="none"/>
                    </w:rPr>
                    <w:t>侧2#</w:t>
                  </w:r>
                </w:p>
              </w:tc>
              <w:tc>
                <w:tcPr>
                  <w:tcW w:w="986" w:type="pct"/>
                  <w:vAlign w:val="center"/>
                </w:tcPr>
                <w:p>
                  <w:pPr>
                    <w:widowControl/>
                    <w:jc w:val="center"/>
                    <w:rPr>
                      <w:rFonts w:hint="eastAsia" w:ascii="Times New Roman" w:hAnsi="Times New Roman" w:eastAsia="宋体"/>
                      <w:color w:val="auto"/>
                      <w:highlight w:val="none"/>
                      <w:lang w:eastAsia="zh-CN"/>
                    </w:rPr>
                  </w:pPr>
                  <w:r>
                    <w:rPr>
                      <w:rFonts w:ascii="Times New Roman" w:hAnsi="Times New Roman"/>
                      <w:color w:val="auto"/>
                      <w:highlight w:val="none"/>
                    </w:rPr>
                    <w:t>5</w:t>
                  </w:r>
                  <w:r>
                    <w:rPr>
                      <w:rFonts w:hint="eastAsia" w:ascii="Times New Roman" w:hAnsi="Times New Roman"/>
                      <w:color w:val="auto"/>
                      <w:highlight w:val="none"/>
                      <w:lang w:val="en-US" w:eastAsia="zh-CN"/>
                    </w:rPr>
                    <w:t>8</w:t>
                  </w:r>
                </w:p>
              </w:tc>
              <w:tc>
                <w:tcPr>
                  <w:tcW w:w="989" w:type="pct"/>
                  <w:vAlign w:val="center"/>
                </w:tcPr>
                <w:p>
                  <w:pPr>
                    <w:widowControl/>
                    <w:jc w:val="center"/>
                    <w:rPr>
                      <w:rFonts w:ascii="Times New Roman" w:hAnsi="Times New Roman"/>
                      <w:color w:val="auto"/>
                      <w:highlight w:val="none"/>
                    </w:rPr>
                  </w:pPr>
                  <w:r>
                    <w:rPr>
                      <w:rFonts w:ascii="Times New Roman" w:hAnsi="Times New Roman"/>
                      <w:color w:val="auto"/>
                      <w:highlight w:val="none"/>
                    </w:rPr>
                    <w:t>4</w:t>
                  </w:r>
                  <w:r>
                    <w:rPr>
                      <w:rFonts w:hint="eastAsia" w:ascii="Times New Roman" w:hAnsi="Times New Roman"/>
                      <w:color w:val="auto"/>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0" w:type="pct"/>
                  <w:vMerge w:val="continue"/>
                  <w:vAlign w:val="center"/>
                </w:tcPr>
                <w:p>
                  <w:pPr>
                    <w:widowControl/>
                    <w:jc w:val="center"/>
                    <w:rPr>
                      <w:rFonts w:ascii="Times New Roman" w:hAnsi="Times New Roman"/>
                      <w:color w:val="auto"/>
                      <w:highlight w:val="none"/>
                    </w:rPr>
                  </w:pPr>
                </w:p>
              </w:tc>
              <w:tc>
                <w:tcPr>
                  <w:tcW w:w="2252" w:type="pct"/>
                  <w:vAlign w:val="center"/>
                </w:tcPr>
                <w:p>
                  <w:pPr>
                    <w:widowControl/>
                    <w:jc w:val="center"/>
                    <w:rPr>
                      <w:rFonts w:ascii="Times New Roman" w:hAnsi="Times New Roman"/>
                      <w:color w:val="auto"/>
                      <w:highlight w:val="none"/>
                    </w:rPr>
                  </w:pPr>
                  <w:r>
                    <w:rPr>
                      <w:rFonts w:ascii="Times New Roman" w:hAnsi="Times New Roman"/>
                      <w:color w:val="auto"/>
                      <w:highlight w:val="none"/>
                    </w:rPr>
                    <w:t>厂界</w:t>
                  </w:r>
                  <w:r>
                    <w:rPr>
                      <w:rFonts w:hint="eastAsia" w:ascii="Times New Roman" w:hAnsi="Times New Roman"/>
                      <w:color w:val="auto"/>
                      <w:highlight w:val="none"/>
                    </w:rPr>
                    <w:t>南</w:t>
                  </w:r>
                  <w:r>
                    <w:rPr>
                      <w:rFonts w:ascii="Times New Roman" w:hAnsi="Times New Roman"/>
                      <w:color w:val="auto"/>
                      <w:highlight w:val="none"/>
                    </w:rPr>
                    <w:t>侧3#</w:t>
                  </w:r>
                </w:p>
              </w:tc>
              <w:tc>
                <w:tcPr>
                  <w:tcW w:w="986" w:type="pct"/>
                  <w:vAlign w:val="center"/>
                </w:tcPr>
                <w:p>
                  <w:pPr>
                    <w:widowControl/>
                    <w:jc w:val="center"/>
                    <w:rPr>
                      <w:rFonts w:hint="eastAsia" w:ascii="Times New Roman" w:hAnsi="Times New Roman" w:eastAsia="宋体"/>
                      <w:color w:val="auto"/>
                      <w:highlight w:val="none"/>
                      <w:lang w:eastAsia="zh-CN"/>
                    </w:rPr>
                  </w:pPr>
                  <w:r>
                    <w:rPr>
                      <w:rFonts w:ascii="Times New Roman" w:hAnsi="Times New Roman"/>
                      <w:color w:val="auto"/>
                      <w:highlight w:val="none"/>
                    </w:rPr>
                    <w:t>5</w:t>
                  </w:r>
                  <w:r>
                    <w:rPr>
                      <w:rFonts w:hint="eastAsia" w:ascii="Times New Roman" w:hAnsi="Times New Roman"/>
                      <w:color w:val="auto"/>
                      <w:highlight w:val="none"/>
                      <w:lang w:val="en-US" w:eastAsia="zh-CN"/>
                    </w:rPr>
                    <w:t>5</w:t>
                  </w:r>
                </w:p>
              </w:tc>
              <w:tc>
                <w:tcPr>
                  <w:tcW w:w="989" w:type="pct"/>
                  <w:vAlign w:val="center"/>
                </w:tcPr>
                <w:p>
                  <w:pPr>
                    <w:widowControl/>
                    <w:jc w:val="center"/>
                    <w:rPr>
                      <w:rFonts w:hint="eastAsia" w:ascii="Times New Roman" w:hAnsi="Times New Roman" w:eastAsia="宋体"/>
                      <w:color w:val="auto"/>
                      <w:highlight w:val="none"/>
                      <w:lang w:eastAsia="zh-CN"/>
                    </w:rPr>
                  </w:pPr>
                  <w:r>
                    <w:rPr>
                      <w:rFonts w:ascii="Times New Roman" w:hAnsi="Times New Roman"/>
                      <w:color w:val="auto"/>
                      <w:highlight w:val="none"/>
                    </w:rPr>
                    <w:t>4</w:t>
                  </w:r>
                  <w:r>
                    <w:rPr>
                      <w:rFonts w:hint="eastAsia" w:ascii="Times New Roman" w:hAnsi="Times New Roman"/>
                      <w:color w:val="auto"/>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0" w:type="pct"/>
                  <w:vMerge w:val="continue"/>
                  <w:vAlign w:val="center"/>
                </w:tcPr>
                <w:p>
                  <w:pPr>
                    <w:widowControl/>
                    <w:jc w:val="center"/>
                    <w:rPr>
                      <w:rFonts w:ascii="Times New Roman" w:hAnsi="Times New Roman"/>
                      <w:color w:val="auto"/>
                      <w:highlight w:val="none"/>
                    </w:rPr>
                  </w:pPr>
                </w:p>
              </w:tc>
              <w:tc>
                <w:tcPr>
                  <w:tcW w:w="2252" w:type="pct"/>
                  <w:vAlign w:val="center"/>
                </w:tcPr>
                <w:p>
                  <w:pPr>
                    <w:widowControl/>
                    <w:jc w:val="center"/>
                    <w:rPr>
                      <w:rFonts w:ascii="Times New Roman" w:hAnsi="Times New Roman"/>
                      <w:color w:val="auto"/>
                      <w:highlight w:val="none"/>
                    </w:rPr>
                  </w:pPr>
                  <w:r>
                    <w:rPr>
                      <w:rFonts w:ascii="Times New Roman" w:hAnsi="Times New Roman"/>
                      <w:color w:val="auto"/>
                      <w:highlight w:val="none"/>
                    </w:rPr>
                    <w:t>厂界</w:t>
                  </w:r>
                  <w:r>
                    <w:rPr>
                      <w:rFonts w:hint="eastAsia" w:ascii="Times New Roman" w:hAnsi="Times New Roman"/>
                      <w:color w:val="auto"/>
                      <w:highlight w:val="none"/>
                      <w:lang w:val="en-US" w:eastAsia="zh-CN"/>
                    </w:rPr>
                    <w:t>东</w:t>
                  </w:r>
                  <w:r>
                    <w:rPr>
                      <w:rFonts w:ascii="Times New Roman" w:hAnsi="Times New Roman"/>
                      <w:color w:val="auto"/>
                      <w:highlight w:val="none"/>
                    </w:rPr>
                    <w:t>侧4#</w:t>
                  </w:r>
                </w:p>
              </w:tc>
              <w:tc>
                <w:tcPr>
                  <w:tcW w:w="986" w:type="pct"/>
                  <w:vAlign w:val="center"/>
                </w:tcPr>
                <w:p>
                  <w:pPr>
                    <w:widowControl/>
                    <w:jc w:val="center"/>
                    <w:rPr>
                      <w:rFonts w:ascii="Times New Roman" w:hAnsi="Times New Roman"/>
                      <w:color w:val="auto"/>
                      <w:highlight w:val="none"/>
                    </w:rPr>
                  </w:pPr>
                  <w:r>
                    <w:rPr>
                      <w:rFonts w:ascii="Times New Roman" w:hAnsi="Times New Roman"/>
                      <w:color w:val="auto"/>
                      <w:highlight w:val="none"/>
                    </w:rPr>
                    <w:t>5</w:t>
                  </w:r>
                  <w:r>
                    <w:rPr>
                      <w:rFonts w:hint="eastAsia" w:ascii="Times New Roman" w:hAnsi="Times New Roman"/>
                      <w:color w:val="auto"/>
                      <w:highlight w:val="none"/>
                    </w:rPr>
                    <w:t>5</w:t>
                  </w:r>
                </w:p>
              </w:tc>
              <w:tc>
                <w:tcPr>
                  <w:tcW w:w="989" w:type="pct"/>
                  <w:vAlign w:val="center"/>
                </w:tcPr>
                <w:p>
                  <w:pPr>
                    <w:widowControl/>
                    <w:jc w:val="center"/>
                    <w:rPr>
                      <w:rFonts w:hint="eastAsia" w:ascii="Times New Roman" w:hAnsi="Times New Roman" w:eastAsia="宋体"/>
                      <w:color w:val="auto"/>
                      <w:highlight w:val="none"/>
                      <w:lang w:eastAsia="zh-CN"/>
                    </w:rPr>
                  </w:pPr>
                  <w:r>
                    <w:rPr>
                      <w:rFonts w:ascii="Times New Roman" w:hAnsi="Times New Roman"/>
                      <w:color w:val="auto"/>
                      <w:highlight w:val="none"/>
                    </w:rPr>
                    <w:t>4</w:t>
                  </w:r>
                  <w:r>
                    <w:rPr>
                      <w:rFonts w:hint="eastAsia" w:ascii="Times New Roman" w:hAnsi="Times New Roman"/>
                      <w:color w:val="auto"/>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70" w:type="pct"/>
                  <w:vAlign w:val="center"/>
                </w:tcPr>
                <w:p>
                  <w:pPr>
                    <w:jc w:val="center"/>
                    <w:rPr>
                      <w:rFonts w:ascii="Times New Roman" w:hAnsi="Times New Roman"/>
                      <w:color w:val="auto"/>
                      <w:highlight w:val="none"/>
                    </w:rPr>
                  </w:pPr>
                  <w:r>
                    <w:rPr>
                      <w:rFonts w:ascii="Times New Roman" w:hAnsi="Times New Roman"/>
                      <w:color w:val="auto"/>
                      <w:highlight w:val="none"/>
                    </w:rPr>
                    <w:t>标准值</w:t>
                  </w:r>
                </w:p>
              </w:tc>
              <w:tc>
                <w:tcPr>
                  <w:tcW w:w="2252" w:type="pct"/>
                  <w:vAlign w:val="center"/>
                </w:tcPr>
                <w:p>
                  <w:pPr>
                    <w:jc w:val="center"/>
                    <w:rPr>
                      <w:rFonts w:ascii="Times New Roman" w:hAnsi="Times New Roman"/>
                      <w:color w:val="auto"/>
                      <w:highlight w:val="none"/>
                    </w:rPr>
                  </w:pPr>
                  <w:r>
                    <w:rPr>
                      <w:rFonts w:ascii="Times New Roman" w:hAnsi="Times New Roman"/>
                      <w:color w:val="auto"/>
                      <w:highlight w:val="none"/>
                    </w:rPr>
                    <w:t>《工业企业厂界环境噪声排放标准》（GB12348-2008）3类标准</w:t>
                  </w:r>
                </w:p>
              </w:tc>
              <w:tc>
                <w:tcPr>
                  <w:tcW w:w="986" w:type="pct"/>
                  <w:vAlign w:val="center"/>
                </w:tcPr>
                <w:p>
                  <w:pPr>
                    <w:jc w:val="center"/>
                    <w:rPr>
                      <w:rFonts w:ascii="Times New Roman" w:hAnsi="Times New Roman"/>
                      <w:color w:val="auto"/>
                      <w:highlight w:val="none"/>
                    </w:rPr>
                  </w:pPr>
                  <w:r>
                    <w:rPr>
                      <w:rFonts w:ascii="Times New Roman" w:hAnsi="Times New Roman"/>
                      <w:color w:val="auto"/>
                      <w:highlight w:val="none"/>
                    </w:rPr>
                    <w:t>65</w:t>
                  </w:r>
                </w:p>
              </w:tc>
              <w:tc>
                <w:tcPr>
                  <w:tcW w:w="989" w:type="pct"/>
                  <w:vAlign w:val="center"/>
                </w:tcPr>
                <w:p>
                  <w:pPr>
                    <w:jc w:val="center"/>
                    <w:rPr>
                      <w:rFonts w:ascii="Times New Roman" w:hAnsi="Times New Roman"/>
                      <w:color w:val="auto"/>
                      <w:highlight w:val="none"/>
                    </w:rPr>
                  </w:pPr>
                  <w:r>
                    <w:rPr>
                      <w:rFonts w:ascii="Times New Roman" w:hAnsi="Times New Roman"/>
                      <w:color w:val="auto"/>
                      <w:highlight w:val="none"/>
                    </w:rPr>
                    <w:t>55</w:t>
                  </w:r>
                </w:p>
              </w:tc>
            </w:tr>
          </w:tbl>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监测结果表明，项目正常运营时，厂界昼夜间噪声值排放能够满足《工业企业厂界环境噪声排放标准》（GB12348-2008）3类标准排放限值要求，项目设备噪声对周围声环境影响较小。</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（3）监测计划</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本项目噪声监测计划根据原有项目监测计划执行，噪声监测计划</w:t>
            </w:r>
            <w:r>
              <w:rPr>
                <w:rFonts w:ascii="Times New Roman" w:hAnsi="Times New Roman"/>
                <w:color w:val="auto"/>
                <w:highlight w:val="none"/>
              </w:rPr>
              <w:t>见表</w:t>
            </w:r>
            <w:r>
              <w:rPr>
                <w:rFonts w:hint="eastAsia" w:ascii="Times New Roman" w:hAnsi="Times New Roman"/>
                <w:color w:val="auto"/>
                <w:highlight w:val="none"/>
              </w:rPr>
              <w:t>4</w:t>
            </w:r>
            <w:r>
              <w:rPr>
                <w:rFonts w:ascii="Times New Roman" w:hAnsi="Times New Roman"/>
                <w:color w:val="auto"/>
                <w:highlight w:val="none"/>
              </w:rPr>
              <w:t>-</w:t>
            </w:r>
            <w:r>
              <w:rPr>
                <w:rFonts w:hint="eastAsia" w:ascii="Times New Roman" w:hAnsi="Times New Roman"/>
                <w:color w:val="auto"/>
                <w:highlight w:val="none"/>
              </w:rPr>
              <w:t>6</w:t>
            </w:r>
            <w:r>
              <w:rPr>
                <w:rFonts w:ascii="Times New Roman" w:hAnsi="Times New Roman"/>
                <w:color w:val="auto"/>
                <w:highlight w:val="none"/>
              </w:rPr>
              <w:t>。</w:t>
            </w:r>
          </w:p>
          <w:p>
            <w:pPr>
              <w:pStyle w:val="2"/>
              <w:ind w:firstLine="422"/>
              <w:jc w:val="center"/>
              <w:rPr>
                <w:b/>
                <w:bCs/>
                <w:color w:val="auto"/>
                <w:highlight w:val="none"/>
              </w:rPr>
            </w:pPr>
            <w:r>
              <w:rPr>
                <w:b/>
                <w:bCs/>
                <w:color w:val="auto"/>
                <w:highlight w:val="none"/>
              </w:rPr>
              <w:t>表</w:t>
            </w:r>
            <w:r>
              <w:rPr>
                <w:rFonts w:hint="eastAsia"/>
                <w:b/>
                <w:bCs/>
                <w:color w:val="auto"/>
                <w:highlight w:val="none"/>
              </w:rPr>
              <w:t>4</w:t>
            </w:r>
            <w:r>
              <w:rPr>
                <w:b/>
                <w:bCs/>
                <w:color w:val="auto"/>
                <w:highlight w:val="none"/>
              </w:rPr>
              <w:t>-</w:t>
            </w:r>
            <w:r>
              <w:rPr>
                <w:rFonts w:hint="eastAsia"/>
                <w:b/>
                <w:bCs/>
                <w:color w:val="auto"/>
                <w:highlight w:val="none"/>
              </w:rPr>
              <w:t>6</w:t>
            </w:r>
            <w:r>
              <w:rPr>
                <w:b/>
                <w:bCs/>
                <w:color w:val="auto"/>
                <w:highlight w:val="none"/>
              </w:rPr>
              <w:t xml:space="preserve">  运营期</w:t>
            </w:r>
            <w:r>
              <w:rPr>
                <w:rFonts w:hint="eastAsia"/>
                <w:b/>
                <w:bCs/>
                <w:color w:val="auto"/>
                <w:highlight w:val="none"/>
              </w:rPr>
              <w:t>噪声</w:t>
            </w:r>
            <w:r>
              <w:rPr>
                <w:b/>
                <w:bCs/>
                <w:color w:val="auto"/>
                <w:highlight w:val="none"/>
              </w:rPr>
              <w:t>环境监测计划一览表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77"/>
              <w:gridCol w:w="2872"/>
              <w:gridCol w:w="2854"/>
              <w:gridCol w:w="1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 w:hRule="atLeast"/>
                <w:jc w:val="center"/>
              </w:trPr>
              <w:tc>
                <w:tcPr>
                  <w:tcW w:w="573" w:type="pct"/>
                  <w:vAlign w:val="center"/>
                </w:tcPr>
                <w:p>
                  <w:pPr>
                    <w:jc w:val="center"/>
                    <w:rPr>
                      <w:rFonts w:ascii="Times New Roman" w:hAnsi="Times New Roman"/>
                      <w:b/>
                      <w:color w:val="auto"/>
                      <w:highlight w:val="none"/>
                    </w:rPr>
                  </w:pPr>
                  <w:r>
                    <w:rPr>
                      <w:rFonts w:ascii="Times New Roman" w:hAnsi="Times New Roman"/>
                      <w:b/>
                      <w:color w:val="auto"/>
                      <w:highlight w:val="none"/>
                    </w:rPr>
                    <w:t>项目</w:t>
                  </w:r>
                </w:p>
              </w:tc>
              <w:tc>
                <w:tcPr>
                  <w:tcW w:w="1683" w:type="pct"/>
                  <w:vAlign w:val="center"/>
                </w:tcPr>
                <w:p>
                  <w:pPr>
                    <w:jc w:val="center"/>
                    <w:rPr>
                      <w:rFonts w:ascii="Times New Roman" w:hAnsi="Times New Roman"/>
                      <w:b/>
                      <w:color w:val="auto"/>
                      <w:highlight w:val="none"/>
                    </w:rPr>
                  </w:pPr>
                  <w:r>
                    <w:rPr>
                      <w:rFonts w:ascii="Times New Roman" w:hAnsi="Times New Roman"/>
                      <w:b/>
                      <w:color w:val="auto"/>
                      <w:highlight w:val="none"/>
                    </w:rPr>
                    <w:t>监测点位</w:t>
                  </w:r>
                </w:p>
              </w:tc>
              <w:tc>
                <w:tcPr>
                  <w:tcW w:w="1673" w:type="pct"/>
                  <w:vAlign w:val="center"/>
                </w:tcPr>
                <w:p>
                  <w:pPr>
                    <w:jc w:val="center"/>
                    <w:rPr>
                      <w:rFonts w:ascii="Times New Roman" w:hAnsi="Times New Roman"/>
                      <w:b/>
                      <w:color w:val="auto"/>
                      <w:highlight w:val="none"/>
                    </w:rPr>
                  </w:pPr>
                  <w:r>
                    <w:rPr>
                      <w:rFonts w:ascii="Times New Roman" w:hAnsi="Times New Roman"/>
                      <w:b/>
                      <w:color w:val="auto"/>
                      <w:highlight w:val="none"/>
                    </w:rPr>
                    <w:t>监测项目</w:t>
                  </w:r>
                </w:p>
              </w:tc>
              <w:tc>
                <w:tcPr>
                  <w:tcW w:w="1070" w:type="pct"/>
                  <w:vAlign w:val="center"/>
                </w:tcPr>
                <w:p>
                  <w:pPr>
                    <w:jc w:val="center"/>
                    <w:rPr>
                      <w:rFonts w:ascii="Times New Roman" w:hAnsi="Times New Roman"/>
                      <w:b/>
                      <w:color w:val="auto"/>
                      <w:highlight w:val="none"/>
                    </w:rPr>
                  </w:pPr>
                  <w:r>
                    <w:rPr>
                      <w:rFonts w:ascii="Times New Roman" w:hAnsi="Times New Roman"/>
                      <w:b/>
                      <w:color w:val="auto"/>
                      <w:highlight w:val="none"/>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jc w:val="center"/>
              </w:trPr>
              <w:tc>
                <w:tcPr>
                  <w:tcW w:w="573" w:type="pct"/>
                  <w:vAlign w:val="center"/>
                </w:tcPr>
                <w:p>
                  <w:pPr>
                    <w:jc w:val="center"/>
                    <w:rPr>
                      <w:rFonts w:ascii="Times New Roman" w:hAnsi="Times New Roman"/>
                      <w:bCs/>
                      <w:color w:val="auto"/>
                      <w:highlight w:val="none"/>
                    </w:rPr>
                  </w:pPr>
                  <w:r>
                    <w:rPr>
                      <w:rFonts w:hint="eastAsia" w:ascii="Times New Roman" w:hAnsi="Times New Roman"/>
                      <w:bCs/>
                      <w:color w:val="auto"/>
                      <w:highlight w:val="none"/>
                    </w:rPr>
                    <w:t>厂界</w:t>
                  </w:r>
                </w:p>
              </w:tc>
              <w:tc>
                <w:tcPr>
                  <w:tcW w:w="1683" w:type="pct"/>
                  <w:vAlign w:val="center"/>
                </w:tcPr>
                <w:p>
                  <w:pPr>
                    <w:jc w:val="center"/>
                    <w:rPr>
                      <w:rFonts w:ascii="Times New Roman" w:hAnsi="Times New Roman"/>
                      <w:bCs/>
                      <w:color w:val="auto"/>
                      <w:highlight w:val="none"/>
                    </w:rPr>
                  </w:pPr>
                  <w:r>
                    <w:rPr>
                      <w:rFonts w:hint="eastAsia" w:ascii="Times New Roman" w:hAnsi="Times New Roman"/>
                      <w:bCs/>
                      <w:color w:val="auto"/>
                      <w:highlight w:val="none"/>
                    </w:rPr>
                    <w:t>厂界</w:t>
                  </w:r>
                  <w:r>
                    <w:rPr>
                      <w:rFonts w:ascii="Times New Roman" w:hAnsi="Times New Roman"/>
                      <w:bCs/>
                      <w:color w:val="auto"/>
                      <w:highlight w:val="none"/>
                    </w:rPr>
                    <w:t>四周</w:t>
                  </w:r>
                </w:p>
              </w:tc>
              <w:tc>
                <w:tcPr>
                  <w:tcW w:w="1673" w:type="pct"/>
                  <w:vAlign w:val="center"/>
                </w:tcPr>
                <w:p>
                  <w:pPr>
                    <w:jc w:val="center"/>
                    <w:rPr>
                      <w:rFonts w:ascii="Times New Roman" w:hAnsi="Times New Roman"/>
                      <w:bCs/>
                      <w:color w:val="auto"/>
                      <w:highlight w:val="none"/>
                    </w:rPr>
                  </w:pPr>
                  <w:r>
                    <w:rPr>
                      <w:rFonts w:ascii="Times New Roman" w:hAnsi="Times New Roman"/>
                      <w:bCs/>
                      <w:color w:val="auto"/>
                      <w:highlight w:val="none"/>
                    </w:rPr>
                    <w:t>等效声级Leq dB（A）</w:t>
                  </w:r>
                </w:p>
              </w:tc>
              <w:tc>
                <w:tcPr>
                  <w:tcW w:w="1070"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1次/季，昼</w:t>
                  </w:r>
                  <w:r>
                    <w:rPr>
                      <w:rFonts w:hint="eastAsia" w:ascii="Times New Roman" w:hAnsi="Times New Roman"/>
                      <w:bCs/>
                      <w:color w:val="auto"/>
                      <w:highlight w:val="none"/>
                    </w:rPr>
                    <w:t>夜间</w:t>
                  </w:r>
                  <w:r>
                    <w:rPr>
                      <w:rFonts w:ascii="Times New Roman" w:hAnsi="Times New Roman"/>
                      <w:bCs/>
                      <w:color w:val="auto"/>
                      <w:highlight w:val="none"/>
                    </w:rPr>
                    <w:t>每次监测</w:t>
                  </w:r>
                  <w:r>
                    <w:rPr>
                      <w:rFonts w:hint="eastAsia" w:ascii="Times New Roman" w:hAnsi="Times New Roman"/>
                      <w:bCs/>
                      <w:color w:val="auto"/>
                      <w:highlight w:val="none"/>
                    </w:rPr>
                    <w:t>1</w:t>
                  </w:r>
                  <w:r>
                    <w:rPr>
                      <w:rFonts w:ascii="Times New Roman" w:hAnsi="Times New Roman"/>
                      <w:bCs/>
                      <w:color w:val="auto"/>
                      <w:highlight w:val="none"/>
                    </w:rPr>
                    <w:t>天，</w:t>
                  </w:r>
                </w:p>
              </w:tc>
            </w:tr>
          </w:tbl>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4、固废</w:t>
            </w:r>
          </w:p>
          <w:p>
            <w:pPr>
              <w:pStyle w:val="8"/>
              <w:adjustRightInd w:val="0"/>
              <w:spacing w:after="0" w:line="360" w:lineRule="auto"/>
              <w:ind w:firstLine="420" w:firstLineChars="200"/>
              <w:rPr>
                <w:color w:val="auto"/>
                <w:sz w:val="21"/>
                <w:szCs w:val="21"/>
                <w:highlight w:val="none"/>
              </w:rPr>
            </w:pPr>
            <w:r>
              <w:rPr>
                <w:rFonts w:hint="eastAsia"/>
                <w:color w:val="auto"/>
                <w:sz w:val="21"/>
                <w:szCs w:val="21"/>
                <w:highlight w:val="none"/>
              </w:rPr>
              <w:t>本项目运营期产生的固体废物主要是发热门诊生活垃圾</w:t>
            </w:r>
            <w:r>
              <w:rPr>
                <w:rFonts w:hint="eastAsia"/>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废输液袋、输液瓶等固废</w:t>
            </w:r>
            <w:r>
              <w:rPr>
                <w:rFonts w:hint="eastAsia"/>
                <w:color w:val="auto"/>
                <w:sz w:val="21"/>
                <w:szCs w:val="21"/>
                <w:highlight w:val="none"/>
              </w:rPr>
              <w:t>和发热门诊医疗垃圾。</w:t>
            </w:r>
            <w:r>
              <w:rPr>
                <w:color w:val="auto"/>
                <w:sz w:val="21"/>
                <w:szCs w:val="21"/>
                <w:highlight w:val="none"/>
              </w:rPr>
              <w:t>固体废物</w:t>
            </w:r>
            <w:r>
              <w:rPr>
                <w:rFonts w:hint="eastAsia"/>
                <w:color w:val="auto"/>
                <w:sz w:val="21"/>
                <w:szCs w:val="21"/>
                <w:highlight w:val="none"/>
              </w:rPr>
              <w:t>产生及处置情况汇总见表4-7</w:t>
            </w:r>
            <w:r>
              <w:rPr>
                <w:color w:val="auto"/>
                <w:sz w:val="21"/>
                <w:szCs w:val="21"/>
                <w:highlight w:val="none"/>
              </w:rPr>
              <w:t>。</w:t>
            </w:r>
            <w:r>
              <w:rPr>
                <w:rFonts w:hint="eastAsia"/>
                <w:color w:val="auto"/>
                <w:sz w:val="21"/>
                <w:szCs w:val="21"/>
                <w:highlight w:val="none"/>
              </w:rPr>
              <w:t>具体说明如下：</w:t>
            </w:r>
          </w:p>
          <w:p>
            <w:pPr>
              <w:adjustRightInd w:val="0"/>
              <w:snapToGrid w:val="0"/>
              <w:spacing w:before="120" w:beforeLines="50"/>
              <w:jc w:val="center"/>
              <w:rPr>
                <w:rFonts w:ascii="Times New Roman" w:hAnsi="Times New Roman"/>
                <w:b/>
                <w:color w:val="auto"/>
                <w:highlight w:val="none"/>
              </w:rPr>
            </w:pPr>
            <w:r>
              <w:rPr>
                <w:rFonts w:ascii="Times New Roman" w:hAnsi="Times New Roman"/>
                <w:b/>
                <w:color w:val="auto"/>
                <w:highlight w:val="none"/>
              </w:rPr>
              <w:t>表4</w:t>
            </w:r>
            <w:r>
              <w:rPr>
                <w:rFonts w:hint="eastAsia" w:ascii="Times New Roman" w:hAnsi="Times New Roman"/>
                <w:b/>
                <w:color w:val="auto"/>
                <w:highlight w:val="none"/>
              </w:rPr>
              <w:t xml:space="preserve">-7 </w:t>
            </w:r>
            <w:r>
              <w:rPr>
                <w:rFonts w:ascii="Times New Roman" w:hAnsi="Times New Roman"/>
                <w:b/>
                <w:color w:val="auto"/>
                <w:highlight w:val="none"/>
              </w:rPr>
              <w:t xml:space="preserve"> </w:t>
            </w:r>
            <w:r>
              <w:rPr>
                <w:rFonts w:hint="eastAsia" w:ascii="Times New Roman" w:hAnsi="Times New Roman"/>
                <w:b/>
                <w:color w:val="auto"/>
                <w:highlight w:val="none"/>
              </w:rPr>
              <w:t>项目</w:t>
            </w:r>
            <w:r>
              <w:rPr>
                <w:rFonts w:ascii="Times New Roman" w:hAnsi="Times New Roman"/>
                <w:b/>
                <w:color w:val="auto"/>
                <w:highlight w:val="none"/>
              </w:rPr>
              <w:t>固体废物</w:t>
            </w:r>
            <w:r>
              <w:rPr>
                <w:rFonts w:hint="eastAsia" w:ascii="Times New Roman" w:hAnsi="Times New Roman"/>
                <w:b/>
                <w:color w:val="auto"/>
                <w:highlight w:val="none"/>
              </w:rPr>
              <w:t>产生及处置情况一览</w:t>
            </w:r>
            <w:r>
              <w:rPr>
                <w:rFonts w:ascii="Times New Roman" w:hAnsi="Times New Roman"/>
                <w:b/>
                <w:color w:val="auto"/>
                <w:highlight w:val="none"/>
              </w:rPr>
              <w:t>表</w:t>
            </w:r>
            <w:r>
              <w:rPr>
                <w:rFonts w:hint="eastAsia" w:ascii="Times New Roman" w:hAnsi="Times New Roman"/>
                <w:b/>
                <w:color w:val="auto"/>
                <w:highlight w:val="none"/>
              </w:rPr>
              <w:t>/</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426"/>
              <w:gridCol w:w="504"/>
              <w:gridCol w:w="584"/>
              <w:gridCol w:w="427"/>
              <w:gridCol w:w="1616"/>
              <w:gridCol w:w="737"/>
              <w:gridCol w:w="461"/>
              <w:gridCol w:w="870"/>
              <w:gridCol w:w="636"/>
              <w:gridCol w:w="487"/>
              <w:gridCol w:w="585"/>
              <w:gridCol w:w="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40"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产生环节</w:t>
                  </w:r>
                </w:p>
              </w:tc>
              <w:tc>
                <w:tcPr>
                  <w:tcW w:w="534" w:type="pct"/>
                  <w:gridSpan w:val="2"/>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名称</w:t>
                  </w:r>
                </w:p>
              </w:tc>
              <w:tc>
                <w:tcPr>
                  <w:tcW w:w="289"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产生量t/a</w:t>
                  </w:r>
                </w:p>
              </w:tc>
              <w:tc>
                <w:tcPr>
                  <w:tcW w:w="1149" w:type="pct"/>
                  <w:gridSpan w:val="2"/>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属性及废物代码</w:t>
                  </w:r>
                </w:p>
              </w:tc>
              <w:tc>
                <w:tcPr>
                  <w:tcW w:w="777" w:type="pct"/>
                  <w:gridSpan w:val="2"/>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有毒有害物质及物理性状</w:t>
                  </w:r>
                </w:p>
              </w:tc>
              <w:tc>
                <w:tcPr>
                  <w:tcW w:w="459"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环境危险特性</w:t>
                  </w:r>
                </w:p>
              </w:tc>
              <w:tc>
                <w:tcPr>
                  <w:tcW w:w="375"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贮存方式</w:t>
                  </w:r>
                </w:p>
              </w:tc>
              <w:tc>
                <w:tcPr>
                  <w:tcW w:w="645" w:type="pct"/>
                  <w:gridSpan w:val="2"/>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利用及处置方式</w:t>
                  </w:r>
                </w:p>
              </w:tc>
              <w:tc>
                <w:tcPr>
                  <w:tcW w:w="328" w:type="pct"/>
                  <w:vMerge w:val="restar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最终去向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440"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534" w:type="pct"/>
                  <w:gridSpan w:val="2"/>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289"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305"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属性</w:t>
                  </w:r>
                </w:p>
              </w:tc>
              <w:tc>
                <w:tcPr>
                  <w:tcW w:w="84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废物代码</w:t>
                  </w:r>
                </w:p>
              </w:tc>
              <w:tc>
                <w:tcPr>
                  <w:tcW w:w="473"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有毒有害物质</w:t>
                  </w:r>
                </w:p>
              </w:tc>
              <w:tc>
                <w:tcPr>
                  <w:tcW w:w="30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物理性状</w:t>
                  </w:r>
                </w:p>
              </w:tc>
              <w:tc>
                <w:tcPr>
                  <w:tcW w:w="459"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375"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c>
                <w:tcPr>
                  <w:tcW w:w="350"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方式</w:t>
                  </w:r>
                </w:p>
              </w:tc>
              <w:tc>
                <w:tcPr>
                  <w:tcW w:w="29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b/>
                      <w:bCs/>
                      <w:color w:val="auto"/>
                      <w:szCs w:val="21"/>
                      <w:highlight w:val="none"/>
                    </w:rPr>
                    <w:t>处置量</w:t>
                  </w:r>
                </w:p>
              </w:tc>
              <w:tc>
                <w:tcPr>
                  <w:tcW w:w="328" w:type="pct"/>
                  <w:vMerge w:val="continue"/>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40"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发热门诊医护人员及病患办公生活</w:t>
                  </w:r>
                </w:p>
              </w:tc>
              <w:tc>
                <w:tcPr>
                  <w:tcW w:w="534" w:type="pct"/>
                  <w:gridSpan w:val="2"/>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color w:val="auto"/>
                      <w:szCs w:val="21"/>
                      <w:highlight w:val="none"/>
                    </w:rPr>
                    <w:t>生活垃圾</w:t>
                  </w:r>
                </w:p>
              </w:tc>
              <w:tc>
                <w:tcPr>
                  <w:tcW w:w="28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7.5</w:t>
                  </w:r>
                </w:p>
              </w:tc>
              <w:tc>
                <w:tcPr>
                  <w:tcW w:w="305" w:type="pct"/>
                  <w:tcMar>
                    <w:top w:w="0" w:type="dxa"/>
                    <w:left w:w="108" w:type="dxa"/>
                    <w:bottom w:w="0" w:type="dxa"/>
                    <w:right w:w="108" w:type="dxa"/>
                  </w:tcMar>
                  <w:vAlign w:val="center"/>
                </w:tcPr>
                <w:p>
                  <w:pPr>
                    <w:pStyle w:val="62"/>
                    <w:jc w:val="center"/>
                    <w:rPr>
                      <w:rFonts w:hint="eastAsia" w:ascii="Times New Roman" w:hAnsi="Times New Roman" w:eastAsia="宋体"/>
                      <w:color w:val="auto"/>
                      <w:szCs w:val="21"/>
                      <w:highlight w:val="none"/>
                      <w:lang w:eastAsia="zh-CN"/>
                    </w:rPr>
                  </w:pPr>
                  <w:r>
                    <w:rPr>
                      <w:rFonts w:hint="eastAsia" w:ascii="Times New Roman" w:hAnsi="Times New Roman"/>
                      <w:color w:val="auto"/>
                      <w:szCs w:val="21"/>
                      <w:highlight w:val="none"/>
                      <w:lang w:val="en-US" w:eastAsia="zh-CN"/>
                    </w:rPr>
                    <w:t>生活垃圾</w:t>
                  </w:r>
                </w:p>
              </w:tc>
              <w:tc>
                <w:tcPr>
                  <w:tcW w:w="84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eastAsia="Times New Roman"/>
                      <w:color w:val="auto"/>
                      <w:szCs w:val="21"/>
                      <w:highlight w:val="none"/>
                      <w:lang w:eastAsia="en-US" w:bidi="en-US"/>
                    </w:rPr>
                    <w:t>/</w:t>
                  </w:r>
                </w:p>
              </w:tc>
              <w:tc>
                <w:tcPr>
                  <w:tcW w:w="47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eastAsia="Times New Roman"/>
                      <w:color w:val="auto"/>
                      <w:szCs w:val="21"/>
                      <w:highlight w:val="none"/>
                      <w:lang w:eastAsia="en-US" w:bidi="en-US"/>
                    </w:rPr>
                    <w:t>/</w:t>
                  </w:r>
                </w:p>
              </w:tc>
              <w:tc>
                <w:tcPr>
                  <w:tcW w:w="30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固态</w:t>
                  </w:r>
                </w:p>
              </w:tc>
              <w:tc>
                <w:tcPr>
                  <w:tcW w:w="45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eastAsia="Times New Roman"/>
                      <w:color w:val="auto"/>
                      <w:szCs w:val="21"/>
                      <w:highlight w:val="none"/>
                      <w:lang w:eastAsia="en-US" w:bidi="en-US"/>
                    </w:rPr>
                    <w:t>/</w:t>
                  </w:r>
                </w:p>
              </w:tc>
              <w:tc>
                <w:tcPr>
                  <w:tcW w:w="375"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highlight w:val="none"/>
                      <w:lang w:val="en-US" w:eastAsia="zh-CN"/>
                    </w:rPr>
                    <w:t>消毒后，</w:t>
                  </w:r>
                  <w:r>
                    <w:rPr>
                      <w:rFonts w:hint="eastAsia" w:ascii="Times New Roman" w:hAnsi="Times New Roman"/>
                      <w:color w:val="auto"/>
                      <w:szCs w:val="21"/>
                      <w:highlight w:val="none"/>
                    </w:rPr>
                    <w:t>垃圾桶分类贮存</w:t>
                  </w:r>
                </w:p>
              </w:tc>
              <w:tc>
                <w:tcPr>
                  <w:tcW w:w="350"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由环卫部门定期清运</w:t>
                  </w:r>
                </w:p>
              </w:tc>
              <w:tc>
                <w:tcPr>
                  <w:tcW w:w="29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7.5</w:t>
                  </w:r>
                </w:p>
              </w:tc>
              <w:tc>
                <w:tcPr>
                  <w:tcW w:w="328"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填埋处置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40" w:type="pct"/>
                  <w:tcMar>
                    <w:top w:w="0" w:type="dxa"/>
                    <w:left w:w="108" w:type="dxa"/>
                    <w:bottom w:w="0" w:type="dxa"/>
                    <w:right w:w="108" w:type="dxa"/>
                  </w:tcMar>
                  <w:vAlign w:val="center"/>
                </w:tcPr>
                <w:p>
                  <w:pPr>
                    <w:pStyle w:val="62"/>
                    <w:jc w:val="center"/>
                    <w:rPr>
                      <w:rFonts w:hint="eastAsia" w:ascii="Times New Roman" w:hAnsi="Times New Roman"/>
                      <w:color w:val="auto"/>
                      <w:szCs w:val="21"/>
                      <w:highlight w:val="none"/>
                    </w:rPr>
                  </w:pPr>
                  <w:r>
                    <w:rPr>
                      <w:rFonts w:hint="eastAsia" w:ascii="Times New Roman" w:hAnsi="Times New Roman"/>
                      <w:color w:val="auto"/>
                      <w:szCs w:val="21"/>
                      <w:highlight w:val="none"/>
                    </w:rPr>
                    <w:t>发热门诊诊疗、住院</w:t>
                  </w:r>
                </w:p>
              </w:tc>
              <w:tc>
                <w:tcPr>
                  <w:tcW w:w="534" w:type="pct"/>
                  <w:gridSpan w:val="2"/>
                  <w:tcMar>
                    <w:top w:w="0" w:type="dxa"/>
                    <w:left w:w="108" w:type="dxa"/>
                    <w:bottom w:w="0" w:type="dxa"/>
                    <w:right w:w="108" w:type="dxa"/>
                  </w:tcMar>
                  <w:vAlign w:val="center"/>
                </w:tcPr>
                <w:p>
                  <w:pPr>
                    <w:pStyle w:val="62"/>
                    <w:jc w:val="center"/>
                    <w:rPr>
                      <w:rFonts w:hint="default" w:eastAsia="宋体"/>
                      <w:color w:val="auto"/>
                      <w:szCs w:val="21"/>
                      <w:highlight w:val="none"/>
                      <w:lang w:val="en-US" w:eastAsia="zh-CN"/>
                    </w:rPr>
                  </w:pPr>
                  <w:r>
                    <w:rPr>
                      <w:rFonts w:hint="eastAsia" w:ascii="Times New Roman" w:hAnsi="Times New Roman" w:cs="Times New Roman"/>
                      <w:color w:val="auto"/>
                      <w:sz w:val="21"/>
                      <w:szCs w:val="21"/>
                      <w:highlight w:val="none"/>
                      <w:lang w:val="en-US" w:eastAsia="zh-CN"/>
                    </w:rPr>
                    <w:t>废输液袋、输液瓶等</w:t>
                  </w:r>
                </w:p>
              </w:tc>
              <w:tc>
                <w:tcPr>
                  <w:tcW w:w="289" w:type="pct"/>
                  <w:tcMar>
                    <w:top w:w="0" w:type="dxa"/>
                    <w:left w:w="108" w:type="dxa"/>
                    <w:bottom w:w="0" w:type="dxa"/>
                    <w:right w:w="108" w:type="dxa"/>
                  </w:tcMar>
                  <w:vAlign w:val="center"/>
                </w:tcPr>
                <w:p>
                  <w:pPr>
                    <w:pStyle w:val="62"/>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3.65</w:t>
                  </w:r>
                </w:p>
              </w:tc>
              <w:tc>
                <w:tcPr>
                  <w:tcW w:w="305" w:type="pct"/>
                  <w:tcMar>
                    <w:top w:w="0" w:type="dxa"/>
                    <w:left w:w="108" w:type="dxa"/>
                    <w:bottom w:w="0" w:type="dxa"/>
                    <w:right w:w="108" w:type="dxa"/>
                  </w:tcMar>
                  <w:vAlign w:val="center"/>
                </w:tcPr>
                <w:p>
                  <w:pPr>
                    <w:pStyle w:val="62"/>
                    <w:jc w:val="center"/>
                    <w:rPr>
                      <w:rFonts w:hint="eastAsia" w:ascii="Times New Roman" w:hAnsi="Times New Roman"/>
                      <w:color w:val="auto"/>
                      <w:szCs w:val="21"/>
                      <w:highlight w:val="none"/>
                      <w:lang w:val="en-US" w:eastAsia="zh-CN"/>
                    </w:rPr>
                  </w:pPr>
                  <w:r>
                    <w:rPr>
                      <w:rFonts w:hint="eastAsia"/>
                      <w:color w:val="auto"/>
                      <w:szCs w:val="21"/>
                      <w:highlight w:val="none"/>
                      <w:lang w:val="en-US" w:eastAsia="zh-CN"/>
                    </w:rPr>
                    <w:t>一般固废</w:t>
                  </w:r>
                </w:p>
              </w:tc>
              <w:tc>
                <w:tcPr>
                  <w:tcW w:w="844" w:type="pct"/>
                  <w:tcMar>
                    <w:top w:w="0" w:type="dxa"/>
                    <w:left w:w="108" w:type="dxa"/>
                    <w:bottom w:w="0" w:type="dxa"/>
                    <w:right w:w="108" w:type="dxa"/>
                  </w:tcMar>
                  <w:vAlign w:val="center"/>
                </w:tcPr>
                <w:p>
                  <w:pPr>
                    <w:pStyle w:val="62"/>
                    <w:jc w:val="center"/>
                    <w:rPr>
                      <w:rFonts w:ascii="Times New Roman" w:hAnsi="Times New Roman" w:eastAsia="Times New Roman"/>
                      <w:color w:val="auto"/>
                      <w:szCs w:val="21"/>
                      <w:highlight w:val="none"/>
                      <w:lang w:eastAsia="en-US" w:bidi="en-US"/>
                    </w:rPr>
                  </w:pPr>
                  <w:r>
                    <w:rPr>
                      <w:rFonts w:ascii="Times New Roman" w:hAnsi="Times New Roman" w:eastAsia="Times New Roman"/>
                      <w:color w:val="auto"/>
                      <w:szCs w:val="21"/>
                      <w:highlight w:val="none"/>
                      <w:lang w:eastAsia="en-US" w:bidi="en-US"/>
                    </w:rPr>
                    <w:t>/</w:t>
                  </w:r>
                </w:p>
              </w:tc>
              <w:tc>
                <w:tcPr>
                  <w:tcW w:w="473" w:type="pct"/>
                  <w:tcMar>
                    <w:top w:w="0" w:type="dxa"/>
                    <w:left w:w="108" w:type="dxa"/>
                    <w:bottom w:w="0" w:type="dxa"/>
                    <w:right w:w="108" w:type="dxa"/>
                  </w:tcMar>
                  <w:vAlign w:val="center"/>
                </w:tcPr>
                <w:p>
                  <w:pPr>
                    <w:pStyle w:val="62"/>
                    <w:jc w:val="center"/>
                    <w:rPr>
                      <w:rFonts w:ascii="Times New Roman" w:hAnsi="Times New Roman" w:eastAsia="Times New Roman"/>
                      <w:color w:val="auto"/>
                      <w:szCs w:val="21"/>
                      <w:highlight w:val="none"/>
                      <w:lang w:eastAsia="en-US" w:bidi="en-US"/>
                    </w:rPr>
                  </w:pPr>
                  <w:r>
                    <w:rPr>
                      <w:rFonts w:ascii="Times New Roman" w:hAnsi="Times New Roman" w:eastAsia="Times New Roman"/>
                      <w:color w:val="auto"/>
                      <w:szCs w:val="21"/>
                      <w:highlight w:val="none"/>
                      <w:lang w:eastAsia="en-US" w:bidi="en-US"/>
                    </w:rPr>
                    <w:t>/</w:t>
                  </w:r>
                </w:p>
              </w:tc>
              <w:tc>
                <w:tcPr>
                  <w:tcW w:w="304" w:type="pct"/>
                  <w:tcMar>
                    <w:top w:w="0" w:type="dxa"/>
                    <w:left w:w="108" w:type="dxa"/>
                    <w:bottom w:w="0" w:type="dxa"/>
                    <w:right w:w="108" w:type="dxa"/>
                  </w:tcMar>
                  <w:vAlign w:val="center"/>
                </w:tcPr>
                <w:p>
                  <w:pPr>
                    <w:pStyle w:val="62"/>
                    <w:jc w:val="center"/>
                    <w:rPr>
                      <w:rFonts w:hint="eastAsia" w:ascii="Times New Roman" w:hAnsi="Times New Roman"/>
                      <w:color w:val="auto"/>
                      <w:szCs w:val="21"/>
                      <w:highlight w:val="none"/>
                    </w:rPr>
                  </w:pPr>
                  <w:r>
                    <w:rPr>
                      <w:rFonts w:hint="eastAsia" w:ascii="Times New Roman" w:hAnsi="Times New Roman"/>
                      <w:color w:val="auto"/>
                      <w:szCs w:val="21"/>
                      <w:highlight w:val="none"/>
                    </w:rPr>
                    <w:t>固态</w:t>
                  </w:r>
                </w:p>
              </w:tc>
              <w:tc>
                <w:tcPr>
                  <w:tcW w:w="459" w:type="pct"/>
                  <w:tcMar>
                    <w:top w:w="0" w:type="dxa"/>
                    <w:left w:w="108" w:type="dxa"/>
                    <w:bottom w:w="0" w:type="dxa"/>
                    <w:right w:w="108" w:type="dxa"/>
                  </w:tcMar>
                  <w:vAlign w:val="center"/>
                </w:tcPr>
                <w:p>
                  <w:pPr>
                    <w:pStyle w:val="62"/>
                    <w:jc w:val="center"/>
                    <w:rPr>
                      <w:rFonts w:ascii="Times New Roman" w:hAnsi="Times New Roman" w:eastAsia="Times New Roman"/>
                      <w:color w:val="auto"/>
                      <w:szCs w:val="21"/>
                      <w:highlight w:val="none"/>
                      <w:lang w:eastAsia="en-US" w:bidi="en-US"/>
                    </w:rPr>
                  </w:pPr>
                  <w:r>
                    <w:rPr>
                      <w:rFonts w:ascii="Times New Roman" w:hAnsi="Times New Roman" w:eastAsia="Times New Roman"/>
                      <w:color w:val="auto"/>
                      <w:szCs w:val="21"/>
                      <w:highlight w:val="none"/>
                      <w:lang w:eastAsia="en-US" w:bidi="en-US"/>
                    </w:rPr>
                    <w:t>/</w:t>
                  </w:r>
                </w:p>
              </w:tc>
              <w:tc>
                <w:tcPr>
                  <w:tcW w:w="375"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highlight w:val="none"/>
                    </w:rPr>
                    <w:t>专用包装物、容器分类收集，</w:t>
                  </w:r>
                  <w:r>
                    <w:rPr>
                      <w:rFonts w:hint="eastAsia" w:ascii="Times New Roman" w:hAnsi="Times New Roman"/>
                      <w:color w:val="auto"/>
                      <w:szCs w:val="21"/>
                      <w:highlight w:val="none"/>
                    </w:rPr>
                    <w:t>医废间暂存</w:t>
                  </w:r>
                </w:p>
              </w:tc>
              <w:tc>
                <w:tcPr>
                  <w:tcW w:w="350"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委托处置</w:t>
                  </w:r>
                </w:p>
              </w:tc>
              <w:tc>
                <w:tcPr>
                  <w:tcW w:w="294" w:type="pct"/>
                  <w:tcMar>
                    <w:top w:w="0" w:type="dxa"/>
                    <w:left w:w="108" w:type="dxa"/>
                    <w:bottom w:w="0" w:type="dxa"/>
                    <w:right w:w="108" w:type="dxa"/>
                  </w:tcMar>
                  <w:vAlign w:val="center"/>
                </w:tcPr>
                <w:p>
                  <w:pPr>
                    <w:pStyle w:val="62"/>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3.65</w:t>
                  </w:r>
                </w:p>
              </w:tc>
              <w:tc>
                <w:tcPr>
                  <w:tcW w:w="328"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bCs/>
                      <w:color w:val="auto"/>
                      <w:kern w:val="2"/>
                      <w:highlight w:val="none"/>
                    </w:rPr>
                    <w:t>交</w:t>
                  </w:r>
                  <w:r>
                    <w:rPr>
                      <w:rFonts w:hint="eastAsia" w:ascii="Times New Roman" w:hAnsi="Times New Roman"/>
                      <w:bCs/>
                      <w:color w:val="auto"/>
                      <w:kern w:val="2"/>
                      <w:highlight w:val="none"/>
                      <w:lang w:val="en-US" w:eastAsia="zh-CN"/>
                    </w:rPr>
                    <w:t>由陕西宏恩等离子技术有限责任公司</w:t>
                  </w:r>
                  <w:r>
                    <w:rPr>
                      <w:rFonts w:hint="eastAsia" w:ascii="Times New Roman" w:hAnsi="Times New Roman"/>
                      <w:bCs/>
                      <w:color w:val="auto"/>
                      <w:kern w:val="2"/>
                      <w:highlight w:val="none"/>
                    </w:rPr>
                    <w:t>收集处置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40"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发热门诊诊疗、住院</w:t>
                  </w:r>
                </w:p>
              </w:tc>
              <w:tc>
                <w:tcPr>
                  <w:tcW w:w="255" w:type="pct"/>
                  <w:vMerge w:val="restart"/>
                  <w:tcMar>
                    <w:top w:w="0" w:type="dxa"/>
                    <w:left w:w="108" w:type="dxa"/>
                    <w:bottom w:w="0" w:type="dxa"/>
                    <w:right w:w="108" w:type="dxa"/>
                  </w:tcMar>
                  <w:vAlign w:val="center"/>
                </w:tcPr>
                <w:p>
                  <w:pPr>
                    <w:pStyle w:val="67"/>
                    <w:snapToGrid w:val="0"/>
                    <w:spacing w:before="0" w:after="0"/>
                    <w:jc w:val="center"/>
                    <w:rPr>
                      <w:color w:val="auto"/>
                      <w:sz w:val="21"/>
                      <w:szCs w:val="21"/>
                      <w:highlight w:val="none"/>
                    </w:rPr>
                  </w:pPr>
                  <w:r>
                    <w:rPr>
                      <w:rFonts w:hint="eastAsia"/>
                      <w:color w:val="auto"/>
                      <w:sz w:val="21"/>
                      <w:szCs w:val="21"/>
                      <w:highlight w:val="none"/>
                    </w:rPr>
                    <w:t>医疗废物</w:t>
                  </w:r>
                </w:p>
              </w:tc>
              <w:tc>
                <w:tcPr>
                  <w:tcW w:w="279" w:type="pct"/>
                  <w:tcMar>
                    <w:top w:w="0" w:type="dxa"/>
                    <w:left w:w="108" w:type="dxa"/>
                    <w:bottom w:w="0" w:type="dxa"/>
                    <w:right w:w="108" w:type="dxa"/>
                  </w:tcMar>
                  <w:textDirection w:val="tbRlV"/>
                  <w:vAlign w:val="center"/>
                </w:tcPr>
                <w:p>
                  <w:pPr>
                    <w:pStyle w:val="64"/>
                    <w:spacing w:before="0"/>
                    <w:rPr>
                      <w:color w:val="auto"/>
                      <w:sz w:val="21"/>
                      <w:szCs w:val="21"/>
                      <w:highlight w:val="none"/>
                      <w:lang w:val="en-US" w:eastAsia="zh-CN"/>
                    </w:rPr>
                  </w:pPr>
                  <w:r>
                    <w:rPr>
                      <w:rFonts w:ascii="Times New Roman" w:hAnsi="Times New Roman" w:cs="Times New Roman"/>
                      <w:color w:val="auto"/>
                      <w:sz w:val="21"/>
                      <w:szCs w:val="21"/>
                      <w:highlight w:val="none"/>
                    </w:rPr>
                    <w:t>感染性</w:t>
                  </w:r>
                </w:p>
              </w:tc>
              <w:tc>
                <w:tcPr>
                  <w:tcW w:w="289"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6.1</w:t>
                  </w:r>
                </w:p>
              </w:tc>
              <w:tc>
                <w:tcPr>
                  <w:tcW w:w="305"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危险废物</w:t>
                  </w:r>
                </w:p>
              </w:tc>
              <w:tc>
                <w:tcPr>
                  <w:tcW w:w="844"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ascii="Times New Roman" w:hAnsi="Times New Roman"/>
                      <w:color w:val="auto"/>
                      <w:szCs w:val="21"/>
                      <w:highlight w:val="none"/>
                    </w:rPr>
                    <w:t>HW</w:t>
                  </w:r>
                  <w:r>
                    <w:rPr>
                      <w:rFonts w:hint="eastAsia" w:ascii="Times New Roman" w:hAnsi="Times New Roman"/>
                      <w:color w:val="auto"/>
                      <w:szCs w:val="21"/>
                      <w:highlight w:val="none"/>
                    </w:rPr>
                    <w:t>01</w:t>
                  </w:r>
                  <w:r>
                    <w:rPr>
                      <w:rFonts w:ascii="Times New Roman" w:hAnsi="Times New Roman"/>
                      <w:color w:val="auto"/>
                      <w:szCs w:val="21"/>
                      <w:highlight w:val="none"/>
                    </w:rPr>
                    <w:t>（</w:t>
                  </w:r>
                  <w:r>
                    <w:rPr>
                      <w:rFonts w:hint="eastAsia" w:ascii="Times New Roman" w:hAnsi="Times New Roman"/>
                      <w:color w:val="auto"/>
                      <w:szCs w:val="21"/>
                      <w:highlight w:val="none"/>
                    </w:rPr>
                    <w:t>841</w:t>
                  </w:r>
                  <w:r>
                    <w:rPr>
                      <w:rFonts w:ascii="Times New Roman" w:hAnsi="Times New Roman"/>
                      <w:color w:val="auto"/>
                      <w:szCs w:val="21"/>
                      <w:highlight w:val="none"/>
                    </w:rPr>
                    <w:t>-0</w:t>
                  </w:r>
                  <w:r>
                    <w:rPr>
                      <w:rFonts w:hint="eastAsia" w:ascii="Times New Roman" w:hAnsi="Times New Roman"/>
                      <w:color w:val="auto"/>
                      <w:szCs w:val="21"/>
                      <w:highlight w:val="none"/>
                    </w:rPr>
                    <w:t>01</w:t>
                  </w:r>
                  <w:r>
                    <w:rPr>
                      <w:rFonts w:ascii="Times New Roman" w:hAnsi="Times New Roman"/>
                      <w:color w:val="auto"/>
                      <w:szCs w:val="21"/>
                      <w:highlight w:val="none"/>
                    </w:rPr>
                    <w:t>-</w:t>
                  </w:r>
                  <w:r>
                    <w:rPr>
                      <w:rFonts w:hint="eastAsia" w:ascii="Times New Roman" w:hAnsi="Times New Roman"/>
                      <w:color w:val="auto"/>
                      <w:szCs w:val="21"/>
                      <w:highlight w:val="none"/>
                    </w:rPr>
                    <w:t>01</w:t>
                  </w:r>
                  <w:r>
                    <w:rPr>
                      <w:rFonts w:ascii="Times New Roman" w:hAnsi="Times New Roman"/>
                      <w:color w:val="auto"/>
                      <w:szCs w:val="21"/>
                      <w:highlight w:val="none"/>
                    </w:rPr>
                    <w:t>）</w:t>
                  </w:r>
                </w:p>
              </w:tc>
              <w:tc>
                <w:tcPr>
                  <w:tcW w:w="47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废棉球、纱布、废医疗用品、废血样、粪便等</w:t>
                  </w:r>
                </w:p>
              </w:tc>
              <w:tc>
                <w:tcPr>
                  <w:tcW w:w="304"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固态</w:t>
                  </w:r>
                </w:p>
              </w:tc>
              <w:tc>
                <w:tcPr>
                  <w:tcW w:w="459" w:type="pct"/>
                  <w:tcMar>
                    <w:top w:w="0" w:type="dxa"/>
                    <w:left w:w="108" w:type="dxa"/>
                    <w:bottom w:w="0" w:type="dxa"/>
                    <w:right w:w="108" w:type="dxa"/>
                  </w:tcMar>
                  <w:vAlign w:val="center"/>
                </w:tcPr>
                <w:p>
                  <w:pPr>
                    <w:pStyle w:val="62"/>
                    <w:jc w:val="center"/>
                    <w:rPr>
                      <w:rFonts w:ascii="Times New Roman" w:hAnsi="Times New Roman"/>
                      <w:b/>
                      <w:bCs/>
                      <w:color w:val="auto"/>
                      <w:szCs w:val="21"/>
                      <w:highlight w:val="none"/>
                    </w:rPr>
                  </w:pPr>
                  <w:r>
                    <w:rPr>
                      <w:rFonts w:hint="eastAsia" w:ascii="Times New Roman" w:hAnsi="Times New Roman"/>
                      <w:color w:val="auto"/>
                      <w:szCs w:val="21"/>
                      <w:highlight w:val="none"/>
                    </w:rPr>
                    <w:t>In</w:t>
                  </w:r>
                </w:p>
              </w:tc>
              <w:tc>
                <w:tcPr>
                  <w:tcW w:w="37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5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94" w:type="pct"/>
                  <w:vMerge w:val="restar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6.1</w:t>
                  </w:r>
                </w:p>
              </w:tc>
              <w:tc>
                <w:tcPr>
                  <w:tcW w:w="32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4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55" w:type="pct"/>
                  <w:vMerge w:val="continue"/>
                  <w:tcMar>
                    <w:top w:w="0" w:type="dxa"/>
                    <w:left w:w="108" w:type="dxa"/>
                    <w:bottom w:w="0" w:type="dxa"/>
                    <w:right w:w="108" w:type="dxa"/>
                  </w:tcMar>
                  <w:vAlign w:val="center"/>
                </w:tcPr>
                <w:p>
                  <w:pPr>
                    <w:pStyle w:val="67"/>
                    <w:snapToGrid w:val="0"/>
                    <w:spacing w:before="0" w:after="0"/>
                    <w:jc w:val="center"/>
                    <w:rPr>
                      <w:color w:val="auto"/>
                      <w:sz w:val="21"/>
                      <w:szCs w:val="21"/>
                      <w:highlight w:val="none"/>
                    </w:rPr>
                  </w:pPr>
                </w:p>
              </w:tc>
              <w:tc>
                <w:tcPr>
                  <w:tcW w:w="279" w:type="pct"/>
                  <w:tcMar>
                    <w:top w:w="0" w:type="dxa"/>
                    <w:left w:w="108" w:type="dxa"/>
                    <w:bottom w:w="0" w:type="dxa"/>
                    <w:right w:w="108" w:type="dxa"/>
                  </w:tcMar>
                  <w:textDirection w:val="tbRlV"/>
                  <w:vAlign w:val="center"/>
                </w:tcPr>
                <w:p>
                  <w:pPr>
                    <w:pStyle w:val="64"/>
                    <w:spacing w:before="0"/>
                    <w:rPr>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化学性</w:t>
                  </w:r>
                </w:p>
              </w:tc>
              <w:tc>
                <w:tcPr>
                  <w:tcW w:w="289"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0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844" w:type="pct"/>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04</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47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废化学试剂、实验废液等</w:t>
                  </w:r>
                </w:p>
              </w:tc>
              <w:tc>
                <w:tcPr>
                  <w:tcW w:w="304" w:type="pct"/>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固/液态</w:t>
                  </w:r>
                </w:p>
              </w:tc>
              <w:tc>
                <w:tcPr>
                  <w:tcW w:w="45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eastAsia="Times New Roman"/>
                      <w:color w:val="auto"/>
                      <w:szCs w:val="21"/>
                      <w:highlight w:val="none"/>
                      <w:lang w:eastAsia="en-US" w:bidi="en-US"/>
                    </w:rPr>
                    <w:t>T/C/I/R</w:t>
                  </w:r>
                </w:p>
              </w:tc>
              <w:tc>
                <w:tcPr>
                  <w:tcW w:w="37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5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94"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2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4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55" w:type="pct"/>
                  <w:vMerge w:val="continue"/>
                  <w:tcMar>
                    <w:top w:w="0" w:type="dxa"/>
                    <w:left w:w="108" w:type="dxa"/>
                    <w:bottom w:w="0" w:type="dxa"/>
                    <w:right w:w="108" w:type="dxa"/>
                  </w:tcMar>
                  <w:vAlign w:val="center"/>
                </w:tcPr>
                <w:p>
                  <w:pPr>
                    <w:pStyle w:val="67"/>
                    <w:snapToGrid w:val="0"/>
                    <w:spacing w:before="0" w:after="0"/>
                    <w:jc w:val="center"/>
                    <w:rPr>
                      <w:color w:val="auto"/>
                      <w:sz w:val="21"/>
                      <w:szCs w:val="21"/>
                      <w:highlight w:val="none"/>
                    </w:rPr>
                  </w:pPr>
                </w:p>
              </w:tc>
              <w:tc>
                <w:tcPr>
                  <w:tcW w:w="279" w:type="pct"/>
                  <w:tcMar>
                    <w:top w:w="0" w:type="dxa"/>
                    <w:left w:w="108" w:type="dxa"/>
                    <w:bottom w:w="0" w:type="dxa"/>
                    <w:right w:w="108" w:type="dxa"/>
                  </w:tcMar>
                  <w:textDirection w:val="tbRlV"/>
                  <w:vAlign w:val="center"/>
                </w:tcPr>
                <w:p>
                  <w:pPr>
                    <w:pStyle w:val="64"/>
                    <w:spacing w:before="0"/>
                    <w:rPr>
                      <w:color w:val="auto"/>
                      <w:sz w:val="21"/>
                      <w:szCs w:val="21"/>
                      <w:highlight w:val="none"/>
                      <w:lang w:val="en-US" w:eastAsia="zh-CN"/>
                    </w:rPr>
                  </w:pPr>
                  <w:r>
                    <w:rPr>
                      <w:rFonts w:ascii="Times New Roman" w:hAnsi="Times New Roman" w:cs="Times New Roman"/>
                      <w:color w:val="auto"/>
                      <w:sz w:val="21"/>
                      <w:szCs w:val="21"/>
                      <w:highlight w:val="none"/>
                    </w:rPr>
                    <w:t>损伤性</w:t>
                  </w:r>
                </w:p>
              </w:tc>
              <w:tc>
                <w:tcPr>
                  <w:tcW w:w="289"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0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844" w:type="pct"/>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02</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47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医疗锐器、针头等</w:t>
                  </w:r>
                </w:p>
              </w:tc>
              <w:tc>
                <w:tcPr>
                  <w:tcW w:w="304" w:type="pct"/>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固态</w:t>
                  </w:r>
                </w:p>
              </w:tc>
              <w:tc>
                <w:tcPr>
                  <w:tcW w:w="45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In</w:t>
                  </w:r>
                </w:p>
              </w:tc>
              <w:tc>
                <w:tcPr>
                  <w:tcW w:w="37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5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94"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2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4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55" w:type="pct"/>
                  <w:vMerge w:val="continue"/>
                  <w:tcMar>
                    <w:top w:w="0" w:type="dxa"/>
                    <w:left w:w="108" w:type="dxa"/>
                    <w:bottom w:w="0" w:type="dxa"/>
                    <w:right w:w="108" w:type="dxa"/>
                  </w:tcMar>
                  <w:vAlign w:val="center"/>
                </w:tcPr>
                <w:p>
                  <w:pPr>
                    <w:pStyle w:val="67"/>
                    <w:snapToGrid w:val="0"/>
                    <w:spacing w:before="0" w:after="0"/>
                    <w:jc w:val="center"/>
                    <w:rPr>
                      <w:color w:val="auto"/>
                      <w:sz w:val="21"/>
                      <w:szCs w:val="21"/>
                      <w:highlight w:val="none"/>
                    </w:rPr>
                  </w:pPr>
                </w:p>
              </w:tc>
              <w:tc>
                <w:tcPr>
                  <w:tcW w:w="279" w:type="pct"/>
                  <w:tcMar>
                    <w:top w:w="0" w:type="dxa"/>
                    <w:left w:w="108" w:type="dxa"/>
                    <w:bottom w:w="0" w:type="dxa"/>
                    <w:right w:w="108" w:type="dxa"/>
                  </w:tcMar>
                  <w:textDirection w:val="tbRlV"/>
                  <w:vAlign w:val="center"/>
                </w:tcPr>
                <w:p>
                  <w:pPr>
                    <w:pStyle w:val="64"/>
                    <w:spacing w:before="0"/>
                    <w:rPr>
                      <w:color w:val="auto"/>
                      <w:sz w:val="21"/>
                      <w:szCs w:val="21"/>
                      <w:highlight w:val="none"/>
                      <w:lang w:val="en-US" w:eastAsia="zh-CN"/>
                    </w:rPr>
                  </w:pPr>
                  <w:r>
                    <w:rPr>
                      <w:rFonts w:ascii="Times New Roman" w:hAnsi="Times New Roman" w:cs="Times New Roman"/>
                      <w:color w:val="auto"/>
                      <w:sz w:val="21"/>
                      <w:szCs w:val="21"/>
                      <w:highlight w:val="none"/>
                    </w:rPr>
                    <w:t>病理性</w:t>
                  </w:r>
                </w:p>
              </w:tc>
              <w:tc>
                <w:tcPr>
                  <w:tcW w:w="289"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0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844" w:type="pct"/>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03</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47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病死尸体、器官等</w:t>
                  </w:r>
                </w:p>
              </w:tc>
              <w:tc>
                <w:tcPr>
                  <w:tcW w:w="304" w:type="pct"/>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固态</w:t>
                  </w:r>
                </w:p>
              </w:tc>
              <w:tc>
                <w:tcPr>
                  <w:tcW w:w="45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In</w:t>
                  </w:r>
                </w:p>
              </w:tc>
              <w:tc>
                <w:tcPr>
                  <w:tcW w:w="37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5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94"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2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44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55" w:type="pct"/>
                  <w:vMerge w:val="continue"/>
                  <w:tcMar>
                    <w:top w:w="0" w:type="dxa"/>
                    <w:left w:w="108" w:type="dxa"/>
                    <w:bottom w:w="0" w:type="dxa"/>
                    <w:right w:w="108" w:type="dxa"/>
                  </w:tcMar>
                  <w:vAlign w:val="center"/>
                </w:tcPr>
                <w:p>
                  <w:pPr>
                    <w:pStyle w:val="67"/>
                    <w:snapToGrid w:val="0"/>
                    <w:spacing w:before="0" w:after="0"/>
                    <w:jc w:val="center"/>
                    <w:rPr>
                      <w:color w:val="auto"/>
                      <w:sz w:val="21"/>
                      <w:szCs w:val="21"/>
                      <w:highlight w:val="none"/>
                    </w:rPr>
                  </w:pPr>
                </w:p>
              </w:tc>
              <w:tc>
                <w:tcPr>
                  <w:tcW w:w="279" w:type="pct"/>
                  <w:tcMar>
                    <w:top w:w="0" w:type="dxa"/>
                    <w:left w:w="108" w:type="dxa"/>
                    <w:bottom w:w="0" w:type="dxa"/>
                    <w:right w:w="108" w:type="dxa"/>
                  </w:tcMar>
                  <w:textDirection w:val="tbRlV"/>
                  <w:vAlign w:val="center"/>
                </w:tcPr>
                <w:p>
                  <w:pPr>
                    <w:pStyle w:val="64"/>
                    <w:spacing w:before="0"/>
                    <w:rPr>
                      <w:color w:val="auto"/>
                      <w:sz w:val="21"/>
                      <w:szCs w:val="21"/>
                      <w:highlight w:val="none"/>
                      <w:lang w:val="en-US" w:eastAsia="zh-CN"/>
                    </w:rPr>
                  </w:pPr>
                  <w:r>
                    <w:rPr>
                      <w:rFonts w:ascii="Times New Roman" w:hAnsi="Times New Roman" w:cs="Times New Roman"/>
                      <w:color w:val="auto"/>
                      <w:sz w:val="21"/>
                      <w:szCs w:val="21"/>
                      <w:highlight w:val="none"/>
                    </w:rPr>
                    <w:t>药物性</w:t>
                  </w:r>
                </w:p>
              </w:tc>
              <w:tc>
                <w:tcPr>
                  <w:tcW w:w="289"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0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844" w:type="pct"/>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05</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473"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废弃药品、废弃疫苗</w:t>
                  </w:r>
                </w:p>
              </w:tc>
              <w:tc>
                <w:tcPr>
                  <w:tcW w:w="304" w:type="pct"/>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固态</w:t>
                  </w:r>
                </w:p>
              </w:tc>
              <w:tc>
                <w:tcPr>
                  <w:tcW w:w="459" w:type="pct"/>
                  <w:tcMar>
                    <w:top w:w="0" w:type="dxa"/>
                    <w:left w:w="108" w:type="dxa"/>
                    <w:bottom w:w="0" w:type="dxa"/>
                    <w:right w:w="108" w:type="dxa"/>
                  </w:tcMar>
                  <w:vAlign w:val="center"/>
                </w:tcPr>
                <w:p>
                  <w:pPr>
                    <w:pStyle w:val="62"/>
                    <w:jc w:val="center"/>
                    <w:rPr>
                      <w:rFonts w:ascii="Times New Roman" w:hAnsi="Times New Roman"/>
                      <w:color w:val="auto"/>
                      <w:szCs w:val="21"/>
                      <w:highlight w:val="none"/>
                    </w:rPr>
                  </w:pPr>
                  <w:r>
                    <w:rPr>
                      <w:rFonts w:ascii="Times New Roman" w:hAnsi="Times New Roman"/>
                      <w:color w:val="auto"/>
                      <w:szCs w:val="21"/>
                      <w:highlight w:val="none"/>
                    </w:rPr>
                    <w:t>T</w:t>
                  </w:r>
                </w:p>
              </w:tc>
              <w:tc>
                <w:tcPr>
                  <w:tcW w:w="375"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50"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294"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c>
                <w:tcPr>
                  <w:tcW w:w="328" w:type="pct"/>
                  <w:vMerge w:val="continue"/>
                  <w:tcMar>
                    <w:top w:w="0" w:type="dxa"/>
                    <w:left w:w="108" w:type="dxa"/>
                    <w:bottom w:w="0" w:type="dxa"/>
                    <w:right w:w="108" w:type="dxa"/>
                  </w:tcMar>
                  <w:vAlign w:val="center"/>
                </w:tcPr>
                <w:p>
                  <w:pPr>
                    <w:pStyle w:val="62"/>
                    <w:jc w:val="center"/>
                    <w:rPr>
                      <w:rFonts w:ascii="Times New Roman" w:hAnsi="Times New Roman"/>
                      <w:color w:val="auto"/>
                      <w:szCs w:val="21"/>
                      <w:highlight w:val="none"/>
                    </w:rPr>
                  </w:pPr>
                </w:p>
              </w:tc>
            </w:tr>
          </w:tbl>
          <w:p>
            <w:pPr>
              <w:pStyle w:val="8"/>
              <w:adjustRightInd w:val="0"/>
              <w:spacing w:after="0" w:line="360" w:lineRule="auto"/>
              <w:ind w:firstLine="420" w:firstLineChars="200"/>
              <w:rPr>
                <w:color w:val="auto"/>
                <w:sz w:val="21"/>
                <w:szCs w:val="21"/>
                <w:highlight w:val="none"/>
              </w:rPr>
            </w:pPr>
            <w:r>
              <w:rPr>
                <w:color w:val="auto"/>
                <w:sz w:val="21"/>
                <w:szCs w:val="21"/>
                <w:highlight w:val="none"/>
              </w:rPr>
              <w:t>（</w:t>
            </w:r>
            <w:r>
              <w:rPr>
                <w:rFonts w:hint="eastAsia"/>
                <w:color w:val="auto"/>
                <w:sz w:val="21"/>
                <w:szCs w:val="21"/>
                <w:highlight w:val="none"/>
              </w:rPr>
              <w:t>1</w:t>
            </w:r>
            <w:r>
              <w:rPr>
                <w:color w:val="auto"/>
                <w:sz w:val="21"/>
                <w:szCs w:val="21"/>
                <w:highlight w:val="none"/>
              </w:rPr>
              <w:t>）</w:t>
            </w:r>
            <w:r>
              <w:rPr>
                <w:rFonts w:hint="eastAsia"/>
                <w:color w:val="auto"/>
                <w:sz w:val="21"/>
                <w:szCs w:val="21"/>
                <w:highlight w:val="none"/>
              </w:rPr>
              <w:t>发热门诊</w:t>
            </w:r>
            <w:r>
              <w:rPr>
                <w:color w:val="auto"/>
                <w:sz w:val="21"/>
                <w:szCs w:val="21"/>
                <w:highlight w:val="none"/>
              </w:rPr>
              <w:t>生活垃圾</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w:t>
            </w:r>
            <w:r>
              <w:rPr>
                <w:rFonts w:ascii="Times New Roman" w:hAnsi="Times New Roman"/>
                <w:color w:val="auto"/>
                <w:highlight w:val="none"/>
              </w:rPr>
              <w:t>项目</w:t>
            </w:r>
            <w:r>
              <w:rPr>
                <w:rFonts w:hint="eastAsia"/>
                <w:color w:val="auto"/>
                <w:highlight w:val="none"/>
              </w:rPr>
              <w:t>发热门诊医护人员</w:t>
            </w:r>
            <w:r>
              <w:rPr>
                <w:rFonts w:hint="eastAsia" w:ascii="Times New Roman" w:hAnsi="Times New Roman"/>
                <w:color w:val="auto"/>
                <w:highlight w:val="none"/>
                <w:lang w:val="en-US" w:eastAsia="zh-CN"/>
              </w:rPr>
              <w:t>2</w:t>
            </w:r>
            <w:r>
              <w:rPr>
                <w:rFonts w:hint="eastAsia" w:ascii="Times New Roman" w:hAnsi="Times New Roman"/>
                <w:color w:val="auto"/>
                <w:highlight w:val="none"/>
              </w:rPr>
              <w:t>0</w:t>
            </w:r>
            <w:r>
              <w:rPr>
                <w:rFonts w:ascii="Times New Roman" w:hAnsi="Times New Roman"/>
                <w:color w:val="auto"/>
                <w:highlight w:val="none"/>
              </w:rPr>
              <w:t>人</w:t>
            </w:r>
            <w:r>
              <w:rPr>
                <w:rFonts w:hint="eastAsia" w:ascii="Times New Roman" w:hAnsi="Times New Roman"/>
                <w:color w:val="auto"/>
                <w:highlight w:val="none"/>
              </w:rPr>
              <w:t>、住院病床</w:t>
            </w:r>
            <w:r>
              <w:rPr>
                <w:rFonts w:hint="eastAsia" w:ascii="Times New Roman" w:hAnsi="Times New Roman"/>
                <w:color w:val="auto"/>
                <w:highlight w:val="none"/>
                <w:lang w:val="en-US" w:eastAsia="zh-CN"/>
              </w:rPr>
              <w:t>56</w:t>
            </w:r>
            <w:r>
              <w:rPr>
                <w:rFonts w:hint="eastAsia" w:ascii="Times New Roman" w:hAnsi="Times New Roman"/>
                <w:color w:val="auto"/>
                <w:highlight w:val="none"/>
              </w:rPr>
              <w:t>张、日门诊量60人</w:t>
            </w:r>
            <w:r>
              <w:rPr>
                <w:rFonts w:ascii="Times New Roman" w:hAnsi="Times New Roman"/>
                <w:color w:val="auto"/>
                <w:highlight w:val="none"/>
              </w:rPr>
              <w:t>，</w:t>
            </w:r>
            <w:r>
              <w:rPr>
                <w:rFonts w:hint="eastAsia" w:ascii="Times New Roman" w:hAnsi="Times New Roman"/>
                <w:color w:val="auto"/>
                <w:highlight w:val="none"/>
                <w:lang w:val="en-US" w:eastAsia="zh-CN"/>
              </w:rPr>
              <w:t>根据运行期统计</w:t>
            </w:r>
            <w:r>
              <w:rPr>
                <w:rFonts w:hint="eastAsia"/>
                <w:color w:val="auto"/>
                <w:highlight w:val="none"/>
              </w:rPr>
              <w:t>发热门诊</w:t>
            </w:r>
            <w:r>
              <w:rPr>
                <w:rFonts w:ascii="Times New Roman" w:hAnsi="Times New Roman"/>
                <w:color w:val="auto"/>
                <w:highlight w:val="none"/>
              </w:rPr>
              <w:t>生活垃圾产生量</w:t>
            </w:r>
            <w:r>
              <w:rPr>
                <w:rFonts w:hint="eastAsia" w:ascii="Times New Roman" w:hAnsi="Times New Roman"/>
                <w:color w:val="auto"/>
                <w:highlight w:val="none"/>
                <w:lang w:val="en-US" w:eastAsia="zh-CN"/>
              </w:rPr>
              <w:t>约</w:t>
            </w:r>
            <w:r>
              <w:rPr>
                <w:rFonts w:ascii="Times New Roman" w:hAnsi="Times New Roman"/>
                <w:color w:val="auto"/>
                <w:highlight w:val="none"/>
              </w:rPr>
              <w:t>为</w:t>
            </w:r>
            <w:r>
              <w:rPr>
                <w:rFonts w:hint="eastAsia" w:ascii="Times New Roman" w:hAnsi="Times New Roman"/>
                <w:color w:val="auto"/>
                <w:highlight w:val="none"/>
              </w:rPr>
              <w:t>20.6</w:t>
            </w:r>
            <w:r>
              <w:rPr>
                <w:rFonts w:ascii="Times New Roman" w:hAnsi="Times New Roman"/>
                <w:color w:val="auto"/>
                <w:highlight w:val="none"/>
              </w:rPr>
              <w:t>kg/d，</w:t>
            </w:r>
            <w:r>
              <w:rPr>
                <w:rFonts w:hint="eastAsia" w:ascii="Times New Roman" w:hAnsi="Times New Roman"/>
                <w:color w:val="auto"/>
                <w:highlight w:val="none"/>
              </w:rPr>
              <w:t>7.5</w:t>
            </w:r>
            <w:r>
              <w:rPr>
                <w:rFonts w:ascii="Times New Roman" w:hAnsi="Times New Roman"/>
                <w:color w:val="auto"/>
                <w:highlight w:val="none"/>
              </w:rPr>
              <w:t>t/a。</w:t>
            </w:r>
            <w:r>
              <w:rPr>
                <w:rFonts w:hint="eastAsia"/>
                <w:color w:val="auto"/>
                <w:highlight w:val="none"/>
              </w:rPr>
              <w:t>发热门诊</w:t>
            </w:r>
            <w:r>
              <w:rPr>
                <w:rFonts w:ascii="Times New Roman" w:hAnsi="Times New Roman"/>
                <w:color w:val="auto"/>
                <w:highlight w:val="none"/>
              </w:rPr>
              <w:t>生活垃圾</w:t>
            </w:r>
            <w:r>
              <w:rPr>
                <w:rFonts w:hint="eastAsia" w:ascii="Times New Roman" w:hAnsi="Times New Roman"/>
                <w:color w:val="auto"/>
                <w:highlight w:val="none"/>
                <w:lang w:val="en-US" w:eastAsia="zh-CN"/>
              </w:rPr>
              <w:t>消毒后</w:t>
            </w:r>
            <w:r>
              <w:rPr>
                <w:rFonts w:hint="eastAsia" w:ascii="Times New Roman" w:hAnsi="Times New Roman"/>
                <w:color w:val="auto"/>
                <w:highlight w:val="none"/>
              </w:rPr>
              <w:t>，</w:t>
            </w:r>
            <w:r>
              <w:rPr>
                <w:rFonts w:hint="eastAsia" w:ascii="Times New Roman" w:hAnsi="Times New Roman"/>
                <w:color w:val="auto"/>
                <w:szCs w:val="21"/>
                <w:highlight w:val="none"/>
              </w:rPr>
              <w:t>垃圾桶分类贮存</w:t>
            </w:r>
            <w:r>
              <w:rPr>
                <w:rFonts w:hint="eastAsia" w:ascii="Times New Roman" w:hAnsi="Times New Roman"/>
                <w:color w:val="auto"/>
                <w:szCs w:val="21"/>
                <w:highlight w:val="none"/>
                <w:lang w:eastAsia="zh-CN"/>
              </w:rPr>
              <w:t>，</w:t>
            </w:r>
            <w:r>
              <w:rPr>
                <w:rFonts w:hint="eastAsia" w:ascii="Times New Roman" w:hAnsi="Times New Roman"/>
                <w:color w:val="auto"/>
                <w:szCs w:val="21"/>
                <w:highlight w:val="none"/>
              </w:rPr>
              <w:t>由环卫部门定期清运</w:t>
            </w:r>
            <w:r>
              <w:rPr>
                <w:rFonts w:hint="eastAsia" w:ascii="Times New Roman" w:hAnsi="Times New Roman"/>
                <w:color w:val="auto"/>
                <w:highlight w:val="none"/>
              </w:rPr>
              <w:t>。</w:t>
            </w:r>
          </w:p>
          <w:p>
            <w:pPr>
              <w:pStyle w:val="8"/>
              <w:adjustRightInd w:val="0"/>
              <w:spacing w:after="0" w:line="360" w:lineRule="auto"/>
              <w:ind w:firstLine="420" w:firstLineChars="200"/>
              <w:rPr>
                <w:color w:val="auto"/>
                <w:sz w:val="21"/>
                <w:szCs w:val="21"/>
                <w:highlight w:val="none"/>
              </w:rPr>
            </w:pPr>
            <w:r>
              <w:rPr>
                <w:color w:val="auto"/>
                <w:sz w:val="21"/>
                <w:szCs w:val="21"/>
                <w:highlight w:val="none"/>
              </w:rPr>
              <w:t>（</w:t>
            </w:r>
            <w:r>
              <w:rPr>
                <w:rFonts w:hint="eastAsia"/>
                <w:color w:val="auto"/>
                <w:sz w:val="21"/>
                <w:szCs w:val="21"/>
                <w:highlight w:val="none"/>
                <w:lang w:val="en-US" w:eastAsia="zh-CN"/>
              </w:rPr>
              <w:t>2</w:t>
            </w:r>
            <w:r>
              <w:rPr>
                <w:color w:val="auto"/>
                <w:sz w:val="21"/>
                <w:szCs w:val="21"/>
                <w:highlight w:val="none"/>
              </w:rPr>
              <w:t>）</w:t>
            </w:r>
            <w:r>
              <w:rPr>
                <w:rFonts w:hint="eastAsia"/>
                <w:color w:val="auto"/>
                <w:sz w:val="21"/>
                <w:szCs w:val="21"/>
                <w:highlight w:val="none"/>
                <w:lang w:val="en-US" w:eastAsia="zh-CN"/>
              </w:rPr>
              <w:t>一般医疗</w:t>
            </w:r>
            <w:r>
              <w:rPr>
                <w:color w:val="auto"/>
                <w:sz w:val="21"/>
                <w:szCs w:val="21"/>
                <w:highlight w:val="none"/>
              </w:rPr>
              <w:t>垃圾</w:t>
            </w:r>
          </w:p>
          <w:p>
            <w:pPr>
              <w:pStyle w:val="2"/>
              <w:spacing w:line="360" w:lineRule="auto"/>
              <w:rPr>
                <w:rFonts w:hint="eastAsia"/>
                <w:color w:val="auto"/>
                <w:highlight w:val="none"/>
              </w:rPr>
            </w:pPr>
            <w:r>
              <w:rPr>
                <w:rFonts w:hint="eastAsia" w:ascii="Times New Roman" w:hAnsi="Times New Roman"/>
                <w:color w:val="auto"/>
                <w:highlight w:val="none"/>
                <w:lang w:val="en-US" w:eastAsia="zh-CN"/>
              </w:rPr>
              <w:t>根据运行期统计</w:t>
            </w:r>
            <w:r>
              <w:rPr>
                <w:rFonts w:hint="eastAsia" w:ascii="Times New Roman" w:hAnsi="Times New Roman" w:cs="Times New Roman"/>
                <w:color w:val="auto"/>
                <w:sz w:val="21"/>
                <w:szCs w:val="21"/>
                <w:highlight w:val="none"/>
                <w:lang w:val="en-US" w:eastAsia="zh-CN"/>
              </w:rPr>
              <w:t>废输液袋、输液瓶等</w:t>
            </w:r>
            <w:r>
              <w:rPr>
                <w:rFonts w:ascii="Times New Roman" w:hAnsi="Times New Roman"/>
                <w:color w:val="auto"/>
                <w:highlight w:val="none"/>
              </w:rPr>
              <w:t>产生量</w:t>
            </w:r>
            <w:r>
              <w:rPr>
                <w:rFonts w:hint="eastAsia" w:ascii="Times New Roman" w:hAnsi="Times New Roman"/>
                <w:color w:val="auto"/>
                <w:highlight w:val="none"/>
                <w:lang w:val="en-US" w:eastAsia="zh-CN"/>
              </w:rPr>
              <w:t>约</w:t>
            </w:r>
            <w:r>
              <w:rPr>
                <w:rFonts w:ascii="Times New Roman" w:hAnsi="Times New Roman"/>
                <w:color w:val="auto"/>
                <w:highlight w:val="none"/>
              </w:rPr>
              <w:t>为</w:t>
            </w:r>
            <w:r>
              <w:rPr>
                <w:rFonts w:hint="eastAsia" w:ascii="Times New Roman" w:hAnsi="Times New Roman"/>
                <w:color w:val="auto"/>
                <w:highlight w:val="none"/>
                <w:lang w:val="en-US" w:eastAsia="zh-CN"/>
              </w:rPr>
              <w:t>10</w:t>
            </w:r>
            <w:r>
              <w:rPr>
                <w:rFonts w:ascii="Times New Roman" w:hAnsi="Times New Roman"/>
                <w:color w:val="auto"/>
                <w:highlight w:val="none"/>
              </w:rPr>
              <w:t>kg/d</w:t>
            </w:r>
            <w:r>
              <w:rPr>
                <w:rFonts w:ascii="Times New Roman" w:hAnsi="Times New Roman"/>
                <w:color w:val="0000FF"/>
                <w:highlight w:val="none"/>
              </w:rPr>
              <w:t>，</w:t>
            </w:r>
            <w:r>
              <w:rPr>
                <w:rFonts w:hint="eastAsia" w:ascii="Times New Roman" w:hAnsi="Times New Roman"/>
                <w:color w:val="0000FF"/>
                <w:highlight w:val="none"/>
                <w:lang w:val="en-US" w:eastAsia="zh-CN"/>
              </w:rPr>
              <w:t>3</w:t>
            </w:r>
            <w:r>
              <w:rPr>
                <w:rFonts w:hint="eastAsia" w:ascii="Times New Roman" w:hAnsi="Times New Roman"/>
                <w:color w:val="0000FF"/>
                <w:highlight w:val="none"/>
              </w:rPr>
              <w:t>.</w:t>
            </w:r>
            <w:r>
              <w:rPr>
                <w:rFonts w:hint="eastAsia" w:ascii="Times New Roman" w:hAnsi="Times New Roman"/>
                <w:color w:val="0000FF"/>
                <w:highlight w:val="none"/>
                <w:lang w:val="en-US" w:eastAsia="zh-CN"/>
              </w:rPr>
              <w:t>6</w:t>
            </w:r>
            <w:r>
              <w:rPr>
                <w:rFonts w:hint="eastAsia" w:ascii="Times New Roman" w:hAnsi="Times New Roman"/>
                <w:color w:val="0000FF"/>
                <w:highlight w:val="none"/>
              </w:rPr>
              <w:t>5</w:t>
            </w:r>
            <w:r>
              <w:rPr>
                <w:rFonts w:ascii="Times New Roman" w:hAnsi="Times New Roman"/>
                <w:color w:val="0000FF"/>
                <w:highlight w:val="none"/>
              </w:rPr>
              <w:t>t/a。</w:t>
            </w:r>
            <w:r>
              <w:rPr>
                <w:rFonts w:hint="eastAsia" w:ascii="Times New Roman" w:hAnsi="Times New Roman" w:cs="Times New Roman"/>
                <w:color w:val="auto"/>
                <w:sz w:val="21"/>
                <w:szCs w:val="21"/>
                <w:highlight w:val="none"/>
                <w:lang w:val="en-US" w:eastAsia="zh-CN"/>
              </w:rPr>
              <w:t>废输液袋、输液瓶等</w:t>
            </w:r>
            <w:r>
              <w:rPr>
                <w:rFonts w:ascii="Times New Roman" w:hAnsi="Times New Roman"/>
                <w:color w:val="auto"/>
                <w:highlight w:val="none"/>
              </w:rPr>
              <w:t>垃圾</w:t>
            </w:r>
            <w:r>
              <w:rPr>
                <w:rFonts w:hint="eastAsia" w:ascii="Times New Roman" w:hAnsi="Times New Roman"/>
                <w:color w:val="auto"/>
                <w:highlight w:val="none"/>
                <w:lang w:val="en-US" w:eastAsia="zh-CN"/>
              </w:rPr>
              <w:t>消毒后</w:t>
            </w:r>
            <w:r>
              <w:rPr>
                <w:rFonts w:hint="eastAsia" w:ascii="Times New Roman" w:hAnsi="Times New Roman"/>
                <w:color w:val="auto"/>
                <w:highlight w:val="none"/>
              </w:rPr>
              <w:t>，专用</w:t>
            </w:r>
            <w:r>
              <w:rPr>
                <w:rFonts w:hint="eastAsia" w:ascii="Times New Roman" w:hAnsi="Times New Roman"/>
                <w:color w:val="auto"/>
                <w:highlight w:val="none"/>
                <w:lang w:val="en-US" w:eastAsia="zh-CN"/>
              </w:rPr>
              <w:t>收集袋收存</w:t>
            </w:r>
            <w:r>
              <w:rPr>
                <w:rFonts w:hint="eastAsia" w:ascii="Times New Roman" w:hAnsi="Times New Roman"/>
                <w:color w:val="auto"/>
                <w:szCs w:val="21"/>
                <w:highlight w:val="none"/>
                <w:lang w:eastAsia="zh-CN"/>
              </w:rPr>
              <w:t>，</w:t>
            </w:r>
            <w:r>
              <w:rPr>
                <w:rFonts w:hint="eastAsia" w:ascii="Times New Roman" w:hAnsi="Times New Roman"/>
                <w:color w:val="auto"/>
                <w:szCs w:val="21"/>
                <w:highlight w:val="none"/>
                <w:lang w:val="en-US" w:eastAsia="zh-CN"/>
              </w:rPr>
              <w:t>医废间暂存，</w:t>
            </w:r>
            <w:r>
              <w:rPr>
                <w:rFonts w:hint="eastAsia" w:ascii="Times New Roman" w:hAnsi="Times New Roman"/>
                <w:bCs/>
                <w:color w:val="auto"/>
                <w:kern w:val="2"/>
                <w:highlight w:val="none"/>
              </w:rPr>
              <w:t>交</w:t>
            </w:r>
            <w:r>
              <w:rPr>
                <w:rFonts w:hint="eastAsia" w:ascii="Times New Roman" w:hAnsi="Times New Roman"/>
                <w:bCs/>
                <w:color w:val="auto"/>
                <w:kern w:val="2"/>
                <w:highlight w:val="none"/>
                <w:lang w:val="en-US" w:eastAsia="zh-CN"/>
              </w:rPr>
              <w:t>由陕西宏恩等离子技术有限责任公司</w:t>
            </w:r>
            <w:r>
              <w:rPr>
                <w:rFonts w:hint="eastAsia" w:ascii="Times New Roman" w:hAnsi="Times New Roman"/>
                <w:bCs/>
                <w:color w:val="auto"/>
                <w:kern w:val="2"/>
                <w:highlight w:val="none"/>
              </w:rPr>
              <w:t>收集处置</w:t>
            </w:r>
            <w:r>
              <w:rPr>
                <w:rFonts w:hint="eastAsia" w:ascii="Times New Roman" w:hAnsi="Times New Roman"/>
                <w:color w:val="auto"/>
                <w:highlight w:val="none"/>
              </w:rPr>
              <w:t>。</w:t>
            </w:r>
          </w:p>
          <w:p>
            <w:pPr>
              <w:pStyle w:val="2"/>
              <w:spacing w:line="360" w:lineRule="auto"/>
              <w:rPr>
                <w:color w:val="auto"/>
                <w:highlight w:val="none"/>
              </w:rPr>
            </w:pPr>
            <w:r>
              <w:rPr>
                <w:rFonts w:hint="eastAsia"/>
                <w:color w:val="auto"/>
                <w:highlight w:val="none"/>
              </w:rPr>
              <w:t>（</w:t>
            </w:r>
            <w:r>
              <w:rPr>
                <w:rFonts w:hint="eastAsia"/>
                <w:color w:val="auto"/>
                <w:highlight w:val="none"/>
                <w:lang w:val="en-US" w:eastAsia="zh-CN"/>
              </w:rPr>
              <w:t>3</w:t>
            </w:r>
            <w:r>
              <w:rPr>
                <w:rFonts w:hint="eastAsia"/>
                <w:color w:val="auto"/>
                <w:highlight w:val="none"/>
              </w:rPr>
              <w:t>）医疗垃圾</w:t>
            </w:r>
          </w:p>
          <w:p>
            <w:pPr>
              <w:pStyle w:val="2"/>
              <w:spacing w:line="360" w:lineRule="auto"/>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污水站污泥</w:t>
            </w:r>
          </w:p>
          <w:p>
            <w:pPr>
              <w:pStyle w:val="2"/>
              <w:spacing w:line="360" w:lineRule="auto"/>
              <w:rPr>
                <w:color w:val="auto"/>
                <w:highlight w:val="none"/>
              </w:rPr>
            </w:pPr>
            <w:r>
              <w:rPr>
                <w:color w:val="auto"/>
                <w:highlight w:val="none"/>
              </w:rPr>
              <w:t>本项目</w:t>
            </w:r>
            <w:r>
              <w:rPr>
                <w:rFonts w:hint="eastAsia"/>
                <w:color w:val="auto"/>
                <w:highlight w:val="none"/>
              </w:rPr>
              <w:t>废水排放</w:t>
            </w:r>
            <w:r>
              <w:rPr>
                <w:color w:val="auto"/>
                <w:highlight w:val="none"/>
              </w:rPr>
              <w:t>依托</w:t>
            </w:r>
            <w:r>
              <w:rPr>
                <w:rFonts w:hint="eastAsia"/>
                <w:color w:val="auto"/>
                <w:highlight w:val="none"/>
              </w:rPr>
              <w:t>医院现有污水站，</w:t>
            </w:r>
            <w:r>
              <w:rPr>
                <w:rFonts w:ascii="Times New Roman" w:hAnsi="Times New Roman" w:cs="Times New Roman"/>
                <w:color w:val="auto"/>
                <w:highlight w:val="none"/>
              </w:rPr>
              <w:t>根据国内污水厂污泥产量统计：产泥率为1.04～1.64tDS／万m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污水，</w:t>
            </w:r>
            <w:r>
              <w:rPr>
                <w:rFonts w:hint="default" w:ascii="Times New Roman" w:hAnsi="Times New Roman" w:cs="Times New Roman"/>
                <w:color w:val="auto"/>
                <w:sz w:val="21"/>
                <w:szCs w:val="21"/>
                <w:highlight w:val="none"/>
              </w:rPr>
              <w:t>本项目</w:t>
            </w:r>
            <w:r>
              <w:rPr>
                <w:rFonts w:hint="eastAsia" w:ascii="Times New Roman" w:hAnsi="Times New Roman" w:cs="Times New Roman"/>
                <w:color w:val="auto"/>
                <w:sz w:val="21"/>
                <w:szCs w:val="21"/>
                <w:highlight w:val="none"/>
                <w:lang w:val="en-US" w:eastAsia="zh-CN"/>
              </w:rPr>
              <w:t>新增</w:t>
            </w:r>
            <w:r>
              <w:rPr>
                <w:rFonts w:hint="default" w:ascii="Times New Roman" w:hAnsi="Times New Roman" w:cs="Times New Roman"/>
                <w:color w:val="auto"/>
                <w:sz w:val="21"/>
                <w:szCs w:val="21"/>
                <w:highlight w:val="none"/>
              </w:rPr>
              <w:t>污水量为</w:t>
            </w:r>
            <w:r>
              <w:rPr>
                <w:rFonts w:hint="eastAsia" w:ascii="Times New Roman" w:hAnsi="Times New Roman" w:cs="Times New Roman"/>
                <w:color w:val="auto"/>
                <w:sz w:val="21"/>
                <w:szCs w:val="21"/>
                <w:highlight w:val="none"/>
                <w:lang w:val="en-US" w:eastAsia="zh-CN"/>
              </w:rPr>
              <w:t>18.576</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/d，</w:t>
            </w:r>
            <w:r>
              <w:rPr>
                <w:rFonts w:ascii="Times New Roman" w:hAnsi="Times New Roman" w:cs="Times New Roman"/>
                <w:color w:val="auto"/>
                <w:highlight w:val="none"/>
              </w:rPr>
              <w:t>产泥率</w:t>
            </w:r>
            <w:r>
              <w:rPr>
                <w:rFonts w:hint="eastAsia" w:ascii="Times New Roman" w:hAnsi="Times New Roman" w:cs="Times New Roman"/>
                <w:color w:val="auto"/>
                <w:highlight w:val="none"/>
                <w:lang w:val="en-US" w:eastAsia="zh-CN"/>
              </w:rPr>
              <w:t>按最大值计算，污泥含水率以80%计，</w:t>
            </w:r>
            <w:r>
              <w:rPr>
                <w:rFonts w:ascii="Times New Roman" w:hAnsi="Times New Roman" w:cs="Times New Roman"/>
                <w:color w:val="auto"/>
                <w:highlight w:val="none"/>
              </w:rPr>
              <w:t>则本项目</w:t>
            </w:r>
            <w:r>
              <w:rPr>
                <w:rFonts w:hint="eastAsia" w:ascii="Times New Roman" w:hAnsi="Times New Roman" w:cs="Times New Roman"/>
                <w:color w:val="auto"/>
                <w:highlight w:val="none"/>
                <w:lang w:val="en-US" w:eastAsia="zh-CN"/>
              </w:rPr>
              <w:t>污水站新增</w:t>
            </w:r>
            <w:r>
              <w:rPr>
                <w:rFonts w:ascii="Times New Roman" w:hAnsi="Times New Roman" w:cs="Times New Roman"/>
                <w:color w:val="auto"/>
                <w:highlight w:val="none"/>
              </w:rPr>
              <w:t>污泥量为</w:t>
            </w:r>
            <w:r>
              <w:rPr>
                <w:rFonts w:hint="eastAsia" w:ascii="Times New Roman" w:hAnsi="Times New Roman" w:cs="Times New Roman"/>
                <w:color w:val="auto"/>
                <w:highlight w:val="none"/>
                <w:lang w:val="en-US" w:eastAsia="zh-CN"/>
              </w:rPr>
              <w:t>0.004</w:t>
            </w:r>
            <w:r>
              <w:rPr>
                <w:rFonts w:hint="eastAsia" w:ascii="Times New Roman" w:hAnsi="Times New Roman" w:cs="Times New Roman"/>
                <w:color w:val="auto"/>
                <w:highlight w:val="none"/>
              </w:rPr>
              <w:t>t</w:t>
            </w:r>
            <w:r>
              <w:rPr>
                <w:rFonts w:ascii="Times New Roman" w:hAnsi="Times New Roman" w:cs="Times New Roman"/>
                <w:color w:val="auto"/>
                <w:highlight w:val="none"/>
              </w:rPr>
              <w:t>/a</w:t>
            </w:r>
            <w:r>
              <w:rPr>
                <w:rFonts w:hint="eastAsia"/>
                <w:color w:val="auto"/>
                <w:highlight w:val="none"/>
              </w:rPr>
              <w:t>。</w:t>
            </w:r>
          </w:p>
          <w:p>
            <w:pPr>
              <w:pStyle w:val="2"/>
              <w:spacing w:line="360" w:lineRule="auto"/>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lang w:val="en-US" w:eastAsia="zh-CN"/>
              </w:rPr>
              <w:t>医疗垃圾</w:t>
            </w:r>
          </w:p>
          <w:p>
            <w:pPr>
              <w:pStyle w:val="2"/>
              <w:spacing w:line="360" w:lineRule="auto"/>
              <w:rPr>
                <w:color w:val="auto"/>
                <w:highlight w:val="none"/>
              </w:rPr>
            </w:pPr>
            <w:r>
              <w:rPr>
                <w:rFonts w:hint="eastAsia"/>
                <w:color w:val="auto"/>
                <w:highlight w:val="none"/>
              </w:rPr>
              <w:t>医疗废物包括废棉球、废棉签、废纱布、一次性注射器、一次性针头、废血液样品、废检测试剂盒、废弃药品等，医疗废物分别采用塑料利器盒和加厚塑料袋包装后收集于危废暂存间，委托资质单位定期进行处理。</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结合《</w:t>
            </w:r>
            <w:r>
              <w:rPr>
                <w:rFonts w:ascii="Times New Roman" w:hAnsi="Times New Roman"/>
                <w:color w:val="auto"/>
                <w:highlight w:val="none"/>
              </w:rPr>
              <w:t>西安市医疗废物集中处置实施方案</w:t>
            </w:r>
            <w:r>
              <w:rPr>
                <w:rFonts w:hint="eastAsia" w:ascii="Times New Roman" w:hAnsi="Times New Roman"/>
                <w:color w:val="auto"/>
                <w:highlight w:val="none"/>
              </w:rPr>
              <w:t>》的相关要求，医院日常运营过程中对医疗垃圾应重点关注以下几点：</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①</w:t>
            </w:r>
            <w:r>
              <w:rPr>
                <w:rFonts w:ascii="Times New Roman" w:hAnsi="Times New Roman"/>
                <w:color w:val="auto"/>
                <w:highlight w:val="none"/>
              </w:rPr>
              <w:t>项目应当根据《医疗废物分类目录》，对医疗废物实施分类收集、分类管理。</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②根据医疗废物的类别，将医疗废物分置于符合《医疗废物专用包装物、容器的标准和警示标识的规定》的包装物或者容器内；在盛装医疗废物前，应当对医疗废物包装物或者容器进行认真检查，确保无破损、渗漏和其它缺陷。</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③盛装的医疗废物达到包装物或者容器的3/4时，应当使用有效的封口方式，使包装物或者容器的封口紧实、严密。包装物或者容器的外表面被感染性废物污染时，应当对被污染处进行消毒处理或者增加一层包装。医疗废物暂时贮存的时间不得超过2天。盛装医疗废物的每个包装物、容器外表面应当有警示标识。</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④项目内医疗废物产生地点应当有医疗废物分类收集方法示意图或文字说明。禁止项目及其工作人员转让、买卖医疗废物。禁止在非收集、非暂时贮存地点倾倒、堆放医疗废物，禁止将医疗废物混入其它废物和生活垃圾。</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⑤项目应当对医疗废物进行登记，登记内容应当包括医疗废物的来源、种类、重量或者数量、交接时间、最终去向以及经办人签名等项目。登记资料保存</w:t>
            </w:r>
            <w:r>
              <w:rPr>
                <w:rFonts w:hint="eastAsia" w:ascii="Times New Roman" w:hAnsi="Times New Roman"/>
                <w:color w:val="auto"/>
                <w:highlight w:val="none"/>
                <w:lang w:val="en-US" w:eastAsia="zh-CN"/>
              </w:rPr>
              <w:t>10</w:t>
            </w:r>
            <w:r>
              <w:rPr>
                <w:rFonts w:hint="eastAsia" w:ascii="Times New Roman" w:hAnsi="Times New Roman"/>
                <w:color w:val="auto"/>
                <w:highlight w:val="none"/>
              </w:rPr>
              <w:t>年。严格落实危险废物转移联单制度。</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医废暂存间应避免阳光直射，暂存位置地面及墙面必须做防渗处理，地基高度可以确保不受雨洪冲击或浸泡；与医疗区、人员活动密集区以及生活垃圾存放地分开，并设置防鼠、防蚊蝇、防蟑螂、防盗以及预防儿童接触等安全措施。医疗废物的暂时贮存设施、设备定期消毒和清洁。同时，危险废物的收集、储存和运输等均应符合危险废物执行《危险废物贮存污染控制标准》（GB18597-20</w:t>
            </w:r>
            <w:r>
              <w:rPr>
                <w:rFonts w:hint="eastAsia" w:ascii="Times New Roman" w:hAnsi="Times New Roman"/>
                <w:color w:val="auto"/>
                <w:highlight w:val="none"/>
                <w:lang w:val="en-US" w:eastAsia="zh-CN"/>
              </w:rPr>
              <w:t>23</w:t>
            </w:r>
            <w:r>
              <w:rPr>
                <w:rFonts w:hint="eastAsia" w:ascii="Times New Roman" w:hAnsi="Times New Roman"/>
                <w:color w:val="auto"/>
                <w:highlight w:val="none"/>
              </w:rPr>
              <w:t>）的相关规定要求。</w:t>
            </w:r>
          </w:p>
          <w:p>
            <w:pPr>
              <w:spacing w:line="360" w:lineRule="auto"/>
              <w:ind w:firstLine="420" w:firstLineChars="200"/>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根据现场调查，</w:t>
            </w:r>
            <w:r>
              <w:rPr>
                <w:rFonts w:hint="eastAsia" w:ascii="Times New Roman" w:hAnsi="Times New Roman"/>
                <w:bCs/>
                <w:color w:val="auto"/>
                <w:kern w:val="2"/>
                <w:highlight w:val="none"/>
                <w:lang w:val="en-US" w:eastAsia="zh-CN"/>
              </w:rPr>
              <w:t>医院现有</w:t>
            </w:r>
            <w:r>
              <w:rPr>
                <w:rFonts w:hint="eastAsia" w:ascii="Times New Roman" w:hAnsi="Times New Roman"/>
                <w:bCs/>
                <w:color w:val="auto"/>
                <w:kern w:val="2"/>
                <w:highlight w:val="none"/>
              </w:rPr>
              <w:t>医废暂存间</w:t>
            </w:r>
            <w:r>
              <w:rPr>
                <w:rFonts w:hint="eastAsia" w:ascii="Times New Roman" w:hAnsi="Times New Roman"/>
                <w:bCs/>
                <w:color w:val="auto"/>
                <w:kern w:val="2"/>
                <w:highlight w:val="none"/>
                <w:lang w:val="en-US" w:eastAsia="zh-CN"/>
              </w:rPr>
              <w:t>1座，位于医院南侧，面积25m</w:t>
            </w:r>
            <w:r>
              <w:rPr>
                <w:rFonts w:hint="eastAsia" w:ascii="Times New Roman" w:hAnsi="Times New Roman"/>
                <w:bCs/>
                <w:color w:val="auto"/>
                <w:kern w:val="2"/>
                <w:highlight w:val="none"/>
                <w:vertAlign w:val="superscript"/>
                <w:lang w:val="en-US" w:eastAsia="zh-CN"/>
              </w:rPr>
              <w:t>2</w:t>
            </w:r>
            <w:r>
              <w:rPr>
                <w:rFonts w:hint="eastAsia" w:ascii="Times New Roman" w:hAnsi="Times New Roman"/>
                <w:bCs/>
                <w:color w:val="auto"/>
                <w:kern w:val="2"/>
                <w:highlight w:val="none"/>
                <w:lang w:val="en-US" w:eastAsia="zh-CN"/>
              </w:rPr>
              <w:t>，有足够的的空间容纳本项目</w:t>
            </w:r>
            <w:r>
              <w:rPr>
                <w:rFonts w:hint="eastAsia" w:ascii="Times New Roman" w:hAnsi="Times New Roman"/>
                <w:color w:val="auto"/>
                <w:highlight w:val="none"/>
              </w:rPr>
              <w:t>发热门诊</w:t>
            </w:r>
            <w:r>
              <w:rPr>
                <w:rFonts w:hint="eastAsia" w:ascii="Times New Roman" w:hAnsi="Times New Roman"/>
                <w:bCs/>
                <w:color w:val="auto"/>
                <w:kern w:val="2"/>
                <w:highlight w:val="none"/>
              </w:rPr>
              <w:t>医疗废物</w:t>
            </w:r>
            <w:r>
              <w:rPr>
                <w:rFonts w:hint="eastAsia" w:ascii="Times New Roman" w:hAnsi="Times New Roman"/>
                <w:bCs/>
                <w:color w:val="auto"/>
                <w:kern w:val="2"/>
                <w:highlight w:val="none"/>
                <w:lang w:eastAsia="zh-CN"/>
              </w:rPr>
              <w:t>，</w:t>
            </w:r>
            <w:r>
              <w:rPr>
                <w:rFonts w:hint="eastAsia" w:ascii="Times New Roman" w:hAnsi="Times New Roman"/>
                <w:bCs/>
                <w:color w:val="auto"/>
                <w:kern w:val="2"/>
                <w:highlight w:val="none"/>
                <w:lang w:val="en-US" w:eastAsia="zh-CN"/>
              </w:rPr>
              <w:t>依托可行。</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综上，本项目在做好以上污染防治措施的基础上，其运营期各种固废均可得到有效处置，不会产生二次污染，对环境影响较小。</w:t>
            </w:r>
          </w:p>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5、地下水、土壤</w:t>
            </w:r>
          </w:p>
          <w:p>
            <w:pPr>
              <w:spacing w:line="360" w:lineRule="auto"/>
              <w:ind w:firstLine="420" w:firstLineChars="20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本项目</w:t>
            </w:r>
            <w:r>
              <w:rPr>
                <w:rFonts w:hint="eastAsia" w:ascii="Times New Roman" w:hAnsi="Times New Roman" w:cs="Times New Roman"/>
                <w:color w:val="auto"/>
                <w:highlight w:val="none"/>
                <w:lang w:val="en-US" w:eastAsia="zh-CN"/>
              </w:rPr>
              <w:t>依托医院现有污水站及医废暂存间，</w:t>
            </w:r>
            <w:r>
              <w:rPr>
                <w:rFonts w:hint="eastAsia" w:ascii="Times New Roman" w:hAnsi="Times New Roman" w:eastAsia="宋体" w:cs="Times New Roman"/>
                <w:color w:val="auto"/>
                <w:highlight w:val="none"/>
              </w:rPr>
              <w:t>不涉及地下水、土壤污染途径。</w:t>
            </w:r>
          </w:p>
          <w:p>
            <w:pPr>
              <w:spacing w:line="360" w:lineRule="auto"/>
              <w:ind w:firstLine="42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6、环境风险</w:t>
            </w:r>
          </w:p>
          <w:p>
            <w:pPr>
              <w:spacing w:line="360" w:lineRule="auto"/>
              <w:ind w:firstLine="42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本项目不设置酒精库，医疗用酒精按需医院医疗物资库领取，本项目不涉及环境风险。</w:t>
            </w:r>
          </w:p>
          <w:p>
            <w:pPr>
              <w:spacing w:line="360" w:lineRule="auto"/>
              <w:ind w:firstLine="42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7、污染物排放清单汇总</w:t>
            </w:r>
          </w:p>
          <w:p>
            <w:pPr>
              <w:spacing w:line="360" w:lineRule="auto"/>
              <w:ind w:firstLine="42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本项目污染物排放清单汇总见表4-9。</w:t>
            </w:r>
          </w:p>
          <w:p>
            <w:pPr>
              <w:adjustRightInd w:val="0"/>
              <w:snapToGrid w:val="0"/>
              <w:spacing w:before="156" w:beforeLines="50" w:after="0"/>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表</w:t>
            </w:r>
            <w:r>
              <w:rPr>
                <w:rFonts w:hint="eastAsia" w:ascii="Times New Roman" w:hAnsi="Times New Roman" w:cs="Times New Roman"/>
                <w:b/>
                <w:color w:val="auto"/>
                <w:sz w:val="21"/>
                <w:szCs w:val="21"/>
                <w:highlight w:val="none"/>
                <w:lang w:val="en-US" w:eastAsia="zh-CN"/>
              </w:rPr>
              <w:t>4</w:t>
            </w:r>
            <w:r>
              <w:rPr>
                <w:rFonts w:hint="default" w:ascii="Times New Roman" w:hAnsi="Times New Roman" w:eastAsia="宋体" w:cs="Times New Roman"/>
                <w:b/>
                <w:color w:val="auto"/>
                <w:sz w:val="21"/>
                <w:szCs w:val="21"/>
                <w:highlight w:val="none"/>
                <w:lang w:val="en-US" w:eastAsia="zh-CN"/>
              </w:rPr>
              <w:t>-</w:t>
            </w:r>
            <w:r>
              <w:rPr>
                <w:rFonts w:hint="eastAsia" w:ascii="Times New Roman" w:hAnsi="Times New Roman" w:cs="Times New Roman"/>
                <w:b/>
                <w:color w:val="auto"/>
                <w:sz w:val="21"/>
                <w:szCs w:val="21"/>
                <w:highlight w:val="none"/>
                <w:lang w:val="en-US" w:eastAsia="zh-CN"/>
              </w:rPr>
              <w:t xml:space="preserve">9  </w:t>
            </w:r>
            <w:r>
              <w:rPr>
                <w:rFonts w:hint="default" w:ascii="Times New Roman" w:hAnsi="Times New Roman" w:eastAsia="宋体" w:cs="Times New Roman"/>
                <w:b/>
                <w:color w:val="auto"/>
                <w:sz w:val="21"/>
                <w:szCs w:val="21"/>
                <w:highlight w:val="none"/>
                <w:lang w:val="en-US" w:eastAsia="zh-CN"/>
              </w:rPr>
              <w:t xml:space="preserve"> 污染物排放</w:t>
            </w:r>
            <w:r>
              <w:rPr>
                <w:rFonts w:hint="eastAsia" w:ascii="Times New Roman" w:hAnsi="Times New Roman" w:cs="Times New Roman"/>
                <w:b/>
                <w:color w:val="auto"/>
                <w:sz w:val="21"/>
                <w:szCs w:val="21"/>
                <w:highlight w:val="none"/>
                <w:lang w:val="en-US" w:eastAsia="zh-CN"/>
              </w:rPr>
              <w:t>情况汇总一览表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1616"/>
              <w:gridCol w:w="1568"/>
              <w:gridCol w:w="1643"/>
              <w:gridCol w:w="1274"/>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43"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项目</w:t>
                  </w:r>
                </w:p>
              </w:tc>
              <w:tc>
                <w:tcPr>
                  <w:tcW w:w="100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污染物</w:t>
                  </w:r>
                </w:p>
              </w:tc>
              <w:tc>
                <w:tcPr>
                  <w:tcW w:w="978"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cs="Times New Roman"/>
                      <w:b/>
                      <w:color w:val="auto"/>
                      <w:sz w:val="21"/>
                      <w:szCs w:val="21"/>
                      <w:highlight w:val="none"/>
                    </w:rPr>
                    <w:t>排放量（t/a）</w:t>
                  </w:r>
                </w:p>
              </w:tc>
              <w:tc>
                <w:tcPr>
                  <w:tcW w:w="1022"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color w:val="auto"/>
                      <w:sz w:val="21"/>
                      <w:szCs w:val="21"/>
                      <w:highlight w:val="none"/>
                      <w:lang w:eastAsia="zh-CN"/>
                    </w:rPr>
                  </w:pPr>
                  <w:r>
                    <w:rPr>
                      <w:rFonts w:hint="eastAsia" w:ascii="Times New Roman" w:hAnsi="Times New Roman" w:cs="Times New Roman"/>
                      <w:b/>
                      <w:color w:val="auto"/>
                      <w:sz w:val="21"/>
                      <w:szCs w:val="21"/>
                      <w:highlight w:val="none"/>
                      <w:lang w:eastAsia="zh-CN"/>
                    </w:rPr>
                    <w:t>最大</w:t>
                  </w:r>
                  <w:r>
                    <w:rPr>
                      <w:rFonts w:hint="default" w:ascii="Times New Roman" w:hAnsi="Times New Roman" w:cs="Times New Roman"/>
                      <w:b/>
                      <w:color w:val="auto"/>
                      <w:sz w:val="21"/>
                      <w:szCs w:val="21"/>
                      <w:highlight w:val="none"/>
                      <w:lang w:eastAsia="zh-CN"/>
                    </w:rPr>
                    <w:t>排放浓度</w:t>
                  </w:r>
                  <w:r>
                    <w:rPr>
                      <w:rFonts w:ascii="Times New Roman" w:hAnsi="Times New Roman"/>
                      <w:b/>
                      <w:bCs/>
                      <w:color w:val="auto"/>
                      <w:szCs w:val="21"/>
                      <w:highlight w:val="none"/>
                    </w:rPr>
                    <w:t>mg/</w:t>
                  </w:r>
                  <w:r>
                    <w:rPr>
                      <w:rFonts w:hint="eastAsia" w:ascii="Times New Roman" w:hAnsi="Times New Roman"/>
                      <w:b/>
                      <w:bCs/>
                      <w:color w:val="auto"/>
                      <w:szCs w:val="21"/>
                      <w:highlight w:val="none"/>
                    </w:rPr>
                    <w:t>L</w:t>
                  </w:r>
                </w:p>
              </w:tc>
              <w:tc>
                <w:tcPr>
                  <w:tcW w:w="806"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color w:val="auto"/>
                      <w:sz w:val="21"/>
                      <w:szCs w:val="21"/>
                      <w:highlight w:val="none"/>
                      <w:lang w:eastAsia="zh-CN"/>
                    </w:rPr>
                  </w:pPr>
                  <w:r>
                    <w:rPr>
                      <w:rFonts w:hint="eastAsia" w:ascii="Times New Roman" w:hAnsi="Times New Roman" w:cs="Times New Roman"/>
                      <w:b/>
                      <w:color w:val="auto"/>
                      <w:sz w:val="21"/>
                      <w:szCs w:val="21"/>
                      <w:highlight w:val="none"/>
                      <w:lang w:eastAsia="zh-CN"/>
                    </w:rPr>
                    <w:t>防治</w:t>
                  </w:r>
                  <w:r>
                    <w:rPr>
                      <w:rFonts w:hint="default" w:ascii="Times New Roman" w:hAnsi="Times New Roman" w:cs="Times New Roman"/>
                      <w:b/>
                      <w:color w:val="auto"/>
                      <w:sz w:val="21"/>
                      <w:szCs w:val="21"/>
                      <w:highlight w:val="none"/>
                      <w:lang w:eastAsia="zh-CN"/>
                    </w:rPr>
                    <w:t>措施</w:t>
                  </w:r>
                </w:p>
              </w:tc>
              <w:tc>
                <w:tcPr>
                  <w:tcW w:w="842"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color w:val="auto"/>
                      <w:sz w:val="21"/>
                      <w:szCs w:val="21"/>
                      <w:highlight w:val="none"/>
                      <w:lang w:eastAsia="zh-CN"/>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废</w:t>
                  </w:r>
                  <w:r>
                    <w:rPr>
                      <w:rFonts w:hint="eastAsia" w:ascii="Times New Roman" w:hAnsi="Times New Roman" w:cs="Times New Roman"/>
                      <w:color w:val="auto"/>
                      <w:sz w:val="21"/>
                      <w:szCs w:val="21"/>
                      <w:highlight w:val="none"/>
                      <w:lang w:eastAsia="zh-CN"/>
                    </w:rPr>
                    <w:t>水</w:t>
                  </w:r>
                </w:p>
              </w:tc>
              <w:tc>
                <w:tcPr>
                  <w:tcW w:w="1006" w:type="pct"/>
                  <w:noWrap w:val="0"/>
                  <w:vAlign w:val="center"/>
                </w:tcPr>
                <w:p>
                  <w:pPr>
                    <w:pStyle w:val="68"/>
                    <w:rPr>
                      <w:rFonts w:hint="default" w:ascii="Times New Roman" w:hAnsi="Times New Roman" w:cs="Times New Roman"/>
                      <w:color w:val="auto"/>
                      <w:sz w:val="21"/>
                      <w:szCs w:val="21"/>
                      <w:highlight w:val="none"/>
                    </w:rPr>
                  </w:pPr>
                  <w:r>
                    <w:rPr>
                      <w:rFonts w:hint="eastAsia"/>
                      <w:color w:val="auto"/>
                      <w:szCs w:val="21"/>
                      <w:highlight w:val="none"/>
                    </w:rPr>
                    <w:t>SS</w:t>
                  </w:r>
                </w:p>
              </w:tc>
              <w:tc>
                <w:tcPr>
                  <w:tcW w:w="97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highlight w:val="none"/>
                      <w:lang w:val="en-US" w:eastAsia="zh-CN"/>
                    </w:rPr>
                    <w:t xml:space="preserve">0.04746 </w:t>
                  </w:r>
                </w:p>
              </w:tc>
              <w:tc>
                <w:tcPr>
                  <w:tcW w:w="1022" w:type="pct"/>
                  <w:noWrap w:val="0"/>
                  <w:vAlign w:val="center"/>
                </w:tcPr>
                <w:p>
                  <w:pPr>
                    <w:pStyle w:val="68"/>
                    <w:rPr>
                      <w:rFonts w:hint="default" w:ascii="Times New Roman" w:hAnsi="Times New Roman" w:cs="Times New Roman"/>
                      <w:color w:val="auto"/>
                      <w:sz w:val="21"/>
                      <w:szCs w:val="21"/>
                      <w:highlight w:val="none"/>
                      <w:lang w:val="en-US" w:eastAsia="zh-CN"/>
                    </w:rPr>
                  </w:pPr>
                  <w:r>
                    <w:rPr>
                      <w:rFonts w:hint="eastAsia"/>
                      <w:color w:val="auto"/>
                      <w:szCs w:val="21"/>
                      <w:highlight w:val="none"/>
                    </w:rPr>
                    <w:t>7</w:t>
                  </w:r>
                  <w:r>
                    <w:rPr>
                      <w:rFonts w:ascii="Times New Roman" w:hAnsi="Times New Roman"/>
                      <w:b w:val="0"/>
                      <w:bCs w:val="0"/>
                      <w:color w:val="auto"/>
                      <w:szCs w:val="21"/>
                      <w:highlight w:val="none"/>
                    </w:rPr>
                    <w:t>mg/</w:t>
                  </w:r>
                  <w:r>
                    <w:rPr>
                      <w:rFonts w:hint="eastAsia" w:ascii="Times New Roman" w:hAnsi="Times New Roman"/>
                      <w:b w:val="0"/>
                      <w:bCs w:val="0"/>
                      <w:color w:val="auto"/>
                      <w:szCs w:val="21"/>
                      <w:highlight w:val="none"/>
                    </w:rPr>
                    <w:t>L</w:t>
                  </w:r>
                </w:p>
              </w:tc>
              <w:tc>
                <w:tcPr>
                  <w:tcW w:w="806"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r>
                    <w:rPr>
                      <w:rFonts w:hint="eastAsia" w:ascii="Times New Roman" w:hAnsi="Times New Roman"/>
                      <w:color w:val="auto"/>
                      <w:highlight w:val="none"/>
                      <w:lang w:val="en-US" w:eastAsia="zh-CN"/>
                    </w:rPr>
                    <w:t>依托医院现有污水处理站1座，采用</w:t>
                  </w:r>
                  <w:r>
                    <w:rPr>
                      <w:rFonts w:hint="eastAsia" w:ascii="Times New Roman" w:hAnsi="Times New Roman"/>
                      <w:color w:val="auto"/>
                      <w:highlight w:val="none"/>
                    </w:rPr>
                    <w:t>“二级处理</w:t>
                  </w:r>
                  <w:r>
                    <w:rPr>
                      <w:rFonts w:ascii="Times New Roman" w:hAnsi="Times New Roman"/>
                      <w:color w:val="auto"/>
                      <w:highlight w:val="none"/>
                    </w:rPr>
                    <w:t>+</w:t>
                  </w:r>
                  <w:r>
                    <w:rPr>
                      <w:rFonts w:hint="eastAsia" w:ascii="Times New Roman" w:hAnsi="Times New Roman"/>
                      <w:color w:val="auto"/>
                      <w:highlight w:val="none"/>
                    </w:rPr>
                    <w:t>二氧化氯消毒”</w:t>
                  </w:r>
                </w:p>
              </w:tc>
              <w:tc>
                <w:tcPr>
                  <w:tcW w:w="84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left"/>
                    <w:textAlignment w:val="auto"/>
                    <w:outlineLvl w:val="9"/>
                    <w:rPr>
                      <w:rFonts w:hint="default" w:ascii="Times New Roman" w:hAnsi="Times New Roman" w:cs="Times New Roman"/>
                      <w:color w:val="auto"/>
                      <w:sz w:val="21"/>
                      <w:szCs w:val="21"/>
                      <w:highlight w:val="none"/>
                      <w:lang w:val="en-US" w:eastAsia="zh-CN"/>
                    </w:rPr>
                  </w:pPr>
                  <w:r>
                    <w:rPr>
                      <w:rFonts w:hint="eastAsia" w:ascii="Times New Roman" w:hAnsi="Times New Roman"/>
                      <w:color w:val="auto"/>
                      <w:highlight w:val="none"/>
                    </w:rPr>
                    <w:t>《医疗机构水污染物排放标准》（GB18466-2005）预处理标准及</w:t>
                  </w:r>
                  <w:r>
                    <w:rPr>
                      <w:rFonts w:ascii="Times New Roman" w:hAnsi="Times New Roman"/>
                      <w:color w:val="auto"/>
                      <w:highlight w:val="none"/>
                    </w:rPr>
                    <w:t>GB/T31962-2015《污水排入城镇下水道水质标准》</w:t>
                  </w:r>
                  <w:r>
                    <w:rPr>
                      <w:rFonts w:hint="eastAsia" w:ascii="Times New Roman" w:hAnsi="Times New Roman"/>
                      <w:color w:val="auto"/>
                      <w:highlight w:val="none"/>
                    </w:rPr>
                    <w:t>B</w:t>
                  </w:r>
                  <w:r>
                    <w:rPr>
                      <w:rFonts w:ascii="Times New Roman" w:hAnsi="Times New Roman"/>
                      <w:color w:val="auto"/>
                      <w:highlight w:val="none"/>
                    </w:rPr>
                    <w:t>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eastAsia="zh-CN"/>
                    </w:rPr>
                  </w:pPr>
                </w:p>
              </w:tc>
              <w:tc>
                <w:tcPr>
                  <w:tcW w:w="1006" w:type="pct"/>
                  <w:noWrap w:val="0"/>
                  <w:vAlign w:val="center"/>
                </w:tcPr>
                <w:p>
                  <w:pPr>
                    <w:pStyle w:val="68"/>
                    <w:rPr>
                      <w:rFonts w:hint="default" w:ascii="Times New Roman" w:hAnsi="Times New Roman" w:cs="Times New Roman"/>
                      <w:snapToGrid w:val="0"/>
                      <w:color w:val="0000FF"/>
                      <w:kern w:val="21"/>
                      <w:szCs w:val="21"/>
                      <w:highlight w:val="none"/>
                      <w:lang w:val="en-US" w:eastAsia="zh-CN"/>
                    </w:rPr>
                  </w:pPr>
                  <w:r>
                    <w:rPr>
                      <w:rFonts w:hint="eastAsia"/>
                      <w:color w:val="0000FF"/>
                      <w:szCs w:val="21"/>
                      <w:highlight w:val="none"/>
                      <w:lang w:val="zh-CN"/>
                    </w:rPr>
                    <w:t>COD</w:t>
                  </w:r>
                </w:p>
              </w:tc>
              <w:tc>
                <w:tcPr>
                  <w:tcW w:w="978" w:type="pct"/>
                  <w:noWrap w:val="0"/>
                  <w:vAlign w:val="center"/>
                </w:tcPr>
                <w:p>
                  <w:pPr>
                    <w:jc w:val="center"/>
                    <w:rPr>
                      <w:rFonts w:hint="default" w:ascii="Times New Roman" w:hAnsi="Times New Roman" w:cs="Times New Roman"/>
                      <w:color w:val="0000FF"/>
                      <w:sz w:val="21"/>
                      <w:szCs w:val="21"/>
                      <w:highlight w:val="none"/>
                      <w:lang w:val="en-US" w:eastAsia="zh-CN"/>
                    </w:rPr>
                  </w:pPr>
                  <w:r>
                    <w:rPr>
                      <w:rFonts w:hint="eastAsia" w:ascii="Times New Roman" w:hAnsi="Times New Roman" w:eastAsia="宋体" w:cs="Times New Roman"/>
                      <w:color w:val="0000FF"/>
                      <w:highlight w:val="none"/>
                      <w:lang w:val="en-US" w:eastAsia="zh-CN"/>
                    </w:rPr>
                    <w:t xml:space="preserve">0.07458 </w:t>
                  </w:r>
                </w:p>
              </w:tc>
              <w:tc>
                <w:tcPr>
                  <w:tcW w:w="1022" w:type="pct"/>
                  <w:noWrap w:val="0"/>
                  <w:vAlign w:val="center"/>
                </w:tcPr>
                <w:p>
                  <w:pPr>
                    <w:pStyle w:val="68"/>
                    <w:rPr>
                      <w:rStyle w:val="22"/>
                      <w:rFonts w:hint="eastAsia" w:ascii="Times New Roman" w:hAnsi="Times New Roman" w:cs="Times New Roman"/>
                      <w:b w:val="0"/>
                      <w:bCs w:val="0"/>
                      <w:color w:val="0000FF"/>
                      <w:kern w:val="2"/>
                      <w:sz w:val="21"/>
                      <w:szCs w:val="21"/>
                      <w:highlight w:val="none"/>
                      <w:lang w:val="en-US" w:eastAsia="zh-CN" w:bidi="ar-SA"/>
                    </w:rPr>
                  </w:pPr>
                  <w:r>
                    <w:rPr>
                      <w:rFonts w:hint="eastAsia"/>
                      <w:color w:val="0000FF"/>
                      <w:szCs w:val="21"/>
                      <w:highlight w:val="none"/>
                    </w:rPr>
                    <w:t>11</w:t>
                  </w:r>
                  <w:r>
                    <w:rPr>
                      <w:rFonts w:ascii="Times New Roman" w:hAnsi="Times New Roman"/>
                      <w:b w:val="0"/>
                      <w:bCs w:val="0"/>
                      <w:color w:val="0000FF"/>
                      <w:szCs w:val="21"/>
                      <w:highlight w:val="none"/>
                    </w:rPr>
                    <w:t>mg/</w:t>
                  </w:r>
                  <w:r>
                    <w:rPr>
                      <w:rFonts w:hint="eastAsia" w:ascii="Times New Roman" w:hAnsi="Times New Roman"/>
                      <w:b w:val="0"/>
                      <w:bCs w:val="0"/>
                      <w:color w:val="0000FF"/>
                      <w:szCs w:val="21"/>
                      <w:highlight w:val="none"/>
                    </w:rPr>
                    <w:t>L</w:t>
                  </w:r>
                </w:p>
              </w:tc>
              <w:tc>
                <w:tcPr>
                  <w:tcW w:w="806"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宋体" w:hAnsi="宋体" w:eastAsia="宋体" w:cs="宋体"/>
                      <w:color w:val="auto"/>
                      <w:highlight w:val="none"/>
                      <w:lang w:val="en-US" w:eastAsia="zh-CN"/>
                    </w:rPr>
                  </w:pPr>
                </w:p>
              </w:tc>
              <w:tc>
                <w:tcPr>
                  <w:tcW w:w="84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left"/>
                    <w:textAlignment w:val="auto"/>
                    <w:outlineLvl w:val="9"/>
                    <w:rPr>
                      <w:rFonts w:hint="eastAsia" w:ascii="Times New Roman" w:hAnsi="Times New Roman" w:eastAsia="宋体" w:cs="Times New Roman"/>
                      <w:color w:val="auto"/>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eastAsia="zh-CN"/>
                    </w:rPr>
                  </w:pPr>
                </w:p>
              </w:tc>
              <w:tc>
                <w:tcPr>
                  <w:tcW w:w="1006" w:type="pct"/>
                  <w:noWrap w:val="0"/>
                  <w:vAlign w:val="center"/>
                </w:tcPr>
                <w:p>
                  <w:pPr>
                    <w:pStyle w:val="68"/>
                    <w:rPr>
                      <w:rFonts w:hint="eastAsia" w:ascii="Times New Roman" w:hAnsi="Times New Roman" w:eastAsia="宋体" w:cs="Times New Roman"/>
                      <w:color w:val="auto"/>
                      <w:kern w:val="0"/>
                      <w:sz w:val="21"/>
                      <w:szCs w:val="21"/>
                      <w:highlight w:val="none"/>
                      <w:lang w:val="en-US" w:eastAsia="zh-CN" w:bidi="ar-SA"/>
                    </w:rPr>
                  </w:pPr>
                  <w:r>
                    <w:rPr>
                      <w:rFonts w:hint="eastAsia"/>
                      <w:color w:val="auto"/>
                      <w:szCs w:val="21"/>
                      <w:highlight w:val="none"/>
                      <w:lang w:val="zh-CN"/>
                    </w:rPr>
                    <w:t>粪大肠菌群</w:t>
                  </w:r>
                </w:p>
              </w:tc>
              <w:tc>
                <w:tcPr>
                  <w:tcW w:w="97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highlight w:val="none"/>
                      <w:lang w:val="en-US" w:eastAsia="zh-CN"/>
                    </w:rPr>
                    <w:t>/</w:t>
                  </w:r>
                </w:p>
              </w:tc>
              <w:tc>
                <w:tcPr>
                  <w:tcW w:w="1022" w:type="pct"/>
                  <w:noWrap w:val="0"/>
                  <w:vAlign w:val="center"/>
                </w:tcPr>
                <w:p>
                  <w:pPr>
                    <w:pStyle w:val="68"/>
                    <w:rPr>
                      <w:rFonts w:hint="eastAsia" w:ascii="Times New Roman" w:hAnsi="Times New Roman" w:eastAsia="宋体" w:cs="Times New Roman"/>
                      <w:color w:val="auto"/>
                      <w:kern w:val="0"/>
                      <w:sz w:val="21"/>
                      <w:szCs w:val="21"/>
                      <w:highlight w:val="none"/>
                      <w:lang w:val="en-US" w:eastAsia="zh-CN" w:bidi="ar-SA"/>
                    </w:rPr>
                  </w:pPr>
                  <w:r>
                    <w:rPr>
                      <w:rFonts w:hint="eastAsia"/>
                      <w:color w:val="auto"/>
                      <w:szCs w:val="21"/>
                      <w:highlight w:val="none"/>
                    </w:rPr>
                    <w:t>未检出</w:t>
                  </w:r>
                </w:p>
              </w:tc>
              <w:tc>
                <w:tcPr>
                  <w:tcW w:w="806" w:type="pct"/>
                  <w:vMerge w:val="continue"/>
                  <w:noWrap w:val="0"/>
                  <w:vAlign w:val="center"/>
                </w:tcPr>
                <w:p>
                  <w:pPr>
                    <w:adjustRightInd w:val="0"/>
                    <w:snapToGrid w:val="0"/>
                    <w:jc w:val="left"/>
                    <w:rPr>
                      <w:rFonts w:hint="eastAsia" w:ascii="Times New Roman" w:hAnsi="Times New Roman" w:eastAsia="宋体" w:cs="Times New Roman"/>
                      <w:color w:val="auto"/>
                      <w:kern w:val="0"/>
                      <w:sz w:val="21"/>
                      <w:szCs w:val="21"/>
                      <w:highlight w:val="none"/>
                      <w:lang w:val="en-US" w:eastAsia="zh-CN" w:bidi="ar-SA"/>
                    </w:rPr>
                  </w:pPr>
                </w:p>
              </w:tc>
              <w:tc>
                <w:tcPr>
                  <w:tcW w:w="842" w:type="pct"/>
                  <w:vMerge w:val="continue"/>
                  <w:noWrap w:val="0"/>
                  <w:vAlign w:val="center"/>
                </w:tcPr>
                <w:p>
                  <w:pPr>
                    <w:adjustRightInd w:val="0"/>
                    <w:snapToGrid w:val="0"/>
                    <w:jc w:val="left"/>
                    <w:rPr>
                      <w:rFonts w:hint="default" w:ascii="Times New Roman" w:hAnsi="Times New Roman" w:eastAsia="宋体" w:cs="Times New Roman"/>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pStyle w:val="68"/>
                    <w:rPr>
                      <w:rFonts w:hint="default" w:ascii="Times New Roman" w:hAnsi="Times New Roman" w:cs="Times New Roman"/>
                      <w:color w:val="auto"/>
                      <w:sz w:val="21"/>
                      <w:szCs w:val="21"/>
                      <w:highlight w:val="none"/>
                      <w:lang w:val="en-US" w:eastAsia="zh-CN"/>
                    </w:rPr>
                  </w:pPr>
                  <w:r>
                    <w:rPr>
                      <w:rFonts w:hint="eastAsia"/>
                      <w:color w:val="auto"/>
                      <w:szCs w:val="21"/>
                      <w:highlight w:val="none"/>
                      <w:lang w:val="zh-CN"/>
                    </w:rPr>
                    <w:t>BOD</w:t>
                  </w:r>
                  <w:r>
                    <w:rPr>
                      <w:rFonts w:hint="eastAsia"/>
                      <w:color w:val="auto"/>
                      <w:szCs w:val="21"/>
                      <w:highlight w:val="none"/>
                      <w:vertAlign w:val="subscript"/>
                      <w:lang w:val="zh-CN"/>
                    </w:rPr>
                    <w:t>5</w:t>
                  </w:r>
                </w:p>
              </w:tc>
              <w:tc>
                <w:tcPr>
                  <w:tcW w:w="978" w:type="pct"/>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highlight w:val="none"/>
                      <w:lang w:val="en-US" w:eastAsia="zh-CN"/>
                    </w:rPr>
                    <w:t xml:space="preserve">0.01966 </w:t>
                  </w:r>
                </w:p>
              </w:tc>
              <w:tc>
                <w:tcPr>
                  <w:tcW w:w="1022" w:type="pct"/>
                  <w:noWrap w:val="0"/>
                  <w:vAlign w:val="center"/>
                </w:tcPr>
                <w:p>
                  <w:pPr>
                    <w:pStyle w:val="68"/>
                    <w:rPr>
                      <w:rFonts w:hint="default" w:ascii="Times New Roman" w:hAnsi="Times New Roman" w:cs="Times New Roman"/>
                      <w:color w:val="auto"/>
                      <w:sz w:val="21"/>
                      <w:szCs w:val="21"/>
                      <w:highlight w:val="none"/>
                      <w:lang w:val="en-US" w:eastAsia="zh-CN"/>
                    </w:rPr>
                  </w:pPr>
                  <w:r>
                    <w:rPr>
                      <w:rFonts w:hint="eastAsia"/>
                      <w:color w:val="auto"/>
                      <w:szCs w:val="21"/>
                      <w:highlight w:val="none"/>
                    </w:rPr>
                    <w:t>2.9</w:t>
                  </w:r>
                  <w:r>
                    <w:rPr>
                      <w:rFonts w:ascii="Times New Roman" w:hAnsi="Times New Roman"/>
                      <w:b w:val="0"/>
                      <w:bCs w:val="0"/>
                      <w:color w:val="auto"/>
                      <w:szCs w:val="21"/>
                      <w:highlight w:val="none"/>
                    </w:rPr>
                    <w:t>mg/</w:t>
                  </w:r>
                  <w:r>
                    <w:rPr>
                      <w:rFonts w:hint="eastAsia" w:ascii="Times New Roman" w:hAnsi="Times New Roman"/>
                      <w:b w:val="0"/>
                      <w:bCs w:val="0"/>
                      <w:color w:val="auto"/>
                      <w:szCs w:val="21"/>
                      <w:highlight w:val="none"/>
                    </w:rPr>
                    <w:t>L</w:t>
                  </w:r>
                </w:p>
              </w:tc>
              <w:tc>
                <w:tcPr>
                  <w:tcW w:w="806"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lang w:val="en-US" w:eastAsia="zh-CN"/>
                    </w:rPr>
                  </w:pPr>
                </w:p>
              </w:tc>
              <w:tc>
                <w:tcPr>
                  <w:tcW w:w="842" w:type="pct"/>
                  <w:vMerge w:val="continue"/>
                  <w:noWrap w:val="0"/>
                  <w:vAlign w:val="center"/>
                </w:tcPr>
                <w:p>
                  <w:pPr>
                    <w:adjustRightInd w:val="0"/>
                    <w:snapToGrid w:val="0"/>
                    <w:jc w:val="left"/>
                    <w:rPr>
                      <w:rFonts w:hint="default" w:ascii="Times New Roman" w:hAnsi="Times New Roman"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pStyle w:val="68"/>
                    <w:rPr>
                      <w:rFonts w:hint="eastAsia" w:ascii="Times New Roman" w:hAnsi="Times New Roman" w:cs="Times New Roman"/>
                      <w:snapToGrid w:val="0"/>
                      <w:color w:val="auto"/>
                      <w:kern w:val="21"/>
                      <w:szCs w:val="21"/>
                      <w:highlight w:val="none"/>
                      <w:lang w:val="en-US" w:eastAsia="zh-CN"/>
                    </w:rPr>
                  </w:pPr>
                  <w:r>
                    <w:rPr>
                      <w:rFonts w:hint="eastAsia"/>
                      <w:color w:val="auto"/>
                      <w:szCs w:val="21"/>
                      <w:highlight w:val="none"/>
                      <w:lang w:val="zh-CN"/>
                    </w:rPr>
                    <w:t>阴离子表面活性剂</w:t>
                  </w:r>
                </w:p>
              </w:tc>
              <w:tc>
                <w:tcPr>
                  <w:tcW w:w="978" w:type="pc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highlight w:val="none"/>
                      <w:lang w:val="en-US" w:eastAsia="zh-CN"/>
                    </w:rPr>
                    <w:t xml:space="preserve">0.00068 </w:t>
                  </w:r>
                </w:p>
              </w:tc>
              <w:tc>
                <w:tcPr>
                  <w:tcW w:w="1022" w:type="pct"/>
                  <w:noWrap w:val="0"/>
                  <w:vAlign w:val="center"/>
                </w:tcPr>
                <w:p>
                  <w:pPr>
                    <w:pStyle w:val="68"/>
                    <w:rPr>
                      <w:rFonts w:hint="eastAsia" w:ascii="Times New Roman" w:hAnsi="Times New Roman" w:cs="Times New Roman"/>
                      <w:color w:val="auto"/>
                      <w:sz w:val="21"/>
                      <w:szCs w:val="21"/>
                      <w:highlight w:val="none"/>
                      <w:lang w:val="en-US" w:eastAsia="zh-CN"/>
                    </w:rPr>
                  </w:pPr>
                  <w:r>
                    <w:rPr>
                      <w:rFonts w:hint="eastAsia"/>
                      <w:color w:val="auto"/>
                      <w:szCs w:val="21"/>
                      <w:highlight w:val="none"/>
                    </w:rPr>
                    <w:t>0.1</w:t>
                  </w:r>
                  <w:r>
                    <w:rPr>
                      <w:rFonts w:ascii="Times New Roman" w:hAnsi="Times New Roman"/>
                      <w:b w:val="0"/>
                      <w:bCs w:val="0"/>
                      <w:color w:val="auto"/>
                      <w:szCs w:val="21"/>
                      <w:highlight w:val="none"/>
                    </w:rPr>
                    <w:t>mg/</w:t>
                  </w:r>
                  <w:r>
                    <w:rPr>
                      <w:rFonts w:hint="eastAsia" w:ascii="Times New Roman" w:hAnsi="Times New Roman"/>
                      <w:b w:val="0"/>
                      <w:bCs w:val="0"/>
                      <w:color w:val="auto"/>
                      <w:szCs w:val="21"/>
                      <w:highlight w:val="none"/>
                    </w:rPr>
                    <w:t>L</w:t>
                  </w:r>
                </w:p>
              </w:tc>
              <w:tc>
                <w:tcPr>
                  <w:tcW w:w="806"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val="en-US" w:eastAsia="zh-CN"/>
                    </w:rPr>
                  </w:pPr>
                </w:p>
              </w:tc>
              <w:tc>
                <w:tcPr>
                  <w:tcW w:w="842" w:type="pct"/>
                  <w:vMerge w:val="continue"/>
                  <w:noWrap w:val="0"/>
                  <w:vAlign w:val="center"/>
                </w:tcPr>
                <w:p>
                  <w:pPr>
                    <w:adjustRightInd w:val="0"/>
                    <w:snapToGrid w:val="0"/>
                    <w:jc w:val="left"/>
                    <w:rPr>
                      <w:rFonts w:hint="default" w:ascii="Times New Roman" w:hAnsi="Times New Roman"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pStyle w:val="68"/>
                    <w:rPr>
                      <w:rFonts w:hint="eastAsia" w:ascii="Times New Roman" w:hAnsi="Times New Roman" w:cs="Times New Roman"/>
                      <w:snapToGrid w:val="0"/>
                      <w:color w:val="auto"/>
                      <w:kern w:val="21"/>
                      <w:szCs w:val="21"/>
                      <w:highlight w:val="none"/>
                      <w:lang w:val="en-US" w:eastAsia="zh-CN"/>
                    </w:rPr>
                  </w:pPr>
                  <w:r>
                    <w:rPr>
                      <w:rFonts w:hint="eastAsia"/>
                      <w:color w:val="auto"/>
                      <w:szCs w:val="21"/>
                      <w:highlight w:val="none"/>
                      <w:lang w:val="zh-CN"/>
                    </w:rPr>
                    <w:t>氨氮</w:t>
                  </w:r>
                </w:p>
              </w:tc>
              <w:tc>
                <w:tcPr>
                  <w:tcW w:w="978" w:type="pc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highlight w:val="none"/>
                      <w:lang w:val="en-US" w:eastAsia="zh-CN"/>
                    </w:rPr>
                    <w:t xml:space="preserve">0.00017 </w:t>
                  </w:r>
                </w:p>
              </w:tc>
              <w:tc>
                <w:tcPr>
                  <w:tcW w:w="1022" w:type="pct"/>
                  <w:noWrap w:val="0"/>
                  <w:vAlign w:val="center"/>
                </w:tcPr>
                <w:p>
                  <w:pPr>
                    <w:pStyle w:val="68"/>
                    <w:rPr>
                      <w:rFonts w:hint="eastAsia" w:ascii="Times New Roman" w:hAnsi="Times New Roman" w:cs="Times New Roman"/>
                      <w:color w:val="auto"/>
                      <w:sz w:val="21"/>
                      <w:szCs w:val="21"/>
                      <w:highlight w:val="none"/>
                      <w:lang w:val="en-US" w:eastAsia="zh-CN"/>
                    </w:rPr>
                  </w:pPr>
                  <w:r>
                    <w:rPr>
                      <w:rFonts w:hint="eastAsia"/>
                      <w:color w:val="auto"/>
                      <w:szCs w:val="21"/>
                      <w:highlight w:val="none"/>
                    </w:rPr>
                    <w:t>0.025</w:t>
                  </w:r>
                  <w:r>
                    <w:rPr>
                      <w:rFonts w:ascii="Times New Roman" w:hAnsi="Times New Roman"/>
                      <w:b w:val="0"/>
                      <w:bCs w:val="0"/>
                      <w:color w:val="auto"/>
                      <w:szCs w:val="21"/>
                      <w:highlight w:val="none"/>
                    </w:rPr>
                    <w:t>mg/</w:t>
                  </w:r>
                  <w:r>
                    <w:rPr>
                      <w:rFonts w:hint="eastAsia" w:ascii="Times New Roman" w:hAnsi="Times New Roman"/>
                      <w:b w:val="0"/>
                      <w:bCs w:val="0"/>
                      <w:color w:val="auto"/>
                      <w:szCs w:val="21"/>
                      <w:highlight w:val="none"/>
                    </w:rPr>
                    <w:t>L</w:t>
                  </w:r>
                </w:p>
              </w:tc>
              <w:tc>
                <w:tcPr>
                  <w:tcW w:w="806"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val="en-US" w:eastAsia="zh-CN"/>
                    </w:rPr>
                  </w:pPr>
                </w:p>
              </w:tc>
              <w:tc>
                <w:tcPr>
                  <w:tcW w:w="842" w:type="pct"/>
                  <w:vMerge w:val="continue"/>
                  <w:noWrap w:val="0"/>
                  <w:vAlign w:val="center"/>
                </w:tcPr>
                <w:p>
                  <w:pPr>
                    <w:adjustRightInd w:val="0"/>
                    <w:snapToGrid w:val="0"/>
                    <w:jc w:val="left"/>
                    <w:rPr>
                      <w:rFonts w:hint="default" w:ascii="Times New Roman" w:hAnsi="Times New Roman"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pStyle w:val="68"/>
                    <w:rPr>
                      <w:rFonts w:hint="eastAsia" w:ascii="Times New Roman" w:hAnsi="Times New Roman" w:cs="Times New Roman"/>
                      <w:snapToGrid w:val="0"/>
                      <w:color w:val="auto"/>
                      <w:kern w:val="21"/>
                      <w:szCs w:val="21"/>
                      <w:highlight w:val="none"/>
                      <w:lang w:val="en-US" w:eastAsia="zh-CN"/>
                    </w:rPr>
                  </w:pPr>
                  <w:r>
                    <w:rPr>
                      <w:rFonts w:hint="eastAsia"/>
                      <w:color w:val="auto"/>
                      <w:szCs w:val="21"/>
                      <w:highlight w:val="none"/>
                      <w:lang w:val="zh-CN"/>
                    </w:rPr>
                    <w:t>总氮</w:t>
                  </w:r>
                </w:p>
              </w:tc>
              <w:tc>
                <w:tcPr>
                  <w:tcW w:w="978" w:type="pct"/>
                  <w:noWrap w:val="0"/>
                  <w:vAlign w:val="center"/>
                </w:tcPr>
                <w:p>
                  <w:pPr>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highlight w:val="none"/>
                      <w:lang w:val="en-US" w:eastAsia="zh-CN"/>
                    </w:rPr>
                    <w:t xml:space="preserve">0.00881 </w:t>
                  </w:r>
                </w:p>
              </w:tc>
              <w:tc>
                <w:tcPr>
                  <w:tcW w:w="1022" w:type="pct"/>
                  <w:noWrap w:val="0"/>
                  <w:vAlign w:val="center"/>
                </w:tcPr>
                <w:p>
                  <w:pPr>
                    <w:pStyle w:val="68"/>
                    <w:rPr>
                      <w:rFonts w:hint="eastAsia" w:ascii="Times New Roman" w:hAnsi="Times New Roman" w:cs="Times New Roman"/>
                      <w:color w:val="auto"/>
                      <w:sz w:val="21"/>
                      <w:szCs w:val="21"/>
                      <w:highlight w:val="none"/>
                      <w:lang w:val="en-US" w:eastAsia="zh-CN"/>
                    </w:rPr>
                  </w:pPr>
                  <w:r>
                    <w:rPr>
                      <w:rFonts w:hint="eastAsia"/>
                      <w:color w:val="auto"/>
                      <w:szCs w:val="21"/>
                      <w:highlight w:val="none"/>
                    </w:rPr>
                    <w:t>1.3</w:t>
                  </w:r>
                  <w:r>
                    <w:rPr>
                      <w:rFonts w:ascii="Times New Roman" w:hAnsi="Times New Roman"/>
                      <w:b w:val="0"/>
                      <w:bCs w:val="0"/>
                      <w:color w:val="auto"/>
                      <w:szCs w:val="21"/>
                      <w:highlight w:val="none"/>
                    </w:rPr>
                    <w:t>mg/</w:t>
                  </w:r>
                  <w:r>
                    <w:rPr>
                      <w:rFonts w:hint="eastAsia" w:ascii="Times New Roman" w:hAnsi="Times New Roman"/>
                      <w:b w:val="0"/>
                      <w:bCs w:val="0"/>
                      <w:color w:val="auto"/>
                      <w:szCs w:val="21"/>
                      <w:highlight w:val="none"/>
                    </w:rPr>
                    <w:t>L</w:t>
                  </w:r>
                </w:p>
              </w:tc>
              <w:tc>
                <w:tcPr>
                  <w:tcW w:w="806"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val="en-US" w:eastAsia="zh-CN"/>
                    </w:rPr>
                  </w:pPr>
                </w:p>
              </w:tc>
              <w:tc>
                <w:tcPr>
                  <w:tcW w:w="842" w:type="pct"/>
                  <w:vMerge w:val="continue"/>
                  <w:noWrap w:val="0"/>
                  <w:vAlign w:val="center"/>
                </w:tcPr>
                <w:p>
                  <w:pPr>
                    <w:adjustRightInd w:val="0"/>
                    <w:snapToGrid w:val="0"/>
                    <w:jc w:val="left"/>
                    <w:rPr>
                      <w:rFonts w:hint="default" w:ascii="Times New Roman" w:hAnsi="Times New Roman"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pStyle w:val="68"/>
                    <w:rPr>
                      <w:rFonts w:hint="eastAsia" w:eastAsia="宋体"/>
                      <w:color w:val="auto"/>
                      <w:szCs w:val="21"/>
                      <w:highlight w:val="none"/>
                      <w:lang w:val="en-US" w:eastAsia="zh-CN"/>
                    </w:rPr>
                  </w:pPr>
                  <w:r>
                    <w:rPr>
                      <w:rFonts w:hint="eastAsia"/>
                      <w:color w:val="auto"/>
                      <w:szCs w:val="21"/>
                      <w:highlight w:val="none"/>
                      <w:lang w:val="en-US" w:eastAsia="zh-CN"/>
                    </w:rPr>
                    <w:t>总余氯</w:t>
                  </w:r>
                </w:p>
              </w:tc>
              <w:tc>
                <w:tcPr>
                  <w:tcW w:w="978" w:type="pct"/>
                  <w:noWrap w:val="0"/>
                  <w:vAlign w:val="center"/>
                </w:tcPr>
                <w:p>
                  <w:pPr>
                    <w:jc w:val="center"/>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0.051</w:t>
                  </w:r>
                </w:p>
              </w:tc>
              <w:tc>
                <w:tcPr>
                  <w:tcW w:w="1022" w:type="pct"/>
                  <w:noWrap w:val="0"/>
                  <w:vAlign w:val="center"/>
                </w:tcPr>
                <w:p>
                  <w:pPr>
                    <w:pStyle w:val="68"/>
                    <w:rPr>
                      <w:rFonts w:hint="default" w:eastAsia="宋体"/>
                      <w:color w:val="auto"/>
                      <w:szCs w:val="21"/>
                      <w:highlight w:val="none"/>
                      <w:lang w:val="en-US" w:eastAsia="zh-CN"/>
                    </w:rPr>
                  </w:pPr>
                  <w:r>
                    <w:rPr>
                      <w:rFonts w:hint="eastAsia"/>
                      <w:color w:val="auto"/>
                      <w:szCs w:val="21"/>
                      <w:highlight w:val="none"/>
                      <w:lang w:val="en-US" w:eastAsia="zh-CN"/>
                    </w:rPr>
                    <w:t>7.5</w:t>
                  </w:r>
                  <w:r>
                    <w:rPr>
                      <w:rFonts w:ascii="Times New Roman" w:hAnsi="Times New Roman"/>
                      <w:b w:val="0"/>
                      <w:bCs w:val="0"/>
                      <w:color w:val="auto"/>
                      <w:szCs w:val="21"/>
                      <w:highlight w:val="none"/>
                    </w:rPr>
                    <w:t>mg/</w:t>
                  </w:r>
                  <w:r>
                    <w:rPr>
                      <w:rFonts w:hint="eastAsia" w:ascii="Times New Roman" w:hAnsi="Times New Roman"/>
                      <w:b w:val="0"/>
                      <w:bCs w:val="0"/>
                      <w:color w:val="auto"/>
                      <w:szCs w:val="21"/>
                      <w:highlight w:val="none"/>
                    </w:rPr>
                    <w:t>L</w:t>
                  </w:r>
                </w:p>
              </w:tc>
              <w:tc>
                <w:tcPr>
                  <w:tcW w:w="806"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val="en-US" w:eastAsia="zh-CN"/>
                    </w:rPr>
                  </w:pPr>
                </w:p>
              </w:tc>
              <w:tc>
                <w:tcPr>
                  <w:tcW w:w="842" w:type="pct"/>
                  <w:vMerge w:val="continue"/>
                  <w:noWrap w:val="0"/>
                  <w:vAlign w:val="center"/>
                </w:tcPr>
                <w:p>
                  <w:pPr>
                    <w:adjustRightInd w:val="0"/>
                    <w:snapToGrid w:val="0"/>
                    <w:jc w:val="left"/>
                    <w:rPr>
                      <w:rFonts w:hint="default" w:ascii="Times New Roman" w:hAnsi="Times New Roman"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1006" w:type="pct"/>
                  <w:noWrap w:val="0"/>
                  <w:vAlign w:val="center"/>
                </w:tcPr>
                <w:p>
                  <w:pPr>
                    <w:pStyle w:val="68"/>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zh-CN"/>
                    </w:rPr>
                    <w:t>总磷</w:t>
                  </w:r>
                </w:p>
              </w:tc>
              <w:tc>
                <w:tcPr>
                  <w:tcW w:w="978"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highlight w:val="none"/>
                      <w:lang w:val="en-US" w:eastAsia="zh-CN"/>
                    </w:rPr>
                    <w:t xml:space="preserve">0.00020 </w:t>
                  </w:r>
                </w:p>
              </w:tc>
              <w:tc>
                <w:tcPr>
                  <w:tcW w:w="1022" w:type="pct"/>
                  <w:noWrap w:val="0"/>
                  <w:vAlign w:val="center"/>
                </w:tcPr>
                <w:p>
                  <w:pPr>
                    <w:pStyle w:val="68"/>
                    <w:rPr>
                      <w:rFonts w:hint="default" w:ascii="Times New Roman" w:hAnsi="Times New Roman" w:eastAsia="宋体" w:cs="Times New Roman"/>
                      <w:color w:val="auto"/>
                      <w:sz w:val="21"/>
                      <w:szCs w:val="21"/>
                      <w:highlight w:val="none"/>
                      <w:lang w:val="en-US" w:eastAsia="zh-CN"/>
                    </w:rPr>
                  </w:pPr>
                  <w:r>
                    <w:rPr>
                      <w:rFonts w:hint="eastAsia"/>
                      <w:color w:val="auto"/>
                      <w:szCs w:val="21"/>
                      <w:highlight w:val="none"/>
                    </w:rPr>
                    <w:t>0.03</w:t>
                  </w:r>
                  <w:r>
                    <w:rPr>
                      <w:rFonts w:ascii="Times New Roman" w:hAnsi="Times New Roman"/>
                      <w:b w:val="0"/>
                      <w:bCs w:val="0"/>
                      <w:color w:val="auto"/>
                      <w:szCs w:val="21"/>
                      <w:highlight w:val="none"/>
                    </w:rPr>
                    <w:t>mg/</w:t>
                  </w:r>
                  <w:r>
                    <w:rPr>
                      <w:rFonts w:hint="eastAsia" w:ascii="Times New Roman" w:hAnsi="Times New Roman"/>
                      <w:b w:val="0"/>
                      <w:bCs w:val="0"/>
                      <w:color w:val="auto"/>
                      <w:szCs w:val="21"/>
                      <w:highlight w:val="none"/>
                    </w:rPr>
                    <w:t>L</w:t>
                  </w:r>
                </w:p>
              </w:tc>
              <w:tc>
                <w:tcPr>
                  <w:tcW w:w="806" w:type="pct"/>
                  <w:vMerge w:val="continue"/>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42" w:type="pct"/>
                  <w:vMerge w:val="continue"/>
                  <w:noWrap w:val="0"/>
                  <w:vAlign w:val="center"/>
                </w:tcPr>
                <w:p>
                  <w:pPr>
                    <w:adjustRightInd w:val="0"/>
                    <w:snapToGri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343"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w:t>
                  </w:r>
                </w:p>
              </w:tc>
              <w:tc>
                <w:tcPr>
                  <w:tcW w:w="1006" w:type="pct"/>
                  <w:noWrap w:val="0"/>
                  <w:vAlign w:val="center"/>
                </w:tcPr>
                <w:p>
                  <w:pPr>
                    <w:jc w:val="center"/>
                    <w:rPr>
                      <w:rFonts w:hint="eastAsia"/>
                      <w:color w:val="auto"/>
                      <w:szCs w:val="21"/>
                      <w:highlight w:val="none"/>
                      <w:lang w:val="zh-CN"/>
                    </w:rPr>
                  </w:pPr>
                  <w:r>
                    <w:rPr>
                      <w:rFonts w:ascii="Times New Roman" w:hAnsi="Times New Roman"/>
                      <w:bCs/>
                      <w:color w:val="auto"/>
                      <w:kern w:val="2"/>
                      <w:highlight w:val="none"/>
                    </w:rPr>
                    <w:t>氨</w:t>
                  </w:r>
                </w:p>
              </w:tc>
              <w:tc>
                <w:tcPr>
                  <w:tcW w:w="978" w:type="pct"/>
                  <w:noWrap w:val="0"/>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snapToGrid w:val="0"/>
                      <w:color w:val="auto"/>
                      <w:kern w:val="21"/>
                      <w:highlight w:val="none"/>
                      <w:lang w:val="en-US" w:eastAsia="zh-CN"/>
                    </w:rPr>
                    <w:t>0.002</w:t>
                  </w:r>
                </w:p>
              </w:tc>
              <w:tc>
                <w:tcPr>
                  <w:tcW w:w="1022" w:type="pct"/>
                  <w:noWrap w:val="0"/>
                  <w:vAlign w:val="center"/>
                </w:tcPr>
                <w:p>
                  <w:pPr>
                    <w:pStyle w:val="68"/>
                    <w:rPr>
                      <w:rFonts w:hint="eastAsia"/>
                      <w:color w:val="auto"/>
                      <w:szCs w:val="21"/>
                      <w:highlight w:val="none"/>
                    </w:rPr>
                  </w:pPr>
                  <w:r>
                    <w:rPr>
                      <w:rFonts w:hint="eastAsia" w:ascii="Times New Roman" w:hAnsi="Times New Roman" w:eastAsia="宋体" w:cs="Times New Roman"/>
                      <w:color w:val="auto"/>
                      <w:highlight w:val="none"/>
                      <w:lang w:val="en-US" w:eastAsia="zh-CN"/>
                    </w:rPr>
                    <w:t>/</w:t>
                  </w:r>
                </w:p>
              </w:tc>
              <w:tc>
                <w:tcPr>
                  <w:tcW w:w="806" w:type="pct"/>
                  <w:vMerge w:val="restart"/>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无组织排放</w:t>
                  </w:r>
                </w:p>
              </w:tc>
              <w:tc>
                <w:tcPr>
                  <w:tcW w:w="842" w:type="pct"/>
                  <w:vMerge w:val="restart"/>
                  <w:noWrap w:val="0"/>
                  <w:vAlign w:val="center"/>
                </w:tcPr>
                <w:p>
                  <w:pPr>
                    <w:adjustRightInd w:val="0"/>
                    <w:snapToGri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Times New Roman"/>
                      <w:color w:val="auto"/>
                      <w:highlight w:val="none"/>
                    </w:rPr>
                    <w:t>《医疗机构水污染物排放标准》（GB18466-2005）中表3污水站周边大气污染物浓度限值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val="en-US" w:eastAsia="zh-CN"/>
                    </w:rPr>
                  </w:pPr>
                </w:p>
              </w:tc>
              <w:tc>
                <w:tcPr>
                  <w:tcW w:w="1006" w:type="pct"/>
                  <w:noWrap w:val="0"/>
                  <w:vAlign w:val="center"/>
                </w:tcPr>
                <w:p>
                  <w:pPr>
                    <w:jc w:val="center"/>
                    <w:rPr>
                      <w:rFonts w:hint="eastAsia"/>
                      <w:color w:val="auto"/>
                      <w:szCs w:val="21"/>
                      <w:highlight w:val="none"/>
                      <w:lang w:val="zh-CN"/>
                    </w:rPr>
                  </w:pPr>
                  <w:r>
                    <w:rPr>
                      <w:rFonts w:hint="eastAsia" w:ascii="Times New Roman" w:hAnsi="Times New Roman"/>
                      <w:bCs/>
                      <w:color w:val="auto"/>
                      <w:kern w:val="2"/>
                      <w:highlight w:val="none"/>
                    </w:rPr>
                    <w:t>硫化氢</w:t>
                  </w:r>
                </w:p>
              </w:tc>
              <w:tc>
                <w:tcPr>
                  <w:tcW w:w="978" w:type="pct"/>
                  <w:noWrap w:val="0"/>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snapToGrid w:val="0"/>
                      <w:color w:val="auto"/>
                      <w:kern w:val="21"/>
                      <w:highlight w:val="none"/>
                      <w:lang w:val="en-US" w:eastAsia="zh-CN"/>
                    </w:rPr>
                    <w:t>0.00008</w:t>
                  </w:r>
                </w:p>
              </w:tc>
              <w:tc>
                <w:tcPr>
                  <w:tcW w:w="1022" w:type="pct"/>
                  <w:noWrap w:val="0"/>
                  <w:vAlign w:val="center"/>
                </w:tcPr>
                <w:p>
                  <w:pPr>
                    <w:pStyle w:val="68"/>
                    <w:rPr>
                      <w:rFonts w:hint="eastAsia"/>
                      <w:color w:val="auto"/>
                      <w:szCs w:val="21"/>
                      <w:highlight w:val="none"/>
                    </w:rPr>
                  </w:pPr>
                  <w:r>
                    <w:rPr>
                      <w:rFonts w:hint="eastAsia" w:ascii="Times New Roman" w:hAnsi="Times New Roman" w:eastAsia="宋体" w:cs="Times New Roman"/>
                      <w:color w:val="auto"/>
                      <w:highlight w:val="none"/>
                      <w:lang w:val="en-US" w:eastAsia="zh-CN"/>
                    </w:rPr>
                    <w:t>/</w:t>
                  </w:r>
                </w:p>
              </w:tc>
              <w:tc>
                <w:tcPr>
                  <w:tcW w:w="806" w:type="pct"/>
                  <w:vMerge w:val="continue"/>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42" w:type="pct"/>
                  <w:vMerge w:val="continue"/>
                  <w:noWrap w:val="0"/>
                  <w:vAlign w:val="center"/>
                </w:tcPr>
                <w:p>
                  <w:pPr>
                    <w:adjustRightInd w:val="0"/>
                    <w:snapToGri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343"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固体废物</w:t>
                  </w:r>
                </w:p>
              </w:tc>
              <w:tc>
                <w:tcPr>
                  <w:tcW w:w="1006" w:type="pct"/>
                  <w:noWrap w:val="0"/>
                  <w:vAlign w:val="center"/>
                </w:tcPr>
                <w:p>
                  <w:pPr>
                    <w:pStyle w:val="62"/>
                    <w:jc w:val="center"/>
                    <w:rPr>
                      <w:rFonts w:hint="default" w:ascii="Times New Roman" w:hAnsi="Times New Roman" w:cs="Times New Roman"/>
                      <w:color w:val="auto"/>
                      <w:sz w:val="21"/>
                      <w:szCs w:val="21"/>
                      <w:highlight w:val="none"/>
                    </w:rPr>
                  </w:pPr>
                  <w:r>
                    <w:rPr>
                      <w:rFonts w:hint="eastAsia" w:ascii="Times New Roman" w:hAnsi="Times New Roman"/>
                      <w:color w:val="auto"/>
                      <w:szCs w:val="21"/>
                      <w:highlight w:val="none"/>
                    </w:rPr>
                    <w:t>医疗废物</w:t>
                  </w:r>
                </w:p>
              </w:tc>
              <w:tc>
                <w:tcPr>
                  <w:tcW w:w="97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snapToGrid w:val="0"/>
                      <w:color w:val="auto"/>
                      <w:kern w:val="21"/>
                      <w:highlight w:val="none"/>
                      <w:lang w:val="en-US" w:eastAsia="zh-CN"/>
                    </w:rPr>
                    <w:t>6.1</w:t>
                  </w:r>
                </w:p>
              </w:tc>
              <w:tc>
                <w:tcPr>
                  <w:tcW w:w="1022"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806"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r>
                    <w:rPr>
                      <w:rFonts w:hint="eastAsia" w:ascii="Times New Roman" w:hAnsi="Times New Roman"/>
                      <w:bCs/>
                      <w:color w:val="auto"/>
                      <w:kern w:val="2"/>
                      <w:highlight w:val="none"/>
                    </w:rPr>
                    <w:t>交</w:t>
                  </w:r>
                  <w:r>
                    <w:rPr>
                      <w:rFonts w:hint="eastAsia" w:ascii="Times New Roman" w:hAnsi="Times New Roman"/>
                      <w:bCs/>
                      <w:color w:val="auto"/>
                      <w:kern w:val="2"/>
                      <w:highlight w:val="none"/>
                      <w:lang w:val="en-US" w:eastAsia="zh-CN"/>
                    </w:rPr>
                    <w:t>由陕西宏恩等离子技术有限责任公司</w:t>
                  </w:r>
                  <w:r>
                    <w:rPr>
                      <w:rFonts w:hint="eastAsia" w:ascii="Times New Roman" w:hAnsi="Times New Roman"/>
                      <w:bCs/>
                      <w:color w:val="auto"/>
                      <w:kern w:val="2"/>
                      <w:highlight w:val="none"/>
                    </w:rPr>
                    <w:t>收集处置</w:t>
                  </w:r>
                </w:p>
              </w:tc>
              <w:tc>
                <w:tcPr>
                  <w:tcW w:w="842" w:type="pct"/>
                  <w:noWrap w:val="0"/>
                  <w:vAlign w:val="center"/>
                </w:tcPr>
                <w:p>
                  <w:pPr>
                    <w:jc w:val="center"/>
                    <w:rPr>
                      <w:rFonts w:hint="default" w:ascii="Times New Roman" w:hAnsi="Times New Roman" w:cs="Times New Roman"/>
                      <w:color w:val="auto"/>
                      <w:sz w:val="21"/>
                      <w:szCs w:val="21"/>
                      <w:highlight w:val="none"/>
                    </w:rPr>
                  </w:pPr>
                  <w:r>
                    <w:rPr>
                      <w:rFonts w:hint="eastAsia" w:ascii="Times New Roman" w:hAnsi="Times New Roman" w:eastAsia="Times New Roman"/>
                      <w:color w:val="auto"/>
                      <w:highlight w:val="none"/>
                    </w:rPr>
                    <w:t>《</w:t>
                  </w:r>
                  <w:r>
                    <w:rPr>
                      <w:rFonts w:ascii="Times New Roman" w:hAnsi="Times New Roman"/>
                      <w:color w:val="auto"/>
                      <w:szCs w:val="20"/>
                      <w:highlight w:val="none"/>
                    </w:rPr>
                    <w:t>危险废物贮存污染控制标准》（GB18597-20</w:t>
                  </w:r>
                  <w:r>
                    <w:rPr>
                      <w:rFonts w:hint="eastAsia" w:ascii="Times New Roman" w:hAnsi="Times New Roman"/>
                      <w:color w:val="auto"/>
                      <w:szCs w:val="20"/>
                      <w:highlight w:val="none"/>
                      <w:lang w:val="en-US" w:eastAsia="zh-CN"/>
                    </w:rPr>
                    <w:t>23</w:t>
                  </w:r>
                  <w:r>
                    <w:rPr>
                      <w:rFonts w:ascii="Times New Roman" w:hAnsi="Times New Roman"/>
                      <w:color w:val="auto"/>
                      <w:szCs w:val="2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pStyle w:val="67"/>
                    <w:snapToGrid w:val="0"/>
                    <w:spacing w:before="0" w:after="0" w:line="240" w:lineRule="auto"/>
                    <w:jc w:val="center"/>
                    <w:rPr>
                      <w:rFonts w:hint="default" w:ascii="Times New Roman" w:hAnsi="Times New Roman" w:cs="Times New Roman"/>
                      <w:color w:val="0000FF"/>
                      <w:sz w:val="21"/>
                      <w:szCs w:val="21"/>
                      <w:highlight w:val="none"/>
                      <w:lang w:val="en-US" w:eastAsia="zh-CN"/>
                    </w:rPr>
                  </w:pPr>
                  <w:r>
                    <w:rPr>
                      <w:rFonts w:hint="eastAsia" w:cs="Times New Roman"/>
                      <w:color w:val="0000FF"/>
                      <w:sz w:val="21"/>
                      <w:szCs w:val="21"/>
                      <w:highlight w:val="none"/>
                      <w:lang w:val="en-US" w:eastAsia="zh-CN"/>
                    </w:rPr>
                    <w:t>一般医疗废物</w:t>
                  </w:r>
                </w:p>
              </w:tc>
              <w:tc>
                <w:tcPr>
                  <w:tcW w:w="978" w:type="pct"/>
                  <w:noWrap w:val="0"/>
                  <w:vAlign w:val="center"/>
                </w:tcPr>
                <w:p>
                  <w:pPr>
                    <w:pStyle w:val="67"/>
                    <w:snapToGrid w:val="0"/>
                    <w:spacing w:before="0" w:after="0" w:line="240" w:lineRule="auto"/>
                    <w:jc w:val="center"/>
                    <w:rPr>
                      <w:rFonts w:hint="default" w:ascii="Times New Roman" w:hAnsi="Times New Roman" w:cs="Times New Roman"/>
                      <w:color w:val="0000FF"/>
                      <w:sz w:val="21"/>
                      <w:szCs w:val="21"/>
                      <w:highlight w:val="none"/>
                      <w:lang w:val="en-US" w:eastAsia="zh-CN"/>
                    </w:rPr>
                  </w:pPr>
                  <w:r>
                    <w:rPr>
                      <w:rFonts w:hint="eastAsia" w:cs="Times New Roman"/>
                      <w:color w:val="0000FF"/>
                      <w:sz w:val="21"/>
                      <w:szCs w:val="21"/>
                      <w:highlight w:val="none"/>
                      <w:lang w:val="en-US" w:eastAsia="zh-CN"/>
                    </w:rPr>
                    <w:t>3.65</w:t>
                  </w:r>
                </w:p>
              </w:tc>
              <w:tc>
                <w:tcPr>
                  <w:tcW w:w="1022"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806"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color w:val="auto"/>
                      <w:highlight w:val="none"/>
                      <w:lang w:val="en-US" w:eastAsia="zh-CN"/>
                    </w:rPr>
                  </w:pPr>
                  <w:r>
                    <w:rPr>
                      <w:rFonts w:hint="eastAsia" w:ascii="Times New Roman" w:hAnsi="Times New Roman"/>
                      <w:bCs/>
                      <w:color w:val="auto"/>
                      <w:kern w:val="2"/>
                      <w:highlight w:val="none"/>
                    </w:rPr>
                    <w:t>交</w:t>
                  </w:r>
                  <w:r>
                    <w:rPr>
                      <w:rFonts w:hint="eastAsia" w:ascii="Times New Roman" w:hAnsi="Times New Roman"/>
                      <w:bCs/>
                      <w:color w:val="auto"/>
                      <w:kern w:val="2"/>
                      <w:highlight w:val="none"/>
                      <w:lang w:val="en-US" w:eastAsia="zh-CN"/>
                    </w:rPr>
                    <w:t>由陕西宏恩等离子技术有限责任公司</w:t>
                  </w:r>
                  <w:r>
                    <w:rPr>
                      <w:rFonts w:hint="eastAsia" w:ascii="Times New Roman" w:hAnsi="Times New Roman"/>
                      <w:bCs/>
                      <w:color w:val="auto"/>
                      <w:kern w:val="2"/>
                      <w:highlight w:val="none"/>
                    </w:rPr>
                    <w:t>收集处置</w:t>
                  </w:r>
                </w:p>
              </w:tc>
              <w:tc>
                <w:tcPr>
                  <w:tcW w:w="842"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r>
                    <w:rPr>
                      <w:rFonts w:hint="eastAsia" w:ascii="Times New Roman" w:hAnsi="Times New Roman" w:eastAsia="Times New Roman"/>
                      <w:color w:val="auto"/>
                      <w:highlight w:val="none"/>
                    </w:rPr>
                    <w:t>《</w:t>
                  </w:r>
                  <w:r>
                    <w:rPr>
                      <w:rFonts w:ascii="Times New Roman" w:hAnsi="Times New Roman"/>
                      <w:color w:val="auto"/>
                      <w:szCs w:val="20"/>
                      <w:highlight w:val="none"/>
                    </w:rPr>
                    <w:t>一般工业固体废弃物贮存</w:t>
                  </w:r>
                  <w:r>
                    <w:rPr>
                      <w:rFonts w:hint="eastAsia" w:ascii="Times New Roman" w:hAnsi="Times New Roman"/>
                      <w:color w:val="auto"/>
                      <w:szCs w:val="20"/>
                      <w:highlight w:val="none"/>
                    </w:rPr>
                    <w:t>和填埋</w:t>
                  </w:r>
                  <w:r>
                    <w:rPr>
                      <w:rFonts w:ascii="Times New Roman" w:hAnsi="Times New Roman"/>
                      <w:color w:val="auto"/>
                      <w:szCs w:val="20"/>
                      <w:highlight w:val="none"/>
                    </w:rPr>
                    <w:t>污染控制标准》（GB18599－20</w:t>
                  </w:r>
                  <w:r>
                    <w:rPr>
                      <w:rFonts w:hint="eastAsia" w:ascii="Times New Roman" w:hAnsi="Times New Roman"/>
                      <w:color w:val="auto"/>
                      <w:szCs w:val="20"/>
                      <w:highlight w:val="none"/>
                    </w:rPr>
                    <w:t>20</w:t>
                  </w:r>
                  <w:r>
                    <w:rPr>
                      <w:rFonts w:ascii="Times New Roman" w:hAnsi="Times New Roman"/>
                      <w:color w:val="auto"/>
                      <w:szCs w:val="2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jc w:val="center"/>
                    <w:rPr>
                      <w:rFonts w:hint="default" w:ascii="Times New Roman" w:hAnsi="Times New Roman"/>
                      <w:snapToGrid w:val="0"/>
                      <w:color w:val="auto"/>
                      <w:kern w:val="21"/>
                      <w:highlight w:val="none"/>
                      <w:lang w:val="en-US" w:eastAsia="zh-CN"/>
                    </w:rPr>
                  </w:pPr>
                  <w:r>
                    <w:rPr>
                      <w:rFonts w:hint="eastAsia" w:ascii="Times New Roman" w:hAnsi="Times New Roman"/>
                      <w:snapToGrid w:val="0"/>
                      <w:color w:val="auto"/>
                      <w:kern w:val="21"/>
                      <w:highlight w:val="none"/>
                      <w:lang w:val="en-US" w:eastAsia="zh-CN"/>
                    </w:rPr>
                    <w:t>污泥</w:t>
                  </w:r>
                </w:p>
              </w:tc>
              <w:tc>
                <w:tcPr>
                  <w:tcW w:w="978" w:type="pct"/>
                  <w:noWrap w:val="0"/>
                  <w:vAlign w:val="center"/>
                </w:tcPr>
                <w:p>
                  <w:pPr>
                    <w:jc w:val="center"/>
                    <w:rPr>
                      <w:rFonts w:hint="eastAsia" w:ascii="Times New Roman" w:hAnsi="Times New Roman"/>
                      <w:snapToGrid w:val="0"/>
                      <w:color w:val="auto"/>
                      <w:kern w:val="21"/>
                      <w:highlight w:val="none"/>
                      <w:lang w:val="en-US" w:eastAsia="zh-CN"/>
                    </w:rPr>
                  </w:pPr>
                  <w:r>
                    <w:rPr>
                      <w:rFonts w:hint="eastAsia" w:ascii="Times New Roman" w:hAnsi="Times New Roman"/>
                      <w:snapToGrid w:val="0"/>
                      <w:color w:val="auto"/>
                      <w:kern w:val="21"/>
                      <w:highlight w:val="none"/>
                      <w:lang w:val="en-US" w:eastAsia="zh-CN"/>
                    </w:rPr>
                    <w:t>0.004t/a</w:t>
                  </w:r>
                </w:p>
              </w:tc>
              <w:tc>
                <w:tcPr>
                  <w:tcW w:w="1022" w:type="pct"/>
                  <w:noWrap w:val="0"/>
                  <w:vAlign w:val="center"/>
                </w:tcPr>
                <w:p>
                  <w:pPr>
                    <w:jc w:val="center"/>
                    <w:rPr>
                      <w:rFonts w:hint="eastAsia" w:ascii="Times New Roman" w:hAnsi="Times New Roman"/>
                      <w:snapToGrid w:val="0"/>
                      <w:color w:val="auto"/>
                      <w:kern w:val="21"/>
                      <w:highlight w:val="none"/>
                      <w:lang w:val="en-US" w:eastAsia="zh-CN"/>
                    </w:rPr>
                  </w:pPr>
                  <w:r>
                    <w:rPr>
                      <w:rFonts w:hint="eastAsia" w:ascii="Times New Roman" w:hAnsi="Times New Roman"/>
                      <w:snapToGrid w:val="0"/>
                      <w:color w:val="auto"/>
                      <w:kern w:val="21"/>
                      <w:highlight w:val="none"/>
                      <w:lang w:val="en-US" w:eastAsia="zh-CN"/>
                    </w:rPr>
                    <w:t>/</w:t>
                  </w:r>
                </w:p>
              </w:tc>
              <w:tc>
                <w:tcPr>
                  <w:tcW w:w="806" w:type="pct"/>
                  <w:vMerge w:val="continue"/>
                  <w:noWrap w:val="0"/>
                  <w:vAlign w:val="center"/>
                </w:tcPr>
                <w:p>
                  <w:pPr>
                    <w:jc w:val="center"/>
                    <w:rPr>
                      <w:rFonts w:hint="eastAsia" w:ascii="Times New Roman" w:hAnsi="Times New Roman"/>
                      <w:snapToGrid w:val="0"/>
                      <w:color w:val="auto"/>
                      <w:kern w:val="21"/>
                      <w:highlight w:val="none"/>
                      <w:lang w:val="en-US" w:eastAsia="zh-CN"/>
                    </w:rPr>
                  </w:pPr>
                </w:p>
              </w:tc>
              <w:tc>
                <w:tcPr>
                  <w:tcW w:w="842" w:type="pct"/>
                  <w:noWrap w:val="0"/>
                  <w:vAlign w:val="center"/>
                </w:tcPr>
                <w:p>
                  <w:pPr>
                    <w:jc w:val="center"/>
                    <w:rPr>
                      <w:rFonts w:hint="eastAsia" w:ascii="Times New Roman" w:hAnsi="Times New Roman"/>
                      <w:snapToGrid w:val="0"/>
                      <w:color w:val="auto"/>
                      <w:kern w:val="21"/>
                      <w:highlight w:val="none"/>
                      <w:lang w:val="en-US" w:eastAsia="zh-CN"/>
                    </w:rPr>
                  </w:pPr>
                  <w:r>
                    <w:rPr>
                      <w:rFonts w:hint="eastAsia" w:ascii="Times New Roman" w:hAnsi="Times New Roman" w:eastAsia="Times New Roman"/>
                      <w:color w:val="auto"/>
                      <w:highlight w:val="none"/>
                    </w:rPr>
                    <w:t>《</w:t>
                  </w:r>
                  <w:r>
                    <w:rPr>
                      <w:rFonts w:ascii="Times New Roman" w:hAnsi="Times New Roman"/>
                      <w:color w:val="auto"/>
                      <w:szCs w:val="20"/>
                      <w:highlight w:val="none"/>
                    </w:rPr>
                    <w:t>危险废物贮存污染控制标准》（GB18597-20</w:t>
                  </w:r>
                  <w:r>
                    <w:rPr>
                      <w:rFonts w:hint="eastAsia" w:ascii="Times New Roman" w:hAnsi="Times New Roman"/>
                      <w:color w:val="auto"/>
                      <w:szCs w:val="20"/>
                      <w:highlight w:val="none"/>
                      <w:lang w:val="en-US" w:eastAsia="zh-CN"/>
                    </w:rPr>
                    <w:t>23</w:t>
                  </w:r>
                  <w:r>
                    <w:rPr>
                      <w:rFonts w:ascii="Times New Roman" w:hAnsi="Times New Roman"/>
                      <w:color w:val="auto"/>
                      <w:szCs w:val="2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34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p>
              </w:tc>
              <w:tc>
                <w:tcPr>
                  <w:tcW w:w="1006" w:type="pct"/>
                  <w:noWrap w:val="0"/>
                  <w:vAlign w:val="center"/>
                </w:tcPr>
                <w:p>
                  <w:pPr>
                    <w:pStyle w:val="67"/>
                    <w:snapToGrid w:val="0"/>
                    <w:spacing w:before="0" w:after="0" w:line="240" w:lineRule="auto"/>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lang w:eastAsia="zh-CN"/>
                    </w:rPr>
                    <w:t>生活垃圾</w:t>
                  </w:r>
                </w:p>
              </w:tc>
              <w:tc>
                <w:tcPr>
                  <w:tcW w:w="978" w:type="pct"/>
                  <w:noWrap w:val="0"/>
                  <w:vAlign w:val="center"/>
                </w:tcPr>
                <w:p>
                  <w:pPr>
                    <w:pStyle w:val="67"/>
                    <w:snapToGrid w:val="0"/>
                    <w:spacing w:before="0" w:after="0" w:line="240" w:lineRule="auto"/>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7.5</w:t>
                  </w:r>
                </w:p>
              </w:tc>
              <w:tc>
                <w:tcPr>
                  <w:tcW w:w="1022"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w:t>
                  </w:r>
                </w:p>
              </w:tc>
              <w:tc>
                <w:tcPr>
                  <w:tcW w:w="806" w:type="pct"/>
                  <w:noWrap w:val="0"/>
                  <w:vAlign w:val="center"/>
                </w:tcPr>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消毒后，</w:t>
                  </w:r>
                  <w:r>
                    <w:rPr>
                      <w:rFonts w:hint="eastAsia" w:ascii="Times New Roman" w:hAnsi="Times New Roman"/>
                      <w:color w:val="auto"/>
                      <w:szCs w:val="21"/>
                      <w:highlight w:val="none"/>
                    </w:rPr>
                    <w:t>垃圾桶分类贮存</w:t>
                  </w: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eastAsia="zh-CN"/>
                    </w:rPr>
                    <w:t>环卫部门</w:t>
                  </w:r>
                  <w:r>
                    <w:rPr>
                      <w:rFonts w:hint="default" w:ascii="Times New Roman" w:hAnsi="Times New Roman" w:cs="Times New Roman"/>
                      <w:color w:val="auto"/>
                      <w:sz w:val="21"/>
                      <w:szCs w:val="21"/>
                      <w:highlight w:val="none"/>
                    </w:rPr>
                    <w:t>定期清运</w:t>
                  </w:r>
                </w:p>
              </w:tc>
              <w:tc>
                <w:tcPr>
                  <w:tcW w:w="842" w:type="pct"/>
                  <w:noWrap w:val="0"/>
                  <w:vAlign w:val="center"/>
                </w:tcPr>
                <w:p>
                  <w:pPr>
                    <w:spacing w:line="24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减量化</w:t>
                  </w:r>
                </w:p>
                <w:p>
                  <w:pPr>
                    <w:spacing w:line="24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资源化</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highlight w:val="none"/>
                    </w:rPr>
                    <w:t>无害化</w:t>
                  </w:r>
                </w:p>
              </w:tc>
            </w:tr>
          </w:tbl>
          <w:p>
            <w:pPr>
              <w:pStyle w:val="76"/>
              <w:rPr>
                <w:rFonts w:hint="default" w:ascii="Times New Roman" w:hAnsi="Times New Roman" w:cs="Times New Roman"/>
                <w:color w:val="auto"/>
                <w:highlight w:val="none"/>
                <w:lang w:val="en-US" w:eastAsia="zh-CN"/>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pStyle w:val="19"/>
              <w:ind w:firstLine="180"/>
              <w:rPr>
                <w:color w:val="auto"/>
                <w:highlight w:val="none"/>
              </w:rPr>
            </w:pPr>
          </w:p>
          <w:p>
            <w:pPr>
              <w:rPr>
                <w:color w:val="auto"/>
                <w:highlight w:val="none"/>
              </w:rPr>
            </w:pPr>
          </w:p>
        </w:tc>
      </w:tr>
    </w:tbl>
    <w:p>
      <w:pPr>
        <w:adjustRightInd w:val="0"/>
        <w:snapToGrid w:val="0"/>
        <w:spacing w:line="360" w:lineRule="auto"/>
        <w:rPr>
          <w:rFonts w:ascii="宋体" w:cs="宋体"/>
          <w:b/>
          <w:color w:val="auto"/>
          <w:sz w:val="28"/>
          <w:szCs w:val="28"/>
          <w:highlight w:val="none"/>
        </w:rPr>
        <w:sectPr>
          <w:pgSz w:w="11907" w:h="16840"/>
          <w:pgMar w:top="1701" w:right="1531" w:bottom="2127" w:left="1531" w:header="851" w:footer="851" w:gutter="0"/>
          <w:cols w:space="720" w:num="1"/>
          <w:docGrid w:linePitch="312" w:charSpace="0"/>
        </w:sectPr>
      </w:pPr>
    </w:p>
    <w:p>
      <w:pPr>
        <w:pStyle w:val="17"/>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五、</w:t>
      </w:r>
      <w:bookmarkStart w:id="37" w:name="_Hlk54167917"/>
      <w:r>
        <w:rPr>
          <w:rFonts w:hint="eastAsia" w:ascii="黑体" w:hAnsi="黑体" w:eastAsia="黑体"/>
          <w:snapToGrid w:val="0"/>
          <w:color w:val="auto"/>
          <w:sz w:val="30"/>
          <w:szCs w:val="30"/>
          <w:highlight w:val="none"/>
        </w:rPr>
        <w:t>环境保护措施监督检查清单</w:t>
      </w:r>
      <w:bookmarkEnd w:id="37"/>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55"/>
        <w:gridCol w:w="1274"/>
        <w:gridCol w:w="2236"/>
        <w:gridCol w:w="17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tcBorders>
              <w:tl2br w:val="single" w:color="auto" w:sz="4" w:space="0"/>
            </w:tcBorders>
          </w:tcPr>
          <w:p>
            <w:pPr>
              <w:adjustRightInd w:val="0"/>
              <w:snapToGrid w:val="0"/>
              <w:ind w:firstLine="840"/>
              <w:rPr>
                <w:rFonts w:ascii="宋体" w:hAnsi="宋体" w:cs="宋体"/>
                <w:b/>
                <w:bCs/>
                <w:color w:val="auto"/>
                <w:highlight w:val="none"/>
              </w:rPr>
            </w:pPr>
            <w:r>
              <w:rPr>
                <w:rFonts w:hint="eastAsia" w:ascii="宋体" w:hAnsi="宋体" w:cs="宋体"/>
                <w:b/>
                <w:bCs/>
                <w:color w:val="auto"/>
                <w:highlight w:val="none"/>
              </w:rPr>
              <w:t>内容</w:t>
            </w:r>
          </w:p>
          <w:p>
            <w:pPr>
              <w:adjustRightInd w:val="0"/>
              <w:snapToGrid w:val="0"/>
              <w:rPr>
                <w:rFonts w:ascii="宋体" w:hAnsi="宋体" w:cs="宋体"/>
                <w:b/>
                <w:bCs/>
                <w:color w:val="auto"/>
                <w:highlight w:val="none"/>
              </w:rPr>
            </w:pPr>
            <w:r>
              <w:rPr>
                <w:rFonts w:hint="eastAsia" w:ascii="宋体" w:hAnsi="宋体" w:cs="宋体"/>
                <w:b/>
                <w:bCs/>
                <w:color w:val="auto"/>
                <w:highlight w:val="none"/>
              </w:rPr>
              <w:t>要素</w:t>
            </w:r>
          </w:p>
        </w:tc>
        <w:tc>
          <w:tcPr>
            <w:tcW w:w="1755"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排放口(编号、名称)/污染源</w:t>
            </w:r>
          </w:p>
        </w:tc>
        <w:tc>
          <w:tcPr>
            <w:tcW w:w="1274"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污染物项目</w:t>
            </w:r>
          </w:p>
        </w:tc>
        <w:tc>
          <w:tcPr>
            <w:tcW w:w="2236"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环境保护措施</w:t>
            </w:r>
          </w:p>
        </w:tc>
        <w:tc>
          <w:tcPr>
            <w:tcW w:w="1757"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大气环境</w:t>
            </w:r>
          </w:p>
        </w:tc>
        <w:tc>
          <w:tcPr>
            <w:tcW w:w="1755" w:type="dxa"/>
            <w:vAlign w:val="center"/>
          </w:tcPr>
          <w:p>
            <w:pPr>
              <w:adjustRightInd w:val="0"/>
              <w:snapToGrid w:val="0"/>
              <w:jc w:val="center"/>
              <w:rPr>
                <w:rFonts w:ascii="Times New Roman" w:hAnsi="Times New Roman"/>
                <w:color w:val="auto"/>
                <w:kern w:val="2"/>
                <w:highlight w:val="none"/>
              </w:rPr>
            </w:pPr>
            <w:r>
              <w:rPr>
                <w:rFonts w:hint="eastAsia" w:ascii="宋体" w:hAnsi="宋体" w:cs="宋体"/>
                <w:color w:val="auto"/>
                <w:highlight w:val="none"/>
              </w:rPr>
              <w:t>/</w:t>
            </w:r>
          </w:p>
        </w:tc>
        <w:tc>
          <w:tcPr>
            <w:tcW w:w="1274" w:type="dxa"/>
            <w:vAlign w:val="center"/>
          </w:tcPr>
          <w:p>
            <w:pPr>
              <w:adjustRightInd w:val="0"/>
              <w:snapToGrid w:val="0"/>
              <w:jc w:val="center"/>
              <w:rPr>
                <w:rFonts w:ascii="Times New Roman" w:hAnsi="Times New Roman"/>
                <w:color w:val="auto"/>
                <w:kern w:val="2"/>
                <w:highlight w:val="none"/>
              </w:rPr>
            </w:pPr>
            <w:r>
              <w:rPr>
                <w:rFonts w:hint="eastAsia" w:ascii="宋体" w:hAnsi="宋体" w:cs="宋体"/>
                <w:color w:val="auto"/>
                <w:highlight w:val="none"/>
              </w:rPr>
              <w:t>/</w:t>
            </w:r>
          </w:p>
        </w:tc>
        <w:tc>
          <w:tcPr>
            <w:tcW w:w="2236" w:type="dxa"/>
            <w:vAlign w:val="center"/>
          </w:tcPr>
          <w:p>
            <w:pPr>
              <w:adjustRightInd w:val="0"/>
              <w:snapToGrid w:val="0"/>
              <w:jc w:val="center"/>
              <w:rPr>
                <w:rFonts w:ascii="Times New Roman" w:hAnsi="Times New Roman"/>
                <w:color w:val="auto"/>
                <w:kern w:val="2"/>
                <w:highlight w:val="none"/>
              </w:rPr>
            </w:pPr>
            <w:r>
              <w:rPr>
                <w:rFonts w:hint="eastAsia" w:ascii="宋体" w:hAnsi="宋体" w:cs="宋体"/>
                <w:color w:val="auto"/>
                <w:highlight w:val="none"/>
              </w:rPr>
              <w:t>/</w:t>
            </w:r>
          </w:p>
        </w:tc>
        <w:tc>
          <w:tcPr>
            <w:tcW w:w="1757"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地表水环境</w:t>
            </w:r>
          </w:p>
        </w:tc>
        <w:tc>
          <w:tcPr>
            <w:tcW w:w="1755" w:type="dxa"/>
            <w:vAlign w:val="center"/>
          </w:tcPr>
          <w:p>
            <w:pPr>
              <w:pStyle w:val="16"/>
              <w:adjustRightInd w:val="0"/>
              <w:snapToGrid w:val="0"/>
              <w:spacing w:after="0" w:line="240" w:lineRule="auto"/>
              <w:jc w:val="center"/>
              <w:rPr>
                <w:rFonts w:ascii="宋体" w:hAnsi="宋体" w:cs="宋体"/>
                <w:color w:val="auto"/>
                <w:highlight w:val="none"/>
              </w:rPr>
            </w:pPr>
            <w:r>
              <w:rPr>
                <w:rFonts w:hint="eastAsia"/>
                <w:color w:val="auto"/>
                <w:kern w:val="2"/>
                <w:highlight w:val="none"/>
              </w:rPr>
              <w:t>废水总排口</w:t>
            </w:r>
            <w:r>
              <w:rPr>
                <w:color w:val="auto"/>
                <w:kern w:val="2"/>
                <w:highlight w:val="none"/>
              </w:rPr>
              <w:t>D</w:t>
            </w:r>
            <w:r>
              <w:rPr>
                <w:rFonts w:hint="eastAsia"/>
                <w:color w:val="auto"/>
                <w:kern w:val="2"/>
                <w:highlight w:val="none"/>
              </w:rPr>
              <w:t>W</w:t>
            </w:r>
            <w:r>
              <w:rPr>
                <w:color w:val="auto"/>
                <w:kern w:val="2"/>
                <w:highlight w:val="none"/>
              </w:rPr>
              <w:t>001</w:t>
            </w:r>
          </w:p>
        </w:tc>
        <w:tc>
          <w:tcPr>
            <w:tcW w:w="1274" w:type="dxa"/>
            <w:vAlign w:val="center"/>
          </w:tcPr>
          <w:p>
            <w:pPr>
              <w:pStyle w:val="16"/>
              <w:adjustRightInd w:val="0"/>
              <w:snapToGrid w:val="0"/>
              <w:spacing w:after="0" w:line="240" w:lineRule="auto"/>
              <w:jc w:val="center"/>
              <w:rPr>
                <w:rFonts w:ascii="宋体" w:hAnsi="宋体" w:cs="宋体"/>
                <w:color w:val="auto"/>
                <w:highlight w:val="none"/>
              </w:rPr>
            </w:pPr>
            <w:r>
              <w:rPr>
                <w:rFonts w:hint="eastAsia"/>
                <w:color w:val="auto"/>
                <w:highlight w:val="none"/>
              </w:rPr>
              <w:t>pH、</w:t>
            </w:r>
            <w:r>
              <w:rPr>
                <w:rFonts w:hint="eastAsia"/>
                <w:color w:val="auto"/>
                <w:highlight w:val="none"/>
                <w:lang w:val="zh-CN"/>
              </w:rPr>
              <w:t>COD</w:t>
            </w:r>
            <w:r>
              <w:rPr>
                <w:rFonts w:hint="eastAsia"/>
                <w:color w:val="auto"/>
                <w:highlight w:val="none"/>
              </w:rPr>
              <w:t>、</w:t>
            </w:r>
            <w:r>
              <w:rPr>
                <w:rFonts w:hint="eastAsia"/>
                <w:color w:val="auto"/>
                <w:highlight w:val="none"/>
                <w:lang w:val="zh-CN"/>
              </w:rPr>
              <w:t>SS</w:t>
            </w:r>
            <w:r>
              <w:rPr>
                <w:rFonts w:hint="eastAsia"/>
                <w:color w:val="auto"/>
                <w:highlight w:val="none"/>
              </w:rPr>
              <w:t>、</w:t>
            </w:r>
            <w:r>
              <w:rPr>
                <w:rFonts w:hint="eastAsia"/>
                <w:color w:val="auto"/>
                <w:highlight w:val="none"/>
                <w:lang w:val="zh-CN"/>
              </w:rPr>
              <w:t>BOD</w:t>
            </w:r>
            <w:r>
              <w:rPr>
                <w:rFonts w:hint="eastAsia"/>
                <w:color w:val="auto"/>
                <w:highlight w:val="none"/>
                <w:vertAlign w:val="subscript"/>
                <w:lang w:val="zh-CN"/>
              </w:rPr>
              <w:t>5</w:t>
            </w:r>
            <w:r>
              <w:rPr>
                <w:rFonts w:hint="eastAsia"/>
                <w:color w:val="auto"/>
                <w:highlight w:val="none"/>
                <w:lang w:val="zh-CN"/>
              </w:rPr>
              <w:t>、氨氮、总磷、总氮</w:t>
            </w:r>
            <w:r>
              <w:rPr>
                <w:rFonts w:hint="eastAsia"/>
                <w:color w:val="auto"/>
                <w:highlight w:val="none"/>
              </w:rPr>
              <w:t>、粪大肠菌、总余氯</w:t>
            </w:r>
            <w:r>
              <w:rPr>
                <w:rFonts w:hint="eastAsia"/>
                <w:color w:val="auto"/>
                <w:highlight w:val="none"/>
                <w:lang w:val="zh-CN"/>
              </w:rPr>
              <w:t>以及阴离子表面活性剂</w:t>
            </w:r>
          </w:p>
        </w:tc>
        <w:tc>
          <w:tcPr>
            <w:tcW w:w="2236" w:type="dxa"/>
            <w:vAlign w:val="center"/>
          </w:tcPr>
          <w:p>
            <w:pPr>
              <w:pStyle w:val="16"/>
              <w:adjustRightInd w:val="0"/>
              <w:snapToGrid w:val="0"/>
              <w:spacing w:after="0" w:line="240" w:lineRule="auto"/>
              <w:jc w:val="center"/>
              <w:rPr>
                <w:rFonts w:ascii="宋体" w:hAnsi="宋体" w:cs="宋体"/>
                <w:color w:val="auto"/>
                <w:highlight w:val="none"/>
              </w:rPr>
            </w:pPr>
            <w:r>
              <w:rPr>
                <w:rFonts w:hint="eastAsia"/>
                <w:color w:val="auto"/>
                <w:highlight w:val="none"/>
              </w:rPr>
              <w:t>依托医院现有污水处理站，采用“二级处理</w:t>
            </w:r>
            <w:r>
              <w:rPr>
                <w:color w:val="auto"/>
                <w:highlight w:val="none"/>
              </w:rPr>
              <w:t>+</w:t>
            </w:r>
            <w:r>
              <w:rPr>
                <w:rFonts w:hint="eastAsia"/>
                <w:color w:val="auto"/>
                <w:highlight w:val="none"/>
              </w:rPr>
              <w:t>二氧化氯消毒”工艺达标</w:t>
            </w:r>
            <w:r>
              <w:rPr>
                <w:color w:val="auto"/>
                <w:highlight w:val="none"/>
              </w:rPr>
              <w:t>处理</w:t>
            </w:r>
            <w:r>
              <w:rPr>
                <w:rFonts w:hint="eastAsia"/>
                <w:color w:val="auto"/>
                <w:highlight w:val="none"/>
              </w:rPr>
              <w:t>后</w:t>
            </w:r>
            <w:r>
              <w:rPr>
                <w:color w:val="auto"/>
                <w:highlight w:val="none"/>
              </w:rPr>
              <w:t>排入市政管网</w:t>
            </w:r>
          </w:p>
        </w:tc>
        <w:tc>
          <w:tcPr>
            <w:tcW w:w="1757" w:type="dxa"/>
            <w:vAlign w:val="center"/>
          </w:tcPr>
          <w:p>
            <w:pPr>
              <w:adjustRightInd w:val="0"/>
              <w:snapToGrid w:val="0"/>
              <w:jc w:val="center"/>
              <w:rPr>
                <w:rFonts w:ascii="宋体" w:hAnsi="宋体" w:cs="宋体"/>
                <w:color w:val="auto"/>
                <w:highlight w:val="none"/>
              </w:rPr>
            </w:pPr>
            <w:r>
              <w:rPr>
                <w:rFonts w:hint="eastAsia" w:ascii="Times New Roman" w:hAnsi="Times New Roman"/>
                <w:color w:val="auto"/>
                <w:highlight w:val="none"/>
              </w:rPr>
              <w:t>《医疗机构水污染物排放标准》（GB18466-2005）预处理标准及</w:t>
            </w:r>
            <w:r>
              <w:rPr>
                <w:rFonts w:ascii="Times New Roman" w:hAnsi="Times New Roman"/>
                <w:color w:val="auto"/>
                <w:highlight w:val="none"/>
              </w:rPr>
              <w:t>GB/T31962-2015《污水排入城镇下水道水质标准》</w:t>
            </w:r>
            <w:r>
              <w:rPr>
                <w:rFonts w:hint="eastAsia" w:ascii="Times New Roman" w:hAnsi="Times New Roman"/>
                <w:color w:val="auto"/>
                <w:highlight w:val="none"/>
              </w:rPr>
              <w:t>B</w:t>
            </w:r>
            <w:r>
              <w:rPr>
                <w:rFonts w:ascii="Times New Roman" w:hAnsi="Times New Roman"/>
                <w:color w:val="auto"/>
                <w:highlight w:val="none"/>
              </w:rPr>
              <w:t>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声环境</w:t>
            </w:r>
          </w:p>
        </w:tc>
        <w:tc>
          <w:tcPr>
            <w:tcW w:w="1755"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医院噪声</w:t>
            </w:r>
          </w:p>
        </w:tc>
        <w:tc>
          <w:tcPr>
            <w:tcW w:w="1274"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设备噪声</w:t>
            </w:r>
          </w:p>
        </w:tc>
        <w:tc>
          <w:tcPr>
            <w:tcW w:w="2236" w:type="dxa"/>
            <w:vAlign w:val="center"/>
          </w:tcPr>
          <w:p>
            <w:pPr>
              <w:adjustRightInd w:val="0"/>
              <w:snapToGrid w:val="0"/>
              <w:jc w:val="left"/>
              <w:rPr>
                <w:rFonts w:ascii="宋体" w:hAnsi="宋体" w:cs="宋体"/>
                <w:color w:val="auto"/>
                <w:highlight w:val="none"/>
              </w:rPr>
            </w:pPr>
            <w:r>
              <w:rPr>
                <w:rFonts w:hint="eastAsia" w:ascii="Times New Roman" w:hAnsi="Times New Roman"/>
                <w:color w:val="auto"/>
                <w:highlight w:val="none"/>
              </w:rPr>
              <w:t>选用</w:t>
            </w:r>
            <w:r>
              <w:rPr>
                <w:rFonts w:ascii="Times New Roman" w:hAnsi="Times New Roman"/>
                <w:color w:val="auto"/>
                <w:highlight w:val="none"/>
              </w:rPr>
              <w:t>低噪设备、</w:t>
            </w:r>
            <w:r>
              <w:rPr>
                <w:rFonts w:hint="eastAsia" w:ascii="Times New Roman" w:hAnsi="Times New Roman"/>
                <w:color w:val="auto"/>
                <w:highlight w:val="none"/>
              </w:rPr>
              <w:t>减振</w:t>
            </w:r>
            <w:r>
              <w:rPr>
                <w:rFonts w:ascii="Times New Roman" w:hAnsi="Times New Roman"/>
                <w:color w:val="auto"/>
                <w:highlight w:val="none"/>
              </w:rPr>
              <w:t>、隔声等措施</w:t>
            </w:r>
          </w:p>
        </w:tc>
        <w:tc>
          <w:tcPr>
            <w:tcW w:w="1757" w:type="dxa"/>
            <w:vAlign w:val="center"/>
          </w:tcPr>
          <w:p>
            <w:pPr>
              <w:adjustRightInd w:val="0"/>
              <w:snapToGrid w:val="0"/>
              <w:jc w:val="center"/>
              <w:rPr>
                <w:rFonts w:ascii="宋体" w:hAnsi="宋体" w:cs="宋体"/>
                <w:color w:val="auto"/>
                <w:highlight w:val="none"/>
              </w:rPr>
            </w:pPr>
            <w:r>
              <w:rPr>
                <w:rFonts w:ascii="Times New Roman" w:hAnsi="Times New Roman"/>
                <w:color w:val="auto"/>
                <w:highlight w:val="none"/>
              </w:rPr>
              <w:t>《工业企业厂界环境噪声排放标准》（GB12348-2008）3类标准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电磁辐射</w:t>
            </w:r>
          </w:p>
        </w:tc>
        <w:tc>
          <w:tcPr>
            <w:tcW w:w="1755"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c>
          <w:tcPr>
            <w:tcW w:w="1274"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c>
          <w:tcPr>
            <w:tcW w:w="2236"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c>
          <w:tcPr>
            <w:tcW w:w="1757"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固体废物</w:t>
            </w:r>
          </w:p>
        </w:tc>
        <w:tc>
          <w:tcPr>
            <w:tcW w:w="7022" w:type="dxa"/>
            <w:gridSpan w:val="4"/>
            <w:vAlign w:val="center"/>
          </w:tcPr>
          <w:p>
            <w:pPr>
              <w:adjustRightInd w:val="0"/>
              <w:snapToGrid w:val="0"/>
              <w:jc w:val="left"/>
              <w:rPr>
                <w:rFonts w:ascii="Times New Roman" w:hAnsi="Times New Roman"/>
                <w:color w:val="auto"/>
                <w:highlight w:val="none"/>
              </w:rPr>
            </w:pPr>
            <w:r>
              <w:rPr>
                <w:rFonts w:hint="eastAsia" w:ascii="Times New Roman" w:hAnsi="Times New Roman"/>
                <w:color w:val="auto"/>
                <w:highlight w:val="none"/>
              </w:rPr>
              <w:t>发热门诊医护人员及病患办公</w:t>
            </w:r>
            <w:r>
              <w:rPr>
                <w:rFonts w:ascii="Times New Roman" w:hAnsi="Times New Roman"/>
                <w:color w:val="auto"/>
                <w:highlight w:val="none"/>
              </w:rPr>
              <w:t>生活垃圾</w:t>
            </w:r>
            <w:r>
              <w:rPr>
                <w:rFonts w:hint="eastAsia" w:ascii="Times New Roman" w:hAnsi="Times New Roman"/>
                <w:color w:val="auto"/>
                <w:highlight w:val="none"/>
                <w:lang w:val="en-US" w:eastAsia="zh-CN"/>
              </w:rPr>
              <w:t>消毒后</w:t>
            </w:r>
            <w:r>
              <w:rPr>
                <w:rFonts w:hint="eastAsia" w:ascii="Times New Roman" w:hAnsi="Times New Roman"/>
                <w:color w:val="auto"/>
                <w:highlight w:val="none"/>
              </w:rPr>
              <w:t>，</w:t>
            </w:r>
            <w:r>
              <w:rPr>
                <w:rFonts w:hint="eastAsia" w:ascii="Times New Roman" w:hAnsi="Times New Roman"/>
                <w:color w:val="auto"/>
                <w:szCs w:val="21"/>
                <w:highlight w:val="none"/>
              </w:rPr>
              <w:t>垃圾桶分类贮存</w:t>
            </w:r>
            <w:r>
              <w:rPr>
                <w:rFonts w:hint="eastAsia" w:ascii="Times New Roman" w:hAnsi="Times New Roman"/>
                <w:color w:val="auto"/>
                <w:szCs w:val="21"/>
                <w:highlight w:val="none"/>
                <w:lang w:eastAsia="zh-CN"/>
              </w:rPr>
              <w:t>，</w:t>
            </w:r>
            <w:r>
              <w:rPr>
                <w:rFonts w:hint="eastAsia" w:ascii="Times New Roman" w:hAnsi="Times New Roman"/>
                <w:color w:val="auto"/>
                <w:szCs w:val="21"/>
                <w:highlight w:val="none"/>
              </w:rPr>
              <w:t>由环卫部门定期清运</w:t>
            </w:r>
            <w:r>
              <w:rPr>
                <w:rFonts w:hint="eastAsia" w:ascii="Times New Roman" w:hAnsi="Times New Roman"/>
                <w:color w:val="auto"/>
                <w:highlight w:val="none"/>
              </w:rPr>
              <w:t>；</w:t>
            </w:r>
          </w:p>
          <w:p>
            <w:pPr>
              <w:adjustRightInd w:val="0"/>
              <w:snapToGrid w:val="0"/>
              <w:jc w:val="left"/>
              <w:rPr>
                <w:rFonts w:ascii="宋体" w:hAnsi="宋体" w:cs="宋体"/>
                <w:color w:val="auto"/>
                <w:highlight w:val="none"/>
              </w:rPr>
            </w:pPr>
            <w:r>
              <w:rPr>
                <w:rFonts w:hint="eastAsia" w:ascii="Times New Roman" w:hAnsi="Times New Roman"/>
                <w:bCs/>
                <w:color w:val="auto"/>
                <w:kern w:val="2"/>
                <w:highlight w:val="none"/>
              </w:rPr>
              <w:t>医疗废物采取医疗废物垃圾桶收集，暂置于医废暂存间，定期交</w:t>
            </w:r>
            <w:r>
              <w:rPr>
                <w:rFonts w:hint="eastAsia" w:ascii="Times New Roman" w:hAnsi="Times New Roman"/>
                <w:bCs/>
                <w:color w:val="auto"/>
                <w:kern w:val="2"/>
                <w:highlight w:val="none"/>
                <w:lang w:val="en-US" w:eastAsia="zh-CN"/>
              </w:rPr>
              <w:t>由陕西宏恩等离子技术有限责任公司</w:t>
            </w:r>
            <w:r>
              <w:rPr>
                <w:rFonts w:hint="eastAsia" w:ascii="Times New Roman" w:hAnsi="Times New Roman"/>
                <w:color w:val="auto"/>
                <w:highlight w:val="none"/>
              </w:rPr>
              <w:t>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土壤及地下水</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污染防治措施</w:t>
            </w:r>
          </w:p>
        </w:tc>
        <w:tc>
          <w:tcPr>
            <w:tcW w:w="7022" w:type="dxa"/>
            <w:gridSpan w:val="4"/>
            <w:vAlign w:val="center"/>
          </w:tcPr>
          <w:p>
            <w:pPr>
              <w:adjustRightInd w:val="0"/>
              <w:snapToGrid w:val="0"/>
              <w:jc w:val="left"/>
              <w:rPr>
                <w:rFonts w:ascii="宋体" w:hAnsi="宋体" w:cs="宋体"/>
                <w:color w:val="auto"/>
                <w:highlight w:val="none"/>
              </w:rPr>
            </w:pPr>
            <w:r>
              <w:rPr>
                <w:rFonts w:ascii="Times New Roman" w:hAnsi="Times New Roman"/>
                <w:color w:val="auto"/>
                <w:szCs w:val="20"/>
                <w:highlight w:val="none"/>
              </w:rPr>
              <w:t>固体废物临时贮存场地严格执行GB18599－20</w:t>
            </w:r>
            <w:r>
              <w:rPr>
                <w:rFonts w:hint="eastAsia" w:ascii="Times New Roman" w:hAnsi="Times New Roman"/>
                <w:color w:val="auto"/>
                <w:szCs w:val="20"/>
                <w:highlight w:val="none"/>
              </w:rPr>
              <w:t>20</w:t>
            </w:r>
            <w:r>
              <w:rPr>
                <w:rFonts w:ascii="Times New Roman" w:hAnsi="Times New Roman"/>
                <w:color w:val="auto"/>
                <w:szCs w:val="20"/>
                <w:highlight w:val="none"/>
              </w:rPr>
              <w:t>《一般工业固体废弃物贮存</w:t>
            </w:r>
            <w:r>
              <w:rPr>
                <w:rFonts w:hint="eastAsia" w:ascii="Times New Roman" w:hAnsi="Times New Roman"/>
                <w:color w:val="auto"/>
                <w:szCs w:val="20"/>
                <w:highlight w:val="none"/>
              </w:rPr>
              <w:t>和填埋</w:t>
            </w:r>
            <w:r>
              <w:rPr>
                <w:rFonts w:ascii="Times New Roman" w:hAnsi="Times New Roman"/>
                <w:color w:val="auto"/>
                <w:szCs w:val="20"/>
                <w:highlight w:val="none"/>
              </w:rPr>
              <w:t>污染控制标准》和GB18597-20</w:t>
            </w:r>
            <w:r>
              <w:rPr>
                <w:rFonts w:hint="eastAsia" w:ascii="Times New Roman" w:hAnsi="Times New Roman"/>
                <w:color w:val="auto"/>
                <w:szCs w:val="20"/>
                <w:highlight w:val="none"/>
                <w:lang w:val="en-US" w:eastAsia="zh-CN"/>
              </w:rPr>
              <w:t>23</w:t>
            </w:r>
            <w:r>
              <w:rPr>
                <w:rFonts w:ascii="Times New Roman" w:hAnsi="Times New Roman"/>
                <w:color w:val="auto"/>
                <w:szCs w:val="20"/>
                <w:highlight w:val="none"/>
              </w:rPr>
              <w:t>《危险废物贮存污染控制标准》的有关规定，</w:t>
            </w:r>
            <w:r>
              <w:rPr>
                <w:rFonts w:hint="eastAsia" w:ascii="Times New Roman" w:hAnsi="Times New Roman"/>
                <w:color w:val="auto"/>
                <w:szCs w:val="20"/>
                <w:highlight w:val="none"/>
              </w:rPr>
              <w:t>医废暂存间</w:t>
            </w:r>
            <w:r>
              <w:rPr>
                <w:rFonts w:ascii="Times New Roman" w:hAnsi="Times New Roman"/>
                <w:color w:val="auto"/>
                <w:szCs w:val="20"/>
                <w:highlight w:val="none"/>
              </w:rPr>
              <w:t>设置防雨、防扬散、防流失、防渗漏等措施，避免造成二次污染。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生态保护措施</w:t>
            </w:r>
          </w:p>
        </w:tc>
        <w:tc>
          <w:tcPr>
            <w:tcW w:w="7022" w:type="dxa"/>
            <w:gridSpan w:val="4"/>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778" w:type="dxa"/>
            <w:vAlign w:val="center"/>
          </w:tcPr>
          <w:p>
            <w:pPr>
              <w:adjustRightInd w:val="0"/>
              <w:snapToGrid w:val="0"/>
              <w:jc w:val="center"/>
              <w:rPr>
                <w:rFonts w:ascii="宋体" w:hAnsi="宋体" w:cs="宋体"/>
                <w:b/>
                <w:bCs/>
                <w:color w:val="auto"/>
                <w:spacing w:val="-8"/>
                <w:highlight w:val="none"/>
              </w:rPr>
            </w:pPr>
            <w:r>
              <w:rPr>
                <w:rFonts w:hint="eastAsia" w:ascii="宋体" w:hAnsi="宋体" w:cs="宋体"/>
                <w:b/>
                <w:bCs/>
                <w:color w:val="auto"/>
                <w:spacing w:val="-8"/>
                <w:highlight w:val="none"/>
              </w:rPr>
              <w:t>环境风险</w:t>
            </w:r>
          </w:p>
          <w:p>
            <w:pPr>
              <w:adjustRightInd w:val="0"/>
              <w:snapToGrid w:val="0"/>
              <w:jc w:val="center"/>
              <w:rPr>
                <w:rFonts w:ascii="宋体" w:hAnsi="宋体" w:cs="宋体"/>
                <w:b/>
                <w:bCs/>
                <w:color w:val="auto"/>
                <w:spacing w:val="-8"/>
                <w:highlight w:val="none"/>
              </w:rPr>
            </w:pPr>
            <w:r>
              <w:rPr>
                <w:rFonts w:hint="eastAsia" w:ascii="宋体" w:hAnsi="宋体" w:cs="宋体"/>
                <w:b/>
                <w:bCs/>
                <w:color w:val="auto"/>
                <w:spacing w:val="-8"/>
                <w:highlight w:val="none"/>
              </w:rPr>
              <w:t>防范措施</w:t>
            </w:r>
          </w:p>
        </w:tc>
        <w:tc>
          <w:tcPr>
            <w:tcW w:w="7022" w:type="dxa"/>
            <w:gridSpan w:val="4"/>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778" w:type="dxa"/>
            <w:vAlign w:val="center"/>
          </w:tcPr>
          <w:p>
            <w:pPr>
              <w:adjustRightInd w:val="0"/>
              <w:snapToGrid w:val="0"/>
              <w:jc w:val="center"/>
              <w:rPr>
                <w:rFonts w:ascii="宋体" w:hAnsi="宋体" w:cs="宋体"/>
                <w:b/>
                <w:bCs/>
                <w:color w:val="auto"/>
                <w:spacing w:val="-8"/>
                <w:highlight w:val="none"/>
              </w:rPr>
            </w:pPr>
            <w:r>
              <w:rPr>
                <w:rFonts w:hint="eastAsia" w:ascii="宋体" w:hAnsi="宋体" w:cs="宋体"/>
                <w:b/>
                <w:bCs/>
                <w:color w:val="auto"/>
                <w:spacing w:val="-8"/>
                <w:highlight w:val="none"/>
              </w:rPr>
              <w:t>其他环境</w:t>
            </w:r>
          </w:p>
          <w:p>
            <w:pPr>
              <w:adjustRightInd w:val="0"/>
              <w:snapToGrid w:val="0"/>
              <w:jc w:val="center"/>
              <w:rPr>
                <w:rFonts w:ascii="宋体" w:hAnsi="宋体" w:cs="宋体"/>
                <w:color w:val="auto"/>
                <w:spacing w:val="-8"/>
                <w:highlight w:val="none"/>
              </w:rPr>
            </w:pPr>
            <w:r>
              <w:rPr>
                <w:rFonts w:hint="eastAsia" w:ascii="宋体" w:hAnsi="宋体" w:cs="宋体"/>
                <w:b/>
                <w:bCs/>
                <w:color w:val="auto"/>
                <w:spacing w:val="-8"/>
                <w:highlight w:val="none"/>
              </w:rPr>
              <w:t>管理要求</w:t>
            </w:r>
          </w:p>
        </w:tc>
        <w:tc>
          <w:tcPr>
            <w:tcW w:w="7022" w:type="dxa"/>
            <w:gridSpan w:val="4"/>
            <w:vAlign w:val="center"/>
          </w:tcPr>
          <w:p>
            <w:pPr>
              <w:adjustRightInd w:val="0"/>
              <w:snapToGrid w:val="0"/>
              <w:spacing w:line="360" w:lineRule="auto"/>
              <w:ind w:firstLine="420" w:firstLineChars="200"/>
              <w:jc w:val="left"/>
              <w:rPr>
                <w:rFonts w:ascii="Times New Roman" w:hAnsi="Times New Roman"/>
                <w:color w:val="auto"/>
                <w:szCs w:val="20"/>
                <w:highlight w:val="none"/>
              </w:rPr>
            </w:pPr>
            <w:r>
              <w:rPr>
                <w:rFonts w:hint="eastAsia" w:ascii="Times New Roman" w:hAnsi="Times New Roman"/>
                <w:color w:val="auto"/>
                <w:szCs w:val="20"/>
                <w:highlight w:val="none"/>
              </w:rPr>
              <w:t>1、</w:t>
            </w:r>
            <w:r>
              <w:rPr>
                <w:rFonts w:ascii="Times New Roman" w:hAnsi="Times New Roman"/>
                <w:color w:val="auto"/>
                <w:szCs w:val="20"/>
                <w:highlight w:val="none"/>
              </w:rPr>
              <w:t>实行自行监测和定期报告制度</w:t>
            </w:r>
          </w:p>
          <w:p>
            <w:pPr>
              <w:adjustRightInd w:val="0"/>
              <w:snapToGrid w:val="0"/>
              <w:spacing w:line="360" w:lineRule="auto"/>
              <w:ind w:firstLine="420" w:firstLineChars="200"/>
              <w:jc w:val="left"/>
              <w:rPr>
                <w:rFonts w:ascii="Times New Roman" w:hAnsi="Times New Roman"/>
                <w:color w:val="auto"/>
                <w:szCs w:val="20"/>
                <w:highlight w:val="none"/>
              </w:rPr>
            </w:pPr>
            <w:r>
              <w:rPr>
                <w:rFonts w:ascii="Times New Roman" w:hAnsi="Times New Roman"/>
                <w:color w:val="auto"/>
                <w:szCs w:val="20"/>
                <w:highlight w:val="none"/>
              </w:rPr>
              <w:t>依法开展自行监测，安装或使用监测设备应符合国家有关环境监测、计量认证规定和技术规范，保障数据合法有效，保证设备正常运行，妥善保存原始记录，建立准确完整的环境管理台账。如实向环境保护部门报告排污许可证执行情况，依法向社会公开污染物排放数据并对数据真实性负责。排放情况与排污许可证要求不符的，应及时向</w:t>
            </w:r>
            <w:r>
              <w:rPr>
                <w:rFonts w:hint="eastAsia" w:ascii="Times New Roman" w:hAnsi="Times New Roman"/>
                <w:color w:val="auto"/>
                <w:szCs w:val="20"/>
                <w:highlight w:val="none"/>
                <w:lang w:eastAsia="zh-CN"/>
              </w:rPr>
              <w:t>生态</w:t>
            </w:r>
            <w:r>
              <w:rPr>
                <w:rFonts w:ascii="Times New Roman" w:hAnsi="Times New Roman"/>
                <w:color w:val="auto"/>
                <w:szCs w:val="20"/>
                <w:highlight w:val="none"/>
              </w:rPr>
              <w:t>环境保护部门报告。</w:t>
            </w:r>
          </w:p>
          <w:p>
            <w:pPr>
              <w:adjustRightInd w:val="0"/>
              <w:snapToGrid w:val="0"/>
              <w:spacing w:line="360" w:lineRule="auto"/>
              <w:ind w:firstLine="420" w:firstLineChars="200"/>
              <w:jc w:val="left"/>
              <w:rPr>
                <w:rFonts w:ascii="Times New Roman" w:hAnsi="Times New Roman"/>
                <w:color w:val="auto"/>
                <w:szCs w:val="20"/>
                <w:highlight w:val="none"/>
              </w:rPr>
            </w:pPr>
            <w:r>
              <w:rPr>
                <w:rFonts w:hint="eastAsia" w:ascii="Times New Roman" w:hAnsi="Times New Roman"/>
                <w:color w:val="auto"/>
                <w:szCs w:val="20"/>
                <w:highlight w:val="none"/>
              </w:rPr>
              <w:t>2、</w:t>
            </w:r>
            <w:r>
              <w:rPr>
                <w:rFonts w:ascii="Times New Roman" w:hAnsi="Times New Roman"/>
                <w:color w:val="auto"/>
                <w:szCs w:val="20"/>
                <w:highlight w:val="none"/>
              </w:rPr>
              <w:t>环保竣工验收</w:t>
            </w:r>
          </w:p>
          <w:p>
            <w:pPr>
              <w:adjustRightInd w:val="0"/>
              <w:snapToGrid w:val="0"/>
              <w:spacing w:line="360" w:lineRule="auto"/>
              <w:ind w:firstLine="420" w:firstLineChars="200"/>
              <w:jc w:val="left"/>
              <w:rPr>
                <w:rFonts w:ascii="Times New Roman" w:hAnsi="Times New Roman"/>
                <w:color w:val="auto"/>
                <w:szCs w:val="20"/>
                <w:highlight w:val="none"/>
              </w:rPr>
            </w:pPr>
            <w:r>
              <w:rPr>
                <w:rFonts w:ascii="Times New Roman" w:hAnsi="Times New Roman"/>
                <w:color w:val="auto"/>
                <w:szCs w:val="20"/>
                <w:highlight w:val="none"/>
              </w:rPr>
              <w:t>根据《建设项目环境保护管理条例》（2017年修订版）以及建设单位自主开展建设项目竣工环境保护验收的相关要求，建设项目竣工后，建设单位应</w:t>
            </w:r>
            <w:r>
              <w:rPr>
                <w:rFonts w:hint="eastAsia" w:ascii="Times New Roman" w:hAnsi="Times New Roman"/>
                <w:color w:val="auto"/>
                <w:szCs w:val="20"/>
                <w:highlight w:val="none"/>
              </w:rPr>
              <w:t>及时进行自主</w:t>
            </w:r>
            <w:r>
              <w:rPr>
                <w:rFonts w:ascii="Times New Roman" w:hAnsi="Times New Roman"/>
                <w:color w:val="auto"/>
                <w:szCs w:val="20"/>
                <w:highlight w:val="none"/>
              </w:rPr>
              <w:t>竣工验收</w:t>
            </w:r>
            <w:r>
              <w:rPr>
                <w:rFonts w:hint="eastAsia" w:ascii="Times New Roman" w:hAnsi="Times New Roman"/>
                <w:color w:val="auto"/>
                <w:szCs w:val="20"/>
                <w:highlight w:val="none"/>
              </w:rPr>
              <w:t>，并在相关网站进行公示，备案。</w:t>
            </w:r>
          </w:p>
          <w:p>
            <w:pPr>
              <w:adjustRightInd w:val="0"/>
              <w:snapToGrid w:val="0"/>
              <w:spacing w:line="360" w:lineRule="auto"/>
              <w:ind w:firstLine="420" w:firstLineChars="200"/>
              <w:jc w:val="left"/>
              <w:rPr>
                <w:rFonts w:ascii="Times New Roman" w:hAnsi="Times New Roman"/>
                <w:color w:val="auto"/>
                <w:szCs w:val="20"/>
                <w:highlight w:val="none"/>
              </w:rPr>
            </w:pPr>
            <w:r>
              <w:rPr>
                <w:rFonts w:hint="eastAsia" w:ascii="Times New Roman" w:hAnsi="Times New Roman"/>
                <w:color w:val="auto"/>
                <w:szCs w:val="20"/>
                <w:highlight w:val="none"/>
              </w:rPr>
              <w:t>3、危废处置</w:t>
            </w:r>
          </w:p>
          <w:p>
            <w:pPr>
              <w:adjustRightInd w:val="0"/>
              <w:snapToGrid w:val="0"/>
              <w:spacing w:line="360" w:lineRule="auto"/>
              <w:ind w:firstLine="420" w:firstLineChars="200"/>
              <w:jc w:val="left"/>
              <w:rPr>
                <w:rFonts w:ascii="Times New Roman" w:hAnsi="Times New Roman"/>
                <w:color w:val="auto"/>
                <w:szCs w:val="20"/>
                <w:highlight w:val="none"/>
              </w:rPr>
            </w:pPr>
            <w:r>
              <w:rPr>
                <w:rFonts w:ascii="Times New Roman" w:hAnsi="Times New Roman"/>
                <w:color w:val="auto"/>
                <w:szCs w:val="20"/>
                <w:highlight w:val="none"/>
              </w:rPr>
              <w:t>本项目</w:t>
            </w:r>
            <w:r>
              <w:rPr>
                <w:rFonts w:hint="eastAsia" w:ascii="Times New Roman" w:hAnsi="Times New Roman"/>
                <w:color w:val="auto"/>
                <w:szCs w:val="20"/>
                <w:highlight w:val="none"/>
              </w:rPr>
              <w:t>医疗废物院内医废间暂存，交由危废资质单位处置，签订危废处置协议，处置单位应具有相应类别危险废物处置资质。</w:t>
            </w: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pStyle w:val="33"/>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tc>
      </w:tr>
    </w:tbl>
    <w:p>
      <w:pPr>
        <w:pStyle w:val="17"/>
        <w:outlineLvl w:val="0"/>
        <w:rPr>
          <w:rFonts w:ascii="黑体" w:hAnsi="黑体" w:eastAsia="黑体"/>
          <w:snapToGrid w:val="0"/>
          <w:color w:val="auto"/>
          <w:sz w:val="30"/>
          <w:szCs w:val="30"/>
          <w:highlight w:val="none"/>
        </w:rPr>
      </w:pPr>
      <w:r>
        <w:rPr>
          <w:snapToGrid w:val="0"/>
          <w:color w:val="auto"/>
          <w:highlight w:val="none"/>
        </w:rPr>
        <w:br w:type="page"/>
      </w:r>
      <w:r>
        <w:rPr>
          <w:rFonts w:hint="eastAsia" w:ascii="黑体" w:hAnsi="黑体" w:eastAsia="黑体"/>
          <w:snapToGrid w:val="0"/>
          <w:color w:val="auto"/>
          <w:sz w:val="30"/>
          <w:szCs w:val="30"/>
          <w:highlight w:val="none"/>
        </w:rPr>
        <w:t>六、结论</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spacing w:line="360" w:lineRule="auto"/>
              <w:ind w:firstLine="420" w:firstLineChars="200"/>
              <w:rPr>
                <w:rFonts w:ascii="宋体" w:cs="宋体"/>
                <w:color w:val="auto"/>
                <w:sz w:val="24"/>
                <w:highlight w:val="none"/>
              </w:rPr>
            </w:pPr>
            <w:r>
              <w:rPr>
                <w:rFonts w:hint="eastAsia" w:ascii="Times New Roman" w:hAnsi="Times New Roman"/>
                <w:color w:val="auto"/>
                <w:highlight w:val="none"/>
              </w:rPr>
              <w:t>本</w:t>
            </w:r>
            <w:r>
              <w:rPr>
                <w:rFonts w:ascii="Times New Roman" w:hAnsi="Times New Roman"/>
                <w:color w:val="auto"/>
                <w:highlight w:val="none"/>
              </w:rPr>
              <w:t>项目对周围环境的影响可以控制在国家有关标准和要求的允许范围以内，污染物能够达标排放，从环境保护角度分析，该</w:t>
            </w:r>
            <w:r>
              <w:rPr>
                <w:rFonts w:hint="eastAsia" w:ascii="Times New Roman" w:hAnsi="Times New Roman"/>
                <w:color w:val="auto"/>
                <w:highlight w:val="none"/>
              </w:rPr>
              <w:t>建设</w:t>
            </w:r>
            <w:r>
              <w:rPr>
                <w:rFonts w:ascii="Times New Roman" w:hAnsi="Times New Roman"/>
                <w:color w:val="auto"/>
                <w:highlight w:val="none"/>
              </w:rPr>
              <w:t>项目环境</w:t>
            </w:r>
            <w:r>
              <w:rPr>
                <w:rFonts w:hint="eastAsia" w:ascii="Times New Roman" w:hAnsi="Times New Roman"/>
                <w:color w:val="auto"/>
                <w:highlight w:val="none"/>
              </w:rPr>
              <w:t>影响</w:t>
            </w:r>
            <w:r>
              <w:rPr>
                <w:rFonts w:ascii="Times New Roman" w:hAnsi="Times New Roman"/>
                <w:color w:val="auto"/>
                <w:highlight w:val="none"/>
              </w:rPr>
              <w:t>可行。</w:t>
            </w:r>
          </w:p>
        </w:tc>
      </w:tr>
    </w:tbl>
    <w:p>
      <w:pPr>
        <w:rPr>
          <w:rFonts w:ascii="宋体"/>
          <w:color w:val="auto"/>
          <w:highlight w:val="none"/>
        </w:rPr>
        <w:sectPr>
          <w:pgSz w:w="11906" w:h="16838"/>
          <w:pgMar w:top="1701" w:right="1531" w:bottom="1701" w:left="1531" w:header="851" w:footer="851" w:gutter="0"/>
          <w:cols w:space="720" w:num="1"/>
          <w:docGrid w:linePitch="312" w:charSpace="0"/>
        </w:sectPr>
      </w:pPr>
    </w:p>
    <w:p>
      <w:pPr>
        <w:pStyle w:val="17"/>
        <w:adjustRightInd w:val="0"/>
        <w:snapToGrid w:val="0"/>
        <w:spacing w:before="0" w:beforeAutospacing="0" w:after="0" w:afterAutospacing="0"/>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附表</w:t>
      </w:r>
    </w:p>
    <w:p>
      <w:pPr>
        <w:pStyle w:val="17"/>
        <w:adjustRightInd w:val="0"/>
        <w:snapToGrid w:val="0"/>
        <w:spacing w:before="0" w:beforeAutospacing="0" w:after="0" w:afterAutospacing="0"/>
        <w:jc w:val="center"/>
        <w:outlineLvl w:val="0"/>
        <w:rPr>
          <w:rFonts w:cs="宋体"/>
          <w:b/>
          <w:bCs/>
          <w:snapToGrid w:val="0"/>
          <w:color w:val="auto"/>
          <w:sz w:val="28"/>
          <w:szCs w:val="28"/>
          <w:highlight w:val="none"/>
        </w:rPr>
      </w:pPr>
      <w:r>
        <w:rPr>
          <w:rFonts w:hint="eastAsia" w:cs="宋体"/>
          <w:b/>
          <w:bCs/>
          <w:snapToGrid w:val="0"/>
          <w:color w:val="auto"/>
          <w:sz w:val="28"/>
          <w:szCs w:val="28"/>
          <w:highlight w:val="none"/>
        </w:rPr>
        <w:t>建设项目污染物排放量汇总表</w:t>
      </w:r>
    </w:p>
    <w:tbl>
      <w:tblPr>
        <w:tblStyle w:val="20"/>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66"/>
        <w:gridCol w:w="1310"/>
        <w:gridCol w:w="1571"/>
        <w:gridCol w:w="1241"/>
        <w:gridCol w:w="1572"/>
        <w:gridCol w:w="1512"/>
        <w:gridCol w:w="1631"/>
        <w:gridCol w:w="1870"/>
        <w:gridCol w:w="16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66" w:type="dxa"/>
            <w:tcBorders>
              <w:tl2br w:val="single" w:color="auto" w:sz="4" w:space="0"/>
            </w:tcBorders>
            <w:tcMar>
              <w:left w:w="28" w:type="dxa"/>
              <w:right w:w="28" w:type="dxa"/>
            </w:tcMar>
            <w:vAlign w:val="center"/>
          </w:tcPr>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 xml:space="preserve">       项目</w:t>
            </w:r>
          </w:p>
          <w:p>
            <w:pPr>
              <w:pStyle w:val="47"/>
              <w:spacing w:beforeLines="0" w:afterLines="0" w:line="240" w:lineRule="auto"/>
              <w:ind w:firstLine="398" w:firstLineChars="200"/>
              <w:jc w:val="left"/>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分类</w:t>
            </w:r>
          </w:p>
        </w:tc>
        <w:tc>
          <w:tcPr>
            <w:tcW w:w="1310" w:type="dxa"/>
            <w:tcMar>
              <w:left w:w="28" w:type="dxa"/>
              <w:right w:w="28" w:type="dxa"/>
            </w:tcMar>
            <w:vAlign w:val="center"/>
          </w:tcPr>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污染物名称</w:t>
            </w:r>
          </w:p>
        </w:tc>
        <w:tc>
          <w:tcPr>
            <w:tcW w:w="1571" w:type="dxa"/>
            <w:tcMar>
              <w:left w:w="28" w:type="dxa"/>
              <w:right w:w="28" w:type="dxa"/>
            </w:tcMar>
            <w:vAlign w:val="center"/>
          </w:tcPr>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现有工程</w:t>
            </w:r>
          </w:p>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1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①</w:t>
            </w:r>
            <w:r>
              <w:rPr>
                <w:rFonts w:ascii="Times New Roman"/>
                <w:b/>
                <w:bCs/>
                <w:snapToGrid w:val="0"/>
                <w:color w:val="auto"/>
                <w:spacing w:val="-6"/>
                <w:kern w:val="21"/>
                <w:szCs w:val="21"/>
                <w:highlight w:val="none"/>
              </w:rPr>
              <w:fldChar w:fldCharType="end"/>
            </w:r>
          </w:p>
        </w:tc>
        <w:tc>
          <w:tcPr>
            <w:tcW w:w="1241" w:type="dxa"/>
            <w:tcMar>
              <w:left w:w="28" w:type="dxa"/>
              <w:right w:w="28" w:type="dxa"/>
            </w:tcMar>
            <w:vAlign w:val="center"/>
          </w:tcPr>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现有工程</w:t>
            </w:r>
          </w:p>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许可排放量</w:t>
            </w:r>
          </w:p>
          <w:p>
            <w:pPr>
              <w:pStyle w:val="47"/>
              <w:spacing w:beforeLines="0" w:afterLines="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2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②</w:t>
            </w:r>
            <w:r>
              <w:rPr>
                <w:rFonts w:ascii="Times New Roman"/>
                <w:b/>
                <w:bCs/>
                <w:snapToGrid w:val="0"/>
                <w:color w:val="auto"/>
                <w:spacing w:val="-6"/>
                <w:kern w:val="21"/>
                <w:szCs w:val="21"/>
                <w:highlight w:val="none"/>
              </w:rPr>
              <w:fldChar w:fldCharType="end"/>
            </w:r>
          </w:p>
        </w:tc>
        <w:tc>
          <w:tcPr>
            <w:tcW w:w="1572" w:type="dxa"/>
            <w:tcMar>
              <w:left w:w="28" w:type="dxa"/>
              <w:right w:w="28" w:type="dxa"/>
            </w:tcMar>
            <w:vAlign w:val="center"/>
          </w:tcPr>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在建工程</w:t>
            </w:r>
          </w:p>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3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③</w:t>
            </w:r>
            <w:r>
              <w:rPr>
                <w:rFonts w:ascii="Times New Roman"/>
                <w:b/>
                <w:bCs/>
                <w:snapToGrid w:val="0"/>
                <w:color w:val="auto"/>
                <w:spacing w:val="-6"/>
                <w:kern w:val="21"/>
                <w:szCs w:val="21"/>
                <w:highlight w:val="none"/>
              </w:rPr>
              <w:fldChar w:fldCharType="end"/>
            </w:r>
          </w:p>
        </w:tc>
        <w:tc>
          <w:tcPr>
            <w:tcW w:w="1512" w:type="dxa"/>
            <w:tcMar>
              <w:left w:w="28" w:type="dxa"/>
              <w:right w:w="28" w:type="dxa"/>
            </w:tcMar>
            <w:vAlign w:val="center"/>
          </w:tcPr>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本项目</w:t>
            </w:r>
          </w:p>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4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④</w:t>
            </w:r>
            <w:r>
              <w:rPr>
                <w:rFonts w:ascii="Times New Roman"/>
                <w:b/>
                <w:bCs/>
                <w:snapToGrid w:val="0"/>
                <w:color w:val="auto"/>
                <w:spacing w:val="-6"/>
                <w:kern w:val="21"/>
                <w:szCs w:val="21"/>
                <w:highlight w:val="none"/>
              </w:rPr>
              <w:fldChar w:fldCharType="end"/>
            </w:r>
          </w:p>
        </w:tc>
        <w:tc>
          <w:tcPr>
            <w:tcW w:w="1631" w:type="dxa"/>
            <w:tcMar>
              <w:left w:w="28" w:type="dxa"/>
              <w:right w:w="28" w:type="dxa"/>
            </w:tcMar>
            <w:vAlign w:val="center"/>
          </w:tcPr>
          <w:p>
            <w:pPr>
              <w:pStyle w:val="47"/>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以新带老削减量</w:t>
            </w:r>
          </w:p>
          <w:p>
            <w:pPr>
              <w:pStyle w:val="47"/>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（新建项目不填）</w:t>
            </w:r>
            <w:r>
              <w:rPr>
                <w:rFonts w:ascii="Times New Roman"/>
                <w:b/>
                <w:bCs/>
                <w:snapToGrid w:val="0"/>
                <w:color w:val="auto"/>
                <w:spacing w:val="-16"/>
                <w:kern w:val="21"/>
                <w:szCs w:val="21"/>
                <w:highlight w:val="none"/>
              </w:rPr>
              <w:fldChar w:fldCharType="begin"/>
            </w:r>
            <w:r>
              <w:rPr>
                <w:rFonts w:ascii="Times New Roman"/>
                <w:b/>
                <w:bCs/>
                <w:snapToGrid w:val="0"/>
                <w:color w:val="auto"/>
                <w:spacing w:val="-16"/>
                <w:kern w:val="21"/>
                <w:szCs w:val="21"/>
                <w:highlight w:val="none"/>
              </w:rPr>
              <w:instrText xml:space="preserve"> = 5 \* GB3 \* MERGEFORMAT </w:instrText>
            </w:r>
            <w:r>
              <w:rPr>
                <w:rFonts w:ascii="Times New Roman"/>
                <w:b/>
                <w:bCs/>
                <w:snapToGrid w:val="0"/>
                <w:color w:val="auto"/>
                <w:spacing w:val="-16"/>
                <w:kern w:val="21"/>
                <w:szCs w:val="21"/>
                <w:highlight w:val="none"/>
              </w:rPr>
              <w:fldChar w:fldCharType="separate"/>
            </w:r>
            <w:r>
              <w:rPr>
                <w:rFonts w:ascii="Times New Roman"/>
                <w:b/>
                <w:bCs/>
                <w:color w:val="auto"/>
                <w:kern w:val="2"/>
                <w:szCs w:val="21"/>
                <w:highlight w:val="none"/>
              </w:rPr>
              <w:t>⑤</w:t>
            </w:r>
            <w:r>
              <w:rPr>
                <w:rFonts w:ascii="Times New Roman"/>
                <w:b/>
                <w:bCs/>
                <w:snapToGrid w:val="0"/>
                <w:color w:val="auto"/>
                <w:spacing w:val="-16"/>
                <w:kern w:val="21"/>
                <w:szCs w:val="21"/>
                <w:highlight w:val="none"/>
              </w:rPr>
              <w:fldChar w:fldCharType="end"/>
            </w:r>
          </w:p>
        </w:tc>
        <w:tc>
          <w:tcPr>
            <w:tcW w:w="1870" w:type="dxa"/>
            <w:tcMar>
              <w:left w:w="28" w:type="dxa"/>
              <w:right w:w="28" w:type="dxa"/>
            </w:tcMar>
            <w:vAlign w:val="center"/>
          </w:tcPr>
          <w:p>
            <w:pPr>
              <w:pStyle w:val="47"/>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本项目建成后</w:t>
            </w:r>
          </w:p>
          <w:p>
            <w:pPr>
              <w:pStyle w:val="47"/>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全厂排放量（固体废物产生量）</w:t>
            </w:r>
            <w:r>
              <w:rPr>
                <w:rFonts w:ascii="Times New Roman"/>
                <w:b/>
                <w:bCs/>
                <w:snapToGrid w:val="0"/>
                <w:color w:val="auto"/>
                <w:spacing w:val="-16"/>
                <w:kern w:val="21"/>
                <w:szCs w:val="21"/>
                <w:highlight w:val="none"/>
              </w:rPr>
              <w:fldChar w:fldCharType="begin"/>
            </w:r>
            <w:r>
              <w:rPr>
                <w:rFonts w:ascii="Times New Roman"/>
                <w:b/>
                <w:bCs/>
                <w:snapToGrid w:val="0"/>
                <w:color w:val="auto"/>
                <w:spacing w:val="-16"/>
                <w:kern w:val="21"/>
                <w:szCs w:val="21"/>
                <w:highlight w:val="none"/>
              </w:rPr>
              <w:instrText xml:space="preserve"> = 6 \* GB3 \* MERGEFORMAT </w:instrText>
            </w:r>
            <w:r>
              <w:rPr>
                <w:rFonts w:ascii="Times New Roman"/>
                <w:b/>
                <w:bCs/>
                <w:snapToGrid w:val="0"/>
                <w:color w:val="auto"/>
                <w:spacing w:val="-16"/>
                <w:kern w:val="21"/>
                <w:szCs w:val="21"/>
                <w:highlight w:val="none"/>
              </w:rPr>
              <w:fldChar w:fldCharType="separate"/>
            </w:r>
            <w:r>
              <w:rPr>
                <w:rFonts w:ascii="Times New Roman"/>
                <w:b/>
                <w:bCs/>
                <w:color w:val="auto"/>
                <w:kern w:val="2"/>
                <w:szCs w:val="21"/>
                <w:highlight w:val="none"/>
              </w:rPr>
              <w:t>⑥</w:t>
            </w:r>
            <w:r>
              <w:rPr>
                <w:rFonts w:ascii="Times New Roman"/>
                <w:b/>
                <w:bCs/>
                <w:snapToGrid w:val="0"/>
                <w:color w:val="auto"/>
                <w:spacing w:val="-16"/>
                <w:kern w:val="21"/>
                <w:szCs w:val="21"/>
                <w:highlight w:val="none"/>
              </w:rPr>
              <w:fldChar w:fldCharType="end"/>
            </w:r>
          </w:p>
        </w:tc>
        <w:tc>
          <w:tcPr>
            <w:tcW w:w="1651" w:type="dxa"/>
            <w:tcMar>
              <w:left w:w="28" w:type="dxa"/>
              <w:right w:w="28" w:type="dxa"/>
            </w:tcMar>
            <w:vAlign w:val="center"/>
          </w:tcPr>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变化量</w:t>
            </w:r>
          </w:p>
          <w:p>
            <w:pPr>
              <w:pStyle w:val="47"/>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7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⑦</w:t>
            </w:r>
            <w:r>
              <w:rPr>
                <w:rFonts w:ascii="Times New Roman"/>
                <w:b/>
                <w:bCs/>
                <w:snapToGrid w:val="0"/>
                <w:color w:val="auto"/>
                <w:spacing w:val="-6"/>
                <w:kern w:val="21"/>
                <w:szCs w:val="21"/>
                <w:highlight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restart"/>
            <w:vAlign w:val="center"/>
          </w:tcPr>
          <w:p>
            <w:pPr>
              <w:pStyle w:val="47"/>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废气</w:t>
            </w:r>
          </w:p>
        </w:tc>
        <w:tc>
          <w:tcPr>
            <w:tcW w:w="1310" w:type="dxa"/>
            <w:vAlign w:val="center"/>
          </w:tcPr>
          <w:p>
            <w:pPr>
              <w:jc w:val="center"/>
              <w:rPr>
                <w:rFonts w:ascii="Times New Roman"/>
                <w:snapToGrid w:val="0"/>
                <w:color w:val="auto"/>
                <w:kern w:val="21"/>
                <w:szCs w:val="21"/>
                <w:highlight w:val="none"/>
              </w:rPr>
            </w:pPr>
            <w:r>
              <w:rPr>
                <w:rFonts w:ascii="Times New Roman" w:hAnsi="Times New Roman"/>
                <w:bCs/>
                <w:color w:val="auto"/>
                <w:kern w:val="2"/>
                <w:highlight w:val="none"/>
              </w:rPr>
              <w:t>氨</w:t>
            </w:r>
          </w:p>
        </w:tc>
        <w:tc>
          <w:tcPr>
            <w:tcW w:w="1571" w:type="dxa"/>
            <w:vAlign w:val="center"/>
          </w:tcPr>
          <w:p>
            <w:pPr>
              <w:jc w:val="center"/>
              <w:rPr>
                <w:rFonts w:hint="default" w:ascii="Times New Roman" w:hAnsi="Times New Roman" w:eastAsia="宋体"/>
                <w:snapToGrid w:val="0"/>
                <w:color w:val="auto"/>
                <w:kern w:val="21"/>
                <w:highlight w:val="none"/>
                <w:lang w:val="en-US" w:eastAsia="zh-CN"/>
              </w:rPr>
            </w:pPr>
            <w:r>
              <w:rPr>
                <w:rFonts w:hint="eastAsia" w:ascii="Times New Roman" w:hAnsi="Times New Roman"/>
                <w:snapToGrid w:val="0"/>
                <w:color w:val="auto"/>
                <w:kern w:val="21"/>
                <w:highlight w:val="none"/>
                <w:lang w:val="en-US" w:eastAsia="zh-CN"/>
              </w:rPr>
              <w:t>0.026</w:t>
            </w:r>
            <w:r>
              <w:rPr>
                <w:rFonts w:hint="eastAsia" w:ascii="Times New Roman" w:hAnsi="Times New Roman"/>
                <w:snapToGrid w:val="0"/>
                <w:color w:val="auto"/>
                <w:kern w:val="21"/>
                <w:szCs w:val="21"/>
                <w:highlight w:val="none"/>
              </w:rPr>
              <w:t>t/a</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lang w:val="en-US" w:eastAsia="zh-CN"/>
              </w:rPr>
              <w:t>0.002</w:t>
            </w:r>
            <w:r>
              <w:rPr>
                <w:rFonts w:hint="eastAsia" w:ascii="Times New Roman" w:hAnsi="Times New Roman"/>
                <w:snapToGrid w:val="0"/>
                <w:color w:val="auto"/>
                <w:kern w:val="21"/>
                <w:szCs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lang w:val="en-US" w:eastAsia="zh-CN"/>
              </w:rPr>
              <w:t>0.028</w:t>
            </w:r>
            <w:r>
              <w:rPr>
                <w:rFonts w:hint="eastAsia" w:ascii="Times New Roman" w:hAnsi="Times New Roman"/>
                <w:snapToGrid w:val="0"/>
                <w:color w:val="auto"/>
                <w:kern w:val="21"/>
                <w:szCs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r>
              <w:rPr>
                <w:rFonts w:hint="eastAsia" w:ascii="Times New Roman" w:hAnsi="Times New Roman"/>
                <w:snapToGrid w:val="0"/>
                <w:color w:val="auto"/>
                <w:kern w:val="21"/>
                <w:highlight w:val="none"/>
                <w:lang w:val="en-US" w:eastAsia="zh-CN"/>
              </w:rPr>
              <w:t>0.002</w:t>
            </w:r>
            <w:r>
              <w:rPr>
                <w:rFonts w:hint="eastAsia" w:ascii="Times New Roman" w:hAnsi="Times New Roman"/>
                <w:snapToGrid w:val="0"/>
                <w:color w:val="auto"/>
                <w:kern w:val="21"/>
                <w:szCs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7"/>
              <w:spacing w:beforeLines="0" w:afterLines="0" w:line="240" w:lineRule="auto"/>
              <w:rPr>
                <w:rFonts w:ascii="Times New Roman"/>
                <w:b/>
                <w:bCs/>
                <w:snapToGrid w:val="0"/>
                <w:color w:val="auto"/>
                <w:kern w:val="21"/>
                <w:szCs w:val="21"/>
                <w:highlight w:val="none"/>
              </w:rPr>
            </w:pPr>
          </w:p>
        </w:tc>
        <w:tc>
          <w:tcPr>
            <w:tcW w:w="1310" w:type="dxa"/>
            <w:vAlign w:val="center"/>
          </w:tcPr>
          <w:p>
            <w:pPr>
              <w:jc w:val="center"/>
              <w:rPr>
                <w:rFonts w:hint="eastAsia" w:ascii="Times New Roman"/>
                <w:snapToGrid w:val="0"/>
                <w:color w:val="auto"/>
                <w:kern w:val="21"/>
                <w:highlight w:val="none"/>
              </w:rPr>
            </w:pPr>
            <w:r>
              <w:rPr>
                <w:rFonts w:hint="eastAsia" w:ascii="Times New Roman" w:hAnsi="Times New Roman"/>
                <w:bCs/>
                <w:color w:val="auto"/>
                <w:kern w:val="2"/>
                <w:highlight w:val="none"/>
              </w:rPr>
              <w:t>硫化氢</w:t>
            </w:r>
          </w:p>
        </w:tc>
        <w:tc>
          <w:tcPr>
            <w:tcW w:w="1571" w:type="dxa"/>
            <w:vAlign w:val="center"/>
          </w:tcPr>
          <w:p>
            <w:pPr>
              <w:jc w:val="center"/>
              <w:rPr>
                <w:rFonts w:hint="default" w:ascii="Times New Roman" w:hAnsi="Times New Roman" w:eastAsia="宋体"/>
                <w:snapToGrid w:val="0"/>
                <w:color w:val="auto"/>
                <w:kern w:val="21"/>
                <w:highlight w:val="none"/>
                <w:lang w:val="en-US" w:eastAsia="zh-CN"/>
              </w:rPr>
            </w:pPr>
            <w:r>
              <w:rPr>
                <w:rFonts w:hint="eastAsia" w:ascii="Times New Roman" w:hAnsi="Times New Roman"/>
                <w:snapToGrid w:val="0"/>
                <w:color w:val="auto"/>
                <w:kern w:val="21"/>
                <w:highlight w:val="none"/>
                <w:lang w:val="en-US" w:eastAsia="zh-CN"/>
              </w:rPr>
              <w:t>0.0001</w:t>
            </w:r>
            <w:r>
              <w:rPr>
                <w:rFonts w:hint="eastAsia" w:ascii="Times New Roman" w:hAnsi="Times New Roman"/>
                <w:snapToGrid w:val="0"/>
                <w:color w:val="auto"/>
                <w:kern w:val="21"/>
                <w:szCs w:val="21"/>
                <w:highlight w:val="none"/>
              </w:rPr>
              <w:t>t/a</w:t>
            </w:r>
          </w:p>
        </w:tc>
        <w:tc>
          <w:tcPr>
            <w:tcW w:w="1241"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lang w:val="en-US" w:eastAsia="zh-CN"/>
              </w:rPr>
              <w:t>0.00008</w:t>
            </w:r>
            <w:r>
              <w:rPr>
                <w:rFonts w:hint="eastAsia" w:ascii="Times New Roman" w:hAnsi="Times New Roman"/>
                <w:snapToGrid w:val="0"/>
                <w:color w:val="auto"/>
                <w:kern w:val="21"/>
                <w:szCs w:val="21"/>
                <w:highlight w:val="none"/>
              </w:rPr>
              <w:t>t/a</w:t>
            </w:r>
          </w:p>
        </w:tc>
        <w:tc>
          <w:tcPr>
            <w:tcW w:w="1631"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lang w:val="en-US" w:eastAsia="zh-CN"/>
              </w:rPr>
              <w:t>0.00018</w:t>
            </w:r>
            <w:r>
              <w:rPr>
                <w:rFonts w:hint="eastAsia" w:ascii="Times New Roman" w:hAnsi="Times New Roman"/>
                <w:snapToGrid w:val="0"/>
                <w:color w:val="auto"/>
                <w:kern w:val="21"/>
                <w:szCs w:val="21"/>
                <w:highlight w:val="none"/>
              </w:rPr>
              <w:t>t/a</w:t>
            </w:r>
          </w:p>
        </w:tc>
        <w:tc>
          <w:tcPr>
            <w:tcW w:w="1651"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r>
              <w:rPr>
                <w:rFonts w:hint="eastAsia" w:ascii="Times New Roman" w:hAnsi="Times New Roman"/>
                <w:snapToGrid w:val="0"/>
                <w:color w:val="auto"/>
                <w:kern w:val="21"/>
                <w:highlight w:val="none"/>
                <w:lang w:val="en-US" w:eastAsia="zh-CN"/>
              </w:rPr>
              <w:t>0.00008</w:t>
            </w:r>
            <w:r>
              <w:rPr>
                <w:rFonts w:hint="eastAsia" w:ascii="Times New Roman" w:hAnsi="Times New Roman"/>
                <w:snapToGrid w:val="0"/>
                <w:color w:val="auto"/>
                <w:kern w:val="21"/>
                <w:szCs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restart"/>
            <w:vAlign w:val="center"/>
          </w:tcPr>
          <w:p>
            <w:pPr>
              <w:pStyle w:val="47"/>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废水</w:t>
            </w:r>
          </w:p>
        </w:tc>
        <w:tc>
          <w:tcPr>
            <w:tcW w:w="1310" w:type="dxa"/>
            <w:vAlign w:val="center"/>
          </w:tcPr>
          <w:p>
            <w:pPr>
              <w:pStyle w:val="4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医院废水</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color w:val="auto"/>
                <w:highlight w:val="none"/>
                <w:lang w:val="en-US" w:eastAsia="zh-CN"/>
              </w:rPr>
              <w:t>90155</w:t>
            </w:r>
            <w:r>
              <w:rPr>
                <w:rFonts w:hint="eastAsia" w:ascii="Times New Roman" w:hAnsi="Times New Roman"/>
                <w:snapToGrid w:val="0"/>
                <w:color w:val="auto"/>
                <w:kern w:val="21"/>
                <w:highlight w:val="none"/>
              </w:rPr>
              <w:t>m</w:t>
            </w:r>
            <w:r>
              <w:rPr>
                <w:rFonts w:hint="eastAsia" w:ascii="Times New Roman" w:hAnsi="Times New Roman"/>
                <w:snapToGrid w:val="0"/>
                <w:color w:val="auto"/>
                <w:kern w:val="21"/>
                <w:highlight w:val="none"/>
                <w:vertAlign w:val="superscript"/>
              </w:rPr>
              <w:t>3</w:t>
            </w:r>
            <w:r>
              <w:rPr>
                <w:rFonts w:hint="eastAsia" w:ascii="Times New Roman" w:hAnsi="Times New Roman"/>
                <w:snapToGrid w:val="0"/>
                <w:color w:val="auto"/>
                <w:kern w:val="21"/>
                <w:highlight w:val="none"/>
              </w:rPr>
              <w:t>/a</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lang w:val="en-US" w:eastAsia="zh-CN"/>
              </w:rPr>
              <w:t>6780</w:t>
            </w:r>
            <w:r>
              <w:rPr>
                <w:rFonts w:hint="eastAsia" w:ascii="Times New Roman" w:hAnsi="Times New Roman"/>
                <w:snapToGrid w:val="0"/>
                <w:color w:val="auto"/>
                <w:kern w:val="21"/>
                <w:highlight w:val="none"/>
              </w:rPr>
              <w:t>.24m</w:t>
            </w:r>
            <w:r>
              <w:rPr>
                <w:rFonts w:hint="eastAsia" w:ascii="Times New Roman" w:hAnsi="Times New Roman"/>
                <w:snapToGrid w:val="0"/>
                <w:color w:val="auto"/>
                <w:kern w:val="21"/>
                <w:highlight w:val="none"/>
                <w:vertAlign w:val="superscript"/>
              </w:rPr>
              <w:t>3</w:t>
            </w:r>
            <w:r>
              <w:rPr>
                <w:rFonts w:hint="eastAsia" w:ascii="Times New Roman" w:hAnsi="Times New Roman"/>
                <w:snapToGrid w:val="0"/>
                <w:color w:val="auto"/>
                <w:kern w:val="21"/>
                <w:highlight w:val="none"/>
              </w:rPr>
              <w:t>/a</w:t>
            </w:r>
          </w:p>
        </w:tc>
        <w:tc>
          <w:tcPr>
            <w:tcW w:w="1631" w:type="dxa"/>
            <w:vAlign w:val="center"/>
          </w:tcPr>
          <w:p>
            <w:pPr>
              <w:pStyle w:val="4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870"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lang w:val="en-US" w:eastAsia="zh-CN"/>
              </w:rPr>
              <w:t>96935</w:t>
            </w:r>
            <w:r>
              <w:rPr>
                <w:rFonts w:hint="eastAsia" w:ascii="Times New Roman" w:hAnsi="Times New Roman"/>
                <w:snapToGrid w:val="0"/>
                <w:color w:val="auto"/>
                <w:kern w:val="21"/>
                <w:highlight w:val="none"/>
              </w:rPr>
              <w:t>.24m</w:t>
            </w:r>
            <w:r>
              <w:rPr>
                <w:rFonts w:hint="eastAsia" w:ascii="Times New Roman" w:hAnsi="Times New Roman"/>
                <w:snapToGrid w:val="0"/>
                <w:color w:val="auto"/>
                <w:kern w:val="21"/>
                <w:highlight w:val="none"/>
                <w:vertAlign w:val="superscript"/>
              </w:rPr>
              <w:t>3</w:t>
            </w:r>
            <w:r>
              <w:rPr>
                <w:rFonts w:hint="eastAsia" w:ascii="Times New Roman" w:hAnsi="Times New Roman"/>
                <w:snapToGrid w:val="0"/>
                <w:color w:val="auto"/>
                <w:kern w:val="21"/>
                <w:highlight w:val="none"/>
              </w:rPr>
              <w: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r>
              <w:rPr>
                <w:rFonts w:hint="eastAsia" w:ascii="Times New Roman" w:hAnsi="Times New Roman"/>
                <w:snapToGrid w:val="0"/>
                <w:color w:val="auto"/>
                <w:kern w:val="21"/>
                <w:highlight w:val="none"/>
                <w:lang w:val="en-US" w:eastAsia="zh-CN"/>
              </w:rPr>
              <w:t>6780</w:t>
            </w:r>
            <w:r>
              <w:rPr>
                <w:rFonts w:hint="eastAsia" w:ascii="Times New Roman" w:hAnsi="Times New Roman"/>
                <w:snapToGrid w:val="0"/>
                <w:color w:val="auto"/>
                <w:kern w:val="21"/>
                <w:highlight w:val="none"/>
              </w:rPr>
              <w:t>.24m</w:t>
            </w:r>
            <w:r>
              <w:rPr>
                <w:rFonts w:hint="eastAsia" w:ascii="Times New Roman" w:hAnsi="Times New Roman"/>
                <w:snapToGrid w:val="0"/>
                <w:color w:val="auto"/>
                <w:kern w:val="21"/>
                <w:highlight w:val="none"/>
                <w:vertAlign w:val="superscript"/>
              </w:rPr>
              <w:t>3</w:t>
            </w:r>
            <w:r>
              <w:rPr>
                <w:rFonts w:hint="eastAsia" w:ascii="Times New Roman" w:hAnsi="Times New Roman"/>
                <w:snapToGrid w:val="0"/>
                <w:color w:val="auto"/>
                <w:kern w:val="21"/>
                <w:highlight w:val="none"/>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7"/>
              <w:spacing w:beforeLines="0" w:afterLines="0" w:line="240" w:lineRule="auto"/>
              <w:rPr>
                <w:rFonts w:ascii="Times New Roman"/>
                <w:b/>
                <w:bCs/>
                <w:snapToGrid w:val="0"/>
                <w:color w:val="auto"/>
                <w:kern w:val="21"/>
                <w:szCs w:val="21"/>
                <w:highlight w:val="none"/>
              </w:rPr>
            </w:pPr>
          </w:p>
        </w:tc>
        <w:tc>
          <w:tcPr>
            <w:tcW w:w="1310" w:type="dxa"/>
            <w:vAlign w:val="center"/>
          </w:tcPr>
          <w:p>
            <w:pPr>
              <w:pStyle w:val="4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COD</w:t>
            </w:r>
          </w:p>
        </w:tc>
        <w:tc>
          <w:tcPr>
            <w:tcW w:w="1571" w:type="dxa"/>
            <w:vAlign w:val="center"/>
          </w:tcPr>
          <w:p>
            <w:pPr>
              <w:jc w:val="center"/>
              <w:rPr>
                <w:rFonts w:ascii="Times New Roman" w:hAnsi="Times New Roman"/>
                <w:snapToGrid w:val="0"/>
                <w:color w:val="0000FF"/>
                <w:kern w:val="21"/>
                <w:highlight w:val="none"/>
              </w:rPr>
            </w:pPr>
            <w:r>
              <w:rPr>
                <w:rFonts w:hint="eastAsia" w:ascii="Times New Roman" w:hAnsi="Times New Roman"/>
                <w:color w:val="0000FF"/>
                <w:highlight w:val="none"/>
                <w:lang w:val="en-US" w:eastAsia="zh-CN"/>
              </w:rPr>
              <w:t>4.42</w:t>
            </w:r>
            <w:r>
              <w:rPr>
                <w:rFonts w:hint="eastAsia" w:ascii="Times New Roman" w:hAnsi="Times New Roman"/>
                <w:snapToGrid w:val="0"/>
                <w:color w:val="0000FF"/>
                <w:kern w:val="21"/>
                <w:highlight w:val="none"/>
              </w:rPr>
              <w:t>t/a</w:t>
            </w:r>
          </w:p>
        </w:tc>
        <w:tc>
          <w:tcPr>
            <w:tcW w:w="1241"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572"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512" w:type="dxa"/>
            <w:vAlign w:val="center"/>
          </w:tcPr>
          <w:p>
            <w:pPr>
              <w:jc w:val="center"/>
              <w:rPr>
                <w:rFonts w:ascii="Times New Roman" w:hAnsi="Times New Roman"/>
                <w:snapToGrid w:val="0"/>
                <w:color w:val="0000FF"/>
                <w:kern w:val="21"/>
                <w:highlight w:val="none"/>
              </w:rPr>
            </w:pPr>
            <w:r>
              <w:rPr>
                <w:rFonts w:hint="eastAsia" w:ascii="Times New Roman" w:hAnsi="Times New Roman"/>
                <w:color w:val="0000FF"/>
                <w:highlight w:val="none"/>
              </w:rPr>
              <w:t>0.0</w:t>
            </w:r>
            <w:r>
              <w:rPr>
                <w:rFonts w:hint="eastAsia" w:ascii="Times New Roman" w:hAnsi="Times New Roman"/>
                <w:color w:val="0000FF"/>
                <w:highlight w:val="none"/>
                <w:lang w:val="en-US" w:eastAsia="zh-CN"/>
              </w:rPr>
              <w:t>745</w:t>
            </w:r>
            <w:r>
              <w:rPr>
                <w:rFonts w:hint="eastAsia" w:ascii="Times New Roman" w:hAnsi="Times New Roman"/>
                <w:color w:val="0000FF"/>
                <w:highlight w:val="none"/>
              </w:rPr>
              <w:t>8</w:t>
            </w:r>
            <w:r>
              <w:rPr>
                <w:rFonts w:hint="eastAsia" w:ascii="Times New Roman" w:hAnsi="Times New Roman"/>
                <w:snapToGrid w:val="0"/>
                <w:color w:val="0000FF"/>
                <w:kern w:val="21"/>
                <w:highlight w:val="none"/>
              </w:rPr>
              <w:t>t/a</w:t>
            </w:r>
          </w:p>
        </w:tc>
        <w:tc>
          <w:tcPr>
            <w:tcW w:w="1631"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870"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lang w:val="en-US" w:eastAsia="zh-CN"/>
              </w:rPr>
              <w:t>4.49458</w:t>
            </w:r>
            <w:r>
              <w:rPr>
                <w:rFonts w:hint="eastAsia" w:ascii="Times New Roman" w:hAnsi="Times New Roman"/>
                <w:snapToGrid w:val="0"/>
                <w:color w:val="0000FF"/>
                <w:kern w:val="21"/>
                <w:highlight w:val="none"/>
              </w:rPr>
              <w:t>t/a</w:t>
            </w:r>
          </w:p>
        </w:tc>
        <w:tc>
          <w:tcPr>
            <w:tcW w:w="1651" w:type="dxa"/>
            <w:vAlign w:val="center"/>
          </w:tcPr>
          <w:p>
            <w:pPr>
              <w:jc w:val="center"/>
              <w:rPr>
                <w:rFonts w:ascii="Times New Roman" w:hAnsi="Times New Roman"/>
                <w:snapToGrid w:val="0"/>
                <w:color w:val="0000FF"/>
                <w:kern w:val="21"/>
                <w:highlight w:val="none"/>
              </w:rPr>
            </w:pPr>
            <w:r>
              <w:rPr>
                <w:rFonts w:hint="eastAsia" w:ascii="Times New Roman" w:hAnsi="Times New Roman"/>
                <w:color w:val="0000FF"/>
                <w:highlight w:val="none"/>
              </w:rPr>
              <w:t>+0.0</w:t>
            </w:r>
            <w:r>
              <w:rPr>
                <w:rFonts w:hint="eastAsia" w:ascii="Times New Roman" w:hAnsi="Times New Roman"/>
                <w:color w:val="0000FF"/>
                <w:highlight w:val="none"/>
                <w:lang w:val="en-US" w:eastAsia="zh-CN"/>
              </w:rPr>
              <w:t>745</w:t>
            </w:r>
            <w:r>
              <w:rPr>
                <w:rFonts w:hint="eastAsia" w:ascii="Times New Roman" w:hAnsi="Times New Roman"/>
                <w:color w:val="0000FF"/>
                <w:highlight w:val="none"/>
              </w:rPr>
              <w:t>8</w:t>
            </w:r>
            <w:r>
              <w:rPr>
                <w:rFonts w:hint="eastAsia" w:ascii="Times New Roman" w:hAnsi="Times New Roman"/>
                <w:snapToGrid w:val="0"/>
                <w:color w:val="0000FF"/>
                <w:kern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7"/>
              <w:spacing w:beforeLines="0" w:afterLines="0" w:line="240" w:lineRule="auto"/>
              <w:rPr>
                <w:rFonts w:ascii="Times New Roman"/>
                <w:b/>
                <w:bCs/>
                <w:snapToGrid w:val="0"/>
                <w:color w:val="auto"/>
                <w:kern w:val="21"/>
                <w:szCs w:val="21"/>
                <w:highlight w:val="none"/>
              </w:rPr>
            </w:pPr>
          </w:p>
        </w:tc>
        <w:tc>
          <w:tcPr>
            <w:tcW w:w="1310" w:type="dxa"/>
            <w:vAlign w:val="center"/>
          </w:tcPr>
          <w:p>
            <w:pPr>
              <w:pStyle w:val="47"/>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氨氮</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0.</w:t>
            </w:r>
            <w:r>
              <w:rPr>
                <w:rFonts w:hint="eastAsia" w:ascii="Times New Roman" w:hAnsi="Times New Roman"/>
                <w:snapToGrid w:val="0"/>
                <w:color w:val="auto"/>
                <w:kern w:val="21"/>
                <w:highlight w:val="none"/>
                <w:lang w:val="en-US" w:eastAsia="zh-CN"/>
              </w:rPr>
              <w:t>46</w:t>
            </w:r>
            <w:r>
              <w:rPr>
                <w:rFonts w:hint="eastAsia" w:ascii="Times New Roman" w:hAnsi="Times New Roman"/>
                <w:snapToGrid w:val="0"/>
                <w:color w:val="auto"/>
                <w:kern w:val="21"/>
                <w:highlight w:val="none"/>
              </w:rPr>
              <w:t>t/a</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0.000</w:t>
            </w:r>
            <w:r>
              <w:rPr>
                <w:rFonts w:hint="eastAsia" w:ascii="Times New Roman" w:hAnsi="Times New Roman"/>
                <w:snapToGrid w:val="0"/>
                <w:color w:val="auto"/>
                <w:kern w:val="21"/>
                <w:highlight w:val="none"/>
                <w:lang w:val="en-US" w:eastAsia="zh-CN"/>
              </w:rPr>
              <w:t>17</w:t>
            </w:r>
            <w:r>
              <w:rPr>
                <w:rFonts w:hint="eastAsia" w:ascii="Times New Roman" w:hAnsi="Times New Roman"/>
                <w:snapToGrid w:val="0"/>
                <w:color w:val="auto"/>
                <w:kern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0.</w:t>
            </w:r>
            <w:r>
              <w:rPr>
                <w:rFonts w:hint="eastAsia" w:ascii="Times New Roman" w:hAnsi="Times New Roman"/>
                <w:snapToGrid w:val="0"/>
                <w:color w:val="auto"/>
                <w:kern w:val="21"/>
                <w:highlight w:val="none"/>
                <w:lang w:val="en-US" w:eastAsia="zh-CN"/>
              </w:rPr>
              <w:t>46</w:t>
            </w:r>
            <w:r>
              <w:rPr>
                <w:rFonts w:hint="eastAsia" w:ascii="Times New Roman" w:hAnsi="Times New Roman"/>
                <w:snapToGrid w:val="0"/>
                <w:color w:val="auto"/>
                <w:kern w:val="21"/>
                <w:highlight w:val="none"/>
              </w:rPr>
              <w:t>0</w:t>
            </w:r>
            <w:r>
              <w:rPr>
                <w:rFonts w:hint="eastAsia" w:ascii="Times New Roman" w:hAnsi="Times New Roman"/>
                <w:snapToGrid w:val="0"/>
                <w:color w:val="auto"/>
                <w:kern w:val="21"/>
                <w:highlight w:val="none"/>
                <w:lang w:val="en-US" w:eastAsia="zh-CN"/>
              </w:rPr>
              <w:t>17</w:t>
            </w:r>
            <w:r>
              <w:rPr>
                <w:rFonts w:hint="eastAsia" w:ascii="Times New Roman" w:hAnsi="Times New Roman"/>
                <w:snapToGrid w:val="0"/>
                <w:color w:val="auto"/>
                <w:kern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+0.000</w:t>
            </w:r>
            <w:r>
              <w:rPr>
                <w:rFonts w:hint="eastAsia" w:ascii="Times New Roman" w:hAnsi="Times New Roman"/>
                <w:snapToGrid w:val="0"/>
                <w:color w:val="auto"/>
                <w:kern w:val="21"/>
                <w:highlight w:val="none"/>
                <w:lang w:val="en-US" w:eastAsia="zh-CN"/>
              </w:rPr>
              <w:t>17</w:t>
            </w:r>
            <w:r>
              <w:rPr>
                <w:rFonts w:hint="eastAsia" w:ascii="Times New Roman" w:hAnsi="Times New Roman"/>
                <w:snapToGrid w:val="0"/>
                <w:color w:val="auto"/>
                <w:kern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Align w:val="center"/>
          </w:tcPr>
          <w:p>
            <w:pPr>
              <w:pStyle w:val="47"/>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一般工业</w:t>
            </w:r>
          </w:p>
          <w:p>
            <w:pPr>
              <w:pStyle w:val="47"/>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固体废物</w:t>
            </w:r>
          </w:p>
        </w:tc>
        <w:tc>
          <w:tcPr>
            <w:tcW w:w="1310" w:type="dxa"/>
            <w:vAlign w:val="center"/>
          </w:tcPr>
          <w:p>
            <w:pPr>
              <w:jc w:val="center"/>
              <w:rPr>
                <w:rFonts w:ascii="Times New Roman" w:hAnsi="Times New Roman"/>
                <w:snapToGrid w:val="0"/>
                <w:color w:val="auto"/>
                <w:kern w:val="21"/>
                <w:highlight w:val="none"/>
              </w:rPr>
            </w:pPr>
            <w:r>
              <w:rPr>
                <w:rFonts w:hint="eastAsia" w:ascii="Times New Roman" w:hAnsi="Times New Roman" w:cs="Times New Roman"/>
                <w:color w:val="auto"/>
                <w:sz w:val="21"/>
                <w:szCs w:val="21"/>
                <w:highlight w:val="none"/>
                <w:lang w:val="en-US" w:eastAsia="zh-CN"/>
              </w:rPr>
              <w:t>废输液袋、输液瓶等</w:t>
            </w:r>
          </w:p>
        </w:tc>
        <w:tc>
          <w:tcPr>
            <w:tcW w:w="1571"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lang w:val="en-US" w:eastAsia="zh-CN"/>
              </w:rPr>
              <w:t>11.0</w:t>
            </w:r>
            <w:r>
              <w:rPr>
                <w:rFonts w:hint="eastAsia" w:ascii="Times New Roman" w:hAnsi="Times New Roman"/>
                <w:snapToGrid w:val="0"/>
                <w:color w:val="0000FF"/>
                <w:kern w:val="21"/>
                <w:szCs w:val="21"/>
                <w:highlight w:val="none"/>
              </w:rPr>
              <w:t>t/a</w:t>
            </w:r>
          </w:p>
        </w:tc>
        <w:tc>
          <w:tcPr>
            <w:tcW w:w="1241"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572"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512" w:type="dxa"/>
            <w:vAlign w:val="center"/>
          </w:tcPr>
          <w:p>
            <w:pPr>
              <w:jc w:val="center"/>
              <w:rPr>
                <w:rFonts w:hint="default" w:ascii="Times New Roman" w:hAnsi="Times New Roman" w:eastAsia="宋体"/>
                <w:snapToGrid w:val="0"/>
                <w:color w:val="0000FF"/>
                <w:kern w:val="21"/>
                <w:highlight w:val="none"/>
                <w:lang w:val="en-US" w:eastAsia="zh-CN"/>
              </w:rPr>
            </w:pPr>
            <w:r>
              <w:rPr>
                <w:rFonts w:hint="eastAsia" w:ascii="Times New Roman" w:hAnsi="Times New Roman"/>
                <w:snapToGrid w:val="0"/>
                <w:color w:val="0000FF"/>
                <w:kern w:val="21"/>
                <w:highlight w:val="none"/>
                <w:lang w:val="en-US" w:eastAsia="zh-CN"/>
              </w:rPr>
              <w:t>3.65</w:t>
            </w:r>
            <w:r>
              <w:rPr>
                <w:rFonts w:hint="eastAsia" w:ascii="Times New Roman" w:hAnsi="Times New Roman"/>
                <w:snapToGrid w:val="0"/>
                <w:color w:val="0000FF"/>
                <w:kern w:val="21"/>
                <w:szCs w:val="21"/>
                <w:highlight w:val="none"/>
              </w:rPr>
              <w:t>t/a</w:t>
            </w:r>
          </w:p>
        </w:tc>
        <w:tc>
          <w:tcPr>
            <w:tcW w:w="1631"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870"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lang w:val="en-US" w:eastAsia="zh-CN"/>
              </w:rPr>
              <w:t>14.65</w:t>
            </w:r>
            <w:r>
              <w:rPr>
                <w:rFonts w:hint="eastAsia" w:ascii="Times New Roman" w:hAnsi="Times New Roman"/>
                <w:snapToGrid w:val="0"/>
                <w:color w:val="0000FF"/>
                <w:kern w:val="21"/>
                <w:szCs w:val="21"/>
                <w:highlight w:val="none"/>
              </w:rPr>
              <w:t>t/a</w:t>
            </w:r>
          </w:p>
        </w:tc>
        <w:tc>
          <w:tcPr>
            <w:tcW w:w="1651" w:type="dxa"/>
            <w:vAlign w:val="center"/>
          </w:tcPr>
          <w:p>
            <w:pPr>
              <w:jc w:val="center"/>
              <w:rPr>
                <w:rFonts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r>
              <w:rPr>
                <w:rFonts w:hint="eastAsia" w:ascii="Times New Roman" w:hAnsi="Times New Roman"/>
                <w:snapToGrid w:val="0"/>
                <w:color w:val="0000FF"/>
                <w:kern w:val="21"/>
                <w:highlight w:val="none"/>
                <w:lang w:val="en-US" w:eastAsia="zh-CN"/>
              </w:rPr>
              <w:t>3.65</w:t>
            </w:r>
            <w:r>
              <w:rPr>
                <w:rFonts w:hint="eastAsia" w:ascii="Times New Roman" w:hAnsi="Times New Roman"/>
                <w:snapToGrid w:val="0"/>
                <w:color w:val="0000FF"/>
                <w:kern w:val="21"/>
                <w:szCs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restart"/>
            <w:vAlign w:val="center"/>
          </w:tcPr>
          <w:p>
            <w:pPr>
              <w:pStyle w:val="47"/>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危险废物</w:t>
            </w:r>
          </w:p>
        </w:tc>
        <w:tc>
          <w:tcPr>
            <w:tcW w:w="1310" w:type="dxa"/>
            <w:vAlign w:val="center"/>
          </w:tcPr>
          <w:p>
            <w:pPr>
              <w:pStyle w:val="62"/>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医疗废物</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120t/a</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pStyle w:val="62"/>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6.1</w:t>
            </w:r>
            <w:r>
              <w:rPr>
                <w:rFonts w:hint="eastAsia" w:ascii="Times New Roman" w:hAnsi="Times New Roman"/>
                <w:snapToGrid w:val="0"/>
                <w:color w:val="auto"/>
                <w:kern w:val="21"/>
                <w:szCs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pStyle w:val="62"/>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lang w:val="en-US" w:eastAsia="zh-CN"/>
              </w:rPr>
              <w:t>12</w:t>
            </w:r>
            <w:r>
              <w:rPr>
                <w:rFonts w:hint="eastAsia" w:ascii="Times New Roman" w:hAnsi="Times New Roman"/>
                <w:color w:val="auto"/>
                <w:szCs w:val="21"/>
                <w:highlight w:val="none"/>
              </w:rPr>
              <w:t>6.1</w:t>
            </w:r>
            <w:r>
              <w:rPr>
                <w:rFonts w:hint="eastAsia" w:ascii="Times New Roman" w:hAnsi="Times New Roman"/>
                <w:snapToGrid w:val="0"/>
                <w:color w:val="auto"/>
                <w:kern w:val="21"/>
                <w:szCs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r>
              <w:rPr>
                <w:rFonts w:hint="eastAsia" w:ascii="Times New Roman" w:hAnsi="Times New Roman"/>
                <w:color w:val="auto"/>
                <w:highlight w:val="none"/>
              </w:rPr>
              <w:t>6.1</w:t>
            </w:r>
            <w:r>
              <w:rPr>
                <w:rFonts w:hint="eastAsia" w:ascii="Times New Roman" w:hAnsi="Times New Roman"/>
                <w:snapToGrid w:val="0"/>
                <w:color w:val="auto"/>
                <w:kern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7"/>
              <w:spacing w:beforeLines="0" w:afterLines="0" w:line="240" w:lineRule="auto"/>
              <w:rPr>
                <w:rFonts w:ascii="Times New Roman"/>
                <w:b/>
                <w:bCs/>
                <w:snapToGrid w:val="0"/>
                <w:color w:val="auto"/>
                <w:kern w:val="21"/>
                <w:szCs w:val="21"/>
                <w:highlight w:val="none"/>
              </w:rPr>
            </w:pPr>
          </w:p>
        </w:tc>
        <w:tc>
          <w:tcPr>
            <w:tcW w:w="1310" w:type="dxa"/>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污泥</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5.0t/a</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pStyle w:val="62"/>
              <w:jc w:val="center"/>
              <w:rPr>
                <w:rFonts w:hint="default" w:ascii="Times New Roman" w:hAnsi="Times New Roman" w:eastAsia="宋体"/>
                <w:color w:val="auto"/>
                <w:szCs w:val="21"/>
                <w:highlight w:val="none"/>
                <w:lang w:val="en-US" w:eastAsia="zh-CN"/>
              </w:rPr>
            </w:pPr>
            <w:r>
              <w:rPr>
                <w:rFonts w:hint="eastAsia" w:ascii="Times New Roman" w:hAnsi="Times New Roman"/>
                <w:snapToGrid w:val="0"/>
                <w:color w:val="auto"/>
                <w:kern w:val="21"/>
                <w:highlight w:val="none"/>
                <w:lang w:val="en-US" w:eastAsia="zh-CN"/>
              </w:rPr>
              <w:t>0.004</w:t>
            </w:r>
            <w:r>
              <w:rPr>
                <w:rFonts w:hint="eastAsia" w:ascii="Times New Roman" w:hAnsi="Times New Roman"/>
                <w:snapToGrid w:val="0"/>
                <w:color w:val="auto"/>
                <w:kern w:val="21"/>
                <w:szCs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ascii="Times New Roman" w:hAnsi="Times New Roman"/>
                <w:color w:val="auto"/>
                <w:highlight w:val="none"/>
              </w:rPr>
            </w:pPr>
            <w:r>
              <w:rPr>
                <w:rFonts w:hint="eastAsia" w:ascii="Times New Roman" w:hAnsi="Times New Roman"/>
                <w:snapToGrid w:val="0"/>
                <w:color w:val="auto"/>
                <w:kern w:val="21"/>
                <w:highlight w:val="none"/>
              </w:rPr>
              <w:t>5.0</w:t>
            </w:r>
            <w:r>
              <w:rPr>
                <w:rFonts w:hint="eastAsia" w:ascii="Times New Roman" w:hAnsi="Times New Roman"/>
                <w:snapToGrid w:val="0"/>
                <w:color w:val="auto"/>
                <w:kern w:val="21"/>
                <w:highlight w:val="none"/>
                <w:lang w:val="en-US" w:eastAsia="zh-CN"/>
              </w:rPr>
              <w:t>04</w:t>
            </w:r>
            <w:r>
              <w:rPr>
                <w:rFonts w:hint="eastAsia" w:ascii="Times New Roman" w:hAnsi="Times New Roman"/>
                <w:snapToGrid w:val="0"/>
                <w:color w:val="auto"/>
                <w:kern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r>
              <w:rPr>
                <w:rFonts w:hint="eastAsia" w:ascii="Times New Roman" w:hAnsi="Times New Roman"/>
                <w:snapToGrid w:val="0"/>
                <w:color w:val="auto"/>
                <w:kern w:val="21"/>
                <w:highlight w:val="none"/>
                <w:lang w:val="en-US" w:eastAsia="zh-CN"/>
              </w:rPr>
              <w:t>0.004</w:t>
            </w:r>
            <w:r>
              <w:rPr>
                <w:rFonts w:hint="eastAsia" w:ascii="Times New Roman" w:hAnsi="Times New Roman"/>
                <w:snapToGrid w:val="0"/>
                <w:color w:val="auto"/>
                <w:kern w:val="21"/>
                <w:szCs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7"/>
              <w:spacing w:beforeLines="0" w:afterLines="0" w:line="240" w:lineRule="auto"/>
              <w:rPr>
                <w:rFonts w:ascii="Times New Roman"/>
                <w:b/>
                <w:bCs/>
                <w:snapToGrid w:val="0"/>
                <w:color w:val="auto"/>
                <w:kern w:val="21"/>
                <w:szCs w:val="21"/>
                <w:highlight w:val="none"/>
              </w:rPr>
            </w:pPr>
          </w:p>
        </w:tc>
        <w:tc>
          <w:tcPr>
            <w:tcW w:w="1310" w:type="dxa"/>
            <w:vAlign w:val="center"/>
          </w:tcPr>
          <w:p>
            <w:pPr>
              <w:pStyle w:val="62"/>
              <w:jc w:val="center"/>
              <w:rPr>
                <w:rFonts w:ascii="Times New Roman" w:hAnsi="Times New Roman"/>
                <w:color w:val="auto"/>
                <w:szCs w:val="21"/>
                <w:highlight w:val="none"/>
              </w:rPr>
            </w:pPr>
            <w:r>
              <w:rPr>
                <w:rFonts w:hint="eastAsia" w:ascii="Times New Roman" w:hAnsi="Times New Roman"/>
                <w:color w:val="auto"/>
                <w:szCs w:val="21"/>
                <w:highlight w:val="none"/>
              </w:rPr>
              <w:t>废活性炭</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0.2t/a</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pStyle w:val="62"/>
              <w:jc w:val="center"/>
              <w:rPr>
                <w:rFonts w:ascii="Times New Roman" w:hAnsi="Times New Roman"/>
                <w:color w:val="auto"/>
                <w:szCs w:val="21"/>
                <w:highlight w:val="none"/>
              </w:rPr>
            </w:pPr>
            <w:r>
              <w:rPr>
                <w:rFonts w:hint="eastAsia" w:ascii="Times New Roman" w:hAnsi="Times New Roman"/>
                <w:snapToGrid w:val="0"/>
                <w:color w:val="auto"/>
                <w:kern w:val="21"/>
                <w:highlight w:val="none"/>
              </w:rPr>
              <w:t>/</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ascii="Times New Roman" w:hAnsi="Times New Roman"/>
                <w:color w:val="auto"/>
                <w:highlight w:val="none"/>
              </w:rPr>
            </w:pPr>
            <w:r>
              <w:rPr>
                <w:rFonts w:hint="eastAsia" w:ascii="Times New Roman" w:hAnsi="Times New Roman"/>
                <w:snapToGrid w:val="0"/>
                <w:color w:val="auto"/>
                <w:kern w:val="21"/>
                <w:highlight w:val="none"/>
              </w:rPr>
              <w:t>0.2t/a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7"/>
              <w:spacing w:beforeLines="0" w:afterLines="0" w:line="240" w:lineRule="auto"/>
              <w:rPr>
                <w:rFonts w:ascii="Times New Roman"/>
                <w:b/>
                <w:bCs/>
                <w:snapToGrid w:val="0"/>
                <w:color w:val="auto"/>
                <w:kern w:val="21"/>
                <w:szCs w:val="21"/>
                <w:highlight w:val="none"/>
              </w:rPr>
            </w:pPr>
          </w:p>
        </w:tc>
        <w:tc>
          <w:tcPr>
            <w:tcW w:w="1310" w:type="dxa"/>
            <w:vAlign w:val="center"/>
          </w:tcPr>
          <w:p>
            <w:pPr>
              <w:pStyle w:val="62"/>
              <w:jc w:val="center"/>
              <w:rPr>
                <w:rFonts w:ascii="Times New Roman" w:hAnsi="Times New Roman"/>
                <w:color w:val="auto"/>
                <w:szCs w:val="21"/>
                <w:highlight w:val="none"/>
              </w:rPr>
            </w:pPr>
          </w:p>
        </w:tc>
        <w:tc>
          <w:tcPr>
            <w:tcW w:w="1571" w:type="dxa"/>
            <w:vAlign w:val="center"/>
          </w:tcPr>
          <w:p>
            <w:pPr>
              <w:jc w:val="center"/>
              <w:rPr>
                <w:rFonts w:ascii="Times New Roman" w:hAnsi="Times New Roman"/>
                <w:snapToGrid w:val="0"/>
                <w:color w:val="auto"/>
                <w:kern w:val="21"/>
                <w:highlight w:val="none"/>
              </w:rPr>
            </w:pPr>
          </w:p>
        </w:tc>
        <w:tc>
          <w:tcPr>
            <w:tcW w:w="1241" w:type="dxa"/>
            <w:vAlign w:val="center"/>
          </w:tcPr>
          <w:p>
            <w:pPr>
              <w:jc w:val="center"/>
              <w:rPr>
                <w:rFonts w:ascii="Times New Roman" w:hAnsi="Times New Roman"/>
                <w:snapToGrid w:val="0"/>
                <w:color w:val="auto"/>
                <w:kern w:val="21"/>
                <w:highlight w:val="none"/>
              </w:rPr>
            </w:pPr>
          </w:p>
        </w:tc>
        <w:tc>
          <w:tcPr>
            <w:tcW w:w="1572" w:type="dxa"/>
            <w:vAlign w:val="center"/>
          </w:tcPr>
          <w:p>
            <w:pPr>
              <w:jc w:val="center"/>
              <w:rPr>
                <w:rFonts w:ascii="Times New Roman" w:hAnsi="Times New Roman"/>
                <w:snapToGrid w:val="0"/>
                <w:color w:val="auto"/>
                <w:kern w:val="21"/>
                <w:highlight w:val="none"/>
              </w:rPr>
            </w:pPr>
          </w:p>
        </w:tc>
        <w:tc>
          <w:tcPr>
            <w:tcW w:w="1512" w:type="dxa"/>
            <w:vAlign w:val="center"/>
          </w:tcPr>
          <w:p>
            <w:pPr>
              <w:pStyle w:val="62"/>
              <w:jc w:val="center"/>
              <w:rPr>
                <w:rFonts w:ascii="Times New Roman" w:hAnsi="Times New Roman"/>
                <w:color w:val="auto"/>
                <w:szCs w:val="21"/>
                <w:highlight w:val="none"/>
              </w:rPr>
            </w:pPr>
          </w:p>
        </w:tc>
        <w:tc>
          <w:tcPr>
            <w:tcW w:w="1631" w:type="dxa"/>
            <w:vAlign w:val="center"/>
          </w:tcPr>
          <w:p>
            <w:pPr>
              <w:jc w:val="center"/>
              <w:rPr>
                <w:rFonts w:ascii="Times New Roman" w:hAnsi="Times New Roman"/>
                <w:snapToGrid w:val="0"/>
                <w:color w:val="auto"/>
                <w:kern w:val="21"/>
                <w:highlight w:val="none"/>
              </w:rPr>
            </w:pPr>
          </w:p>
        </w:tc>
        <w:tc>
          <w:tcPr>
            <w:tcW w:w="1870" w:type="dxa"/>
            <w:vAlign w:val="center"/>
          </w:tcPr>
          <w:p>
            <w:pPr>
              <w:pStyle w:val="62"/>
              <w:jc w:val="center"/>
              <w:rPr>
                <w:rFonts w:ascii="Times New Roman" w:hAnsi="Times New Roman"/>
                <w:color w:val="auto"/>
                <w:szCs w:val="21"/>
                <w:highlight w:val="none"/>
              </w:rPr>
            </w:pPr>
          </w:p>
        </w:tc>
        <w:tc>
          <w:tcPr>
            <w:tcW w:w="1651" w:type="dxa"/>
            <w:vAlign w:val="center"/>
          </w:tcPr>
          <w:p>
            <w:pPr>
              <w:jc w:val="center"/>
              <w:rPr>
                <w:rFonts w:ascii="Times New Roman" w:hAnsi="Times New Roman"/>
                <w:snapToGrid w:val="0"/>
                <w:color w:val="auto"/>
                <w:kern w:val="21"/>
                <w:highlight w:val="none"/>
              </w:rPr>
            </w:pPr>
          </w:p>
        </w:tc>
      </w:tr>
    </w:tbl>
    <w:p>
      <w:pPr>
        <w:pStyle w:val="47"/>
        <w:spacing w:before="192" w:beforeLines="80" w:after="24"/>
        <w:jc w:val="left"/>
        <w:rPr>
          <w:rFonts w:hAnsi="宋体"/>
          <w:b/>
          <w:bCs/>
          <w:snapToGrid w:val="0"/>
          <w:color w:val="auto"/>
          <w:spacing w:val="-6"/>
          <w:kern w:val="21"/>
          <w:szCs w:val="21"/>
          <w:highlight w:val="none"/>
        </w:rPr>
      </w:pPr>
      <w:r>
        <w:rPr>
          <w:rFonts w:hAnsi="宋体"/>
          <w:b/>
          <w:bCs/>
          <w:snapToGrid w:val="0"/>
          <w:color w:val="auto"/>
          <w:kern w:val="21"/>
          <w:szCs w:val="21"/>
          <w:highlight w:val="none"/>
        </w:rPr>
        <w:t>注：</w:t>
      </w:r>
      <w:r>
        <w:rPr>
          <w:rFonts w:hAnsi="宋体"/>
          <w:b/>
          <w:bCs/>
          <w:snapToGrid w:val="0"/>
          <w:color w:val="auto"/>
          <w:spacing w:val="-16"/>
          <w:kern w:val="21"/>
          <w:szCs w:val="21"/>
          <w:highlight w:val="none"/>
        </w:rPr>
        <w:fldChar w:fldCharType="begin"/>
      </w:r>
      <w:r>
        <w:rPr>
          <w:rFonts w:hAnsi="宋体"/>
          <w:b/>
          <w:bCs/>
          <w:snapToGrid w:val="0"/>
          <w:color w:val="auto"/>
          <w:spacing w:val="-16"/>
          <w:kern w:val="21"/>
          <w:szCs w:val="21"/>
          <w:highlight w:val="none"/>
        </w:rPr>
        <w:instrText xml:space="preserve"> = 6 \* GB3 \* MERGEFORMAT </w:instrText>
      </w:r>
      <w:r>
        <w:rPr>
          <w:rFonts w:hAnsi="宋体"/>
          <w:b/>
          <w:bCs/>
          <w:snapToGrid w:val="0"/>
          <w:color w:val="auto"/>
          <w:spacing w:val="-16"/>
          <w:kern w:val="21"/>
          <w:szCs w:val="21"/>
          <w:highlight w:val="none"/>
        </w:rPr>
        <w:fldChar w:fldCharType="separate"/>
      </w:r>
      <w:r>
        <w:rPr>
          <w:rFonts w:hint="eastAsia" w:hAnsi="宋体"/>
          <w:b/>
          <w:bCs/>
          <w:color w:val="auto"/>
          <w:szCs w:val="21"/>
          <w:highlight w:val="none"/>
        </w:rPr>
        <w:t>⑥</w:t>
      </w:r>
      <w:r>
        <w:rPr>
          <w:rFonts w:hAnsi="宋体"/>
          <w:b/>
          <w:bCs/>
          <w:snapToGrid w:val="0"/>
          <w:color w:val="auto"/>
          <w:spacing w:val="-16"/>
          <w:kern w:val="21"/>
          <w:szCs w:val="21"/>
          <w:highlight w:val="none"/>
        </w:rPr>
        <w:fldChar w:fldCharType="end"/>
      </w:r>
      <w:r>
        <w:rPr>
          <w:rFonts w:hAnsi="宋体"/>
          <w:b/>
          <w:bCs/>
          <w:snapToGrid w:val="0"/>
          <w:color w:val="auto"/>
          <w:spacing w:val="-1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1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①</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3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③</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4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④</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16"/>
          <w:kern w:val="21"/>
          <w:szCs w:val="21"/>
          <w:highlight w:val="none"/>
        </w:rPr>
        <w:fldChar w:fldCharType="begin"/>
      </w:r>
      <w:r>
        <w:rPr>
          <w:rFonts w:hAnsi="宋体"/>
          <w:b/>
          <w:bCs/>
          <w:snapToGrid w:val="0"/>
          <w:color w:val="auto"/>
          <w:spacing w:val="-16"/>
          <w:kern w:val="21"/>
          <w:szCs w:val="21"/>
          <w:highlight w:val="none"/>
        </w:rPr>
        <w:instrText xml:space="preserve"> = 5 \* GB3 \* MERGEFORMAT </w:instrText>
      </w:r>
      <w:r>
        <w:rPr>
          <w:rFonts w:hAnsi="宋体"/>
          <w:b/>
          <w:bCs/>
          <w:snapToGrid w:val="0"/>
          <w:color w:val="auto"/>
          <w:spacing w:val="-16"/>
          <w:kern w:val="21"/>
          <w:szCs w:val="21"/>
          <w:highlight w:val="none"/>
        </w:rPr>
        <w:fldChar w:fldCharType="separate"/>
      </w:r>
      <w:r>
        <w:rPr>
          <w:rFonts w:hint="eastAsia" w:hAnsi="宋体"/>
          <w:b/>
          <w:bCs/>
          <w:color w:val="auto"/>
          <w:szCs w:val="21"/>
          <w:highlight w:val="none"/>
        </w:rPr>
        <w:t>⑤</w:t>
      </w:r>
      <w:r>
        <w:rPr>
          <w:rFonts w:hAnsi="宋体"/>
          <w:b/>
          <w:bCs/>
          <w:snapToGrid w:val="0"/>
          <w:color w:val="auto"/>
          <w:spacing w:val="-16"/>
          <w:kern w:val="21"/>
          <w:szCs w:val="21"/>
          <w:highlight w:val="none"/>
        </w:rPr>
        <w:fldChar w:fldCharType="end"/>
      </w:r>
      <w:r>
        <w:rPr>
          <w:rFonts w:hAnsi="宋体"/>
          <w:b/>
          <w:bCs/>
          <w:snapToGrid w:val="0"/>
          <w:color w:val="auto"/>
          <w:spacing w:val="-1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7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⑦</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16"/>
          <w:kern w:val="21"/>
          <w:szCs w:val="21"/>
          <w:highlight w:val="none"/>
        </w:rPr>
        <w:fldChar w:fldCharType="begin"/>
      </w:r>
      <w:r>
        <w:rPr>
          <w:rFonts w:hAnsi="宋体"/>
          <w:b/>
          <w:bCs/>
          <w:snapToGrid w:val="0"/>
          <w:color w:val="auto"/>
          <w:spacing w:val="-16"/>
          <w:kern w:val="21"/>
          <w:szCs w:val="21"/>
          <w:highlight w:val="none"/>
        </w:rPr>
        <w:instrText xml:space="preserve"> = 6 \* GB3 \* MERGEFORMAT </w:instrText>
      </w:r>
      <w:r>
        <w:rPr>
          <w:rFonts w:hAnsi="宋体"/>
          <w:b/>
          <w:bCs/>
          <w:snapToGrid w:val="0"/>
          <w:color w:val="auto"/>
          <w:spacing w:val="-16"/>
          <w:kern w:val="21"/>
          <w:szCs w:val="21"/>
          <w:highlight w:val="none"/>
        </w:rPr>
        <w:fldChar w:fldCharType="separate"/>
      </w:r>
      <w:r>
        <w:rPr>
          <w:rFonts w:hint="eastAsia" w:hAnsi="宋体"/>
          <w:b/>
          <w:bCs/>
          <w:color w:val="auto"/>
          <w:szCs w:val="21"/>
          <w:highlight w:val="none"/>
        </w:rPr>
        <w:t>⑥</w:t>
      </w:r>
      <w:r>
        <w:rPr>
          <w:rFonts w:hAnsi="宋体"/>
          <w:b/>
          <w:bCs/>
          <w:snapToGrid w:val="0"/>
          <w:color w:val="auto"/>
          <w:spacing w:val="-16"/>
          <w:kern w:val="21"/>
          <w:szCs w:val="21"/>
          <w:highlight w:val="none"/>
        </w:rPr>
        <w:fldChar w:fldCharType="end"/>
      </w:r>
      <w:r>
        <w:rPr>
          <w:rFonts w:hAnsi="宋体"/>
          <w:b/>
          <w:bCs/>
          <w:snapToGrid w:val="0"/>
          <w:color w:val="auto"/>
          <w:spacing w:val="-1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1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①</w:t>
      </w:r>
      <w:r>
        <w:rPr>
          <w:rFonts w:hAnsi="宋体"/>
          <w:b/>
          <w:bCs/>
          <w:snapToGrid w:val="0"/>
          <w:color w:val="auto"/>
          <w:spacing w:val="-6"/>
          <w:kern w:val="21"/>
          <w:szCs w:val="21"/>
          <w:highlight w:val="none"/>
        </w:rPr>
        <w:fldChar w:fldCharType="end"/>
      </w:r>
    </w:p>
    <w:p>
      <w:pPr>
        <w:rPr>
          <w:b/>
          <w:bCs/>
          <w:color w:val="auto"/>
          <w:highlight w:val="none"/>
        </w:rPr>
      </w:pPr>
    </w:p>
    <w:p>
      <w:pPr>
        <w:rPr>
          <w:color w:val="auto"/>
          <w:highlight w:val="none"/>
        </w:rPr>
        <w:sectPr>
          <w:footerReference r:id="rId6" w:type="default"/>
          <w:pgSz w:w="16838" w:h="11906" w:orient="landscape"/>
          <w:pgMar w:top="1701" w:right="1531" w:bottom="1701" w:left="1531" w:header="851" w:footer="851" w:gutter="0"/>
          <w:cols w:space="720" w:num="1"/>
          <w:docGrid w:linePitch="312" w:charSpace="0"/>
        </w:sectPr>
      </w:pPr>
    </w:p>
    <w:p>
      <w:pPr>
        <w:rPr>
          <w:rFonts w:ascii="宋体" w:hAnsi="宋体" w:eastAsia="黑体"/>
          <w:color w:val="auto"/>
          <w:highlight w:val="none"/>
        </w:rPr>
      </w:pPr>
    </w:p>
    <w:sectPr>
      <w:footerReference r:id="rId7" w:type="default"/>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roman"/>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4"/>
      </w:rPr>
    </w:pPr>
    <w:r>
      <w:fldChar w:fldCharType="begin"/>
    </w:r>
    <w:r>
      <w:rPr>
        <w:rStyle w:val="24"/>
      </w:rPr>
      <w:instrText xml:space="preserve">PAGE  </w:instrText>
    </w:r>
    <w: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4"/>
        <w:rFonts w:ascii="宋体" w:hAnsi="宋体"/>
        <w:sz w:val="28"/>
        <w:szCs w:val="28"/>
      </w:rPr>
    </w:pPr>
    <w:r>
      <w:rPr>
        <w:rStyle w:val="24"/>
        <w:rFonts w:hint="eastAsia" w:ascii="宋体" w:hAnsi="宋体"/>
        <w:sz w:val="28"/>
        <w:szCs w:val="28"/>
      </w:rPr>
      <w:t>—</w:t>
    </w:r>
    <w:r>
      <w:rPr>
        <w:rStyle w:val="24"/>
        <w:rFonts w:hint="eastAsia" w:ascii="宋体" w:hAnsi="宋体"/>
        <w:sz w:val="20"/>
      </w:rPr>
      <w:t xml:space="preserve">  </w:t>
    </w:r>
    <w:r>
      <w:rPr>
        <w:rFonts w:ascii="宋体" w:hAnsi="宋体"/>
        <w:sz w:val="26"/>
        <w:szCs w:val="26"/>
      </w:rPr>
      <w:fldChar w:fldCharType="begin"/>
    </w:r>
    <w:r>
      <w:rPr>
        <w:rStyle w:val="24"/>
        <w:rFonts w:ascii="宋体" w:hAnsi="宋体"/>
        <w:sz w:val="26"/>
        <w:szCs w:val="26"/>
      </w:rPr>
      <w:instrText xml:space="preserve">PAGE  </w:instrText>
    </w:r>
    <w:r>
      <w:rPr>
        <w:rFonts w:ascii="宋体" w:hAnsi="宋体"/>
        <w:sz w:val="26"/>
        <w:szCs w:val="26"/>
      </w:rPr>
      <w:fldChar w:fldCharType="separate"/>
    </w:r>
    <w:r>
      <w:rPr>
        <w:rStyle w:val="24"/>
        <w:rFonts w:ascii="宋体" w:hAnsi="宋体"/>
        <w:sz w:val="26"/>
        <w:szCs w:val="26"/>
      </w:rPr>
      <w:t>8</w:t>
    </w:r>
    <w:r>
      <w:rPr>
        <w:rFonts w:ascii="宋体" w:hAnsi="宋体"/>
        <w:sz w:val="26"/>
        <w:szCs w:val="26"/>
      </w:rPr>
      <w:fldChar w:fldCharType="end"/>
    </w:r>
    <w:r>
      <w:rPr>
        <w:rStyle w:val="24"/>
        <w:rFonts w:hint="eastAsia" w:ascii="宋体" w:hAnsi="宋体"/>
        <w:sz w:val="20"/>
      </w:rPr>
      <w:t xml:space="preserve">  </w:t>
    </w:r>
    <w:r>
      <w:rPr>
        <w:rStyle w:val="24"/>
        <w:rFonts w:hint="eastAsia" w:ascii="宋体" w:hAnsi="宋体"/>
        <w:sz w:val="28"/>
        <w:szCs w:val="28"/>
      </w:rPr>
      <w:t>—</w:t>
    </w:r>
  </w:p>
  <w:p>
    <w:pPr>
      <w:pStyle w:val="14"/>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4"/>
        <w:rFonts w:ascii="宋体" w:hAnsi="宋体"/>
        <w:sz w:val="28"/>
        <w:szCs w:val="28"/>
      </w:rPr>
    </w:pPr>
    <w:r>
      <w:rPr>
        <w:rStyle w:val="24"/>
        <w:rFonts w:hint="eastAsia" w:ascii="宋体" w:hAnsi="宋体"/>
        <w:sz w:val="28"/>
        <w:szCs w:val="28"/>
      </w:rPr>
      <w:t>—</w:t>
    </w:r>
    <w:r>
      <w:rPr>
        <w:rStyle w:val="24"/>
        <w:rFonts w:hint="eastAsia" w:ascii="宋体" w:hAnsi="宋体"/>
        <w:sz w:val="20"/>
      </w:rPr>
      <w:t xml:space="preserve">  </w:t>
    </w:r>
    <w:r>
      <w:rPr>
        <w:rFonts w:ascii="宋体" w:hAnsi="宋体"/>
        <w:sz w:val="26"/>
        <w:szCs w:val="26"/>
      </w:rPr>
      <w:fldChar w:fldCharType="begin"/>
    </w:r>
    <w:r>
      <w:rPr>
        <w:rStyle w:val="24"/>
        <w:rFonts w:ascii="宋体" w:hAnsi="宋体"/>
        <w:sz w:val="26"/>
        <w:szCs w:val="26"/>
      </w:rPr>
      <w:instrText xml:space="preserve">PAGE  </w:instrText>
    </w:r>
    <w:r>
      <w:rPr>
        <w:rFonts w:ascii="宋体" w:hAnsi="宋体"/>
        <w:sz w:val="26"/>
        <w:szCs w:val="26"/>
      </w:rPr>
      <w:fldChar w:fldCharType="separate"/>
    </w:r>
    <w:r>
      <w:rPr>
        <w:rStyle w:val="24"/>
        <w:rFonts w:ascii="宋体" w:hAnsi="宋体"/>
        <w:sz w:val="26"/>
        <w:szCs w:val="26"/>
      </w:rPr>
      <w:t>30</w:t>
    </w:r>
    <w:r>
      <w:rPr>
        <w:rFonts w:ascii="宋体" w:hAnsi="宋体"/>
        <w:sz w:val="26"/>
        <w:szCs w:val="26"/>
      </w:rPr>
      <w:fldChar w:fldCharType="end"/>
    </w:r>
    <w:r>
      <w:rPr>
        <w:rStyle w:val="24"/>
        <w:rFonts w:hint="eastAsia" w:ascii="宋体" w:hAnsi="宋体"/>
        <w:sz w:val="20"/>
      </w:rPr>
      <w:t xml:space="preserve">  </w:t>
    </w:r>
    <w:r>
      <w:rPr>
        <w:rStyle w:val="24"/>
        <w:rFonts w:hint="eastAsia" w:ascii="宋体" w:hAnsi="宋体"/>
        <w:sz w:val="28"/>
        <w:szCs w:val="28"/>
      </w:rPr>
      <w:t>—</w:t>
    </w:r>
  </w:p>
  <w:p>
    <w:pPr>
      <w:pStyle w:val="14"/>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4"/>
        <w:rFonts w:ascii="宋体" w:hAnsi="宋体"/>
        <w:sz w:val="28"/>
        <w:szCs w:val="28"/>
      </w:rPr>
    </w:pPr>
    <w:r>
      <w:rPr>
        <w:rStyle w:val="24"/>
        <w:rFonts w:hint="eastAsia" w:ascii="宋体" w:hAnsi="宋体"/>
        <w:sz w:val="28"/>
        <w:szCs w:val="28"/>
      </w:rPr>
      <w:t>—</w:t>
    </w:r>
    <w:r>
      <w:rPr>
        <w:rStyle w:val="24"/>
        <w:rFonts w:hint="eastAsia" w:ascii="宋体" w:hAnsi="宋体"/>
        <w:sz w:val="20"/>
      </w:rPr>
      <w:t xml:space="preserve">  </w:t>
    </w:r>
    <w:r>
      <w:rPr>
        <w:rFonts w:ascii="宋体" w:hAnsi="宋体"/>
        <w:sz w:val="26"/>
        <w:szCs w:val="26"/>
      </w:rPr>
      <w:fldChar w:fldCharType="begin"/>
    </w:r>
    <w:r>
      <w:rPr>
        <w:rStyle w:val="24"/>
        <w:rFonts w:ascii="宋体" w:hAnsi="宋体"/>
        <w:sz w:val="26"/>
        <w:szCs w:val="26"/>
      </w:rPr>
      <w:instrText xml:space="preserve">PAGE  </w:instrText>
    </w:r>
    <w:r>
      <w:rPr>
        <w:rFonts w:ascii="宋体" w:hAnsi="宋体"/>
        <w:sz w:val="26"/>
        <w:szCs w:val="26"/>
      </w:rPr>
      <w:fldChar w:fldCharType="separate"/>
    </w:r>
    <w:r>
      <w:rPr>
        <w:rStyle w:val="24"/>
        <w:rFonts w:ascii="宋体" w:hAnsi="宋体"/>
        <w:sz w:val="26"/>
        <w:szCs w:val="26"/>
      </w:rPr>
      <w:t>31</w:t>
    </w:r>
    <w:r>
      <w:rPr>
        <w:rFonts w:ascii="宋体" w:hAnsi="宋体"/>
        <w:sz w:val="26"/>
        <w:szCs w:val="26"/>
      </w:rPr>
      <w:fldChar w:fldCharType="end"/>
    </w:r>
    <w:r>
      <w:rPr>
        <w:rStyle w:val="24"/>
        <w:rFonts w:hint="eastAsia" w:ascii="宋体" w:hAnsi="宋体"/>
        <w:sz w:val="20"/>
      </w:rPr>
      <w:t xml:space="preserve">  </w:t>
    </w:r>
    <w:r>
      <w:rPr>
        <w:rStyle w:val="24"/>
        <w:rFonts w:hint="eastAsia" w:ascii="宋体" w:hAnsi="宋体"/>
        <w:sz w:val="28"/>
        <w:szCs w:val="28"/>
      </w:rPr>
      <w:t>—</w:t>
    </w:r>
  </w:p>
  <w:p>
    <w:pPr>
      <w:pStyle w:val="14"/>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670197"/>
    <w:multiLevelType w:val="singleLevel"/>
    <w:tmpl w:val="6867019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 w:name="KSO_WPS_MARK_KEY" w:val="6ca27092-d92d-4c59-80db-ebc947d5a1e8"/>
  </w:docVars>
  <w:rsids>
    <w:rsidRoot w:val="00172A27"/>
    <w:rsid w:val="00001551"/>
    <w:rsid w:val="000060B3"/>
    <w:rsid w:val="000367C8"/>
    <w:rsid w:val="0004364B"/>
    <w:rsid w:val="00061B1F"/>
    <w:rsid w:val="000733C4"/>
    <w:rsid w:val="00074783"/>
    <w:rsid w:val="0008070B"/>
    <w:rsid w:val="000810AC"/>
    <w:rsid w:val="00081A02"/>
    <w:rsid w:val="00082231"/>
    <w:rsid w:val="0008612B"/>
    <w:rsid w:val="00086A6A"/>
    <w:rsid w:val="00092D38"/>
    <w:rsid w:val="0009377B"/>
    <w:rsid w:val="000A20C9"/>
    <w:rsid w:val="000A2AB9"/>
    <w:rsid w:val="000B058F"/>
    <w:rsid w:val="000B4467"/>
    <w:rsid w:val="000B4DB9"/>
    <w:rsid w:val="000C09AC"/>
    <w:rsid w:val="000C767F"/>
    <w:rsid w:val="000D5A44"/>
    <w:rsid w:val="000E3ED2"/>
    <w:rsid w:val="00104226"/>
    <w:rsid w:val="00124438"/>
    <w:rsid w:val="00131F42"/>
    <w:rsid w:val="001357F1"/>
    <w:rsid w:val="00140FA8"/>
    <w:rsid w:val="00142FEB"/>
    <w:rsid w:val="00143A2D"/>
    <w:rsid w:val="00145A41"/>
    <w:rsid w:val="00145BAA"/>
    <w:rsid w:val="00151675"/>
    <w:rsid w:val="001559D1"/>
    <w:rsid w:val="00157435"/>
    <w:rsid w:val="00172A27"/>
    <w:rsid w:val="0017504D"/>
    <w:rsid w:val="0017671A"/>
    <w:rsid w:val="00177422"/>
    <w:rsid w:val="00184590"/>
    <w:rsid w:val="001870D1"/>
    <w:rsid w:val="0018781E"/>
    <w:rsid w:val="00190A2A"/>
    <w:rsid w:val="0019262D"/>
    <w:rsid w:val="001A1B35"/>
    <w:rsid w:val="001A48A2"/>
    <w:rsid w:val="001A6F61"/>
    <w:rsid w:val="001B72B8"/>
    <w:rsid w:val="001C69B3"/>
    <w:rsid w:val="001D5595"/>
    <w:rsid w:val="001D637E"/>
    <w:rsid w:val="001D7874"/>
    <w:rsid w:val="001D7F22"/>
    <w:rsid w:val="001E1F19"/>
    <w:rsid w:val="001F0F17"/>
    <w:rsid w:val="001F3067"/>
    <w:rsid w:val="001F3347"/>
    <w:rsid w:val="001F69E4"/>
    <w:rsid w:val="002125B4"/>
    <w:rsid w:val="002155B8"/>
    <w:rsid w:val="002204B4"/>
    <w:rsid w:val="00224839"/>
    <w:rsid w:val="002249B2"/>
    <w:rsid w:val="00226574"/>
    <w:rsid w:val="002278EC"/>
    <w:rsid w:val="00232558"/>
    <w:rsid w:val="0023280E"/>
    <w:rsid w:val="002377D1"/>
    <w:rsid w:val="002407E5"/>
    <w:rsid w:val="002506BC"/>
    <w:rsid w:val="00254345"/>
    <w:rsid w:val="00264557"/>
    <w:rsid w:val="00266968"/>
    <w:rsid w:val="002805AB"/>
    <w:rsid w:val="00284204"/>
    <w:rsid w:val="00291773"/>
    <w:rsid w:val="002A168C"/>
    <w:rsid w:val="002A3DC7"/>
    <w:rsid w:val="002A6C3F"/>
    <w:rsid w:val="002B49E2"/>
    <w:rsid w:val="002B7B00"/>
    <w:rsid w:val="002B7C44"/>
    <w:rsid w:val="002C2B17"/>
    <w:rsid w:val="002C52D0"/>
    <w:rsid w:val="002D3DD0"/>
    <w:rsid w:val="002D3E16"/>
    <w:rsid w:val="002D7242"/>
    <w:rsid w:val="002E1F3A"/>
    <w:rsid w:val="002E298A"/>
    <w:rsid w:val="00301978"/>
    <w:rsid w:val="0030332C"/>
    <w:rsid w:val="003051C2"/>
    <w:rsid w:val="00312296"/>
    <w:rsid w:val="00314F0E"/>
    <w:rsid w:val="00321D8E"/>
    <w:rsid w:val="00325928"/>
    <w:rsid w:val="00332863"/>
    <w:rsid w:val="00335729"/>
    <w:rsid w:val="0033684D"/>
    <w:rsid w:val="00337B42"/>
    <w:rsid w:val="00341B42"/>
    <w:rsid w:val="0034348F"/>
    <w:rsid w:val="00346266"/>
    <w:rsid w:val="00350CEE"/>
    <w:rsid w:val="00356653"/>
    <w:rsid w:val="0035743F"/>
    <w:rsid w:val="00357BE2"/>
    <w:rsid w:val="0036170C"/>
    <w:rsid w:val="00366E0F"/>
    <w:rsid w:val="00367185"/>
    <w:rsid w:val="00381A72"/>
    <w:rsid w:val="00384676"/>
    <w:rsid w:val="00390857"/>
    <w:rsid w:val="003A0F74"/>
    <w:rsid w:val="003A4BF3"/>
    <w:rsid w:val="003A524B"/>
    <w:rsid w:val="003B420D"/>
    <w:rsid w:val="003C6C16"/>
    <w:rsid w:val="003D794D"/>
    <w:rsid w:val="003E05E6"/>
    <w:rsid w:val="003E3058"/>
    <w:rsid w:val="003E3DFD"/>
    <w:rsid w:val="003E76A9"/>
    <w:rsid w:val="003E7AAF"/>
    <w:rsid w:val="003F0809"/>
    <w:rsid w:val="003F6A8C"/>
    <w:rsid w:val="003F755C"/>
    <w:rsid w:val="00406F01"/>
    <w:rsid w:val="0041151C"/>
    <w:rsid w:val="00416D50"/>
    <w:rsid w:val="00416FD5"/>
    <w:rsid w:val="00417772"/>
    <w:rsid w:val="00420E6A"/>
    <w:rsid w:val="00425A9E"/>
    <w:rsid w:val="00426D6B"/>
    <w:rsid w:val="00431E6C"/>
    <w:rsid w:val="00433CE7"/>
    <w:rsid w:val="00433DBA"/>
    <w:rsid w:val="00447F08"/>
    <w:rsid w:val="00450083"/>
    <w:rsid w:val="00452738"/>
    <w:rsid w:val="00456091"/>
    <w:rsid w:val="00456C3A"/>
    <w:rsid w:val="00464039"/>
    <w:rsid w:val="00466321"/>
    <w:rsid w:val="00484B9B"/>
    <w:rsid w:val="004855F6"/>
    <w:rsid w:val="0048661E"/>
    <w:rsid w:val="00494670"/>
    <w:rsid w:val="004A3823"/>
    <w:rsid w:val="004E6946"/>
    <w:rsid w:val="004F1AD8"/>
    <w:rsid w:val="004F2231"/>
    <w:rsid w:val="004F4871"/>
    <w:rsid w:val="005039CB"/>
    <w:rsid w:val="0050558F"/>
    <w:rsid w:val="00506286"/>
    <w:rsid w:val="00510813"/>
    <w:rsid w:val="00511990"/>
    <w:rsid w:val="00511DE0"/>
    <w:rsid w:val="00514870"/>
    <w:rsid w:val="00514B9B"/>
    <w:rsid w:val="00517F02"/>
    <w:rsid w:val="00524303"/>
    <w:rsid w:val="005258A2"/>
    <w:rsid w:val="005401AE"/>
    <w:rsid w:val="00540CE1"/>
    <w:rsid w:val="00542E07"/>
    <w:rsid w:val="00545424"/>
    <w:rsid w:val="00554A7B"/>
    <w:rsid w:val="0055572C"/>
    <w:rsid w:val="00557DB5"/>
    <w:rsid w:val="0056106A"/>
    <w:rsid w:val="005720AE"/>
    <w:rsid w:val="00577A06"/>
    <w:rsid w:val="00594D77"/>
    <w:rsid w:val="005969E4"/>
    <w:rsid w:val="00596E86"/>
    <w:rsid w:val="005A06B7"/>
    <w:rsid w:val="005A1759"/>
    <w:rsid w:val="005A68A7"/>
    <w:rsid w:val="005D36AB"/>
    <w:rsid w:val="005F0565"/>
    <w:rsid w:val="00617CC3"/>
    <w:rsid w:val="00634558"/>
    <w:rsid w:val="006377A6"/>
    <w:rsid w:val="00637A3D"/>
    <w:rsid w:val="006411EF"/>
    <w:rsid w:val="00645991"/>
    <w:rsid w:val="00657205"/>
    <w:rsid w:val="006748B8"/>
    <w:rsid w:val="006775C3"/>
    <w:rsid w:val="0069290A"/>
    <w:rsid w:val="0069775A"/>
    <w:rsid w:val="00697813"/>
    <w:rsid w:val="006979DB"/>
    <w:rsid w:val="006A3EE8"/>
    <w:rsid w:val="006A72BF"/>
    <w:rsid w:val="006B03F2"/>
    <w:rsid w:val="006B37DC"/>
    <w:rsid w:val="006B4F68"/>
    <w:rsid w:val="006C0592"/>
    <w:rsid w:val="006C272E"/>
    <w:rsid w:val="006C5479"/>
    <w:rsid w:val="006D13B5"/>
    <w:rsid w:val="006E12FF"/>
    <w:rsid w:val="006E607E"/>
    <w:rsid w:val="00706C5D"/>
    <w:rsid w:val="00725778"/>
    <w:rsid w:val="00732922"/>
    <w:rsid w:val="0075162E"/>
    <w:rsid w:val="00753566"/>
    <w:rsid w:val="00754034"/>
    <w:rsid w:val="00756556"/>
    <w:rsid w:val="007618C4"/>
    <w:rsid w:val="00767980"/>
    <w:rsid w:val="00770B19"/>
    <w:rsid w:val="0077463F"/>
    <w:rsid w:val="00780D03"/>
    <w:rsid w:val="007836EA"/>
    <w:rsid w:val="00784CDA"/>
    <w:rsid w:val="007906C4"/>
    <w:rsid w:val="00792A9A"/>
    <w:rsid w:val="007940EA"/>
    <w:rsid w:val="007967E8"/>
    <w:rsid w:val="007A2170"/>
    <w:rsid w:val="007A22BF"/>
    <w:rsid w:val="007A3323"/>
    <w:rsid w:val="007B0E58"/>
    <w:rsid w:val="007B1DF1"/>
    <w:rsid w:val="007B72B8"/>
    <w:rsid w:val="007B7A58"/>
    <w:rsid w:val="007C06B2"/>
    <w:rsid w:val="007C21B5"/>
    <w:rsid w:val="007C48B1"/>
    <w:rsid w:val="007C5206"/>
    <w:rsid w:val="007C61DB"/>
    <w:rsid w:val="007E1A87"/>
    <w:rsid w:val="007E4BD2"/>
    <w:rsid w:val="00801393"/>
    <w:rsid w:val="00802F88"/>
    <w:rsid w:val="0081293E"/>
    <w:rsid w:val="00815465"/>
    <w:rsid w:val="00817E9A"/>
    <w:rsid w:val="008200FF"/>
    <w:rsid w:val="00825E07"/>
    <w:rsid w:val="008306BD"/>
    <w:rsid w:val="00831A80"/>
    <w:rsid w:val="00833743"/>
    <w:rsid w:val="008340A4"/>
    <w:rsid w:val="0083629A"/>
    <w:rsid w:val="00844D17"/>
    <w:rsid w:val="00855228"/>
    <w:rsid w:val="0086491F"/>
    <w:rsid w:val="0087135F"/>
    <w:rsid w:val="00872D94"/>
    <w:rsid w:val="00880364"/>
    <w:rsid w:val="00891592"/>
    <w:rsid w:val="00891E9E"/>
    <w:rsid w:val="008A2F68"/>
    <w:rsid w:val="008B4FA6"/>
    <w:rsid w:val="008B5282"/>
    <w:rsid w:val="008B562C"/>
    <w:rsid w:val="008B7C17"/>
    <w:rsid w:val="008C2D01"/>
    <w:rsid w:val="008C2E2F"/>
    <w:rsid w:val="008C40E6"/>
    <w:rsid w:val="008D0F7A"/>
    <w:rsid w:val="008D1931"/>
    <w:rsid w:val="008D68E4"/>
    <w:rsid w:val="008E0506"/>
    <w:rsid w:val="008E0CFF"/>
    <w:rsid w:val="008E5D6B"/>
    <w:rsid w:val="008E76F0"/>
    <w:rsid w:val="008F15FE"/>
    <w:rsid w:val="008F2D29"/>
    <w:rsid w:val="008F5187"/>
    <w:rsid w:val="008F60D8"/>
    <w:rsid w:val="00902727"/>
    <w:rsid w:val="0090312B"/>
    <w:rsid w:val="0091417F"/>
    <w:rsid w:val="0091736D"/>
    <w:rsid w:val="009222D2"/>
    <w:rsid w:val="0093037A"/>
    <w:rsid w:val="0094154D"/>
    <w:rsid w:val="0095155F"/>
    <w:rsid w:val="00954429"/>
    <w:rsid w:val="009563CE"/>
    <w:rsid w:val="00962D35"/>
    <w:rsid w:val="00965397"/>
    <w:rsid w:val="009665D4"/>
    <w:rsid w:val="00976328"/>
    <w:rsid w:val="0097680D"/>
    <w:rsid w:val="00982438"/>
    <w:rsid w:val="0098404C"/>
    <w:rsid w:val="00985283"/>
    <w:rsid w:val="00995992"/>
    <w:rsid w:val="009A03E5"/>
    <w:rsid w:val="009A0F3B"/>
    <w:rsid w:val="009A1BB4"/>
    <w:rsid w:val="009A2628"/>
    <w:rsid w:val="009A3200"/>
    <w:rsid w:val="009B0897"/>
    <w:rsid w:val="009B7BD9"/>
    <w:rsid w:val="009C4DDF"/>
    <w:rsid w:val="009C7DD5"/>
    <w:rsid w:val="009D181A"/>
    <w:rsid w:val="009D4C05"/>
    <w:rsid w:val="009E227D"/>
    <w:rsid w:val="009E5019"/>
    <w:rsid w:val="00A04F1B"/>
    <w:rsid w:val="00A0501B"/>
    <w:rsid w:val="00A14947"/>
    <w:rsid w:val="00A2377E"/>
    <w:rsid w:val="00A32A83"/>
    <w:rsid w:val="00A368DB"/>
    <w:rsid w:val="00A423AA"/>
    <w:rsid w:val="00A53EC6"/>
    <w:rsid w:val="00A55C0F"/>
    <w:rsid w:val="00A8713F"/>
    <w:rsid w:val="00A87F72"/>
    <w:rsid w:val="00A90BA1"/>
    <w:rsid w:val="00A90F78"/>
    <w:rsid w:val="00A97A9A"/>
    <w:rsid w:val="00AA0671"/>
    <w:rsid w:val="00AA2531"/>
    <w:rsid w:val="00AB1E09"/>
    <w:rsid w:val="00AB5330"/>
    <w:rsid w:val="00AB7747"/>
    <w:rsid w:val="00AC14CE"/>
    <w:rsid w:val="00AC2A56"/>
    <w:rsid w:val="00AD055E"/>
    <w:rsid w:val="00AD47A7"/>
    <w:rsid w:val="00AD4E2A"/>
    <w:rsid w:val="00AF0CBF"/>
    <w:rsid w:val="00AF257F"/>
    <w:rsid w:val="00AF33CF"/>
    <w:rsid w:val="00AF4D50"/>
    <w:rsid w:val="00AF6179"/>
    <w:rsid w:val="00B03028"/>
    <w:rsid w:val="00B1295A"/>
    <w:rsid w:val="00B20A45"/>
    <w:rsid w:val="00B22C5C"/>
    <w:rsid w:val="00B24F30"/>
    <w:rsid w:val="00B257F9"/>
    <w:rsid w:val="00B274D9"/>
    <w:rsid w:val="00B31ABF"/>
    <w:rsid w:val="00B33BE3"/>
    <w:rsid w:val="00B402BD"/>
    <w:rsid w:val="00B53B5D"/>
    <w:rsid w:val="00B6055E"/>
    <w:rsid w:val="00B6242A"/>
    <w:rsid w:val="00B6317D"/>
    <w:rsid w:val="00B67950"/>
    <w:rsid w:val="00B7723F"/>
    <w:rsid w:val="00B80534"/>
    <w:rsid w:val="00B834BB"/>
    <w:rsid w:val="00B8433C"/>
    <w:rsid w:val="00B87491"/>
    <w:rsid w:val="00B879F2"/>
    <w:rsid w:val="00BA29E9"/>
    <w:rsid w:val="00BA699E"/>
    <w:rsid w:val="00BA7142"/>
    <w:rsid w:val="00BB237C"/>
    <w:rsid w:val="00BB41A3"/>
    <w:rsid w:val="00BC32DC"/>
    <w:rsid w:val="00BC35B6"/>
    <w:rsid w:val="00BD1B51"/>
    <w:rsid w:val="00BD4596"/>
    <w:rsid w:val="00BE1405"/>
    <w:rsid w:val="00BE312D"/>
    <w:rsid w:val="00BF1C20"/>
    <w:rsid w:val="00C10578"/>
    <w:rsid w:val="00C135BC"/>
    <w:rsid w:val="00C15C95"/>
    <w:rsid w:val="00C21B3E"/>
    <w:rsid w:val="00C2302A"/>
    <w:rsid w:val="00C2596A"/>
    <w:rsid w:val="00C27537"/>
    <w:rsid w:val="00C328FE"/>
    <w:rsid w:val="00C33507"/>
    <w:rsid w:val="00C42C74"/>
    <w:rsid w:val="00C4409D"/>
    <w:rsid w:val="00C44E72"/>
    <w:rsid w:val="00C45A06"/>
    <w:rsid w:val="00C47E5B"/>
    <w:rsid w:val="00C56603"/>
    <w:rsid w:val="00C61E4B"/>
    <w:rsid w:val="00C64BFF"/>
    <w:rsid w:val="00C704E9"/>
    <w:rsid w:val="00C763C9"/>
    <w:rsid w:val="00C80057"/>
    <w:rsid w:val="00C82232"/>
    <w:rsid w:val="00C82913"/>
    <w:rsid w:val="00C972B1"/>
    <w:rsid w:val="00CA2CCE"/>
    <w:rsid w:val="00CA43FD"/>
    <w:rsid w:val="00CA4743"/>
    <w:rsid w:val="00CA7EF8"/>
    <w:rsid w:val="00CC02E0"/>
    <w:rsid w:val="00CC1D60"/>
    <w:rsid w:val="00CC489B"/>
    <w:rsid w:val="00CD2BCD"/>
    <w:rsid w:val="00CD3A4C"/>
    <w:rsid w:val="00CE10E9"/>
    <w:rsid w:val="00CE2910"/>
    <w:rsid w:val="00CE5393"/>
    <w:rsid w:val="00CF36BE"/>
    <w:rsid w:val="00CF6000"/>
    <w:rsid w:val="00D003F3"/>
    <w:rsid w:val="00D0364F"/>
    <w:rsid w:val="00D04187"/>
    <w:rsid w:val="00D06834"/>
    <w:rsid w:val="00D308ED"/>
    <w:rsid w:val="00D36D86"/>
    <w:rsid w:val="00D4077F"/>
    <w:rsid w:val="00D428AA"/>
    <w:rsid w:val="00D44052"/>
    <w:rsid w:val="00D451C9"/>
    <w:rsid w:val="00D50A34"/>
    <w:rsid w:val="00D53EFA"/>
    <w:rsid w:val="00D8730B"/>
    <w:rsid w:val="00D94A7C"/>
    <w:rsid w:val="00D95896"/>
    <w:rsid w:val="00DA371B"/>
    <w:rsid w:val="00DB2983"/>
    <w:rsid w:val="00DB3453"/>
    <w:rsid w:val="00DC1257"/>
    <w:rsid w:val="00DC3DC0"/>
    <w:rsid w:val="00DC4E91"/>
    <w:rsid w:val="00DC5B2B"/>
    <w:rsid w:val="00DD318D"/>
    <w:rsid w:val="00DF2E12"/>
    <w:rsid w:val="00DF34AF"/>
    <w:rsid w:val="00DF514A"/>
    <w:rsid w:val="00DF6690"/>
    <w:rsid w:val="00DF6804"/>
    <w:rsid w:val="00E0358D"/>
    <w:rsid w:val="00E04323"/>
    <w:rsid w:val="00E070A2"/>
    <w:rsid w:val="00E2656A"/>
    <w:rsid w:val="00E412D0"/>
    <w:rsid w:val="00E56322"/>
    <w:rsid w:val="00E60982"/>
    <w:rsid w:val="00E62C62"/>
    <w:rsid w:val="00E638F8"/>
    <w:rsid w:val="00E654C1"/>
    <w:rsid w:val="00E65D97"/>
    <w:rsid w:val="00E72A5A"/>
    <w:rsid w:val="00E73354"/>
    <w:rsid w:val="00E8100F"/>
    <w:rsid w:val="00E9242D"/>
    <w:rsid w:val="00EB5255"/>
    <w:rsid w:val="00EB5C47"/>
    <w:rsid w:val="00ED0639"/>
    <w:rsid w:val="00EF4755"/>
    <w:rsid w:val="00EF7135"/>
    <w:rsid w:val="00F027DB"/>
    <w:rsid w:val="00F14A7A"/>
    <w:rsid w:val="00F22985"/>
    <w:rsid w:val="00F3086A"/>
    <w:rsid w:val="00F3313B"/>
    <w:rsid w:val="00F3383E"/>
    <w:rsid w:val="00F44DC8"/>
    <w:rsid w:val="00F465A7"/>
    <w:rsid w:val="00F47EFC"/>
    <w:rsid w:val="00F50B7C"/>
    <w:rsid w:val="00F54388"/>
    <w:rsid w:val="00F550E6"/>
    <w:rsid w:val="00F65CBF"/>
    <w:rsid w:val="00F74345"/>
    <w:rsid w:val="00F80A0A"/>
    <w:rsid w:val="00F82B19"/>
    <w:rsid w:val="00F876F6"/>
    <w:rsid w:val="00F9212D"/>
    <w:rsid w:val="00F965DA"/>
    <w:rsid w:val="00FA3D74"/>
    <w:rsid w:val="00FA406A"/>
    <w:rsid w:val="00FB503A"/>
    <w:rsid w:val="00FB516C"/>
    <w:rsid w:val="00FD0236"/>
    <w:rsid w:val="00FD18F4"/>
    <w:rsid w:val="00FD24FC"/>
    <w:rsid w:val="00FD54DB"/>
    <w:rsid w:val="00FD619F"/>
    <w:rsid w:val="01290F7E"/>
    <w:rsid w:val="014C1394"/>
    <w:rsid w:val="015D1E09"/>
    <w:rsid w:val="01A828F1"/>
    <w:rsid w:val="01AB5D1E"/>
    <w:rsid w:val="01B219D7"/>
    <w:rsid w:val="01BA797B"/>
    <w:rsid w:val="01BF36EE"/>
    <w:rsid w:val="01C75E8D"/>
    <w:rsid w:val="020342B3"/>
    <w:rsid w:val="020A0285"/>
    <w:rsid w:val="02211B00"/>
    <w:rsid w:val="02567614"/>
    <w:rsid w:val="0268276F"/>
    <w:rsid w:val="02697903"/>
    <w:rsid w:val="026B291B"/>
    <w:rsid w:val="02882E93"/>
    <w:rsid w:val="02CF55F0"/>
    <w:rsid w:val="02D3218F"/>
    <w:rsid w:val="02F96569"/>
    <w:rsid w:val="02FAEE31"/>
    <w:rsid w:val="03171C0A"/>
    <w:rsid w:val="034611C2"/>
    <w:rsid w:val="03938A6A"/>
    <w:rsid w:val="03994A5F"/>
    <w:rsid w:val="03D64BCC"/>
    <w:rsid w:val="03EA7B21"/>
    <w:rsid w:val="03F330CB"/>
    <w:rsid w:val="048975F2"/>
    <w:rsid w:val="050063D0"/>
    <w:rsid w:val="051A6F1A"/>
    <w:rsid w:val="05B841C5"/>
    <w:rsid w:val="05F70A7B"/>
    <w:rsid w:val="05F83EAE"/>
    <w:rsid w:val="0626A063"/>
    <w:rsid w:val="063E7D85"/>
    <w:rsid w:val="066DE6C6"/>
    <w:rsid w:val="068BD00C"/>
    <w:rsid w:val="069A62EF"/>
    <w:rsid w:val="06D41F76"/>
    <w:rsid w:val="06F07AD5"/>
    <w:rsid w:val="070C3536"/>
    <w:rsid w:val="07293586"/>
    <w:rsid w:val="07295285"/>
    <w:rsid w:val="074C0720"/>
    <w:rsid w:val="075E4156"/>
    <w:rsid w:val="07636392"/>
    <w:rsid w:val="07770C56"/>
    <w:rsid w:val="07820277"/>
    <w:rsid w:val="07864209"/>
    <w:rsid w:val="08494A41"/>
    <w:rsid w:val="08EB8B04"/>
    <w:rsid w:val="092217DD"/>
    <w:rsid w:val="09309007"/>
    <w:rsid w:val="093A7294"/>
    <w:rsid w:val="09CC13FE"/>
    <w:rsid w:val="09CD3881"/>
    <w:rsid w:val="0A032D42"/>
    <w:rsid w:val="0A14E84F"/>
    <w:rsid w:val="0A263993"/>
    <w:rsid w:val="0A2D3AC2"/>
    <w:rsid w:val="0A2F6380"/>
    <w:rsid w:val="0A6E2EAD"/>
    <w:rsid w:val="0AA755DF"/>
    <w:rsid w:val="0B120D44"/>
    <w:rsid w:val="0B5931F2"/>
    <w:rsid w:val="0B8F0105"/>
    <w:rsid w:val="0B9C06D5"/>
    <w:rsid w:val="0BD27BF6"/>
    <w:rsid w:val="0C00089D"/>
    <w:rsid w:val="0C1B3AA8"/>
    <w:rsid w:val="0C34278D"/>
    <w:rsid w:val="0C3B3C7D"/>
    <w:rsid w:val="0C3F0918"/>
    <w:rsid w:val="0C491B5C"/>
    <w:rsid w:val="0C8148A4"/>
    <w:rsid w:val="0C81ADFB"/>
    <w:rsid w:val="0C8A6AA3"/>
    <w:rsid w:val="0CAB2EAE"/>
    <w:rsid w:val="0CBF2089"/>
    <w:rsid w:val="0CC00280"/>
    <w:rsid w:val="0CC979D9"/>
    <w:rsid w:val="0D4D0A3C"/>
    <w:rsid w:val="0D621C7D"/>
    <w:rsid w:val="0E146861"/>
    <w:rsid w:val="0E2F34D5"/>
    <w:rsid w:val="0E403BDD"/>
    <w:rsid w:val="0E602D00"/>
    <w:rsid w:val="0E6E7F7F"/>
    <w:rsid w:val="0E6F52E1"/>
    <w:rsid w:val="0E73034D"/>
    <w:rsid w:val="0E944CA9"/>
    <w:rsid w:val="0E9F42F5"/>
    <w:rsid w:val="0EF82B85"/>
    <w:rsid w:val="0EFEAAF8"/>
    <w:rsid w:val="0F13775A"/>
    <w:rsid w:val="0F193000"/>
    <w:rsid w:val="0F5F45FE"/>
    <w:rsid w:val="0F737429"/>
    <w:rsid w:val="0F9A112B"/>
    <w:rsid w:val="0F9C0CCC"/>
    <w:rsid w:val="0FC656AD"/>
    <w:rsid w:val="0FDC55EF"/>
    <w:rsid w:val="1038043C"/>
    <w:rsid w:val="106D2F64"/>
    <w:rsid w:val="10702130"/>
    <w:rsid w:val="1088F197"/>
    <w:rsid w:val="10A53B10"/>
    <w:rsid w:val="10B63710"/>
    <w:rsid w:val="10CB92E0"/>
    <w:rsid w:val="10D219BD"/>
    <w:rsid w:val="10F10820"/>
    <w:rsid w:val="111C2F7A"/>
    <w:rsid w:val="11245B1D"/>
    <w:rsid w:val="112C0BCF"/>
    <w:rsid w:val="11665CA1"/>
    <w:rsid w:val="11844999"/>
    <w:rsid w:val="12106795"/>
    <w:rsid w:val="12327784"/>
    <w:rsid w:val="128E689D"/>
    <w:rsid w:val="13462423"/>
    <w:rsid w:val="13691F11"/>
    <w:rsid w:val="137404E6"/>
    <w:rsid w:val="13951726"/>
    <w:rsid w:val="1403288C"/>
    <w:rsid w:val="140523F9"/>
    <w:rsid w:val="14396509"/>
    <w:rsid w:val="14780503"/>
    <w:rsid w:val="148360FF"/>
    <w:rsid w:val="14BE1C15"/>
    <w:rsid w:val="14CF70DC"/>
    <w:rsid w:val="14DD2C3C"/>
    <w:rsid w:val="14F9367F"/>
    <w:rsid w:val="159F5EE8"/>
    <w:rsid w:val="16087E1D"/>
    <w:rsid w:val="16451A82"/>
    <w:rsid w:val="16B220F4"/>
    <w:rsid w:val="16CC0575"/>
    <w:rsid w:val="1734080B"/>
    <w:rsid w:val="17701D14"/>
    <w:rsid w:val="17735226"/>
    <w:rsid w:val="17A8428D"/>
    <w:rsid w:val="1801F507"/>
    <w:rsid w:val="184B0FFA"/>
    <w:rsid w:val="18734CB6"/>
    <w:rsid w:val="18847C92"/>
    <w:rsid w:val="189F624C"/>
    <w:rsid w:val="19124243"/>
    <w:rsid w:val="19446C28"/>
    <w:rsid w:val="198D2BEF"/>
    <w:rsid w:val="1A1C66C0"/>
    <w:rsid w:val="1A226249"/>
    <w:rsid w:val="1A42393B"/>
    <w:rsid w:val="1A8B64E4"/>
    <w:rsid w:val="1AAD45DE"/>
    <w:rsid w:val="1AE41F30"/>
    <w:rsid w:val="1AEC5052"/>
    <w:rsid w:val="1B046F80"/>
    <w:rsid w:val="1B17119F"/>
    <w:rsid w:val="1B3267B5"/>
    <w:rsid w:val="1B396AB7"/>
    <w:rsid w:val="1B40161D"/>
    <w:rsid w:val="1B441859"/>
    <w:rsid w:val="1B6606B1"/>
    <w:rsid w:val="1B671CCD"/>
    <w:rsid w:val="1B903EF3"/>
    <w:rsid w:val="1B99454C"/>
    <w:rsid w:val="1C134D5C"/>
    <w:rsid w:val="1C5E7925"/>
    <w:rsid w:val="1CAC0D33"/>
    <w:rsid w:val="1CFD070F"/>
    <w:rsid w:val="1D4F1C49"/>
    <w:rsid w:val="1D5F6196"/>
    <w:rsid w:val="1D6132A5"/>
    <w:rsid w:val="1D7125E9"/>
    <w:rsid w:val="1D7E67A7"/>
    <w:rsid w:val="1D7F645A"/>
    <w:rsid w:val="1D8E56D5"/>
    <w:rsid w:val="1DAF370A"/>
    <w:rsid w:val="1DB94801"/>
    <w:rsid w:val="1E1A5D2C"/>
    <w:rsid w:val="1E592455"/>
    <w:rsid w:val="1E6B75F4"/>
    <w:rsid w:val="1E7A43DA"/>
    <w:rsid w:val="1F39030C"/>
    <w:rsid w:val="1F3DF2A6"/>
    <w:rsid w:val="1F600128"/>
    <w:rsid w:val="1F791CB1"/>
    <w:rsid w:val="1FAA48A3"/>
    <w:rsid w:val="1FE7539E"/>
    <w:rsid w:val="1FF50B39"/>
    <w:rsid w:val="200F54C2"/>
    <w:rsid w:val="2056318F"/>
    <w:rsid w:val="205F324F"/>
    <w:rsid w:val="20671BE0"/>
    <w:rsid w:val="20963CB8"/>
    <w:rsid w:val="20A81A1B"/>
    <w:rsid w:val="20B07FB6"/>
    <w:rsid w:val="20B646FB"/>
    <w:rsid w:val="21041118"/>
    <w:rsid w:val="213B74B1"/>
    <w:rsid w:val="213E6B61"/>
    <w:rsid w:val="215975D7"/>
    <w:rsid w:val="215A2310"/>
    <w:rsid w:val="217E7B40"/>
    <w:rsid w:val="21DE318A"/>
    <w:rsid w:val="21EF5B80"/>
    <w:rsid w:val="22124AF5"/>
    <w:rsid w:val="22576990"/>
    <w:rsid w:val="22F47480"/>
    <w:rsid w:val="2344619B"/>
    <w:rsid w:val="23537E6F"/>
    <w:rsid w:val="23DE1C48"/>
    <w:rsid w:val="23F73023"/>
    <w:rsid w:val="240210CD"/>
    <w:rsid w:val="247D2D23"/>
    <w:rsid w:val="24820B94"/>
    <w:rsid w:val="249249A6"/>
    <w:rsid w:val="24BF09F7"/>
    <w:rsid w:val="24C04FDC"/>
    <w:rsid w:val="24C81F3D"/>
    <w:rsid w:val="251EC83B"/>
    <w:rsid w:val="25282ECC"/>
    <w:rsid w:val="252D53FE"/>
    <w:rsid w:val="259F4E64"/>
    <w:rsid w:val="25EC2D81"/>
    <w:rsid w:val="25EF548B"/>
    <w:rsid w:val="25F94F43"/>
    <w:rsid w:val="265E2CFF"/>
    <w:rsid w:val="26761838"/>
    <w:rsid w:val="26FB7B7F"/>
    <w:rsid w:val="2701548B"/>
    <w:rsid w:val="27643385"/>
    <w:rsid w:val="277057A2"/>
    <w:rsid w:val="27800101"/>
    <w:rsid w:val="27B60C96"/>
    <w:rsid w:val="27E823ED"/>
    <w:rsid w:val="281E141E"/>
    <w:rsid w:val="283B1D67"/>
    <w:rsid w:val="28457CB8"/>
    <w:rsid w:val="28A54C27"/>
    <w:rsid w:val="28C75F0C"/>
    <w:rsid w:val="28CC49E1"/>
    <w:rsid w:val="29206EB8"/>
    <w:rsid w:val="29247F7A"/>
    <w:rsid w:val="292678BE"/>
    <w:rsid w:val="293D4E4D"/>
    <w:rsid w:val="29595666"/>
    <w:rsid w:val="297B325E"/>
    <w:rsid w:val="29874881"/>
    <w:rsid w:val="298B574A"/>
    <w:rsid w:val="299A6F74"/>
    <w:rsid w:val="29BE278F"/>
    <w:rsid w:val="29C3766D"/>
    <w:rsid w:val="29E3242D"/>
    <w:rsid w:val="29E325E0"/>
    <w:rsid w:val="2A211DB5"/>
    <w:rsid w:val="2A452503"/>
    <w:rsid w:val="2A526C9D"/>
    <w:rsid w:val="2AB71ADF"/>
    <w:rsid w:val="2B34321A"/>
    <w:rsid w:val="2B4435F3"/>
    <w:rsid w:val="2B5F1E17"/>
    <w:rsid w:val="2B9C0F2E"/>
    <w:rsid w:val="2BA936A8"/>
    <w:rsid w:val="2BC862A0"/>
    <w:rsid w:val="2BD332AA"/>
    <w:rsid w:val="2BDB39B0"/>
    <w:rsid w:val="2BFC715F"/>
    <w:rsid w:val="2C315A5A"/>
    <w:rsid w:val="2C3BB451"/>
    <w:rsid w:val="2C4B1C25"/>
    <w:rsid w:val="2C7941C3"/>
    <w:rsid w:val="2CDC497D"/>
    <w:rsid w:val="2CE07DA4"/>
    <w:rsid w:val="2D0B7E51"/>
    <w:rsid w:val="2D6946F4"/>
    <w:rsid w:val="2D755A73"/>
    <w:rsid w:val="2D847AE0"/>
    <w:rsid w:val="2D86D07F"/>
    <w:rsid w:val="2D976CED"/>
    <w:rsid w:val="2D9E56F5"/>
    <w:rsid w:val="2DB12213"/>
    <w:rsid w:val="2E383A59"/>
    <w:rsid w:val="2E667F96"/>
    <w:rsid w:val="2E6C3DC5"/>
    <w:rsid w:val="2E8226AB"/>
    <w:rsid w:val="2EB7680A"/>
    <w:rsid w:val="2EE900A0"/>
    <w:rsid w:val="2F7C6A46"/>
    <w:rsid w:val="2F8C198F"/>
    <w:rsid w:val="2F903A14"/>
    <w:rsid w:val="2FAD1ADD"/>
    <w:rsid w:val="2FD065E6"/>
    <w:rsid w:val="2FD1E47A"/>
    <w:rsid w:val="2FD96870"/>
    <w:rsid w:val="303C23A0"/>
    <w:rsid w:val="303E1ABE"/>
    <w:rsid w:val="3046471C"/>
    <w:rsid w:val="30511218"/>
    <w:rsid w:val="30580BC9"/>
    <w:rsid w:val="308B94FD"/>
    <w:rsid w:val="30F9087C"/>
    <w:rsid w:val="311E2ED7"/>
    <w:rsid w:val="315619EE"/>
    <w:rsid w:val="315C449C"/>
    <w:rsid w:val="319B4E07"/>
    <w:rsid w:val="31B82709"/>
    <w:rsid w:val="31D05482"/>
    <w:rsid w:val="32400B34"/>
    <w:rsid w:val="32713DBA"/>
    <w:rsid w:val="329C08D6"/>
    <w:rsid w:val="329E6876"/>
    <w:rsid w:val="32CB554B"/>
    <w:rsid w:val="333015F2"/>
    <w:rsid w:val="334A437E"/>
    <w:rsid w:val="334B6320"/>
    <w:rsid w:val="33927DE1"/>
    <w:rsid w:val="33A2BA34"/>
    <w:rsid w:val="33D934D4"/>
    <w:rsid w:val="33FE2F6A"/>
    <w:rsid w:val="340E07E5"/>
    <w:rsid w:val="34235BF7"/>
    <w:rsid w:val="345772F8"/>
    <w:rsid w:val="358C5FA8"/>
    <w:rsid w:val="35C15DF1"/>
    <w:rsid w:val="36074A7F"/>
    <w:rsid w:val="364E4768"/>
    <w:rsid w:val="366627E2"/>
    <w:rsid w:val="36923549"/>
    <w:rsid w:val="36B75FBF"/>
    <w:rsid w:val="36BD0C45"/>
    <w:rsid w:val="3718D4D6"/>
    <w:rsid w:val="371A493C"/>
    <w:rsid w:val="375B266B"/>
    <w:rsid w:val="378AC5F2"/>
    <w:rsid w:val="37D20632"/>
    <w:rsid w:val="37E00298"/>
    <w:rsid w:val="38683C98"/>
    <w:rsid w:val="388365F5"/>
    <w:rsid w:val="38A5381D"/>
    <w:rsid w:val="38B302F9"/>
    <w:rsid w:val="38C01FF9"/>
    <w:rsid w:val="38F12CD3"/>
    <w:rsid w:val="38F94775"/>
    <w:rsid w:val="39146499"/>
    <w:rsid w:val="392267E1"/>
    <w:rsid w:val="39265C0F"/>
    <w:rsid w:val="392971ED"/>
    <w:rsid w:val="39325651"/>
    <w:rsid w:val="3955374B"/>
    <w:rsid w:val="39F20C9E"/>
    <w:rsid w:val="3A55341B"/>
    <w:rsid w:val="3A7D6004"/>
    <w:rsid w:val="3A872856"/>
    <w:rsid w:val="3A8B5E7E"/>
    <w:rsid w:val="3AAF22A4"/>
    <w:rsid w:val="3AB5592C"/>
    <w:rsid w:val="3AF84F23"/>
    <w:rsid w:val="3AFF6CDD"/>
    <w:rsid w:val="3B33E222"/>
    <w:rsid w:val="3B3763D1"/>
    <w:rsid w:val="3B6742E9"/>
    <w:rsid w:val="3B794A25"/>
    <w:rsid w:val="3B95269E"/>
    <w:rsid w:val="3C2F6E1E"/>
    <w:rsid w:val="3C4F64BA"/>
    <w:rsid w:val="3C737F19"/>
    <w:rsid w:val="3C961B9F"/>
    <w:rsid w:val="3CB6574F"/>
    <w:rsid w:val="3CC82E9A"/>
    <w:rsid w:val="3CC90CE8"/>
    <w:rsid w:val="3CDA245A"/>
    <w:rsid w:val="3CF45C14"/>
    <w:rsid w:val="3D0624B6"/>
    <w:rsid w:val="3D1E06B7"/>
    <w:rsid w:val="3D5278D7"/>
    <w:rsid w:val="3D727D16"/>
    <w:rsid w:val="3DA037A5"/>
    <w:rsid w:val="3DAB9D4C"/>
    <w:rsid w:val="3DEB734C"/>
    <w:rsid w:val="3DFBB0AC"/>
    <w:rsid w:val="3E315ABC"/>
    <w:rsid w:val="3E6155B3"/>
    <w:rsid w:val="3E6F12DD"/>
    <w:rsid w:val="3EDA0523"/>
    <w:rsid w:val="3F05111A"/>
    <w:rsid w:val="3F5B25CD"/>
    <w:rsid w:val="3FED57F5"/>
    <w:rsid w:val="3FF62008"/>
    <w:rsid w:val="407A6407"/>
    <w:rsid w:val="40905C02"/>
    <w:rsid w:val="40BB1C91"/>
    <w:rsid w:val="40C05891"/>
    <w:rsid w:val="40CEB93C"/>
    <w:rsid w:val="411B5482"/>
    <w:rsid w:val="411D4A6C"/>
    <w:rsid w:val="416F9ABB"/>
    <w:rsid w:val="41CE787B"/>
    <w:rsid w:val="4200449D"/>
    <w:rsid w:val="423A3BCC"/>
    <w:rsid w:val="424E57D2"/>
    <w:rsid w:val="428C3414"/>
    <w:rsid w:val="42B26C49"/>
    <w:rsid w:val="433A6FE6"/>
    <w:rsid w:val="433E2FE0"/>
    <w:rsid w:val="43480868"/>
    <w:rsid w:val="4350713C"/>
    <w:rsid w:val="436653E0"/>
    <w:rsid w:val="43A2ECBF"/>
    <w:rsid w:val="43B96734"/>
    <w:rsid w:val="43C4431A"/>
    <w:rsid w:val="43C46A81"/>
    <w:rsid w:val="43F71045"/>
    <w:rsid w:val="444F2DC4"/>
    <w:rsid w:val="447467E3"/>
    <w:rsid w:val="447F4663"/>
    <w:rsid w:val="44B951CC"/>
    <w:rsid w:val="44CD14E0"/>
    <w:rsid w:val="44F20B0B"/>
    <w:rsid w:val="452A04D6"/>
    <w:rsid w:val="452E5F4C"/>
    <w:rsid w:val="454C3545"/>
    <w:rsid w:val="45567989"/>
    <w:rsid w:val="45612018"/>
    <w:rsid w:val="458946E9"/>
    <w:rsid w:val="4591550C"/>
    <w:rsid w:val="45A47C0E"/>
    <w:rsid w:val="45B194B7"/>
    <w:rsid w:val="45C06B08"/>
    <w:rsid w:val="45DC6A5F"/>
    <w:rsid w:val="461301C0"/>
    <w:rsid w:val="46577FD6"/>
    <w:rsid w:val="465E293F"/>
    <w:rsid w:val="467E1509"/>
    <w:rsid w:val="46D318AF"/>
    <w:rsid w:val="46D955A7"/>
    <w:rsid w:val="46D96D6B"/>
    <w:rsid w:val="47133957"/>
    <w:rsid w:val="47420F43"/>
    <w:rsid w:val="47A07E0C"/>
    <w:rsid w:val="47AC03C3"/>
    <w:rsid w:val="47B2035D"/>
    <w:rsid w:val="47D4503A"/>
    <w:rsid w:val="48010DF2"/>
    <w:rsid w:val="484C6C69"/>
    <w:rsid w:val="4870272E"/>
    <w:rsid w:val="48867A6C"/>
    <w:rsid w:val="48946145"/>
    <w:rsid w:val="49A806D2"/>
    <w:rsid w:val="49DC7715"/>
    <w:rsid w:val="49FB0D9D"/>
    <w:rsid w:val="4A023139"/>
    <w:rsid w:val="4A167C39"/>
    <w:rsid w:val="4A1D4120"/>
    <w:rsid w:val="4A7B576F"/>
    <w:rsid w:val="4AB20744"/>
    <w:rsid w:val="4ACC7C9A"/>
    <w:rsid w:val="4AF561A9"/>
    <w:rsid w:val="4B032339"/>
    <w:rsid w:val="4B2A1898"/>
    <w:rsid w:val="4BC76C5D"/>
    <w:rsid w:val="4BFD4F9E"/>
    <w:rsid w:val="4C397865"/>
    <w:rsid w:val="4C3B710F"/>
    <w:rsid w:val="4C4A0649"/>
    <w:rsid w:val="4C526940"/>
    <w:rsid w:val="4C730CD7"/>
    <w:rsid w:val="4C75B58E"/>
    <w:rsid w:val="4C7E5ECA"/>
    <w:rsid w:val="4C876AA5"/>
    <w:rsid w:val="4CA326F6"/>
    <w:rsid w:val="4CC836C2"/>
    <w:rsid w:val="4D0E00FB"/>
    <w:rsid w:val="4D176606"/>
    <w:rsid w:val="4DEC4FB0"/>
    <w:rsid w:val="4DF54D5C"/>
    <w:rsid w:val="4DF7531E"/>
    <w:rsid w:val="4E075D8A"/>
    <w:rsid w:val="4E11692A"/>
    <w:rsid w:val="4EC00FAD"/>
    <w:rsid w:val="4F0A6CD0"/>
    <w:rsid w:val="4F0C618C"/>
    <w:rsid w:val="4F886F2A"/>
    <w:rsid w:val="4F905428"/>
    <w:rsid w:val="4F9843DC"/>
    <w:rsid w:val="4FC62A8C"/>
    <w:rsid w:val="4FE20F0D"/>
    <w:rsid w:val="4FE51552"/>
    <w:rsid w:val="503A6F2D"/>
    <w:rsid w:val="50504C4B"/>
    <w:rsid w:val="509C6E7C"/>
    <w:rsid w:val="50A44C09"/>
    <w:rsid w:val="50AFA05F"/>
    <w:rsid w:val="50B9752A"/>
    <w:rsid w:val="51050DAF"/>
    <w:rsid w:val="5162104E"/>
    <w:rsid w:val="518733C8"/>
    <w:rsid w:val="518C20F0"/>
    <w:rsid w:val="51BE7DA9"/>
    <w:rsid w:val="51D54EA5"/>
    <w:rsid w:val="51D91EDF"/>
    <w:rsid w:val="52170C3C"/>
    <w:rsid w:val="52195570"/>
    <w:rsid w:val="526C7D7D"/>
    <w:rsid w:val="52CF44B9"/>
    <w:rsid w:val="52DB5A61"/>
    <w:rsid w:val="52ECDE1D"/>
    <w:rsid w:val="52F5574E"/>
    <w:rsid w:val="532BE711"/>
    <w:rsid w:val="53901E9A"/>
    <w:rsid w:val="53955D02"/>
    <w:rsid w:val="53A039CC"/>
    <w:rsid w:val="53A1505A"/>
    <w:rsid w:val="53CB7D68"/>
    <w:rsid w:val="53CD37FA"/>
    <w:rsid w:val="53D87412"/>
    <w:rsid w:val="5400352D"/>
    <w:rsid w:val="54063E08"/>
    <w:rsid w:val="54240085"/>
    <w:rsid w:val="543437E8"/>
    <w:rsid w:val="547E5B51"/>
    <w:rsid w:val="54A5642D"/>
    <w:rsid w:val="54B53556"/>
    <w:rsid w:val="54CE5E18"/>
    <w:rsid w:val="54F73313"/>
    <w:rsid w:val="54F80955"/>
    <w:rsid w:val="54FF551F"/>
    <w:rsid w:val="554A3617"/>
    <w:rsid w:val="555170A7"/>
    <w:rsid w:val="55587852"/>
    <w:rsid w:val="5587536D"/>
    <w:rsid w:val="559B174B"/>
    <w:rsid w:val="55CE0CF4"/>
    <w:rsid w:val="55E51001"/>
    <w:rsid w:val="56300EF1"/>
    <w:rsid w:val="5643045F"/>
    <w:rsid w:val="568E7272"/>
    <w:rsid w:val="56B22A9C"/>
    <w:rsid w:val="56B97C05"/>
    <w:rsid w:val="5710EB3F"/>
    <w:rsid w:val="572ED7B2"/>
    <w:rsid w:val="573C642E"/>
    <w:rsid w:val="578C1678"/>
    <w:rsid w:val="57B72A76"/>
    <w:rsid w:val="57C3426C"/>
    <w:rsid w:val="57CE1F93"/>
    <w:rsid w:val="57F187A5"/>
    <w:rsid w:val="58165250"/>
    <w:rsid w:val="588743D1"/>
    <w:rsid w:val="5887701A"/>
    <w:rsid w:val="589D0BB5"/>
    <w:rsid w:val="58EE4EB9"/>
    <w:rsid w:val="58FF02A8"/>
    <w:rsid w:val="59280192"/>
    <w:rsid w:val="59330D43"/>
    <w:rsid w:val="59480B21"/>
    <w:rsid w:val="59481B62"/>
    <w:rsid w:val="59C0439F"/>
    <w:rsid w:val="59C41D2E"/>
    <w:rsid w:val="5A284830"/>
    <w:rsid w:val="5A5A2E88"/>
    <w:rsid w:val="5A9C1FCA"/>
    <w:rsid w:val="5ABE2233"/>
    <w:rsid w:val="5AD00DCE"/>
    <w:rsid w:val="5AE91B94"/>
    <w:rsid w:val="5B5D2B58"/>
    <w:rsid w:val="5B75149B"/>
    <w:rsid w:val="5BBD7E0F"/>
    <w:rsid w:val="5BDF5D95"/>
    <w:rsid w:val="5BF306E0"/>
    <w:rsid w:val="5BFE7528"/>
    <w:rsid w:val="5C32E7ED"/>
    <w:rsid w:val="5C9F6CAA"/>
    <w:rsid w:val="5D0B3A01"/>
    <w:rsid w:val="5D781D1A"/>
    <w:rsid w:val="5D99C192"/>
    <w:rsid w:val="5DD024A2"/>
    <w:rsid w:val="5DD616AD"/>
    <w:rsid w:val="5DEA39E3"/>
    <w:rsid w:val="5DFB4CE6"/>
    <w:rsid w:val="5E1B4D43"/>
    <w:rsid w:val="5E2467F1"/>
    <w:rsid w:val="5E316028"/>
    <w:rsid w:val="5E9A0081"/>
    <w:rsid w:val="5EA66A02"/>
    <w:rsid w:val="5EC56770"/>
    <w:rsid w:val="5F1A2B43"/>
    <w:rsid w:val="5F1B360D"/>
    <w:rsid w:val="5F2D2C93"/>
    <w:rsid w:val="5F33549B"/>
    <w:rsid w:val="5F37566B"/>
    <w:rsid w:val="5F3C6A5F"/>
    <w:rsid w:val="5F59C675"/>
    <w:rsid w:val="5F9E5E72"/>
    <w:rsid w:val="5FA2063E"/>
    <w:rsid w:val="5FB837BB"/>
    <w:rsid w:val="5FD33D47"/>
    <w:rsid w:val="60787A41"/>
    <w:rsid w:val="60791FF3"/>
    <w:rsid w:val="60CC405A"/>
    <w:rsid w:val="60E66F49"/>
    <w:rsid w:val="60EBA275"/>
    <w:rsid w:val="61193579"/>
    <w:rsid w:val="61340F4C"/>
    <w:rsid w:val="615B4A72"/>
    <w:rsid w:val="615C2B0F"/>
    <w:rsid w:val="61786F60"/>
    <w:rsid w:val="61A74C04"/>
    <w:rsid w:val="61E215D8"/>
    <w:rsid w:val="621B3775"/>
    <w:rsid w:val="62364782"/>
    <w:rsid w:val="623844D3"/>
    <w:rsid w:val="624D5197"/>
    <w:rsid w:val="62715EB0"/>
    <w:rsid w:val="6287712B"/>
    <w:rsid w:val="628C411A"/>
    <w:rsid w:val="62F61CAD"/>
    <w:rsid w:val="634585A7"/>
    <w:rsid w:val="6366465A"/>
    <w:rsid w:val="63844E4C"/>
    <w:rsid w:val="6394356A"/>
    <w:rsid w:val="63C61B2C"/>
    <w:rsid w:val="63D40BE9"/>
    <w:rsid w:val="63DB653C"/>
    <w:rsid w:val="63E43B3C"/>
    <w:rsid w:val="640C5AE4"/>
    <w:rsid w:val="640E3B77"/>
    <w:rsid w:val="64102431"/>
    <w:rsid w:val="641C58F7"/>
    <w:rsid w:val="6420164E"/>
    <w:rsid w:val="64240BE8"/>
    <w:rsid w:val="6431EA10"/>
    <w:rsid w:val="648DA489"/>
    <w:rsid w:val="64A5243A"/>
    <w:rsid w:val="64BE5C16"/>
    <w:rsid w:val="64F531DE"/>
    <w:rsid w:val="65373578"/>
    <w:rsid w:val="654AD946"/>
    <w:rsid w:val="65732D1B"/>
    <w:rsid w:val="657D6786"/>
    <w:rsid w:val="65910CEB"/>
    <w:rsid w:val="65E8A716"/>
    <w:rsid w:val="65F908D4"/>
    <w:rsid w:val="662074EE"/>
    <w:rsid w:val="66243F1C"/>
    <w:rsid w:val="6656258F"/>
    <w:rsid w:val="67044DBB"/>
    <w:rsid w:val="670D6DC6"/>
    <w:rsid w:val="671E7365"/>
    <w:rsid w:val="671F124A"/>
    <w:rsid w:val="677A33C6"/>
    <w:rsid w:val="679BED71"/>
    <w:rsid w:val="681F6961"/>
    <w:rsid w:val="68610A2F"/>
    <w:rsid w:val="68805514"/>
    <w:rsid w:val="68CEBAF4"/>
    <w:rsid w:val="691C66B3"/>
    <w:rsid w:val="69316E2F"/>
    <w:rsid w:val="694E2071"/>
    <w:rsid w:val="69766163"/>
    <w:rsid w:val="697A3B33"/>
    <w:rsid w:val="6990611B"/>
    <w:rsid w:val="69D44760"/>
    <w:rsid w:val="69F94144"/>
    <w:rsid w:val="6A29385A"/>
    <w:rsid w:val="6A520EC7"/>
    <w:rsid w:val="6A662ED8"/>
    <w:rsid w:val="6A6E4373"/>
    <w:rsid w:val="6A75285D"/>
    <w:rsid w:val="6AF87E20"/>
    <w:rsid w:val="6B047C25"/>
    <w:rsid w:val="6B0E6B6B"/>
    <w:rsid w:val="6B322639"/>
    <w:rsid w:val="6B4E448C"/>
    <w:rsid w:val="6C38732E"/>
    <w:rsid w:val="6C5916AA"/>
    <w:rsid w:val="6C636C38"/>
    <w:rsid w:val="6C681E3D"/>
    <w:rsid w:val="6C704D11"/>
    <w:rsid w:val="6D98582E"/>
    <w:rsid w:val="6D9F3ADD"/>
    <w:rsid w:val="6DB34098"/>
    <w:rsid w:val="6DB545B6"/>
    <w:rsid w:val="6DE02FB4"/>
    <w:rsid w:val="6E0D21F8"/>
    <w:rsid w:val="6E2BA037"/>
    <w:rsid w:val="6E496A6A"/>
    <w:rsid w:val="6E514CED"/>
    <w:rsid w:val="6E9F5443"/>
    <w:rsid w:val="6EB563D5"/>
    <w:rsid w:val="6ED4F257"/>
    <w:rsid w:val="6ED92677"/>
    <w:rsid w:val="6F214E0A"/>
    <w:rsid w:val="6F225983"/>
    <w:rsid w:val="6F3620D6"/>
    <w:rsid w:val="6F41EA8D"/>
    <w:rsid w:val="6F6B2859"/>
    <w:rsid w:val="6F7F632B"/>
    <w:rsid w:val="6FE40005"/>
    <w:rsid w:val="6FFC5590"/>
    <w:rsid w:val="703DF9F4"/>
    <w:rsid w:val="70604E67"/>
    <w:rsid w:val="706D1DD0"/>
    <w:rsid w:val="7073427E"/>
    <w:rsid w:val="707696D6"/>
    <w:rsid w:val="70856B87"/>
    <w:rsid w:val="70D4ABC0"/>
    <w:rsid w:val="70D527EE"/>
    <w:rsid w:val="715B5300"/>
    <w:rsid w:val="71795B34"/>
    <w:rsid w:val="717A6BF5"/>
    <w:rsid w:val="719041B7"/>
    <w:rsid w:val="71D27F8A"/>
    <w:rsid w:val="71D725C4"/>
    <w:rsid w:val="71F661E7"/>
    <w:rsid w:val="71FE0ECE"/>
    <w:rsid w:val="721E3E7F"/>
    <w:rsid w:val="724353FF"/>
    <w:rsid w:val="72553024"/>
    <w:rsid w:val="72671BC0"/>
    <w:rsid w:val="72BA0857"/>
    <w:rsid w:val="72FD766F"/>
    <w:rsid w:val="730C5844"/>
    <w:rsid w:val="73122968"/>
    <w:rsid w:val="73132C00"/>
    <w:rsid w:val="731F5D5E"/>
    <w:rsid w:val="73783A3B"/>
    <w:rsid w:val="738C2AC9"/>
    <w:rsid w:val="738C4F82"/>
    <w:rsid w:val="73A61C05"/>
    <w:rsid w:val="73BC59F6"/>
    <w:rsid w:val="73C51AD5"/>
    <w:rsid w:val="741E793C"/>
    <w:rsid w:val="7452E4DD"/>
    <w:rsid w:val="745C21D4"/>
    <w:rsid w:val="745E3944"/>
    <w:rsid w:val="74A73787"/>
    <w:rsid w:val="74B7A7B5"/>
    <w:rsid w:val="74D23540"/>
    <w:rsid w:val="752042C1"/>
    <w:rsid w:val="75238D4C"/>
    <w:rsid w:val="75774168"/>
    <w:rsid w:val="758A769F"/>
    <w:rsid w:val="75C37C41"/>
    <w:rsid w:val="760268E6"/>
    <w:rsid w:val="76090130"/>
    <w:rsid w:val="76250415"/>
    <w:rsid w:val="7635099D"/>
    <w:rsid w:val="76393F7E"/>
    <w:rsid w:val="767553E0"/>
    <w:rsid w:val="76807524"/>
    <w:rsid w:val="770F3E50"/>
    <w:rsid w:val="77292C30"/>
    <w:rsid w:val="77762421"/>
    <w:rsid w:val="77B56B1F"/>
    <w:rsid w:val="77C82078"/>
    <w:rsid w:val="77D33BAC"/>
    <w:rsid w:val="77E667B8"/>
    <w:rsid w:val="77FE391A"/>
    <w:rsid w:val="78025CC7"/>
    <w:rsid w:val="780F09F4"/>
    <w:rsid w:val="7810AC80"/>
    <w:rsid w:val="78173E6A"/>
    <w:rsid w:val="7843245D"/>
    <w:rsid w:val="784A289D"/>
    <w:rsid w:val="785E3B44"/>
    <w:rsid w:val="78675710"/>
    <w:rsid w:val="78712D3C"/>
    <w:rsid w:val="78A90480"/>
    <w:rsid w:val="78BD231D"/>
    <w:rsid w:val="792A7BE4"/>
    <w:rsid w:val="79F46708"/>
    <w:rsid w:val="7A0BFAE5"/>
    <w:rsid w:val="7A364017"/>
    <w:rsid w:val="7A541373"/>
    <w:rsid w:val="7A6147EB"/>
    <w:rsid w:val="7A8265E1"/>
    <w:rsid w:val="7AA634A2"/>
    <w:rsid w:val="7AD21D76"/>
    <w:rsid w:val="7B04655C"/>
    <w:rsid w:val="7B0E0244"/>
    <w:rsid w:val="7B375A79"/>
    <w:rsid w:val="7B686D42"/>
    <w:rsid w:val="7B8065B3"/>
    <w:rsid w:val="7B841746"/>
    <w:rsid w:val="7B9B4E1B"/>
    <w:rsid w:val="7BD40132"/>
    <w:rsid w:val="7BF11431"/>
    <w:rsid w:val="7C32B143"/>
    <w:rsid w:val="7C6C5AC7"/>
    <w:rsid w:val="7CA9532A"/>
    <w:rsid w:val="7CC6544B"/>
    <w:rsid w:val="7D0239FF"/>
    <w:rsid w:val="7D1C2A8A"/>
    <w:rsid w:val="7D4648C2"/>
    <w:rsid w:val="7D5E40CD"/>
    <w:rsid w:val="7DC186C9"/>
    <w:rsid w:val="7DCD56F2"/>
    <w:rsid w:val="7DE95B7F"/>
    <w:rsid w:val="7DEA02B1"/>
    <w:rsid w:val="7ED022C2"/>
    <w:rsid w:val="7F001CE7"/>
    <w:rsid w:val="7F3D0835"/>
    <w:rsid w:val="7F824294"/>
    <w:rsid w:val="7FE47E50"/>
    <w:rsid w:val="8068631C"/>
    <w:rsid w:val="80F0FCCD"/>
    <w:rsid w:val="81C300AB"/>
    <w:rsid w:val="837533A9"/>
    <w:rsid w:val="83B6F22E"/>
    <w:rsid w:val="84F456C3"/>
    <w:rsid w:val="87C93B20"/>
    <w:rsid w:val="87EC0DE2"/>
    <w:rsid w:val="89948310"/>
    <w:rsid w:val="8A7ED975"/>
    <w:rsid w:val="8AD4009E"/>
    <w:rsid w:val="8CAA50CD"/>
    <w:rsid w:val="8CAD361A"/>
    <w:rsid w:val="8E4493A4"/>
    <w:rsid w:val="8EA07DEA"/>
    <w:rsid w:val="8EB91AE7"/>
    <w:rsid w:val="8EFB9BB2"/>
    <w:rsid w:val="8F5F3AD2"/>
    <w:rsid w:val="8FFBEB86"/>
    <w:rsid w:val="908F3C5A"/>
    <w:rsid w:val="91A1B48A"/>
    <w:rsid w:val="91BCC2DE"/>
    <w:rsid w:val="9283A8A7"/>
    <w:rsid w:val="92F1885D"/>
    <w:rsid w:val="93CB7127"/>
    <w:rsid w:val="94F94C14"/>
    <w:rsid w:val="9523F045"/>
    <w:rsid w:val="9777DFB4"/>
    <w:rsid w:val="98BAFE78"/>
    <w:rsid w:val="9919ADE1"/>
    <w:rsid w:val="9CF01868"/>
    <w:rsid w:val="9E99C3DA"/>
    <w:rsid w:val="9EF1F503"/>
    <w:rsid w:val="9F13909A"/>
    <w:rsid w:val="A0288AAA"/>
    <w:rsid w:val="A186B668"/>
    <w:rsid w:val="A1897EAF"/>
    <w:rsid w:val="A357EF33"/>
    <w:rsid w:val="A54BA100"/>
    <w:rsid w:val="A57A9D22"/>
    <w:rsid w:val="A76E2AFD"/>
    <w:rsid w:val="A957E198"/>
    <w:rsid w:val="AABF7E91"/>
    <w:rsid w:val="AB48936B"/>
    <w:rsid w:val="ABAA8B13"/>
    <w:rsid w:val="AC3CF85A"/>
    <w:rsid w:val="AC87245B"/>
    <w:rsid w:val="AFA15E17"/>
    <w:rsid w:val="B0DA449B"/>
    <w:rsid w:val="B161D161"/>
    <w:rsid w:val="B26793F3"/>
    <w:rsid w:val="B2B8D885"/>
    <w:rsid w:val="B2BE0CBC"/>
    <w:rsid w:val="B51253E1"/>
    <w:rsid w:val="B539AF29"/>
    <w:rsid w:val="B5AFF9FF"/>
    <w:rsid w:val="B7DC2C01"/>
    <w:rsid w:val="B85142CB"/>
    <w:rsid w:val="BA8D8A18"/>
    <w:rsid w:val="BBA2BF0E"/>
    <w:rsid w:val="BD39E71E"/>
    <w:rsid w:val="BE207A16"/>
    <w:rsid w:val="C0139DB9"/>
    <w:rsid w:val="C1DCCEAD"/>
    <w:rsid w:val="C291B4A9"/>
    <w:rsid w:val="C3F59AE9"/>
    <w:rsid w:val="C501A7FA"/>
    <w:rsid w:val="C501FB6D"/>
    <w:rsid w:val="C5DC8159"/>
    <w:rsid w:val="C666A663"/>
    <w:rsid w:val="C75BFA07"/>
    <w:rsid w:val="C7C2FA3B"/>
    <w:rsid w:val="C8B98F83"/>
    <w:rsid w:val="C91C29F5"/>
    <w:rsid w:val="C9C6C4D8"/>
    <w:rsid w:val="CA44E1DD"/>
    <w:rsid w:val="CB05C142"/>
    <w:rsid w:val="CD74C19D"/>
    <w:rsid w:val="CDFF20EB"/>
    <w:rsid w:val="CE9BC8B1"/>
    <w:rsid w:val="D20163C0"/>
    <w:rsid w:val="D5D47A72"/>
    <w:rsid w:val="D63FCE72"/>
    <w:rsid w:val="D7B06B60"/>
    <w:rsid w:val="D7D1B69E"/>
    <w:rsid w:val="D9CFACAF"/>
    <w:rsid w:val="D9EAD0D7"/>
    <w:rsid w:val="DC136CE5"/>
    <w:rsid w:val="DCB6BEBE"/>
    <w:rsid w:val="DCDAB9D0"/>
    <w:rsid w:val="DF8D9FE5"/>
    <w:rsid w:val="E2115365"/>
    <w:rsid w:val="E485832B"/>
    <w:rsid w:val="E633AB6C"/>
    <w:rsid w:val="E8E00F08"/>
    <w:rsid w:val="E9B8C06A"/>
    <w:rsid w:val="EA5C630A"/>
    <w:rsid w:val="EAAE73E6"/>
    <w:rsid w:val="EAC364AB"/>
    <w:rsid w:val="EB34000D"/>
    <w:rsid w:val="EBE25D1D"/>
    <w:rsid w:val="EC5518B8"/>
    <w:rsid w:val="ECAC2305"/>
    <w:rsid w:val="F091900D"/>
    <w:rsid w:val="F0B42BAB"/>
    <w:rsid w:val="F0B847FE"/>
    <w:rsid w:val="F29BF9AE"/>
    <w:rsid w:val="F3049ED6"/>
    <w:rsid w:val="F6B2CB58"/>
    <w:rsid w:val="F9399B97"/>
    <w:rsid w:val="FC7443D0"/>
    <w:rsid w:val="FDC52BB4"/>
    <w:rsid w:val="FEB5601C"/>
    <w:rsid w:val="FF544FBE"/>
    <w:rsid w:val="FFA939F2"/>
    <w:rsid w:val="FFCDB756"/>
    <w:rsid w:val="FFD47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sz w:val="21"/>
      <w:szCs w:val="21"/>
      <w:lang w:val="en-US" w:eastAsia="zh-CN" w:bidi="ar-SA"/>
    </w:rPr>
  </w:style>
  <w:style w:type="paragraph" w:styleId="3">
    <w:name w:val="heading 1"/>
    <w:basedOn w:val="1"/>
    <w:next w:val="1"/>
    <w:qFormat/>
    <w:uiPriority w:val="0"/>
    <w:pPr>
      <w:keepNext/>
      <w:overflowPunct w:val="0"/>
      <w:snapToGrid w:val="0"/>
      <w:spacing w:before="120" w:after="160" w:line="259" w:lineRule="auto"/>
      <w:ind w:left="432" w:hanging="432"/>
      <w:outlineLvl w:val="0"/>
    </w:pPr>
    <w:rPr>
      <w:rFonts w:ascii="Times New Roman" w:hAnsi="Times New Roman" w:eastAsia="黑体"/>
      <w:b/>
      <w:bCs/>
      <w:color w:val="000000"/>
      <w:kern w:val="44"/>
      <w:sz w:val="30"/>
      <w:szCs w:val="30"/>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ind w:firstLine="420" w:firstLineChars="200"/>
    </w:pPr>
    <w:rPr>
      <w:rFonts w:ascii="Times New Roman" w:hAnsi="Times New Roman"/>
    </w:rPr>
  </w:style>
  <w:style w:type="paragraph" w:styleId="5">
    <w:name w:val="Normal Indent"/>
    <w:basedOn w:val="1"/>
    <w:next w:val="6"/>
    <w:qFormat/>
    <w:uiPriority w:val="0"/>
    <w:pPr>
      <w:ind w:firstLine="420"/>
    </w:pPr>
    <w:rPr>
      <w:rFonts w:ascii="Times New Roman" w:hAnsi="Times New Roman"/>
      <w:sz w:val="24"/>
      <w:szCs w:val="20"/>
    </w:rPr>
  </w:style>
  <w:style w:type="paragraph" w:styleId="6">
    <w:name w:val="toc 1"/>
    <w:basedOn w:val="1"/>
    <w:next w:val="1"/>
    <w:qFormat/>
    <w:uiPriority w:val="0"/>
    <w:pPr>
      <w:tabs>
        <w:tab w:val="left" w:pos="5760"/>
      </w:tabs>
      <w:adjustRightInd w:val="0"/>
      <w:snapToGrid w:val="0"/>
      <w:jc w:val="center"/>
    </w:pPr>
    <w:rPr>
      <w:rFonts w:ascii="Times New Roman" w:hAnsi="Times New Roman"/>
    </w:rPr>
  </w:style>
  <w:style w:type="paragraph" w:styleId="7">
    <w:name w:val="annotation text"/>
    <w:basedOn w:val="1"/>
    <w:link w:val="34"/>
    <w:qFormat/>
    <w:uiPriority w:val="0"/>
    <w:pPr>
      <w:jc w:val="left"/>
    </w:pPr>
    <w:rPr>
      <w:rFonts w:ascii="Times New Roman" w:hAnsi="Times New Roman"/>
      <w:sz w:val="24"/>
      <w:szCs w:val="20"/>
    </w:rPr>
  </w:style>
  <w:style w:type="paragraph" w:styleId="8">
    <w:name w:val="Body Text"/>
    <w:basedOn w:val="1"/>
    <w:link w:val="35"/>
    <w:qFormat/>
    <w:uiPriority w:val="0"/>
    <w:pPr>
      <w:widowControl/>
      <w:snapToGrid w:val="0"/>
      <w:spacing w:before="60" w:after="160" w:line="259" w:lineRule="auto"/>
      <w:ind w:right="113"/>
    </w:pPr>
    <w:rPr>
      <w:rFonts w:ascii="Times New Roman" w:hAnsi="Times New Roman"/>
      <w:sz w:val="18"/>
      <w:szCs w:val="20"/>
    </w:rPr>
  </w:style>
  <w:style w:type="paragraph" w:styleId="9">
    <w:name w:val="Body Text Indent"/>
    <w:basedOn w:val="1"/>
    <w:link w:val="36"/>
    <w:qFormat/>
    <w:uiPriority w:val="0"/>
    <w:pPr>
      <w:spacing w:after="120"/>
      <w:ind w:left="420" w:leftChars="200"/>
    </w:pPr>
    <w:rPr>
      <w:rFonts w:ascii="Times New Roman" w:hAnsi="Times New Roman"/>
      <w:sz w:val="24"/>
      <w:szCs w:val="20"/>
    </w:rPr>
  </w:style>
  <w:style w:type="paragraph" w:styleId="10">
    <w:name w:val="Plain Text"/>
    <w:basedOn w:val="1"/>
    <w:qFormat/>
    <w:uiPriority w:val="0"/>
    <w:pPr>
      <w:spacing w:line="240" w:lineRule="atLeast"/>
    </w:pPr>
    <w:rPr>
      <w:rFonts w:ascii="宋体" w:hAnsi="Courier New"/>
      <w:sz w:val="28"/>
    </w:rPr>
  </w:style>
  <w:style w:type="paragraph" w:styleId="11">
    <w:name w:val="Date"/>
    <w:basedOn w:val="1"/>
    <w:next w:val="1"/>
    <w:link w:val="37"/>
    <w:qFormat/>
    <w:uiPriority w:val="0"/>
    <w:pPr>
      <w:ind w:left="100" w:leftChars="2500"/>
    </w:pPr>
    <w:rPr>
      <w:rFonts w:ascii="Times New Roman" w:hAnsi="Times New Roman"/>
      <w:sz w:val="24"/>
      <w:szCs w:val="20"/>
    </w:rPr>
  </w:style>
  <w:style w:type="paragraph" w:styleId="12">
    <w:name w:val="Body Text Indent 2"/>
    <w:basedOn w:val="1"/>
    <w:next w:val="1"/>
    <w:qFormat/>
    <w:uiPriority w:val="0"/>
    <w:pPr>
      <w:spacing w:line="360" w:lineRule="auto"/>
      <w:ind w:firstLine="560" w:firstLineChars="200"/>
    </w:pPr>
    <w:rPr>
      <w:rFonts w:ascii="Times New Roman" w:hAnsi="Times New Roman"/>
      <w:sz w:val="28"/>
    </w:rPr>
  </w:style>
  <w:style w:type="paragraph" w:styleId="13">
    <w:name w:val="Balloon Text"/>
    <w:basedOn w:val="1"/>
    <w:link w:val="38"/>
    <w:qFormat/>
    <w:uiPriority w:val="0"/>
    <w:rPr>
      <w:rFonts w:ascii="Times New Roman" w:hAnsi="Times New Roman"/>
      <w:sz w:val="18"/>
      <w:szCs w:val="20"/>
    </w:rPr>
  </w:style>
  <w:style w:type="paragraph" w:styleId="14">
    <w:name w:val="footer"/>
    <w:basedOn w:val="1"/>
    <w:link w:val="39"/>
    <w:qFormat/>
    <w:uiPriority w:val="0"/>
    <w:pPr>
      <w:tabs>
        <w:tab w:val="center" w:pos="4153"/>
        <w:tab w:val="right" w:pos="8306"/>
      </w:tabs>
      <w:snapToGrid w:val="0"/>
      <w:jc w:val="left"/>
    </w:pPr>
    <w:rPr>
      <w:rFonts w:ascii="Times New Roman" w:hAnsi="Times New Roman"/>
      <w:sz w:val="18"/>
      <w:szCs w:val="20"/>
    </w:rPr>
  </w:style>
  <w:style w:type="paragraph" w:styleId="15">
    <w:name w:val="header"/>
    <w:basedOn w:val="1"/>
    <w:link w:val="40"/>
    <w:qFormat/>
    <w:uiPriority w:val="0"/>
    <w:pPr>
      <w:pBdr>
        <w:bottom w:val="single" w:color="auto" w:sz="6" w:space="1"/>
      </w:pBdr>
      <w:tabs>
        <w:tab w:val="center" w:pos="4153"/>
        <w:tab w:val="right" w:pos="8306"/>
      </w:tabs>
      <w:snapToGrid w:val="0"/>
      <w:jc w:val="center"/>
    </w:pPr>
    <w:rPr>
      <w:rFonts w:ascii="Times New Roman" w:hAnsi="Times New Roman"/>
      <w:sz w:val="18"/>
      <w:szCs w:val="20"/>
    </w:rPr>
  </w:style>
  <w:style w:type="paragraph" w:styleId="16">
    <w:name w:val="Body Text 2"/>
    <w:basedOn w:val="1"/>
    <w:qFormat/>
    <w:uiPriority w:val="0"/>
    <w:pPr>
      <w:spacing w:after="120" w:line="480" w:lineRule="auto"/>
    </w:pPr>
    <w:rPr>
      <w:rFonts w:ascii="Times New Roman" w:hAnsi="Times New Roman"/>
    </w:rPr>
  </w:style>
  <w:style w:type="paragraph" w:styleId="17">
    <w:name w:val="Normal (Web)"/>
    <w:basedOn w:val="1"/>
    <w:link w:val="41"/>
    <w:qFormat/>
    <w:uiPriority w:val="0"/>
    <w:pPr>
      <w:widowControl/>
      <w:spacing w:before="100" w:beforeAutospacing="1" w:after="100" w:afterAutospacing="1"/>
      <w:jc w:val="left"/>
    </w:pPr>
    <w:rPr>
      <w:rFonts w:ascii="宋体" w:hAnsi="宋体"/>
      <w:sz w:val="24"/>
      <w:szCs w:val="20"/>
    </w:rPr>
  </w:style>
  <w:style w:type="paragraph" w:styleId="18">
    <w:name w:val="annotation subject"/>
    <w:basedOn w:val="7"/>
    <w:next w:val="7"/>
    <w:link w:val="42"/>
    <w:qFormat/>
    <w:uiPriority w:val="0"/>
    <w:rPr>
      <w:b/>
    </w:rPr>
  </w:style>
  <w:style w:type="paragraph" w:styleId="19">
    <w:name w:val="Body Text First Indent"/>
    <w:basedOn w:val="8"/>
    <w:qFormat/>
    <w:uiPriority w:val="0"/>
    <w:pPr>
      <w:ind w:firstLine="420" w:firstLineChars="100"/>
    </w:p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uiPriority w:val="0"/>
    <w:rPr>
      <w:b/>
      <w:bCs/>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000000"/>
      <w:u w:val="none"/>
    </w:rPr>
  </w:style>
  <w:style w:type="character" w:styleId="26">
    <w:name w:val="Emphasis"/>
    <w:qFormat/>
    <w:uiPriority w:val="0"/>
    <w:rPr>
      <w:rFonts w:ascii="Times New Roman" w:hAnsi="Times New Roman" w:eastAsia="宋体" w:cs="Times New Roman"/>
    </w:rPr>
  </w:style>
  <w:style w:type="character" w:styleId="27">
    <w:name w:val="HTML Definition"/>
    <w:qFormat/>
    <w:uiPriority w:val="0"/>
    <w:rPr>
      <w:i/>
      <w:iCs/>
    </w:rPr>
  </w:style>
  <w:style w:type="character" w:styleId="28">
    <w:name w:val="Hyperlink"/>
    <w:qFormat/>
    <w:uiPriority w:val="0"/>
    <w:rPr>
      <w:rFonts w:ascii="Times New Roman" w:hAnsi="Times New Roman" w:eastAsia="宋体" w:cs="Times New Roman"/>
      <w:color w:val="000000"/>
      <w:u w:val="none"/>
    </w:rPr>
  </w:style>
  <w:style w:type="character" w:styleId="29">
    <w:name w:val="HTML Code"/>
    <w:qFormat/>
    <w:uiPriority w:val="0"/>
    <w:rPr>
      <w:rFonts w:hint="default" w:ascii="Consolas" w:hAnsi="Consolas" w:eastAsia="Consolas" w:cs="Consolas"/>
      <w:color w:val="C7254E"/>
      <w:sz w:val="21"/>
      <w:szCs w:val="21"/>
      <w:shd w:val="clear" w:color="auto" w:fill="F9F2F4"/>
    </w:rPr>
  </w:style>
  <w:style w:type="character" w:styleId="30">
    <w:name w:val="annotation reference"/>
    <w:qFormat/>
    <w:uiPriority w:val="0"/>
    <w:rPr>
      <w:rFonts w:ascii="Times New Roman" w:hAnsi="Times New Roman" w:eastAsia="宋体" w:cs="Times New Roman"/>
      <w:sz w:val="21"/>
    </w:rPr>
  </w:style>
  <w:style w:type="character" w:styleId="31">
    <w:name w:val="HTML Keyboard"/>
    <w:qFormat/>
    <w:uiPriority w:val="0"/>
    <w:rPr>
      <w:rFonts w:hint="default" w:ascii="Consolas" w:hAnsi="Consolas" w:eastAsia="Consolas" w:cs="Consolas"/>
      <w:color w:val="FFFFFF"/>
      <w:sz w:val="21"/>
      <w:szCs w:val="21"/>
      <w:shd w:val="clear" w:color="auto" w:fill="333333"/>
    </w:rPr>
  </w:style>
  <w:style w:type="character" w:styleId="32">
    <w:name w:val="HTML Sample"/>
    <w:qFormat/>
    <w:uiPriority w:val="0"/>
    <w:rPr>
      <w:rFonts w:ascii="Consolas" w:hAnsi="Consolas" w:eastAsia="Consolas" w:cs="Consolas"/>
      <w:sz w:val="21"/>
      <w:szCs w:val="21"/>
    </w:rPr>
  </w:style>
  <w:style w:type="paragraph" w:customStyle="1" w:styleId="33">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34">
    <w:name w:val="批注文字 Char"/>
    <w:link w:val="7"/>
    <w:qFormat/>
    <w:uiPriority w:val="0"/>
    <w:rPr>
      <w:rFonts w:ascii="Times New Roman" w:hAnsi="Times New Roman" w:eastAsia="宋体" w:cs="Times New Roman"/>
      <w:sz w:val="24"/>
    </w:rPr>
  </w:style>
  <w:style w:type="character" w:customStyle="1" w:styleId="35">
    <w:name w:val="正文文本 Char"/>
    <w:link w:val="8"/>
    <w:qFormat/>
    <w:uiPriority w:val="0"/>
    <w:rPr>
      <w:rFonts w:ascii="Times New Roman" w:hAnsi="Times New Roman" w:eastAsia="宋体" w:cs="Times New Roman"/>
      <w:sz w:val="18"/>
    </w:rPr>
  </w:style>
  <w:style w:type="character" w:customStyle="1" w:styleId="36">
    <w:name w:val="正文文本缩进 Char"/>
    <w:link w:val="9"/>
    <w:qFormat/>
    <w:uiPriority w:val="0"/>
    <w:rPr>
      <w:rFonts w:ascii="Times New Roman" w:hAnsi="Times New Roman" w:eastAsia="宋体" w:cs="Times New Roman"/>
      <w:sz w:val="24"/>
    </w:rPr>
  </w:style>
  <w:style w:type="character" w:customStyle="1" w:styleId="37">
    <w:name w:val="日期 Char"/>
    <w:link w:val="11"/>
    <w:qFormat/>
    <w:uiPriority w:val="0"/>
    <w:rPr>
      <w:rFonts w:ascii="Times New Roman" w:hAnsi="Times New Roman" w:eastAsia="宋体" w:cs="Times New Roman"/>
      <w:sz w:val="24"/>
    </w:rPr>
  </w:style>
  <w:style w:type="character" w:customStyle="1" w:styleId="38">
    <w:name w:val="批注框文本 Char"/>
    <w:link w:val="13"/>
    <w:qFormat/>
    <w:uiPriority w:val="0"/>
    <w:rPr>
      <w:rFonts w:ascii="Times New Roman" w:hAnsi="Times New Roman" w:eastAsia="宋体" w:cs="Times New Roman"/>
      <w:sz w:val="18"/>
    </w:rPr>
  </w:style>
  <w:style w:type="character" w:customStyle="1" w:styleId="39">
    <w:name w:val="页脚 Char"/>
    <w:link w:val="14"/>
    <w:qFormat/>
    <w:uiPriority w:val="0"/>
    <w:rPr>
      <w:rFonts w:ascii="Times New Roman" w:hAnsi="Times New Roman" w:eastAsia="宋体" w:cs="Times New Roman"/>
      <w:sz w:val="18"/>
    </w:rPr>
  </w:style>
  <w:style w:type="character" w:customStyle="1" w:styleId="40">
    <w:name w:val="页眉 Char"/>
    <w:link w:val="15"/>
    <w:qFormat/>
    <w:uiPriority w:val="0"/>
    <w:rPr>
      <w:rFonts w:ascii="Times New Roman" w:hAnsi="Times New Roman" w:eastAsia="宋体" w:cs="Times New Roman"/>
      <w:sz w:val="18"/>
    </w:rPr>
  </w:style>
  <w:style w:type="character" w:customStyle="1" w:styleId="41">
    <w:name w:val="普通(网站) Char"/>
    <w:link w:val="17"/>
    <w:qFormat/>
    <w:uiPriority w:val="0"/>
    <w:rPr>
      <w:rFonts w:ascii="宋体" w:hAnsi="宋体" w:eastAsia="宋体" w:cs="Times New Roman"/>
      <w:sz w:val="24"/>
    </w:rPr>
  </w:style>
  <w:style w:type="character" w:customStyle="1" w:styleId="42">
    <w:name w:val="批注主题 Char"/>
    <w:link w:val="18"/>
    <w:qFormat/>
    <w:uiPriority w:val="0"/>
    <w:rPr>
      <w:rFonts w:ascii="Times New Roman" w:hAnsi="Times New Roman" w:eastAsia="宋体" w:cs="Times New Roman"/>
      <w:b/>
      <w:kern w:val="2"/>
      <w:sz w:val="24"/>
    </w:rPr>
  </w:style>
  <w:style w:type="character" w:customStyle="1" w:styleId="43">
    <w:name w:val="lishishuju"/>
    <w:qFormat/>
    <w:uiPriority w:val="0"/>
    <w:rPr>
      <w:rFonts w:ascii="Times New Roman" w:hAnsi="Times New Roman" w:eastAsia="宋体" w:cs="Times New Roman"/>
      <w:b/>
      <w:bCs/>
      <w:color w:val="000052"/>
      <w:sz w:val="24"/>
      <w:szCs w:val="24"/>
      <w:bdr w:val="single" w:color="E3E3E3" w:sz="6" w:space="0"/>
    </w:rPr>
  </w:style>
  <w:style w:type="character" w:customStyle="1" w:styleId="44">
    <w:name w:val="样式 小四"/>
    <w:qFormat/>
    <w:uiPriority w:val="0"/>
    <w:rPr>
      <w:rFonts w:ascii="Times New Roman" w:hAnsi="Times New Roman" w:eastAsia="宋体" w:cs="Times New Roman"/>
      <w:sz w:val="24"/>
      <w:szCs w:val="24"/>
    </w:rPr>
  </w:style>
  <w:style w:type="character" w:customStyle="1" w:styleId="45">
    <w:name w:val="页脚 字符"/>
    <w:qFormat/>
    <w:uiPriority w:val="0"/>
    <w:rPr>
      <w:rFonts w:ascii="Times New Roman" w:hAnsi="Times New Roman" w:eastAsia="宋体" w:cs="Times New Roman"/>
    </w:rPr>
  </w:style>
  <w:style w:type="character" w:customStyle="1" w:styleId="46">
    <w:name w:val="表格 Char"/>
    <w:link w:val="47"/>
    <w:qFormat/>
    <w:uiPriority w:val="0"/>
    <w:rPr>
      <w:rFonts w:ascii="宋体" w:hAnsi="Times New Roman" w:eastAsia="宋体" w:cs="Times New Roman"/>
      <w:sz w:val="21"/>
    </w:rPr>
  </w:style>
  <w:style w:type="paragraph" w:customStyle="1" w:styleId="47">
    <w:name w:val="表格"/>
    <w:basedOn w:val="1"/>
    <w:next w:val="1"/>
    <w:link w:val="46"/>
    <w:qFormat/>
    <w:uiPriority w:val="0"/>
    <w:pPr>
      <w:adjustRightInd w:val="0"/>
      <w:snapToGrid w:val="0"/>
      <w:spacing w:beforeLines="10" w:afterLines="10" w:line="259" w:lineRule="auto"/>
      <w:jc w:val="center"/>
    </w:pPr>
    <w:rPr>
      <w:rFonts w:ascii="宋体" w:hAnsi="Times New Roman"/>
      <w:szCs w:val="20"/>
    </w:rPr>
  </w:style>
  <w:style w:type="character" w:customStyle="1" w:styleId="48">
    <w:name w:val="日期 字符"/>
    <w:qFormat/>
    <w:uiPriority w:val="0"/>
    <w:rPr>
      <w:rFonts w:ascii="Times New Roman" w:hAnsi="Times New Roman" w:eastAsia="宋体" w:cs="Times New Roman"/>
      <w:sz w:val="24"/>
    </w:rPr>
  </w:style>
  <w:style w:type="character" w:customStyle="1" w:styleId="49">
    <w:name w:val="lable"/>
    <w:qFormat/>
    <w:uiPriority w:val="0"/>
    <w:rPr>
      <w:rFonts w:ascii="Times New Roman" w:hAnsi="Times New Roman" w:eastAsia="宋体" w:cs="Times New Roman"/>
      <w:sz w:val="24"/>
      <w:szCs w:val="24"/>
    </w:rPr>
  </w:style>
  <w:style w:type="character" w:customStyle="1" w:styleId="50">
    <w:name w:val="znspantitle"/>
    <w:qFormat/>
    <w:uiPriority w:val="0"/>
    <w:rPr>
      <w:rFonts w:ascii="Times New Roman" w:hAnsi="Times New Roman" w:eastAsia="宋体" w:cs="Times New Roman"/>
      <w:b/>
      <w:bCs/>
      <w:color w:val="333333"/>
    </w:rPr>
  </w:style>
  <w:style w:type="character" w:customStyle="1" w:styleId="51">
    <w:name w:val="radio-btn"/>
    <w:qFormat/>
    <w:uiPriority w:val="0"/>
    <w:rPr>
      <w:rFonts w:ascii="Times New Roman" w:hAnsi="Times New Roman" w:eastAsia="宋体" w:cs="Times New Roman"/>
      <w:sz w:val="21"/>
      <w:szCs w:val="21"/>
    </w:rPr>
  </w:style>
  <w:style w:type="character" w:customStyle="1" w:styleId="52">
    <w:name w:val="font11"/>
    <w:qFormat/>
    <w:uiPriority w:val="0"/>
    <w:rPr>
      <w:rFonts w:hint="eastAsia" w:ascii="宋体" w:hAnsi="宋体" w:eastAsia="宋体" w:cs="宋体"/>
      <w:color w:val="000000"/>
      <w:sz w:val="21"/>
      <w:szCs w:val="21"/>
      <w:u w:val="none"/>
    </w:rPr>
  </w:style>
  <w:style w:type="character" w:customStyle="1" w:styleId="53">
    <w:name w:val="radio-btn2"/>
    <w:qFormat/>
    <w:uiPriority w:val="0"/>
    <w:rPr>
      <w:rFonts w:ascii="Times New Roman" w:hAnsi="Times New Roman" w:eastAsia="宋体" w:cs="Times New Roman"/>
      <w:sz w:val="24"/>
      <w:szCs w:val="24"/>
    </w:rPr>
  </w:style>
  <w:style w:type="character" w:customStyle="1" w:styleId="54">
    <w:name w:val="radio-btn1"/>
    <w:qFormat/>
    <w:uiPriority w:val="0"/>
    <w:rPr>
      <w:rFonts w:ascii="Times New Roman" w:hAnsi="Times New Roman" w:eastAsia="宋体" w:cs="Times New Roman"/>
      <w:sz w:val="24"/>
      <w:szCs w:val="24"/>
    </w:rPr>
  </w:style>
  <w:style w:type="character" w:customStyle="1" w:styleId="55">
    <w:name w:val="批注文字 字符1"/>
    <w:qFormat/>
    <w:uiPriority w:val="0"/>
    <w:rPr>
      <w:rFonts w:ascii="Times New Roman" w:hAnsi="Times New Roman" w:eastAsia="宋体" w:cs="Times New Roman"/>
      <w:sz w:val="24"/>
    </w:rPr>
  </w:style>
  <w:style w:type="character" w:customStyle="1" w:styleId="56">
    <w:name w:val="font01"/>
    <w:qFormat/>
    <w:uiPriority w:val="0"/>
    <w:rPr>
      <w:rFonts w:hint="default" w:ascii="Times New Roman" w:hAnsi="Times New Roman" w:eastAsia="宋体" w:cs="Times New Roman"/>
      <w:color w:val="000000"/>
      <w:sz w:val="21"/>
      <w:szCs w:val="21"/>
      <w:u w:val="none"/>
      <w:vertAlign w:val="subscript"/>
    </w:rPr>
  </w:style>
  <w:style w:type="character" w:customStyle="1" w:styleId="57">
    <w:name w:val="cur1"/>
    <w:qFormat/>
    <w:uiPriority w:val="0"/>
    <w:rPr>
      <w:rFonts w:ascii="Times New Roman" w:hAnsi="Times New Roman" w:eastAsia="宋体" w:cs="Times New Roman"/>
      <w:color w:val="FFFFFF"/>
      <w:shd w:val="clear" w:color="auto" w:fill="2F6B98"/>
    </w:rPr>
  </w:style>
  <w:style w:type="character" w:customStyle="1" w:styleId="58">
    <w:name w:val="正文文本 字符1"/>
    <w:qFormat/>
    <w:uiPriority w:val="0"/>
    <w:rPr>
      <w:rFonts w:ascii="Times New Roman" w:hAnsi="Times New Roman" w:eastAsia="宋体" w:cs="Times New Roman"/>
      <w:sz w:val="24"/>
    </w:rPr>
  </w:style>
  <w:style w:type="paragraph" w:customStyle="1" w:styleId="59">
    <w:name w:val="文章正文 Char"/>
    <w:basedOn w:val="5"/>
    <w:qFormat/>
    <w:uiPriority w:val="0"/>
    <w:pPr>
      <w:spacing w:line="520" w:lineRule="exact"/>
      <w:ind w:firstLine="200" w:firstLineChars="200"/>
    </w:pPr>
    <w:rPr>
      <w:rFonts w:ascii="宋体" w:hAnsi="宋体"/>
      <w:szCs w:val="24"/>
    </w:rPr>
  </w:style>
  <w:style w:type="paragraph" w:customStyle="1" w:styleId="60">
    <w:name w:val="管线表头"/>
    <w:basedOn w:val="1"/>
    <w:qFormat/>
    <w:uiPriority w:val="0"/>
    <w:pPr>
      <w:adjustRightInd w:val="0"/>
      <w:snapToGrid w:val="0"/>
      <w:jc w:val="center"/>
    </w:pPr>
    <w:rPr>
      <w:rFonts w:ascii="Times New Roman" w:hAnsi="Times New Roman"/>
      <w:b/>
      <w:lang w:val="zh-CN"/>
    </w:rPr>
  </w:style>
  <w:style w:type="paragraph" w:customStyle="1" w:styleId="6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2">
    <w:name w:val="正文_5"/>
    <w:qFormat/>
    <w:uiPriority w:val="0"/>
    <w:pPr>
      <w:widowControl w:val="0"/>
      <w:jc w:val="both"/>
    </w:pPr>
    <w:rPr>
      <w:rFonts w:ascii="Calibri" w:hAnsi="Calibri" w:eastAsia="宋体" w:cs="Times New Roman"/>
      <w:kern w:val="2"/>
      <w:sz w:val="21"/>
      <w:lang w:val="en-US" w:eastAsia="zh-CN" w:bidi="ar-SA"/>
    </w:rPr>
  </w:style>
  <w:style w:type="paragraph" w:customStyle="1" w:styleId="63">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4">
    <w:name w:val="Other|2"/>
    <w:basedOn w:val="1"/>
    <w:qFormat/>
    <w:uiPriority w:val="0"/>
    <w:pPr>
      <w:spacing w:before="300"/>
      <w:jc w:val="center"/>
    </w:pPr>
    <w:rPr>
      <w:rFonts w:ascii="宋体" w:hAnsi="宋体" w:cs="宋体"/>
      <w:sz w:val="20"/>
      <w:szCs w:val="20"/>
      <w:lang w:val="zh-TW" w:eastAsia="zh-TW" w:bidi="zh-TW"/>
    </w:rPr>
  </w:style>
  <w:style w:type="paragraph" w:customStyle="1" w:styleId="65">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66">
    <w:name w:val="正文_6"/>
    <w:qFormat/>
    <w:uiPriority w:val="0"/>
    <w:pPr>
      <w:widowControl w:val="0"/>
      <w:jc w:val="both"/>
    </w:pPr>
    <w:rPr>
      <w:rFonts w:ascii="Calibri" w:hAnsi="Calibri" w:eastAsia="宋体" w:cs="Times New Roman"/>
      <w:kern w:val="2"/>
      <w:sz w:val="21"/>
      <w:lang w:val="en-US" w:eastAsia="zh-CN" w:bidi="ar-SA"/>
    </w:rPr>
  </w:style>
  <w:style w:type="paragraph" w:customStyle="1" w:styleId="67">
    <w:name w:val="应填表格"/>
    <w:basedOn w:val="1"/>
    <w:qFormat/>
    <w:uiPriority w:val="0"/>
    <w:pPr>
      <w:adjustRightInd w:val="0"/>
      <w:spacing w:before="40" w:after="40"/>
      <w:jc w:val="left"/>
      <w:textAlignment w:val="baseline"/>
    </w:pPr>
    <w:rPr>
      <w:rFonts w:ascii="Times New Roman" w:hAnsi="Times New Roman"/>
      <w:sz w:val="24"/>
      <w:szCs w:val="20"/>
    </w:rPr>
  </w:style>
  <w:style w:type="paragraph" w:customStyle="1" w:styleId="68">
    <w:name w:val="表格内容"/>
    <w:basedOn w:val="1"/>
    <w:qFormat/>
    <w:uiPriority w:val="0"/>
    <w:pPr>
      <w:spacing w:line="320" w:lineRule="exact"/>
      <w:jc w:val="center"/>
    </w:pPr>
    <w:rPr>
      <w:rFonts w:ascii="Times New Roman" w:hAnsi="Times New Roman"/>
      <w:szCs w:val="22"/>
    </w:rPr>
  </w:style>
  <w:style w:type="character" w:customStyle="1" w:styleId="69">
    <w:name w:val="first-child"/>
    <w:qFormat/>
    <w:uiPriority w:val="0"/>
  </w:style>
  <w:style w:type="character" w:customStyle="1" w:styleId="70">
    <w:name w:val="layui-this"/>
    <w:qFormat/>
    <w:uiPriority w:val="0"/>
    <w:rPr>
      <w:bdr w:val="single" w:color="EEEEEE" w:sz="4" w:space="0"/>
      <w:shd w:val="clear" w:color="auto" w:fill="FFFFFF"/>
    </w:rPr>
  </w:style>
  <w:style w:type="character" w:customStyle="1" w:styleId="71">
    <w:name w:val="layui-layer-tabnow"/>
    <w:qFormat/>
    <w:uiPriority w:val="0"/>
    <w:rPr>
      <w:bdr w:val="single" w:color="CCCCCC" w:sz="4" w:space="0"/>
      <w:shd w:val="clear" w:color="auto" w:fill="FFFFFF"/>
    </w:rPr>
  </w:style>
  <w:style w:type="character" w:customStyle="1" w:styleId="72">
    <w:name w:val="hover14"/>
    <w:qFormat/>
    <w:uiPriority w:val="0"/>
    <w:rPr>
      <w:color w:val="CCCCCC"/>
    </w:rPr>
  </w:style>
  <w:style w:type="character" w:customStyle="1" w:styleId="73">
    <w:name w:val="layui-laypage-curr"/>
    <w:qFormat/>
    <w:uiPriority w:val="0"/>
  </w:style>
  <w:style w:type="character" w:customStyle="1" w:styleId="74">
    <w:name w:val="nth-of-type(1)"/>
    <w:qFormat/>
    <w:uiPriority w:val="0"/>
  </w:style>
  <w:style w:type="paragraph" w:customStyle="1" w:styleId="75">
    <w:name w:val="Other|1"/>
    <w:basedOn w:val="1"/>
    <w:qFormat/>
    <w:uiPriority w:val="0"/>
    <w:pPr>
      <w:spacing w:line="312" w:lineRule="exact"/>
    </w:pPr>
    <w:rPr>
      <w:rFonts w:ascii="宋体" w:hAnsi="宋体" w:cs="宋体"/>
      <w:lang w:val="zh-TW" w:eastAsia="zh-TW" w:bidi="zh-TW"/>
    </w:rPr>
  </w:style>
  <w:style w:type="paragraph" w:customStyle="1" w:styleId="76">
    <w:name w:val="样式 样式 样式 样式 样式 样式 首行缩进:  1 字符 + 首行缩进:  2 字符2 + 首行缩进:  2 字符 行距: 固..."/>
    <w:basedOn w:val="1"/>
    <w:qFormat/>
    <w:uiPriority w:val="0"/>
    <w:pPr>
      <w:adjustRightInd w:val="0"/>
      <w:snapToGrid w:val="0"/>
      <w:spacing w:line="360" w:lineRule="auto"/>
      <w:ind w:firstLine="480" w:firstLineChars="200"/>
    </w:pPr>
    <w:rPr>
      <w:rFonts w:ascii="宋体" w:hAnsi="宋体" w:cs="宋体"/>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28</Pages>
  <Words>13562</Words>
  <Characters>15622</Characters>
  <Lines>125</Lines>
  <Paragraphs>35</Paragraphs>
  <TotalTime>17</TotalTime>
  <ScaleCrop>false</ScaleCrop>
  <LinksUpToDate>false</LinksUpToDate>
  <CharactersWithSpaces>15802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小白</cp:lastModifiedBy>
  <cp:lastPrinted>2020-12-29T02:43:00Z</cp:lastPrinted>
  <dcterms:modified xsi:type="dcterms:W3CDTF">2023-07-06T09:03:04Z</dcterms:modified>
  <dc:title>附件2</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3A20E6238A8C420D86C262056C64B08C_13</vt:lpwstr>
  </property>
</Properties>
</file>