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西安市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莲湖区文化和旅游体育局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法治政府建设工作报告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区委（区政府）：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ascii="仿宋_GB2312" w:hAnsi="仿宋_GB2312" w:eastAsia="仿宋_GB2312" w:cs="仿宋_GB2312"/>
          <w:sz w:val="32"/>
          <w:szCs w:val="32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年，莲湖区文化和旅游体育局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认真贯彻落实依法治国基本方略，不断强化法治意识，提升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行政效能，推进法治政府建设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</w:rPr>
        <w:t>。</w:t>
      </w:r>
      <w:r>
        <w:rPr>
          <w:rFonts w:hint="eastAsia" w:ascii="仿宋_GB2312" w:eastAsia="仿宋_GB2312"/>
          <w:sz w:val="32"/>
          <w:szCs w:val="32"/>
        </w:rPr>
        <w:t>根据省、市、区相关会议精神和《莲湖区2022年依法治区工作要点》文件要求，严格落实依法治区工作，在制度创新、依法行政、法制宣传等方面持续推进，现将相关工作开展情况汇报如下。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</w:rPr>
        <w:t>一、</w:t>
      </w:r>
      <w:r>
        <w:rPr>
          <w:rFonts w:hint="eastAsia" w:ascii="黑体" w:hAnsi="黑体" w:eastAsia="黑体" w:cs="仿宋_GB2312"/>
          <w:sz w:val="32"/>
          <w:szCs w:val="32"/>
          <w:lang w:eastAsia="zh-CN"/>
        </w:rPr>
        <w:t>推进法治政府建设的主要举措和成效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（一）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优化服务效能，全心为民所想。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严格按照公共文化服务“两法一条例”相关要求，全力推进公共文化服务体系高质量发展工作。严格遵守政府采购规定，投入99.56万元，通过招标，为全区54个社区配备各类公共文化服务设施200余件，配备图书2000余册。同时，建设莲湖区图书馆数字化网站，为9个街道文化站配备公共文化服务一体机，加快推进莲湖区公共文化服务数字化进程。同时，按照《公共文化服务管理条例》关于“两馆一站”免费开放经费要求，拨付图书馆、文化馆、街道文化站专项经费85万元，专门用于补齐基层公共文化服务短板，持续为基层文化站点配备各类活动器材、演出道具、报刊杂志等群众日常文化生活用品，确保公共文化服务投入不间断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不断提升公众满意度，推进“小切口”解决“大问题”专项行动。严格对照街道文化站和社区综合文化服务中心服务效能和硬件要求，坚持每个月抽查18个社区综合文化服务中心，对照建设标准排查服务事项开展及配套设施建设情况，针对基层反映的问题及时协调上级部门进行指导整改，全面提升基层公共文化服务环境。真正做到社区“吹哨子”，部门“快行动”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优化营商环境，全力为民服务。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全面梳理我局行政事权项目，按照全市统一要求，将4</w:t>
      </w:r>
      <w:r>
        <w:rPr>
          <w:rFonts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个事权全部纳入莲湖区一体化政务服务平台，并认真梳理各项流程规范，确保所有事项部门一次性说清，群众一次性看清，流程一次性理清。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建立事项办理、投诉处理、咨询受理三个事项不过夜服务体系。一方面，推行企业扶持政策咨询、业务办理一次性办结，今年以来，共受理企业项目资金扶持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项，落实资金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1021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万元，受理民办非企业登记初审、行政备案事项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项，办结率100%，处理12345、政府信箱、群众满意度投诉咨询事项</w:t>
      </w:r>
      <w:r>
        <w:rPr>
          <w:rFonts w:ascii="仿宋_GB2312" w:hAnsi="仿宋_GB2312" w:eastAsia="仿宋_GB2312" w:cs="仿宋_GB2312"/>
          <w:sz w:val="32"/>
          <w:szCs w:val="32"/>
        </w:rPr>
        <w:t>900</w:t>
      </w:r>
      <w:r>
        <w:rPr>
          <w:rFonts w:hint="eastAsia" w:ascii="仿宋_GB2312" w:hAnsi="仿宋_GB2312" w:eastAsia="仿宋_GB2312" w:cs="仿宋_GB2312"/>
          <w:sz w:val="32"/>
          <w:szCs w:val="32"/>
        </w:rPr>
        <w:t>余项，办理行政处罚案件</w:t>
      </w:r>
      <w:r>
        <w:rPr>
          <w:rFonts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件，核查处理涉嫌养老诈骗线索6件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,</w:t>
      </w:r>
      <w:r>
        <w:rPr>
          <w:rFonts w:hint="eastAsia" w:ascii="仿宋_GB2312" w:hAnsi="仿宋_GB2312" w:eastAsia="仿宋_GB2312" w:cs="仿宋_GB2312"/>
          <w:sz w:val="32"/>
          <w:szCs w:val="32"/>
        </w:rPr>
        <w:t>为群众挽回经济损失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sz w:val="32"/>
          <w:szCs w:val="32"/>
        </w:rPr>
        <w:t>余万元。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（三）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优化部门职能，全面为民执政。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坚决守好安全底线。严格按照安全生产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法规制度推进安全生产工作，与</w:t>
      </w:r>
      <w:r>
        <w:rPr>
          <w:rFonts w:ascii="仿宋_GB2312" w:hAnsi="仿宋_GB2312" w:eastAsia="仿宋_GB2312" w:cs="仿宋_GB2312"/>
          <w:sz w:val="32"/>
          <w:szCs w:val="32"/>
        </w:rPr>
        <w:t>350</w:t>
      </w:r>
      <w:r>
        <w:rPr>
          <w:rFonts w:hint="eastAsia" w:ascii="仿宋_GB2312" w:hAnsi="仿宋_GB2312" w:eastAsia="仿宋_GB2312" w:cs="仿宋_GB2312"/>
          <w:sz w:val="32"/>
          <w:szCs w:val="32"/>
        </w:rPr>
        <w:t>家文旅体企业签订安全生产责任书，结合“双随机、一公开”体系要求，开展以日常检查、专项检查、突击抽查、回头望检查相结合的安全生产督导工作，今年一来共出动检查人员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600余</w:t>
      </w:r>
      <w:r>
        <w:rPr>
          <w:rFonts w:hint="eastAsia" w:ascii="仿宋_GB2312" w:hAnsi="仿宋_GB2312" w:eastAsia="仿宋_GB2312" w:cs="仿宋_GB2312"/>
          <w:sz w:val="32"/>
          <w:szCs w:val="32"/>
        </w:rPr>
        <w:t>人次，查找问题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个，文旅体行业未出现重大安全生产事故。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筑牢疫情防控底线。我们严格遵照国家、省、市相关疫情防控要求，不加码、不放松，守好防疫人员关、措施关、制度关、物资关，重点解决聚集性场所堂食、监控、扫码测温、行程码查验等重点环节，全面落实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赋色管理</w:t>
      </w:r>
      <w:r>
        <w:rPr>
          <w:rFonts w:hint="eastAsia" w:ascii="仿宋_GB2312" w:hAnsi="仿宋_GB2312" w:eastAsia="仿宋_GB2312" w:cs="仿宋_GB2312"/>
          <w:sz w:val="32"/>
          <w:szCs w:val="32"/>
        </w:rPr>
        <w:t>”牌管理要求，今年以来共关停不合规文旅场所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个，处理相关责任企业和个人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个，全面控制文旅体行业疫情传播风险。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</w:rPr>
        <w:t>坚决维护行业稳定底线。依法对</w:t>
      </w:r>
      <w:r>
        <w:rPr>
          <w:rFonts w:hint="eastAsia" w:ascii="仿宋_GB2312" w:eastAsia="仿宋_GB2312"/>
          <w:sz w:val="32"/>
          <w:szCs w:val="32"/>
        </w:rPr>
        <w:t>文化、旅游行业开展执法检查，对执法检查中发现的违法违规经营单位，均严格依据《行政处罚法》和自由裁量权的相关规定进行处理，确保</w:t>
      </w:r>
      <w:r>
        <w:rPr>
          <w:rFonts w:hint="eastAsia" w:ascii="仿宋_GB2312" w:hAnsi="??" w:eastAsia="仿宋_GB2312"/>
          <w:sz w:val="32"/>
          <w:szCs w:val="32"/>
        </w:rPr>
        <w:t>引用处罚的条款清楚明确，案件主要材料证据完备，处罚决定书填写规范、手续齐全，并当场递交或送达至被处罚当事人签收确认。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仿宋_GB2312"/>
          <w:sz w:val="32"/>
          <w:szCs w:val="32"/>
        </w:rPr>
        <w:t>、</w:t>
      </w:r>
      <w:r>
        <w:rPr>
          <w:rFonts w:hint="eastAsia" w:ascii="黑体" w:hAnsi="黑体" w:eastAsia="黑体" w:cs="仿宋_GB2312"/>
          <w:sz w:val="32"/>
          <w:szCs w:val="32"/>
          <w:lang w:eastAsia="zh-CN"/>
        </w:rPr>
        <w:t>党政主要负责人履行推进法制建设第一责任人职责情况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（一）发挥领导干部的风向标作用，建设高素质法治队伍。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带头增强法治意识、提高法治素养，以身作则、以上率下，严格按照法规制度办事，做尊法学法守法用法的模范，以实际行动带动全局尊法学法守法用法，从而建设高水平法治队伍。大力提高法治队伍业务素质能力，确保政治过硬、业务过硬、责任过硬、纪律过硬、作风过硬，为加快建设法治辖区提供有力人才保障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eastAsia="zh-CN"/>
        </w:rPr>
        <w:t>（二）</w:t>
      </w: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</w:rPr>
        <w:t>带头学、示范学，把法制建设放在落实各项工作的第一位。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学习关于依法行政、政务服务、政府采购、项目建设等方面的法规制度要求，全盘掌握全局工作中涉及法务、法规的工作事项，全面掌握相关法规理论。同时，严格按照“三重一大”要求落实资金和重大事项研究工作，聘请专业的法律顾问，针对合同签订、工程监理、财务制度，对全局干部进行培训，确保在重要环节不出问题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仿宋_GB2312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sz w:val="32"/>
          <w:szCs w:val="32"/>
          <w:lang w:eastAsia="zh-CN"/>
        </w:rPr>
        <w:t>三</w:t>
      </w:r>
      <w:r>
        <w:rPr>
          <w:rFonts w:hint="eastAsia" w:ascii="黑体" w:hAnsi="黑体" w:eastAsia="黑体" w:cs="仿宋_GB2312"/>
          <w:sz w:val="32"/>
          <w:szCs w:val="32"/>
        </w:rPr>
        <w:t>、</w:t>
      </w:r>
      <w:r>
        <w:rPr>
          <w:rFonts w:hint="eastAsia" w:ascii="黑体" w:hAnsi="黑体" w:eastAsia="黑体" w:cs="仿宋_GB2312"/>
          <w:sz w:val="32"/>
          <w:szCs w:val="32"/>
          <w:lang w:eastAsia="zh-CN"/>
        </w:rPr>
        <w:t>推进法治政府建设存在的不足和原因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法制宣传体系建设有待完善。要加强企业和从业人员的法律意识和责任，在实时普法、公益普法、精准普法上下足功夫，以提高普法针对性和实效性为工作着力点，形成法治需求与普法供给之间更高水平的动态平衡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。二是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突发事件处理能力有待提高，要加强处置群体事件、突发事件和重大安全生产事故的处置处理能力，压实责任，绷紧安全之弦。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楷体_GB2312" w:hAnsi="楷体_GB2312" w:eastAsia="楷体_GB2312" w:cs="楷体_GB2312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_GB2312"/>
          <w:sz w:val="32"/>
          <w:szCs w:val="32"/>
          <w:lang w:eastAsia="zh-CN"/>
        </w:rPr>
        <w:t>四、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2023年推进法治政府建设的主要安排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</w:rPr>
        <w:t>加大法治政府建设下沉力度。定期前往企业、社区宣传相关法律法规，让企业和群众了解法治政府建设内容，尝试开展“透明监管”措施，要求社会监督员监督日常执法行为，从被管理人的角度提出相关建议，形成学法用法的政企互动模式。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</w:rPr>
        <w:t>加强机关工作人员的法律培训。定期开展各类学法用法培训，组织行业法规大比武活动，让每个工作人员都能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懂法、</w:t>
      </w:r>
      <w:r>
        <w:rPr>
          <w:rFonts w:hint="eastAsia" w:ascii="仿宋_GB2312" w:hAnsi="仿宋_GB2312" w:eastAsia="仿宋_GB2312" w:cs="仿宋_GB2312"/>
          <w:sz w:val="32"/>
          <w:szCs w:val="32"/>
        </w:rPr>
        <w:t>敬法、学法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、用法，凝心聚力筑法治之基、行法治之力、积法治之势，让“遇事讲法、遇事找法”的法治信仰在文旅体行业落地生根。</w:t>
      </w: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20" w:firstLineChars="200"/>
        <w:textAlignment w:val="auto"/>
        <w:rPr>
          <w:rFonts w:hint="eastAsia"/>
          <w:lang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/>
          <w:lang w:eastAsia="zh-CN"/>
        </w:rPr>
      </w:pPr>
    </w:p>
    <w:p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520" w:firstLineChars="11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莲湖区文化和旅游体育局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840" w:firstLineChars="1200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2022年12月29日</w:t>
      </w:r>
    </w:p>
    <w:p>
      <w:pPr>
        <w:pStyle w:val="2"/>
        <w:jc w:val="right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 xml:space="preserve">   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pgNumType w:fmt="numberInDash" w:start="1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34290076"/>
      <w:docPartObj>
        <w:docPartGallery w:val="autotext"/>
      </w:docPartObj>
    </w:sdtPr>
    <w:sdtContent>
      <w:p>
        <w:pPr>
          <w:pStyle w:val="4"/>
          <w:jc w:val="center"/>
        </w:pPr>
        <w:r>
          <w:ptab w:relativeTo="margin" w:alignment="right" w:leader="none"/>
        </w:r>
        <w:r>
          <w:rPr>
            <w:rFonts w:hint="eastAsia" w:ascii="宋体" w:hAnsi="宋体" w:eastAsia="宋体" w:cs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 w:cs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 w:cs="宋体"/>
            <w:sz w:val="28"/>
            <w:szCs w:val="28"/>
          </w:rPr>
          <w:fldChar w:fldCharType="separate"/>
        </w:r>
        <w:r>
          <w:rPr>
            <w:rFonts w:hint="eastAsia" w:ascii="宋体" w:hAnsi="宋体" w:eastAsia="宋体" w:cs="宋体"/>
            <w:sz w:val="28"/>
            <w:szCs w:val="28"/>
            <w:lang w:val="zh-CN"/>
          </w:rPr>
          <w:t>-</w:t>
        </w:r>
        <w:r>
          <w:rPr>
            <w:rFonts w:hint="eastAsia" w:ascii="宋体" w:hAnsi="宋体" w:eastAsia="宋体" w:cs="宋体"/>
            <w:sz w:val="28"/>
            <w:szCs w:val="28"/>
          </w:rPr>
          <w:t xml:space="preserve"> 1 -</w:t>
        </w:r>
        <w:r>
          <w:rPr>
            <w:rFonts w:hint="eastAsia" w:ascii="宋体" w:hAnsi="宋体" w:eastAsia="宋体" w:cs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hint="eastAsia" w:ascii="宋体" w:hAnsi="宋体" w:eastAsia="宋体" w:cs="宋体"/>
        <w:sz w:val="28"/>
        <w:szCs w:val="28"/>
      </w:rPr>
      <w:id w:val="1393150521"/>
      <w:docPartObj>
        <w:docPartGallery w:val="autotext"/>
      </w:docPartObj>
    </w:sdtPr>
    <w:sdtEndPr>
      <w:rPr>
        <w:rFonts w:hint="eastAsia" w:ascii="宋体" w:hAnsi="宋体" w:eastAsia="宋体" w:cs="宋体"/>
        <w:sz w:val="28"/>
        <w:szCs w:val="28"/>
      </w:rPr>
    </w:sdtEndPr>
    <w:sdtContent>
      <w:p>
        <w:pPr>
          <w:pStyle w:val="4"/>
        </w:pPr>
        <w:r>
          <w:rPr>
            <w:rFonts w:hint="eastAsia" w:ascii="宋体" w:hAnsi="宋体" w:eastAsia="宋体" w:cs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 w:cs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 w:cs="宋体"/>
            <w:sz w:val="28"/>
            <w:szCs w:val="28"/>
          </w:rPr>
          <w:fldChar w:fldCharType="separate"/>
        </w:r>
        <w:r>
          <w:rPr>
            <w:rFonts w:hint="eastAsia" w:ascii="宋体" w:hAnsi="宋体" w:eastAsia="宋体" w:cs="宋体"/>
            <w:sz w:val="28"/>
            <w:szCs w:val="28"/>
            <w:lang w:val="zh-CN"/>
          </w:rPr>
          <w:t>-</w:t>
        </w:r>
        <w:r>
          <w:rPr>
            <w:rFonts w:hint="eastAsia" w:ascii="宋体" w:hAnsi="宋体" w:eastAsia="宋体" w:cs="宋体"/>
            <w:sz w:val="28"/>
            <w:szCs w:val="28"/>
          </w:rPr>
          <w:t xml:space="preserve"> 4 -</w:t>
        </w:r>
        <w:r>
          <w:rPr>
            <w:rFonts w:hint="eastAsia" w:ascii="宋体" w:hAnsi="宋体" w:eastAsia="宋体" w:cs="宋体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doNotDisplayPageBoundaries w:val="1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FmNDFkMDRiZjJhMzI5M2EyOThhNDE4OTdhZGU2YTgifQ=="/>
  </w:docVars>
  <w:rsids>
    <w:rsidRoot w:val="00172A27"/>
    <w:rsid w:val="00172A27"/>
    <w:rsid w:val="00387F65"/>
    <w:rsid w:val="003B1B3E"/>
    <w:rsid w:val="004055BE"/>
    <w:rsid w:val="00542ED1"/>
    <w:rsid w:val="00804178"/>
    <w:rsid w:val="008B2BF1"/>
    <w:rsid w:val="009B528B"/>
    <w:rsid w:val="00C210C4"/>
    <w:rsid w:val="00E3750E"/>
    <w:rsid w:val="00F56E92"/>
    <w:rsid w:val="0D272220"/>
    <w:rsid w:val="0FCD5301"/>
    <w:rsid w:val="156102B8"/>
    <w:rsid w:val="16905228"/>
    <w:rsid w:val="18F52E0B"/>
    <w:rsid w:val="1B4E306E"/>
    <w:rsid w:val="27434B05"/>
    <w:rsid w:val="2BE80929"/>
    <w:rsid w:val="36044790"/>
    <w:rsid w:val="42C623E0"/>
    <w:rsid w:val="42C910A8"/>
    <w:rsid w:val="46D0481A"/>
    <w:rsid w:val="475346B9"/>
    <w:rsid w:val="49F9339E"/>
    <w:rsid w:val="4D62461F"/>
    <w:rsid w:val="4DD252B5"/>
    <w:rsid w:val="63604CB9"/>
    <w:rsid w:val="6F273056"/>
    <w:rsid w:val="777F5BFE"/>
    <w:rsid w:val="77B65F89"/>
    <w:rsid w:val="78FD327E"/>
    <w:rsid w:val="7BF22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日期 字符"/>
    <w:basedOn w:val="7"/>
    <w:link w:val="3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5</Pages>
  <Words>2173</Words>
  <Characters>2220</Characters>
  <Lines>13</Lines>
  <Paragraphs>3</Paragraphs>
  <TotalTime>30</TotalTime>
  <ScaleCrop>false</ScaleCrop>
  <LinksUpToDate>false</LinksUpToDate>
  <CharactersWithSpaces>2223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2022-10-26T16:24:00Z</dcterms:created>
  <dc:creator>哀木涕1394431856</dc:creator>
  <cp:lastModifiedBy>Administrator</cp:lastModifiedBy>
  <cp:lastPrinted>2022-12-29T09:03:00Z</cp:lastPrinted>
  <dcterms:modified xsi:type="dcterms:W3CDTF">2023-01-28T02:58:43Z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4D54FD791DBE4B30A92F454571E46C2B</vt:lpwstr>
  </property>
</Properties>
</file>