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6"/>
          <w:szCs w:val="36"/>
        </w:rPr>
      </w:pPr>
      <w:r>
        <w:rPr>
          <w:rFonts w:hint="eastAsia" w:ascii="仿宋_GB2312" w:hAnsi="仿宋_GB2312" w:eastAsia="仿宋_GB2312" w:cs="仿宋_GB2312"/>
          <w:sz w:val="36"/>
          <w:szCs w:val="36"/>
        </w:rPr>
        <w:t xml:space="preserve"> </w:t>
      </w:r>
    </w:p>
    <w:p>
      <w:pPr>
        <w:rPr>
          <w:rFonts w:ascii="仿宋_GB2312" w:hAnsi="仿宋_GB2312" w:eastAsia="仿宋_GB2312" w:cs="仿宋_GB2312"/>
          <w:sz w:val="36"/>
          <w:szCs w:val="36"/>
        </w:rPr>
      </w:pPr>
    </w:p>
    <w:p>
      <w:pPr>
        <w:rPr>
          <w:rFonts w:ascii="仿宋_GB2312" w:hAnsi="仿宋_GB2312" w:eastAsia="仿宋_GB2312" w:cs="仿宋_GB2312"/>
          <w:sz w:val="36"/>
          <w:szCs w:val="36"/>
        </w:rPr>
      </w:pPr>
    </w:p>
    <w:p>
      <w:pPr>
        <w:rPr>
          <w:rFonts w:ascii="仿宋_GB2312" w:hAnsi="仿宋_GB2312" w:eastAsia="仿宋_GB2312" w:cs="仿宋_GB2312"/>
          <w:color w:val="auto"/>
          <w:sz w:val="36"/>
          <w:szCs w:val="36"/>
        </w:rPr>
      </w:pPr>
      <w:r>
        <w:rPr>
          <w:rFonts w:hint="eastAsia" w:ascii="仿宋_GB2312" w:hAnsi="仿宋_GB2312" w:eastAsia="仿宋_GB2312" w:cs="仿宋_GB2312"/>
          <w:sz w:val="36"/>
          <w:szCs w:val="36"/>
        </w:rPr>
        <w:t xml:space="preserve"> </w:t>
      </w:r>
    </w:p>
    <w:p>
      <w:pPr>
        <w:adjustRightInd w:val="0"/>
        <w:snapToGrid w:val="0"/>
        <w:jc w:val="center"/>
        <w:outlineLvl w:val="0"/>
        <w:rPr>
          <w:rFonts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pPr>
        <w:adjustRightInd w:val="0"/>
        <w:snapToGrid w:val="0"/>
        <w:spacing w:before="192" w:beforeLines="80"/>
        <w:jc w:val="center"/>
        <w:rPr>
          <w:rFonts w:ascii="楷体_GB2312" w:eastAsia="楷体_GB2312"/>
          <w:bCs/>
          <w:color w:val="auto"/>
          <w:sz w:val="48"/>
          <w:szCs w:val="48"/>
        </w:rPr>
      </w:pPr>
      <w:r>
        <w:rPr>
          <w:rFonts w:hint="eastAsia" w:ascii="楷体_GB2312" w:eastAsia="楷体_GB2312"/>
          <w:bCs/>
          <w:color w:val="auto"/>
          <w:sz w:val="48"/>
          <w:szCs w:val="48"/>
        </w:rPr>
        <w:t>（污染影响类）</w:t>
      </w:r>
    </w:p>
    <w:p>
      <w:pPr>
        <w:adjustRightInd w:val="0"/>
        <w:snapToGrid w:val="0"/>
        <w:spacing w:line="288" w:lineRule="auto"/>
        <w:jc w:val="center"/>
        <w:outlineLvl w:val="0"/>
        <w:rPr>
          <w:rFonts w:ascii="华文仿宋" w:hAnsi="华文仿宋" w:eastAsia="华文仿宋" w:cs="华文仿宋"/>
          <w:color w:val="auto"/>
          <w:kern w:val="44"/>
          <w:sz w:val="44"/>
          <w:szCs w:val="44"/>
        </w:rPr>
      </w:pPr>
    </w:p>
    <w:p>
      <w:pPr>
        <w:jc w:val="center"/>
        <w:rPr>
          <w:rFonts w:eastAsia="仿宋"/>
          <w:color w:val="auto"/>
          <w:sz w:val="52"/>
          <w:szCs w:val="52"/>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adjustRightInd w:val="0"/>
        <w:snapToGrid w:val="0"/>
        <w:spacing w:line="288" w:lineRule="auto"/>
        <w:ind w:firstLine="640" w:firstLineChars="200"/>
        <w:rPr>
          <w:rFonts w:ascii="仿宋_GB2312" w:eastAsia="仿宋_GB2312"/>
          <w:color w:val="auto"/>
          <w:sz w:val="32"/>
          <w:szCs w:val="32"/>
          <w:u w:val="single"/>
        </w:rPr>
      </w:pPr>
      <w:r>
        <w:rPr>
          <w:rFonts w:hint="eastAsia" w:ascii="仿宋_GB2312" w:eastAsia="仿宋_GB2312"/>
          <w:color w:val="auto"/>
          <w:sz w:val="32"/>
          <w:szCs w:val="32"/>
        </w:rPr>
        <w:t>项目名称：</w:t>
      </w:r>
      <w:r>
        <w:rPr>
          <w:rFonts w:hint="eastAsia" w:ascii="仿宋_GB2312" w:eastAsia="仿宋_GB2312"/>
          <w:color w:val="auto"/>
          <w:sz w:val="32"/>
          <w:szCs w:val="32"/>
          <w:u w:val="single"/>
        </w:rPr>
        <w:t xml:space="preserve"> </w:t>
      </w:r>
      <w:r>
        <w:rPr>
          <w:rFonts w:ascii="仿宋_GB2312" w:eastAsia="仿宋_GB2312"/>
          <w:color w:val="auto"/>
          <w:sz w:val="32"/>
          <w:szCs w:val="32"/>
          <w:u w:val="single"/>
        </w:rPr>
        <w:t xml:space="preserve">    </w:t>
      </w:r>
      <w:r>
        <w:rPr>
          <w:rFonts w:hint="eastAsia" w:ascii="仿宋_GB2312" w:eastAsia="仿宋_GB2312"/>
          <w:color w:val="auto"/>
          <w:sz w:val="32"/>
          <w:szCs w:val="32"/>
          <w:u w:val="single"/>
        </w:rPr>
        <w:t>西安</w:t>
      </w:r>
      <w:r>
        <w:rPr>
          <w:rFonts w:ascii="仿宋_GB2312" w:eastAsia="仿宋_GB2312"/>
          <w:color w:val="auto"/>
          <w:sz w:val="32"/>
          <w:szCs w:val="32"/>
          <w:u w:val="single"/>
        </w:rPr>
        <w:t>瑞鹏宠物医院太奥分院</w:t>
      </w:r>
      <w:r>
        <w:rPr>
          <w:rFonts w:hint="eastAsia" w:ascii="仿宋_GB2312" w:eastAsia="仿宋_GB2312"/>
          <w:color w:val="auto"/>
          <w:sz w:val="32"/>
          <w:szCs w:val="32"/>
          <w:u w:val="single"/>
        </w:rPr>
        <w:t xml:space="preserve">建设项目  </w:t>
      </w:r>
      <w:r>
        <w:rPr>
          <w:rFonts w:ascii="仿宋_GB2312" w:eastAsia="仿宋_GB2312"/>
          <w:color w:val="auto"/>
          <w:sz w:val="32"/>
          <w:szCs w:val="32"/>
          <w:u w:val="single"/>
        </w:rPr>
        <w:t xml:space="preserve">   </w:t>
      </w:r>
    </w:p>
    <w:p>
      <w:pPr>
        <w:adjustRightInd w:val="0"/>
        <w:snapToGrid w:val="0"/>
        <w:spacing w:before="120" w:beforeLines="50" w:after="120" w:afterLines="50" w:line="288" w:lineRule="auto"/>
        <w:ind w:left="105" w:leftChars="50" w:firstLine="480" w:firstLineChars="150"/>
        <w:rPr>
          <w:rFonts w:ascii="仿宋_GB2312" w:eastAsia="仿宋_GB2312"/>
          <w:color w:val="auto"/>
          <w:sz w:val="32"/>
          <w:szCs w:val="32"/>
          <w:u w:val="single"/>
        </w:rPr>
      </w:pPr>
      <w:r>
        <w:rPr>
          <w:rFonts w:hint="eastAsia" w:ascii="仿宋_GB2312" w:eastAsia="仿宋_GB2312"/>
          <w:color w:val="auto"/>
          <w:sz w:val="32"/>
          <w:szCs w:val="32"/>
        </w:rPr>
        <w:t>建设单位（盖章）：</w:t>
      </w:r>
      <w:r>
        <w:rPr>
          <w:rFonts w:hint="eastAsia" w:ascii="仿宋_GB2312" w:eastAsia="仿宋_GB2312"/>
          <w:color w:val="auto"/>
          <w:sz w:val="32"/>
          <w:szCs w:val="32"/>
          <w:u w:val="single"/>
        </w:rPr>
        <w:t>西安</w:t>
      </w:r>
      <w:r>
        <w:rPr>
          <w:rFonts w:ascii="仿宋_GB2312" w:eastAsia="仿宋_GB2312"/>
          <w:color w:val="auto"/>
          <w:sz w:val="32"/>
          <w:szCs w:val="32"/>
          <w:u w:val="single"/>
        </w:rPr>
        <w:t>瑞鹏宠物医院有限公司太奥分公司</w:t>
      </w:r>
    </w:p>
    <w:p>
      <w:pPr>
        <w:adjustRightInd w:val="0"/>
        <w:snapToGrid w:val="0"/>
        <w:spacing w:line="288" w:lineRule="auto"/>
        <w:ind w:firstLine="640" w:firstLineChars="200"/>
        <w:rPr>
          <w:rFonts w:ascii="仿宋_GB2312" w:eastAsia="仿宋_GB2312"/>
          <w:color w:val="auto"/>
          <w:sz w:val="32"/>
          <w:szCs w:val="32"/>
          <w:u w:val="single"/>
        </w:rPr>
      </w:pPr>
      <w:r>
        <w:rPr>
          <w:rFonts w:hint="eastAsia" w:ascii="仿宋_GB2312" w:eastAsia="仿宋_GB2312"/>
          <w:color w:val="auto"/>
          <w:sz w:val="32"/>
          <w:szCs w:val="32"/>
        </w:rPr>
        <w:t>编制日期：</w:t>
      </w:r>
      <w:r>
        <w:rPr>
          <w:rFonts w:hint="eastAsia" w:ascii="仿宋_GB2312" w:eastAsia="仿宋_GB2312"/>
          <w:color w:val="auto"/>
          <w:sz w:val="32"/>
          <w:szCs w:val="32"/>
          <w:u w:val="single"/>
        </w:rPr>
        <w:t xml:space="preserve"> </w:t>
      </w:r>
      <w:r>
        <w:rPr>
          <w:rFonts w:ascii="仿宋_GB2312" w:eastAsia="仿宋_GB2312"/>
          <w:color w:val="auto"/>
          <w:sz w:val="32"/>
          <w:szCs w:val="32"/>
          <w:u w:val="single"/>
        </w:rPr>
        <w:t xml:space="preserve">   </w:t>
      </w:r>
      <w:r>
        <w:rPr>
          <w:rFonts w:hint="eastAsia" w:ascii="仿宋_GB2312" w:eastAsia="仿宋_GB2312"/>
          <w:color w:val="auto"/>
          <w:sz w:val="32"/>
          <w:szCs w:val="32"/>
          <w:u w:val="single"/>
        </w:rPr>
        <w:t xml:space="preserve">     </w:t>
      </w:r>
      <w:r>
        <w:rPr>
          <w:rFonts w:ascii="仿宋_GB2312" w:eastAsia="仿宋_GB2312"/>
          <w:color w:val="auto"/>
          <w:sz w:val="32"/>
          <w:szCs w:val="32"/>
          <w:u w:val="single"/>
        </w:rPr>
        <w:t xml:space="preserve"> </w:t>
      </w:r>
      <w:r>
        <w:rPr>
          <w:rFonts w:hint="eastAsia" w:ascii="仿宋_GB2312" w:eastAsia="仿宋_GB2312"/>
          <w:color w:val="auto"/>
          <w:sz w:val="32"/>
          <w:szCs w:val="32"/>
          <w:u w:val="single"/>
        </w:rPr>
        <w:t xml:space="preserve"> </w:t>
      </w:r>
      <w:r>
        <w:rPr>
          <w:rFonts w:ascii="仿宋_GB2312" w:eastAsia="仿宋_GB2312"/>
          <w:color w:val="auto"/>
          <w:sz w:val="32"/>
          <w:szCs w:val="32"/>
          <w:u w:val="single"/>
        </w:rPr>
        <w:t xml:space="preserve"> </w:t>
      </w:r>
      <w:r>
        <w:rPr>
          <w:rFonts w:eastAsia="仿宋_GB2312"/>
          <w:color w:val="auto"/>
          <w:sz w:val="32"/>
          <w:szCs w:val="32"/>
          <w:u w:val="single"/>
        </w:rPr>
        <w:t xml:space="preserve">   2022年12月5日</w:t>
      </w:r>
      <w:r>
        <w:rPr>
          <w:rFonts w:ascii="仿宋_GB2312" w:eastAsia="仿宋_GB2312"/>
          <w:color w:val="auto"/>
          <w:sz w:val="32"/>
          <w:szCs w:val="32"/>
          <w:u w:val="single"/>
        </w:rPr>
        <w:t xml:space="preserve">            </w:t>
      </w:r>
    </w:p>
    <w:p>
      <w:pPr>
        <w:adjustRightInd w:val="0"/>
        <w:snapToGrid w:val="0"/>
        <w:spacing w:line="288" w:lineRule="auto"/>
        <w:ind w:firstLine="1040"/>
        <w:rPr>
          <w:rFonts w:ascii="仿宋_GB2312" w:eastAsia="仿宋_GB2312"/>
          <w:color w:val="auto"/>
          <w:sz w:val="36"/>
          <w:szCs w:val="36"/>
          <w:u w:val="single"/>
        </w:rPr>
      </w:pPr>
      <w:bookmarkStart w:id="0" w:name="_Hlk57884087"/>
    </w:p>
    <w:p>
      <w:pPr>
        <w:adjustRightInd w:val="0"/>
        <w:snapToGrid w:val="0"/>
        <w:spacing w:line="288" w:lineRule="auto"/>
        <w:ind w:firstLine="1040"/>
        <w:rPr>
          <w:rFonts w:ascii="仿宋_GB2312" w:eastAsia="仿宋_GB2312"/>
          <w:color w:val="auto"/>
          <w:sz w:val="36"/>
          <w:szCs w:val="36"/>
        </w:rPr>
      </w:pPr>
    </w:p>
    <w:bookmarkEnd w:id="0"/>
    <w:p>
      <w:pPr>
        <w:adjustRightInd w:val="0"/>
        <w:snapToGrid w:val="0"/>
        <w:spacing w:line="288" w:lineRule="auto"/>
        <w:jc w:val="center"/>
        <w:rPr>
          <w:rFonts w:ascii="楷体_GB2312" w:eastAsia="楷体_GB2312"/>
          <w:color w:val="auto"/>
          <w:sz w:val="36"/>
          <w:szCs w:val="36"/>
        </w:rPr>
      </w:pPr>
    </w:p>
    <w:p>
      <w:pPr>
        <w:adjustRightInd w:val="0"/>
        <w:snapToGrid w:val="0"/>
        <w:spacing w:line="288" w:lineRule="auto"/>
        <w:jc w:val="center"/>
        <w:rPr>
          <w:rFonts w:ascii="楷体_GB2312" w:eastAsia="楷体_GB2312"/>
          <w:color w:val="auto"/>
          <w:sz w:val="36"/>
          <w:szCs w:val="36"/>
        </w:rPr>
      </w:pPr>
    </w:p>
    <w:p>
      <w:pPr>
        <w:adjustRightInd w:val="0"/>
        <w:snapToGrid w:val="0"/>
        <w:spacing w:line="288" w:lineRule="auto"/>
        <w:jc w:val="center"/>
        <w:rPr>
          <w:rFonts w:ascii="楷体_GB2312" w:eastAsia="楷体_GB2312"/>
          <w:color w:val="auto"/>
          <w:sz w:val="36"/>
          <w:szCs w:val="36"/>
        </w:rPr>
      </w:pPr>
    </w:p>
    <w:p>
      <w:pPr>
        <w:adjustRightInd w:val="0"/>
        <w:snapToGrid w:val="0"/>
        <w:spacing w:line="288" w:lineRule="auto"/>
        <w:jc w:val="center"/>
        <w:rPr>
          <w:rFonts w:ascii="楷体_GB2312" w:eastAsia="楷体_GB2312"/>
          <w:color w:val="auto"/>
          <w:sz w:val="36"/>
          <w:szCs w:val="36"/>
        </w:rPr>
      </w:pPr>
      <w:r>
        <w:rPr>
          <w:rFonts w:hint="eastAsia" w:ascii="楷体_GB2312" w:eastAsia="楷体_GB2312"/>
          <w:color w:val="auto"/>
          <w:sz w:val="36"/>
          <w:szCs w:val="36"/>
        </w:rPr>
        <w:t>中华人民共和国生态环境部制</w:t>
      </w:r>
    </w:p>
    <w:p>
      <w:pPr>
        <w:adjustRightInd w:val="0"/>
        <w:snapToGrid w:val="0"/>
        <w:spacing w:line="288" w:lineRule="auto"/>
        <w:ind w:firstLine="1040"/>
        <w:rPr>
          <w:rFonts w:ascii="仿宋_GB2312" w:eastAsia="仿宋_GB2312"/>
          <w:color w:val="auto"/>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18"/>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一、建设项目基本情况</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856"/>
        <w:gridCol w:w="2527"/>
        <w:gridCol w:w="1848"/>
        <w:gridCol w:w="2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建设项目名称</w:t>
            </w:r>
          </w:p>
        </w:tc>
        <w:tc>
          <w:tcPr>
            <w:tcW w:w="7014" w:type="dxa"/>
            <w:gridSpan w:val="3"/>
            <w:vAlign w:val="center"/>
          </w:tcPr>
          <w:p>
            <w:pPr>
              <w:adjustRightInd w:val="0"/>
              <w:snapToGrid w:val="0"/>
              <w:jc w:val="center"/>
              <w:rPr>
                <w:color w:val="auto"/>
                <w:szCs w:val="21"/>
              </w:rPr>
            </w:pPr>
            <w:r>
              <w:rPr>
                <w:rFonts w:hint="eastAsia" w:hAnsi="宋体"/>
                <w:color w:val="auto"/>
              </w:rPr>
              <w:t>西</w:t>
            </w:r>
            <w:r>
              <w:rPr>
                <w:rFonts w:hAnsi="宋体"/>
                <w:color w:val="auto"/>
              </w:rPr>
              <w:t>安瑞鹏宠物医院太奥分院建设项目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项目代码</w:t>
            </w:r>
          </w:p>
        </w:tc>
        <w:tc>
          <w:tcPr>
            <w:tcW w:w="7014" w:type="dxa"/>
            <w:gridSpan w:val="3"/>
            <w:vAlign w:val="center"/>
          </w:tcPr>
          <w:p>
            <w:pPr>
              <w:adjustRightInd w:val="0"/>
              <w:snapToGrid w:val="0"/>
              <w:jc w:val="center"/>
              <w:rPr>
                <w:color w:val="auto"/>
                <w:szCs w:val="21"/>
              </w:rPr>
            </w:pPr>
            <w:r>
              <w:rPr>
                <w:rFonts w:hAnsi="宋体"/>
                <w:color w:val="auto"/>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建设单位联系人</w:t>
            </w:r>
          </w:p>
        </w:tc>
        <w:tc>
          <w:tcPr>
            <w:tcW w:w="2527" w:type="dxa"/>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w:t>
            </w:r>
          </w:p>
        </w:tc>
        <w:tc>
          <w:tcPr>
            <w:tcW w:w="1848" w:type="dxa"/>
            <w:vAlign w:val="center"/>
          </w:tcPr>
          <w:p>
            <w:pPr>
              <w:adjustRightInd w:val="0"/>
              <w:snapToGrid w:val="0"/>
              <w:jc w:val="center"/>
              <w:rPr>
                <w:color w:val="auto"/>
                <w:szCs w:val="21"/>
              </w:rPr>
            </w:pPr>
            <w:r>
              <w:rPr>
                <w:rFonts w:hAnsi="宋体"/>
                <w:color w:val="auto"/>
                <w:szCs w:val="21"/>
              </w:rPr>
              <w:t>联系方式</w:t>
            </w:r>
          </w:p>
        </w:tc>
        <w:tc>
          <w:tcPr>
            <w:tcW w:w="2639" w:type="dxa"/>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建设地点</w:t>
            </w:r>
          </w:p>
        </w:tc>
        <w:tc>
          <w:tcPr>
            <w:tcW w:w="7014" w:type="dxa"/>
            <w:gridSpan w:val="3"/>
            <w:vAlign w:val="center"/>
          </w:tcPr>
          <w:p>
            <w:pPr>
              <w:adjustRightInd w:val="0"/>
              <w:snapToGrid w:val="0"/>
              <w:jc w:val="center"/>
              <w:rPr>
                <w:color w:val="auto"/>
                <w:szCs w:val="21"/>
              </w:rPr>
            </w:pPr>
            <w:r>
              <w:rPr>
                <w:rFonts w:hint="eastAsia"/>
                <w:color w:val="auto"/>
                <w:szCs w:val="21"/>
              </w:rPr>
              <w:t>陕西</w:t>
            </w:r>
            <w:r>
              <w:rPr>
                <w:color w:val="auto"/>
                <w:szCs w:val="21"/>
              </w:rPr>
              <w:t>省西安市莲湖区杏园路</w:t>
            </w:r>
            <w:r>
              <w:rPr>
                <w:rFonts w:hint="eastAsia"/>
                <w:color w:val="auto"/>
                <w:szCs w:val="21"/>
              </w:rPr>
              <w:t>186号丰</w:t>
            </w:r>
            <w:r>
              <w:rPr>
                <w:color w:val="auto"/>
                <w:szCs w:val="21"/>
              </w:rPr>
              <w:t>和坊</w:t>
            </w:r>
            <w:r>
              <w:rPr>
                <w:rFonts w:hint="eastAsia"/>
                <w:color w:val="auto"/>
                <w:szCs w:val="21"/>
              </w:rPr>
              <w:t>一期15幢1011室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地理坐标</w:t>
            </w:r>
          </w:p>
        </w:tc>
        <w:tc>
          <w:tcPr>
            <w:tcW w:w="7014" w:type="dxa"/>
            <w:gridSpan w:val="3"/>
            <w:vAlign w:val="center"/>
          </w:tcPr>
          <w:p>
            <w:pPr>
              <w:pStyle w:val="18"/>
              <w:spacing w:before="0" w:beforeAutospacing="0" w:after="0" w:afterAutospacing="0"/>
              <w:jc w:val="center"/>
              <w:rPr>
                <w:rFonts w:ascii="Times New Roman" w:hAnsi="Times New Roman"/>
                <w:color w:val="auto"/>
                <w:kern w:val="2"/>
                <w:sz w:val="21"/>
                <w:szCs w:val="21"/>
              </w:rPr>
            </w:pPr>
            <w:r>
              <w:rPr>
                <w:rFonts w:ascii="Times New Roman" w:hAnsi="Times New Roman"/>
                <w:color w:val="auto"/>
                <w:sz w:val="21"/>
                <w:szCs w:val="21"/>
              </w:rPr>
              <w:t>N：</w:t>
            </w:r>
            <w:r>
              <w:rPr>
                <w:rFonts w:ascii="Times New Roman" w:hAnsi="Times New Roman"/>
                <w:color w:val="auto"/>
                <w:sz w:val="21"/>
                <w:szCs w:val="21"/>
                <w:u w:val="single"/>
              </w:rPr>
              <w:t>34°16′53.051″</w:t>
            </w:r>
            <w:r>
              <w:rPr>
                <w:rFonts w:ascii="Times New Roman" w:hAnsi="Times New Roman"/>
                <w:color w:val="auto"/>
                <w:sz w:val="21"/>
                <w:szCs w:val="21"/>
              </w:rPr>
              <w:t>；E：</w:t>
            </w:r>
            <w:r>
              <w:rPr>
                <w:rFonts w:ascii="Times New Roman" w:hAnsi="Times New Roman"/>
                <w:color w:val="auto"/>
                <w:sz w:val="21"/>
                <w:szCs w:val="21"/>
                <w:u w:val="single"/>
              </w:rPr>
              <w:t>108°53′48.483″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国民经济</w:t>
            </w:r>
          </w:p>
          <w:p>
            <w:pPr>
              <w:adjustRightInd w:val="0"/>
              <w:snapToGrid w:val="0"/>
              <w:jc w:val="center"/>
              <w:rPr>
                <w:color w:val="auto"/>
                <w:szCs w:val="21"/>
              </w:rPr>
            </w:pPr>
            <w:r>
              <w:rPr>
                <w:rFonts w:hAnsi="宋体"/>
                <w:color w:val="auto"/>
                <w:szCs w:val="21"/>
              </w:rPr>
              <w:t>行业类别</w:t>
            </w:r>
          </w:p>
        </w:tc>
        <w:tc>
          <w:tcPr>
            <w:tcW w:w="2527" w:type="dxa"/>
            <w:vAlign w:val="center"/>
          </w:tcPr>
          <w:p>
            <w:pPr>
              <w:adjustRightInd w:val="0"/>
              <w:snapToGrid w:val="0"/>
              <w:jc w:val="center"/>
              <w:rPr>
                <w:color w:val="auto"/>
                <w:szCs w:val="21"/>
              </w:rPr>
            </w:pPr>
            <w:r>
              <w:rPr>
                <w:rFonts w:hint="eastAsia"/>
                <w:color w:val="auto"/>
                <w:szCs w:val="21"/>
              </w:rPr>
              <w:t>O8222</w:t>
            </w:r>
          </w:p>
          <w:p>
            <w:pPr>
              <w:adjustRightInd w:val="0"/>
              <w:snapToGrid w:val="0"/>
              <w:jc w:val="center"/>
              <w:rPr>
                <w:color w:val="auto"/>
                <w:szCs w:val="21"/>
              </w:rPr>
            </w:pPr>
            <w:r>
              <w:rPr>
                <w:rFonts w:hint="eastAsia"/>
                <w:color w:val="auto"/>
                <w:szCs w:val="21"/>
              </w:rPr>
              <w:t>宠物医院服务</w:t>
            </w:r>
          </w:p>
        </w:tc>
        <w:tc>
          <w:tcPr>
            <w:tcW w:w="1848" w:type="dxa"/>
            <w:vAlign w:val="center"/>
          </w:tcPr>
          <w:p>
            <w:pPr>
              <w:adjustRightInd w:val="0"/>
              <w:snapToGrid w:val="0"/>
              <w:jc w:val="center"/>
              <w:rPr>
                <w:color w:val="auto"/>
                <w:szCs w:val="21"/>
              </w:rPr>
            </w:pPr>
            <w:bookmarkStart w:id="1" w:name="_Hlk49843745"/>
            <w:r>
              <w:rPr>
                <w:rFonts w:hAnsi="宋体"/>
                <w:color w:val="auto"/>
                <w:szCs w:val="21"/>
              </w:rPr>
              <w:t>建设项目</w:t>
            </w:r>
          </w:p>
          <w:p>
            <w:pPr>
              <w:adjustRightInd w:val="0"/>
              <w:snapToGrid w:val="0"/>
              <w:jc w:val="center"/>
              <w:rPr>
                <w:color w:val="auto"/>
                <w:szCs w:val="21"/>
              </w:rPr>
            </w:pPr>
            <w:r>
              <w:rPr>
                <w:rFonts w:hAnsi="宋体"/>
                <w:color w:val="auto"/>
                <w:szCs w:val="21"/>
              </w:rPr>
              <w:t>行业类别</w:t>
            </w:r>
            <w:bookmarkEnd w:id="1"/>
          </w:p>
        </w:tc>
        <w:tc>
          <w:tcPr>
            <w:tcW w:w="2639" w:type="dxa"/>
            <w:vAlign w:val="center"/>
          </w:tcPr>
          <w:p>
            <w:pPr>
              <w:pStyle w:val="2"/>
              <w:jc w:val="center"/>
              <w:rPr>
                <w:rFonts w:ascii="Times New Roman" w:cs="Times New Roman"/>
                <w:color w:val="auto"/>
                <w:sz w:val="21"/>
                <w:szCs w:val="21"/>
              </w:rPr>
            </w:pPr>
            <w:r>
              <w:rPr>
                <w:rFonts w:ascii="Times New Roman" w:cs="Times New Roman"/>
                <w:color w:val="auto"/>
                <w:sz w:val="21"/>
                <w:szCs w:val="21"/>
              </w:rPr>
              <w:t>123动物医院-</w:t>
            </w:r>
            <w:r>
              <w:rPr>
                <w:rFonts w:hint="eastAsia" w:ascii="Times New Roman" w:cs="Times New Roman"/>
                <w:color w:val="auto"/>
                <w:sz w:val="21"/>
                <w:szCs w:val="21"/>
              </w:rPr>
              <w:t>设有</w:t>
            </w:r>
            <w:r>
              <w:rPr>
                <w:rFonts w:ascii="Times New Roman" w:cs="Times New Roman"/>
                <w:color w:val="auto"/>
                <w:sz w:val="21"/>
                <w:szCs w:val="21"/>
              </w:rPr>
              <w:t>动物颅腔、胸腔和腹腔</w:t>
            </w:r>
            <w:r>
              <w:rPr>
                <w:rFonts w:hint="eastAsia" w:ascii="Times New Roman" w:cs="Times New Roman"/>
                <w:color w:val="auto"/>
                <w:sz w:val="21"/>
                <w:szCs w:val="21"/>
              </w:rPr>
              <w:t>手术</w:t>
            </w:r>
            <w:r>
              <w:rPr>
                <w:rFonts w:ascii="Times New Roman" w:cs="Times New Roman"/>
                <w:color w:val="auto"/>
                <w:sz w:val="21"/>
                <w:szCs w:val="21"/>
              </w:rPr>
              <w:t>设施的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建设性质</w:t>
            </w:r>
          </w:p>
        </w:tc>
        <w:tc>
          <w:tcPr>
            <w:tcW w:w="2527" w:type="dxa"/>
            <w:vAlign w:val="center"/>
          </w:tcPr>
          <w:p>
            <w:pPr>
              <w:jc w:val="left"/>
              <w:rPr>
                <w:color w:val="auto"/>
                <w:szCs w:val="21"/>
              </w:rPr>
            </w:pPr>
            <w:r>
              <w:rPr>
                <w:color w:val="auto"/>
                <w:szCs w:val="21"/>
              </w:rPr>
              <w:sym w:font="Wingdings 2" w:char="0052"/>
            </w:r>
            <w:r>
              <w:rPr>
                <w:rFonts w:hAnsi="宋体"/>
                <w:color w:val="auto"/>
                <w:szCs w:val="21"/>
              </w:rPr>
              <w:t>新建（迁建）</w:t>
            </w:r>
          </w:p>
          <w:p>
            <w:pPr>
              <w:jc w:val="left"/>
              <w:rPr>
                <w:color w:val="auto"/>
                <w:szCs w:val="21"/>
              </w:rPr>
            </w:pPr>
            <w:r>
              <w:rPr>
                <w:color w:val="auto"/>
                <w:szCs w:val="21"/>
              </w:rPr>
              <w:sym w:font="Wingdings 2" w:char="00A3"/>
            </w:r>
            <w:r>
              <w:rPr>
                <w:rFonts w:hAnsi="宋体"/>
                <w:color w:val="auto"/>
                <w:szCs w:val="21"/>
              </w:rPr>
              <w:t>改建</w:t>
            </w:r>
          </w:p>
          <w:p>
            <w:pPr>
              <w:jc w:val="left"/>
              <w:rPr>
                <w:color w:val="auto"/>
                <w:szCs w:val="21"/>
              </w:rPr>
            </w:pPr>
            <w:r>
              <w:rPr>
                <w:color w:val="auto"/>
                <w:szCs w:val="21"/>
              </w:rPr>
              <w:sym w:font="Wingdings 2" w:char="00A3"/>
            </w:r>
            <w:r>
              <w:rPr>
                <w:rFonts w:hAnsi="宋体"/>
                <w:color w:val="auto"/>
                <w:szCs w:val="21"/>
              </w:rPr>
              <w:t>扩建</w:t>
            </w:r>
          </w:p>
          <w:p>
            <w:pPr>
              <w:jc w:val="left"/>
              <w:rPr>
                <w:color w:val="auto"/>
                <w:szCs w:val="21"/>
              </w:rPr>
            </w:pPr>
            <w:r>
              <w:rPr>
                <w:color w:val="auto"/>
                <w:szCs w:val="21"/>
              </w:rPr>
              <w:sym w:font="Wingdings 2" w:char="00A3"/>
            </w:r>
            <w:r>
              <w:rPr>
                <w:rFonts w:hAnsi="宋体"/>
                <w:color w:val="auto"/>
                <w:szCs w:val="21"/>
              </w:rPr>
              <w:t>技术改造</w:t>
            </w:r>
          </w:p>
        </w:tc>
        <w:tc>
          <w:tcPr>
            <w:tcW w:w="1848" w:type="dxa"/>
            <w:vAlign w:val="center"/>
          </w:tcPr>
          <w:p>
            <w:pPr>
              <w:adjustRightInd w:val="0"/>
              <w:snapToGrid w:val="0"/>
              <w:jc w:val="center"/>
              <w:rPr>
                <w:color w:val="auto"/>
                <w:szCs w:val="21"/>
              </w:rPr>
            </w:pPr>
            <w:r>
              <w:rPr>
                <w:rFonts w:hAnsi="宋体"/>
                <w:color w:val="auto"/>
                <w:szCs w:val="21"/>
              </w:rPr>
              <w:t>建设项目</w:t>
            </w:r>
          </w:p>
          <w:p>
            <w:pPr>
              <w:adjustRightInd w:val="0"/>
              <w:snapToGrid w:val="0"/>
              <w:jc w:val="center"/>
              <w:rPr>
                <w:color w:val="auto"/>
                <w:szCs w:val="21"/>
              </w:rPr>
            </w:pPr>
            <w:r>
              <w:rPr>
                <w:rFonts w:hAnsi="宋体"/>
                <w:color w:val="auto"/>
                <w:szCs w:val="21"/>
              </w:rPr>
              <w:t>申报情形</w:t>
            </w:r>
          </w:p>
        </w:tc>
        <w:tc>
          <w:tcPr>
            <w:tcW w:w="2639" w:type="dxa"/>
            <w:vAlign w:val="center"/>
          </w:tcPr>
          <w:p>
            <w:pPr>
              <w:jc w:val="left"/>
              <w:rPr>
                <w:color w:val="auto"/>
                <w:szCs w:val="21"/>
              </w:rPr>
            </w:pPr>
            <w:r>
              <w:rPr>
                <w:color w:val="auto"/>
                <w:szCs w:val="21"/>
              </w:rPr>
              <w:sym w:font="Wingdings 2" w:char="0052"/>
            </w:r>
            <w:r>
              <w:rPr>
                <w:rFonts w:hAnsi="宋体"/>
                <w:color w:val="auto"/>
                <w:szCs w:val="21"/>
              </w:rPr>
              <w:t>首次申报项目</w:t>
            </w:r>
            <w:r>
              <w:rPr>
                <w:color w:val="auto"/>
                <w:szCs w:val="21"/>
              </w:rPr>
              <w:t xml:space="preserve">             </w:t>
            </w:r>
          </w:p>
          <w:p>
            <w:pPr>
              <w:jc w:val="left"/>
              <w:rPr>
                <w:color w:val="auto"/>
                <w:szCs w:val="21"/>
              </w:rPr>
            </w:pPr>
            <w:r>
              <w:rPr>
                <w:color w:val="auto"/>
                <w:szCs w:val="21"/>
              </w:rPr>
              <w:sym w:font="Wingdings 2" w:char="00A3"/>
            </w:r>
            <w:r>
              <w:rPr>
                <w:rFonts w:hAnsi="宋体"/>
                <w:color w:val="auto"/>
                <w:szCs w:val="21"/>
              </w:rPr>
              <w:t>不予批准后再次申报项目</w:t>
            </w:r>
          </w:p>
          <w:p>
            <w:pPr>
              <w:jc w:val="left"/>
              <w:rPr>
                <w:color w:val="auto"/>
                <w:szCs w:val="21"/>
              </w:rPr>
            </w:pPr>
            <w:r>
              <w:rPr>
                <w:color w:val="auto"/>
                <w:szCs w:val="21"/>
              </w:rPr>
              <w:sym w:font="Wingdings 2" w:char="00A3"/>
            </w:r>
            <w:r>
              <w:rPr>
                <w:rFonts w:hAnsi="宋体"/>
                <w:color w:val="auto"/>
                <w:szCs w:val="21"/>
              </w:rPr>
              <w:t>超五年重新审核项目</w:t>
            </w:r>
            <w:r>
              <w:rPr>
                <w:color w:val="auto"/>
                <w:szCs w:val="21"/>
              </w:rPr>
              <w:t xml:space="preserve">     </w:t>
            </w:r>
          </w:p>
          <w:p>
            <w:pPr>
              <w:jc w:val="left"/>
              <w:rPr>
                <w:color w:val="auto"/>
                <w:szCs w:val="21"/>
              </w:rPr>
            </w:pPr>
            <w:r>
              <w:rPr>
                <w:color w:val="auto"/>
                <w:szCs w:val="21"/>
              </w:rPr>
              <w:sym w:font="Wingdings 2" w:char="00A3"/>
            </w:r>
            <w:r>
              <w:rPr>
                <w:rFonts w:hAnsi="宋体"/>
                <w:color w:val="auto"/>
                <w:szCs w:val="21"/>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项目审批（核准</w:t>
            </w:r>
            <w:r>
              <w:rPr>
                <w:color w:val="auto"/>
                <w:szCs w:val="21"/>
              </w:rPr>
              <w:t>/</w:t>
            </w:r>
          </w:p>
          <w:p>
            <w:pPr>
              <w:adjustRightInd w:val="0"/>
              <w:snapToGrid w:val="0"/>
              <w:jc w:val="center"/>
              <w:rPr>
                <w:color w:val="auto"/>
                <w:szCs w:val="21"/>
              </w:rPr>
            </w:pPr>
            <w:r>
              <w:rPr>
                <w:rFonts w:hAnsi="宋体"/>
                <w:color w:val="auto"/>
                <w:szCs w:val="21"/>
              </w:rPr>
              <w:t>备案）部门（选填）</w:t>
            </w:r>
          </w:p>
        </w:tc>
        <w:tc>
          <w:tcPr>
            <w:tcW w:w="2527" w:type="dxa"/>
            <w:vAlign w:val="center"/>
          </w:tcPr>
          <w:p>
            <w:pPr>
              <w:adjustRightInd w:val="0"/>
              <w:snapToGrid w:val="0"/>
              <w:jc w:val="center"/>
              <w:rPr>
                <w:color w:val="auto"/>
                <w:szCs w:val="21"/>
              </w:rPr>
            </w:pPr>
            <w:r>
              <w:rPr>
                <w:color w:val="auto"/>
                <w:szCs w:val="21"/>
              </w:rPr>
              <w:t>/</w:t>
            </w:r>
          </w:p>
        </w:tc>
        <w:tc>
          <w:tcPr>
            <w:tcW w:w="1848" w:type="dxa"/>
            <w:vAlign w:val="center"/>
          </w:tcPr>
          <w:p>
            <w:pPr>
              <w:adjustRightInd w:val="0"/>
              <w:snapToGrid w:val="0"/>
              <w:jc w:val="center"/>
              <w:rPr>
                <w:color w:val="auto"/>
                <w:szCs w:val="21"/>
              </w:rPr>
            </w:pPr>
            <w:r>
              <w:rPr>
                <w:rFonts w:hAnsi="宋体"/>
                <w:color w:val="auto"/>
                <w:szCs w:val="21"/>
              </w:rPr>
              <w:t>项目审批（核准</w:t>
            </w:r>
            <w:r>
              <w:rPr>
                <w:color w:val="auto"/>
                <w:szCs w:val="21"/>
              </w:rPr>
              <w:t>/</w:t>
            </w:r>
          </w:p>
          <w:p>
            <w:pPr>
              <w:adjustRightInd w:val="0"/>
              <w:snapToGrid w:val="0"/>
              <w:jc w:val="center"/>
              <w:rPr>
                <w:color w:val="auto"/>
                <w:szCs w:val="21"/>
              </w:rPr>
            </w:pPr>
            <w:r>
              <w:rPr>
                <w:rFonts w:hAnsi="宋体"/>
                <w:color w:val="auto"/>
                <w:szCs w:val="21"/>
              </w:rPr>
              <w:t>备案）文号（选填）</w:t>
            </w:r>
          </w:p>
        </w:tc>
        <w:tc>
          <w:tcPr>
            <w:tcW w:w="2639" w:type="dxa"/>
            <w:vAlign w:val="center"/>
          </w:tcPr>
          <w:p>
            <w:pPr>
              <w:adjustRightInd w:val="0"/>
              <w:snapToGrid w:val="0"/>
              <w:jc w:val="center"/>
              <w:rPr>
                <w:color w:val="auto"/>
                <w:szCs w:val="21"/>
              </w:rPr>
            </w:pPr>
            <w:r>
              <w:rPr>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总投资（万元）</w:t>
            </w:r>
          </w:p>
        </w:tc>
        <w:tc>
          <w:tcPr>
            <w:tcW w:w="2527" w:type="dxa"/>
            <w:vAlign w:val="center"/>
          </w:tcPr>
          <w:p>
            <w:pPr>
              <w:adjustRightInd w:val="0"/>
              <w:snapToGrid w:val="0"/>
              <w:jc w:val="center"/>
              <w:rPr>
                <w:color w:val="auto"/>
                <w:szCs w:val="21"/>
              </w:rPr>
            </w:pPr>
            <w:r>
              <w:rPr>
                <w:rFonts w:hint="eastAsia"/>
                <w:color w:val="auto"/>
                <w:szCs w:val="21"/>
              </w:rPr>
              <w:t>20.00</w:t>
            </w:r>
          </w:p>
        </w:tc>
        <w:tc>
          <w:tcPr>
            <w:tcW w:w="1848"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环保投资（万元）</w:t>
            </w:r>
          </w:p>
        </w:tc>
        <w:tc>
          <w:tcPr>
            <w:tcW w:w="2639" w:type="dxa"/>
            <w:vAlign w:val="center"/>
          </w:tcPr>
          <w:p>
            <w:pPr>
              <w:adjustRightInd w:val="0"/>
              <w:snapToGrid w:val="0"/>
              <w:jc w:val="center"/>
              <w:rPr>
                <w:color w:val="auto"/>
                <w:szCs w:val="21"/>
              </w:rPr>
            </w:pPr>
            <w:r>
              <w:rPr>
                <w:rFonts w:hint="eastAsia"/>
                <w:color w:val="auto"/>
                <w:szCs w:val="21"/>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环保投资占比（</w:t>
            </w:r>
            <w:r>
              <w:rPr>
                <w:color w:val="auto"/>
                <w:szCs w:val="21"/>
              </w:rPr>
              <w:t>%</w:t>
            </w:r>
            <w:r>
              <w:rPr>
                <w:rFonts w:hAnsi="宋体"/>
                <w:color w:val="auto"/>
                <w:szCs w:val="21"/>
              </w:rPr>
              <w:t>）</w:t>
            </w:r>
          </w:p>
        </w:tc>
        <w:tc>
          <w:tcPr>
            <w:tcW w:w="2527" w:type="dxa"/>
            <w:vAlign w:val="center"/>
          </w:tcPr>
          <w:p>
            <w:pPr>
              <w:adjustRightInd w:val="0"/>
              <w:snapToGrid w:val="0"/>
              <w:jc w:val="center"/>
              <w:rPr>
                <w:color w:val="auto"/>
                <w:szCs w:val="21"/>
              </w:rPr>
            </w:pPr>
            <w:r>
              <w:rPr>
                <w:rFonts w:hint="eastAsia"/>
                <w:color w:val="auto"/>
                <w:szCs w:val="21"/>
              </w:rPr>
              <w:t>20.00%</w:t>
            </w:r>
          </w:p>
        </w:tc>
        <w:tc>
          <w:tcPr>
            <w:tcW w:w="1848"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施工工期</w:t>
            </w:r>
          </w:p>
        </w:tc>
        <w:tc>
          <w:tcPr>
            <w:tcW w:w="2639" w:type="dxa"/>
            <w:vAlign w:val="center"/>
          </w:tcPr>
          <w:p>
            <w:pPr>
              <w:adjustRightInd w:val="0"/>
              <w:snapToGrid w:val="0"/>
              <w:jc w:val="center"/>
              <w:rPr>
                <w:color w:val="auto"/>
                <w:szCs w:val="21"/>
              </w:rPr>
            </w:pPr>
            <w:r>
              <w:rPr>
                <w:rFonts w:hint="eastAsia"/>
                <w:color w:val="auto"/>
                <w:szCs w:val="21"/>
              </w:rPr>
              <w:t>1个月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56" w:type="dxa"/>
            <w:tcMar>
              <w:top w:w="16" w:type="dxa"/>
              <w:left w:w="16" w:type="dxa"/>
              <w:right w:w="16" w:type="dxa"/>
            </w:tcMar>
            <w:vAlign w:val="center"/>
          </w:tcPr>
          <w:p>
            <w:pPr>
              <w:adjustRightInd w:val="0"/>
              <w:snapToGrid w:val="0"/>
              <w:jc w:val="center"/>
              <w:rPr>
                <w:color w:val="auto"/>
                <w:szCs w:val="21"/>
              </w:rPr>
            </w:pPr>
            <w:r>
              <w:rPr>
                <w:rFonts w:hAnsi="宋体"/>
                <w:color w:val="auto"/>
                <w:szCs w:val="21"/>
              </w:rPr>
              <w:t>是否开工建设</w:t>
            </w:r>
          </w:p>
        </w:tc>
        <w:tc>
          <w:tcPr>
            <w:tcW w:w="2527" w:type="dxa"/>
            <w:vAlign w:val="center"/>
          </w:tcPr>
          <w:p>
            <w:pPr>
              <w:adjustRightInd w:val="0"/>
              <w:snapToGrid w:val="0"/>
              <w:rPr>
                <w:color w:val="auto"/>
                <w:szCs w:val="21"/>
              </w:rPr>
            </w:pPr>
            <w:r>
              <w:rPr>
                <w:color w:val="auto"/>
                <w:szCs w:val="21"/>
              </w:rPr>
              <w:sym w:font="Wingdings 2" w:char="0052"/>
            </w:r>
            <w:r>
              <w:rPr>
                <w:rFonts w:hAnsi="宋体"/>
                <w:color w:val="auto"/>
                <w:szCs w:val="21"/>
              </w:rPr>
              <w:t>否</w:t>
            </w:r>
          </w:p>
          <w:p>
            <w:pPr>
              <w:adjustRightInd w:val="0"/>
              <w:snapToGrid w:val="0"/>
              <w:rPr>
                <w:rFonts w:hAnsi="宋体"/>
                <w:color w:val="auto"/>
                <w:szCs w:val="21"/>
              </w:rPr>
            </w:pPr>
            <w:r>
              <w:rPr>
                <w:color w:val="auto"/>
                <w:szCs w:val="21"/>
              </w:rPr>
              <w:sym w:font="Wingdings 2" w:char="00A3"/>
            </w:r>
            <w:r>
              <w:rPr>
                <w:rFonts w:hint="eastAsia"/>
                <w:color w:val="auto"/>
                <w:szCs w:val="21"/>
              </w:rPr>
              <w:t xml:space="preserve"> </w:t>
            </w:r>
            <w:r>
              <w:rPr>
                <w:rFonts w:hAnsi="宋体"/>
                <w:color w:val="auto"/>
                <w:szCs w:val="21"/>
              </w:rPr>
              <w:t>是</w:t>
            </w:r>
          </w:p>
        </w:tc>
        <w:tc>
          <w:tcPr>
            <w:tcW w:w="1848" w:type="dxa"/>
            <w:tcMar>
              <w:top w:w="16" w:type="dxa"/>
              <w:left w:w="16" w:type="dxa"/>
              <w:right w:w="16" w:type="dxa"/>
            </w:tcMar>
            <w:vAlign w:val="center"/>
          </w:tcPr>
          <w:p>
            <w:pPr>
              <w:adjustRightInd w:val="0"/>
              <w:snapToGrid w:val="0"/>
              <w:jc w:val="center"/>
              <w:rPr>
                <w:color w:val="auto"/>
                <w:spacing w:val="-6"/>
                <w:szCs w:val="21"/>
              </w:rPr>
            </w:pPr>
            <w:r>
              <w:rPr>
                <w:rFonts w:hAnsi="宋体"/>
                <w:color w:val="auto"/>
                <w:spacing w:val="-6"/>
                <w:szCs w:val="21"/>
              </w:rPr>
              <w:t>用地（用海）</w:t>
            </w:r>
          </w:p>
          <w:p>
            <w:pPr>
              <w:adjustRightInd w:val="0"/>
              <w:snapToGrid w:val="0"/>
              <w:jc w:val="center"/>
              <w:rPr>
                <w:color w:val="auto"/>
                <w:szCs w:val="21"/>
              </w:rPr>
            </w:pPr>
            <w:r>
              <w:rPr>
                <w:rFonts w:hAnsi="宋体"/>
                <w:color w:val="auto"/>
                <w:spacing w:val="-6"/>
                <w:szCs w:val="21"/>
              </w:rPr>
              <w:t>面积（</w:t>
            </w:r>
            <w:r>
              <w:rPr>
                <w:color w:val="auto"/>
                <w:spacing w:val="-6"/>
                <w:szCs w:val="21"/>
              </w:rPr>
              <w:t>m</w:t>
            </w:r>
            <w:r>
              <w:rPr>
                <w:color w:val="auto"/>
                <w:spacing w:val="-6"/>
                <w:szCs w:val="21"/>
                <w:vertAlign w:val="superscript"/>
              </w:rPr>
              <w:t>2</w:t>
            </w:r>
            <w:r>
              <w:rPr>
                <w:rFonts w:hAnsi="宋体"/>
                <w:color w:val="auto"/>
                <w:spacing w:val="-6"/>
                <w:szCs w:val="21"/>
              </w:rPr>
              <w:t>）</w:t>
            </w:r>
          </w:p>
        </w:tc>
        <w:tc>
          <w:tcPr>
            <w:tcW w:w="2639" w:type="dxa"/>
            <w:vAlign w:val="center"/>
          </w:tcPr>
          <w:p>
            <w:pPr>
              <w:adjustRightInd w:val="0"/>
              <w:snapToGrid w:val="0"/>
              <w:jc w:val="center"/>
              <w:rPr>
                <w:color w:val="auto"/>
                <w:szCs w:val="21"/>
              </w:rPr>
            </w:pPr>
            <w:r>
              <w:rPr>
                <w:color w:val="auto"/>
                <w:szCs w:val="21"/>
              </w:rPr>
              <w:t>107.8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6" w:type="dxa"/>
            <w:vAlign w:val="center"/>
          </w:tcPr>
          <w:p>
            <w:pPr>
              <w:autoSpaceDE w:val="0"/>
              <w:autoSpaceDN w:val="0"/>
              <w:adjustRightInd w:val="0"/>
              <w:snapToGrid w:val="0"/>
              <w:jc w:val="center"/>
              <w:rPr>
                <w:color w:val="auto"/>
                <w:kern w:val="0"/>
                <w:szCs w:val="21"/>
              </w:rPr>
            </w:pPr>
            <w:r>
              <w:rPr>
                <w:rFonts w:hAnsi="宋体"/>
                <w:color w:val="auto"/>
                <w:kern w:val="0"/>
                <w:szCs w:val="21"/>
              </w:rPr>
              <w:t>专项评价设置情况</w:t>
            </w:r>
          </w:p>
        </w:tc>
        <w:tc>
          <w:tcPr>
            <w:tcW w:w="7014" w:type="dxa"/>
            <w:gridSpan w:val="3"/>
            <w:vAlign w:val="center"/>
          </w:tcPr>
          <w:p>
            <w:pPr>
              <w:autoSpaceDE w:val="0"/>
              <w:autoSpaceDN w:val="0"/>
              <w:adjustRightInd w:val="0"/>
              <w:snapToGrid w:val="0"/>
              <w:jc w:val="center"/>
              <w:rPr>
                <w:color w:val="auto"/>
                <w:kern w:val="0"/>
                <w:szCs w:val="21"/>
              </w:rPr>
            </w:pPr>
            <w:r>
              <w:rPr>
                <w:rFonts w:hAnsi="宋体"/>
                <w:color w:val="auto"/>
                <w:kern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6" w:type="dxa"/>
            <w:vAlign w:val="center"/>
          </w:tcPr>
          <w:p>
            <w:pPr>
              <w:autoSpaceDE w:val="0"/>
              <w:autoSpaceDN w:val="0"/>
              <w:adjustRightInd w:val="0"/>
              <w:snapToGrid w:val="0"/>
              <w:jc w:val="center"/>
              <w:rPr>
                <w:color w:val="auto"/>
                <w:kern w:val="0"/>
                <w:szCs w:val="21"/>
              </w:rPr>
            </w:pPr>
            <w:r>
              <w:rPr>
                <w:rFonts w:hAnsi="宋体"/>
                <w:color w:val="auto"/>
                <w:szCs w:val="21"/>
              </w:rPr>
              <w:t>规划情况</w:t>
            </w:r>
          </w:p>
        </w:tc>
        <w:tc>
          <w:tcPr>
            <w:tcW w:w="7014" w:type="dxa"/>
            <w:gridSpan w:val="3"/>
            <w:vAlign w:val="center"/>
          </w:tcPr>
          <w:p>
            <w:pPr>
              <w:autoSpaceDE w:val="0"/>
              <w:autoSpaceDN w:val="0"/>
              <w:adjustRightInd w:val="0"/>
              <w:snapToGrid w:val="0"/>
              <w:jc w:val="center"/>
              <w:rPr>
                <w:color w:val="auto"/>
                <w:kern w:val="0"/>
                <w:szCs w:val="21"/>
              </w:rPr>
            </w:pPr>
            <w:r>
              <w:rPr>
                <w:rFonts w:hAnsi="宋体"/>
                <w:color w:val="auto"/>
                <w:kern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6" w:type="dxa"/>
            <w:vAlign w:val="center"/>
          </w:tcPr>
          <w:p>
            <w:pPr>
              <w:adjustRightInd w:val="0"/>
              <w:snapToGrid w:val="0"/>
              <w:jc w:val="center"/>
              <w:rPr>
                <w:color w:val="auto"/>
                <w:szCs w:val="21"/>
              </w:rPr>
            </w:pPr>
            <w:r>
              <w:rPr>
                <w:rFonts w:hAnsi="宋体"/>
                <w:color w:val="auto"/>
                <w:szCs w:val="21"/>
              </w:rPr>
              <w:t>规划环境影响</w:t>
            </w:r>
          </w:p>
          <w:p>
            <w:pPr>
              <w:adjustRightInd w:val="0"/>
              <w:snapToGrid w:val="0"/>
              <w:jc w:val="center"/>
              <w:rPr>
                <w:color w:val="auto"/>
                <w:kern w:val="0"/>
                <w:szCs w:val="21"/>
              </w:rPr>
            </w:pPr>
            <w:r>
              <w:rPr>
                <w:rFonts w:hAnsi="宋体"/>
                <w:color w:val="auto"/>
                <w:szCs w:val="21"/>
              </w:rPr>
              <w:t>评价情况</w:t>
            </w:r>
          </w:p>
        </w:tc>
        <w:tc>
          <w:tcPr>
            <w:tcW w:w="7014" w:type="dxa"/>
            <w:gridSpan w:val="3"/>
            <w:vAlign w:val="center"/>
          </w:tcPr>
          <w:p>
            <w:pPr>
              <w:autoSpaceDE w:val="0"/>
              <w:autoSpaceDN w:val="0"/>
              <w:adjustRightInd w:val="0"/>
              <w:snapToGrid w:val="0"/>
              <w:jc w:val="center"/>
              <w:rPr>
                <w:color w:val="auto"/>
                <w:kern w:val="0"/>
                <w:szCs w:val="21"/>
              </w:rPr>
            </w:pPr>
            <w:r>
              <w:rPr>
                <w:rFonts w:hAnsi="宋体"/>
                <w:color w:val="auto"/>
                <w:kern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856" w:type="dxa"/>
            <w:vAlign w:val="center"/>
          </w:tcPr>
          <w:p>
            <w:pPr>
              <w:autoSpaceDE w:val="0"/>
              <w:autoSpaceDN w:val="0"/>
              <w:adjustRightInd w:val="0"/>
              <w:snapToGrid w:val="0"/>
              <w:jc w:val="center"/>
              <w:rPr>
                <w:color w:val="auto"/>
                <w:kern w:val="0"/>
                <w:szCs w:val="21"/>
              </w:rPr>
            </w:pPr>
            <w:r>
              <w:rPr>
                <w:rFonts w:hAnsi="宋体"/>
                <w:color w:val="auto"/>
                <w:kern w:val="0"/>
                <w:szCs w:val="21"/>
              </w:rPr>
              <w:t>规划及规划环境</w:t>
            </w:r>
          </w:p>
          <w:p>
            <w:pPr>
              <w:autoSpaceDE w:val="0"/>
              <w:autoSpaceDN w:val="0"/>
              <w:adjustRightInd w:val="0"/>
              <w:snapToGrid w:val="0"/>
              <w:jc w:val="center"/>
              <w:rPr>
                <w:color w:val="auto"/>
                <w:kern w:val="0"/>
                <w:szCs w:val="21"/>
              </w:rPr>
            </w:pPr>
            <w:r>
              <w:rPr>
                <w:rFonts w:hAnsi="宋体"/>
                <w:color w:val="auto"/>
                <w:kern w:val="0"/>
                <w:szCs w:val="21"/>
              </w:rPr>
              <w:t>影响评价符合性</w:t>
            </w:r>
          </w:p>
          <w:p>
            <w:pPr>
              <w:autoSpaceDE w:val="0"/>
              <w:autoSpaceDN w:val="0"/>
              <w:adjustRightInd w:val="0"/>
              <w:snapToGrid w:val="0"/>
              <w:jc w:val="center"/>
              <w:rPr>
                <w:color w:val="auto"/>
                <w:kern w:val="0"/>
                <w:szCs w:val="21"/>
              </w:rPr>
            </w:pPr>
            <w:r>
              <w:rPr>
                <w:rFonts w:hAnsi="宋体"/>
                <w:color w:val="auto"/>
                <w:kern w:val="0"/>
                <w:szCs w:val="21"/>
              </w:rPr>
              <w:t>分析</w:t>
            </w:r>
          </w:p>
        </w:tc>
        <w:tc>
          <w:tcPr>
            <w:tcW w:w="7014" w:type="dxa"/>
            <w:gridSpan w:val="3"/>
            <w:vAlign w:val="center"/>
          </w:tcPr>
          <w:p>
            <w:pPr>
              <w:autoSpaceDE w:val="0"/>
              <w:autoSpaceDN w:val="0"/>
              <w:adjustRightInd w:val="0"/>
              <w:snapToGrid w:val="0"/>
              <w:jc w:val="center"/>
              <w:rPr>
                <w:color w:val="auto"/>
                <w:kern w:val="0"/>
                <w:szCs w:val="21"/>
              </w:rPr>
            </w:pPr>
            <w:r>
              <w:rPr>
                <w:rFonts w:hAnsi="宋体"/>
                <w:color w:val="auto"/>
                <w:kern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56" w:type="dxa"/>
            <w:vAlign w:val="center"/>
          </w:tcPr>
          <w:p>
            <w:pPr>
              <w:autoSpaceDE w:val="0"/>
              <w:autoSpaceDN w:val="0"/>
              <w:adjustRightInd w:val="0"/>
              <w:snapToGrid w:val="0"/>
              <w:jc w:val="center"/>
              <w:rPr>
                <w:color w:val="auto"/>
                <w:kern w:val="0"/>
                <w:szCs w:val="21"/>
              </w:rPr>
            </w:pPr>
            <w:r>
              <w:rPr>
                <w:rFonts w:hAnsi="宋体"/>
                <w:color w:val="auto"/>
                <w:kern w:val="0"/>
                <w:szCs w:val="21"/>
              </w:rPr>
              <w:t>其他符合性分析</w:t>
            </w:r>
          </w:p>
        </w:tc>
        <w:tc>
          <w:tcPr>
            <w:tcW w:w="7014" w:type="dxa"/>
            <w:gridSpan w:val="3"/>
            <w:vAlign w:val="center"/>
          </w:tcPr>
          <w:p>
            <w:pPr>
              <w:spacing w:line="360" w:lineRule="auto"/>
              <w:ind w:firstLine="422" w:firstLineChars="200"/>
              <w:rPr>
                <w:b/>
                <w:color w:val="auto"/>
              </w:rPr>
            </w:pPr>
            <w:r>
              <w:rPr>
                <w:b/>
                <w:color w:val="auto"/>
              </w:rPr>
              <w:t>1</w:t>
            </w:r>
            <w:r>
              <w:rPr>
                <w:rFonts w:hAnsi="宋体"/>
                <w:b/>
                <w:color w:val="auto"/>
              </w:rPr>
              <w:t>、</w:t>
            </w:r>
            <w:r>
              <w:rPr>
                <w:b/>
                <w:color w:val="auto"/>
                <w:szCs w:val="22"/>
              </w:rPr>
              <w:t>“</w:t>
            </w:r>
            <w:r>
              <w:rPr>
                <w:rFonts w:hAnsi="宋体"/>
                <w:b/>
                <w:color w:val="auto"/>
                <w:szCs w:val="22"/>
              </w:rPr>
              <w:t>三线一单</w:t>
            </w:r>
            <w:r>
              <w:rPr>
                <w:b/>
                <w:color w:val="auto"/>
                <w:szCs w:val="22"/>
              </w:rPr>
              <w:t>”</w:t>
            </w:r>
            <w:r>
              <w:rPr>
                <w:rFonts w:hAnsi="宋体"/>
                <w:b/>
                <w:color w:val="auto"/>
                <w:szCs w:val="22"/>
              </w:rPr>
              <w:t>符合性分析</w:t>
            </w:r>
          </w:p>
          <w:p>
            <w:pPr>
              <w:jc w:val="center"/>
              <w:rPr>
                <w:b/>
                <w:bCs/>
                <w:color w:val="auto"/>
                <w:szCs w:val="21"/>
              </w:rPr>
            </w:pPr>
            <w:r>
              <w:rPr>
                <w:b/>
                <w:bCs/>
                <w:color w:val="auto"/>
                <w:szCs w:val="21"/>
              </w:rPr>
              <w:t>表1-1    本项目与“三线一单”符合性分析</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5"/>
              <w:gridCol w:w="2344"/>
              <w:gridCol w:w="2474"/>
              <w:gridCol w:w="6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957" w:type="pct"/>
                  <w:vAlign w:val="center"/>
                </w:tcPr>
                <w:p>
                  <w:pPr>
                    <w:adjustRightInd w:val="0"/>
                    <w:snapToGrid w:val="0"/>
                    <w:jc w:val="center"/>
                    <w:rPr>
                      <w:color w:val="auto"/>
                      <w:sz w:val="18"/>
                      <w:szCs w:val="18"/>
                    </w:rPr>
                  </w:pPr>
                  <w:r>
                    <w:rPr>
                      <w:rFonts w:hint="eastAsia"/>
                      <w:color w:val="auto"/>
                      <w:sz w:val="18"/>
                      <w:szCs w:val="18"/>
                    </w:rPr>
                    <w:t>名称</w:t>
                  </w:r>
                </w:p>
              </w:tc>
              <w:tc>
                <w:tcPr>
                  <w:tcW w:w="1732" w:type="pct"/>
                  <w:vAlign w:val="center"/>
                </w:tcPr>
                <w:p>
                  <w:pPr>
                    <w:adjustRightInd w:val="0"/>
                    <w:snapToGrid w:val="0"/>
                    <w:jc w:val="center"/>
                    <w:rPr>
                      <w:color w:val="auto"/>
                      <w:sz w:val="18"/>
                      <w:szCs w:val="18"/>
                    </w:rPr>
                  </w:pPr>
                  <w:r>
                    <w:rPr>
                      <w:rFonts w:hint="eastAsia"/>
                      <w:color w:val="auto"/>
                      <w:sz w:val="18"/>
                      <w:szCs w:val="18"/>
                    </w:rPr>
                    <w:t>要求</w:t>
                  </w:r>
                </w:p>
              </w:tc>
              <w:tc>
                <w:tcPr>
                  <w:tcW w:w="1828" w:type="pct"/>
                  <w:vAlign w:val="center"/>
                </w:tcPr>
                <w:p>
                  <w:pPr>
                    <w:adjustRightInd w:val="0"/>
                    <w:snapToGrid w:val="0"/>
                    <w:jc w:val="center"/>
                    <w:rPr>
                      <w:color w:val="auto"/>
                      <w:sz w:val="18"/>
                      <w:szCs w:val="18"/>
                    </w:rPr>
                  </w:pPr>
                  <w:r>
                    <w:rPr>
                      <w:rFonts w:hint="eastAsia"/>
                      <w:color w:val="auto"/>
                      <w:sz w:val="18"/>
                      <w:szCs w:val="18"/>
                    </w:rPr>
                    <w:t>本项目情况</w:t>
                  </w:r>
                </w:p>
              </w:tc>
              <w:tc>
                <w:tcPr>
                  <w:tcW w:w="483" w:type="pct"/>
                  <w:vAlign w:val="center"/>
                </w:tcPr>
                <w:p>
                  <w:pPr>
                    <w:jc w:val="center"/>
                    <w:rPr>
                      <w:color w:val="auto"/>
                      <w:sz w:val="18"/>
                      <w:szCs w:val="18"/>
                    </w:rPr>
                  </w:pPr>
                  <w:r>
                    <w:rPr>
                      <w:rFonts w:hAnsi="宋体"/>
                      <w:color w:val="auto"/>
                      <w:sz w:val="18"/>
                      <w:szCs w:val="18"/>
                    </w:rPr>
                    <w:t>相符性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957" w:type="pct"/>
                  <w:vMerge w:val="restart"/>
                  <w:vAlign w:val="center"/>
                </w:tcPr>
                <w:p>
                  <w:pPr>
                    <w:adjustRightInd w:val="0"/>
                    <w:snapToGrid w:val="0"/>
                    <w:jc w:val="center"/>
                    <w:rPr>
                      <w:color w:val="auto"/>
                      <w:sz w:val="18"/>
                      <w:szCs w:val="18"/>
                    </w:rPr>
                  </w:pPr>
                  <w:r>
                    <w:rPr>
                      <w:rFonts w:hint="eastAsia"/>
                      <w:color w:val="auto"/>
                      <w:sz w:val="18"/>
                      <w:szCs w:val="18"/>
                    </w:rPr>
                    <w:t>“三线一单”</w:t>
                  </w:r>
                </w:p>
              </w:tc>
              <w:tc>
                <w:tcPr>
                  <w:tcW w:w="1732" w:type="pct"/>
                  <w:vAlign w:val="center"/>
                </w:tcPr>
                <w:p>
                  <w:pPr>
                    <w:adjustRightInd w:val="0"/>
                    <w:snapToGrid w:val="0"/>
                    <w:jc w:val="center"/>
                    <w:rPr>
                      <w:rFonts w:hAnsi="宋体"/>
                      <w:color w:val="auto"/>
                      <w:sz w:val="18"/>
                      <w:szCs w:val="18"/>
                    </w:rPr>
                  </w:pPr>
                  <w:r>
                    <w:rPr>
                      <w:rFonts w:hint="eastAsia" w:hAnsi="宋体"/>
                      <w:color w:val="auto"/>
                      <w:sz w:val="18"/>
                      <w:szCs w:val="18"/>
                    </w:rPr>
                    <w:t>生态保护红线</w:t>
                  </w:r>
                </w:p>
              </w:tc>
              <w:tc>
                <w:tcPr>
                  <w:tcW w:w="1828" w:type="pct"/>
                  <w:vAlign w:val="center"/>
                </w:tcPr>
                <w:p>
                  <w:pPr>
                    <w:adjustRightInd w:val="0"/>
                    <w:snapToGrid w:val="0"/>
                    <w:jc w:val="center"/>
                    <w:rPr>
                      <w:rFonts w:hAnsi="宋体"/>
                      <w:color w:val="auto"/>
                      <w:sz w:val="18"/>
                      <w:szCs w:val="18"/>
                    </w:rPr>
                  </w:pPr>
                  <w:r>
                    <w:rPr>
                      <w:rFonts w:hint="eastAsia" w:hAnsi="宋体"/>
                      <w:color w:val="auto"/>
                      <w:sz w:val="18"/>
                      <w:szCs w:val="18"/>
                    </w:rPr>
                    <w:t>项目位于西</w:t>
                  </w:r>
                  <w:r>
                    <w:rPr>
                      <w:rFonts w:hAnsi="宋体"/>
                      <w:color w:val="auto"/>
                      <w:sz w:val="18"/>
                      <w:szCs w:val="18"/>
                    </w:rPr>
                    <w:t>安市莲湖区杏园路</w:t>
                  </w:r>
                  <w:r>
                    <w:rPr>
                      <w:rFonts w:hint="eastAsia" w:hAnsi="宋体"/>
                      <w:color w:val="auto"/>
                      <w:sz w:val="18"/>
                      <w:szCs w:val="18"/>
                    </w:rPr>
                    <w:t>186号</w:t>
                  </w:r>
                  <w:r>
                    <w:rPr>
                      <w:rFonts w:hAnsi="宋体"/>
                      <w:color w:val="auto"/>
                      <w:sz w:val="18"/>
                      <w:szCs w:val="18"/>
                    </w:rPr>
                    <w:t>丰和坊一期</w:t>
                  </w:r>
                  <w:r>
                    <w:rPr>
                      <w:rFonts w:hint="eastAsia" w:hAnsi="宋体"/>
                      <w:color w:val="auto"/>
                      <w:sz w:val="18"/>
                      <w:szCs w:val="18"/>
                    </w:rPr>
                    <w:t>15幢1011室，项目</w:t>
                  </w:r>
                  <w:r>
                    <w:rPr>
                      <w:rFonts w:hAnsi="宋体"/>
                      <w:color w:val="auto"/>
                      <w:sz w:val="18"/>
                      <w:szCs w:val="18"/>
                    </w:rPr>
                    <w:t>周边无</w:t>
                  </w:r>
                  <w:r>
                    <w:rPr>
                      <w:rFonts w:hint="eastAsia" w:hAnsi="宋体"/>
                      <w:color w:val="auto"/>
                      <w:sz w:val="18"/>
                      <w:szCs w:val="18"/>
                    </w:rPr>
                    <w:t>自然</w:t>
                  </w:r>
                  <w:r>
                    <w:rPr>
                      <w:rFonts w:hAnsi="宋体"/>
                      <w:color w:val="auto"/>
                      <w:sz w:val="18"/>
                      <w:szCs w:val="18"/>
                    </w:rPr>
                    <w:t>保护</w:t>
                  </w:r>
                  <w:r>
                    <w:rPr>
                      <w:rFonts w:hint="eastAsia" w:hAnsi="宋体"/>
                      <w:color w:val="auto"/>
                      <w:sz w:val="18"/>
                      <w:szCs w:val="18"/>
                    </w:rPr>
                    <w:t>区</w:t>
                  </w:r>
                  <w:r>
                    <w:rPr>
                      <w:rFonts w:hAnsi="宋体"/>
                      <w:color w:val="auto"/>
                      <w:sz w:val="18"/>
                      <w:szCs w:val="18"/>
                    </w:rPr>
                    <w:t>、风景</w:t>
                  </w:r>
                  <w:r>
                    <w:rPr>
                      <w:rFonts w:hint="eastAsia" w:hAnsi="宋体"/>
                      <w:color w:val="auto"/>
                      <w:sz w:val="18"/>
                      <w:szCs w:val="18"/>
                    </w:rPr>
                    <w:t>名胜区</w:t>
                  </w:r>
                  <w:r>
                    <w:rPr>
                      <w:rFonts w:hAnsi="宋体"/>
                      <w:color w:val="auto"/>
                      <w:sz w:val="18"/>
                      <w:szCs w:val="18"/>
                    </w:rPr>
                    <w:t>、</w:t>
                  </w:r>
                  <w:r>
                    <w:rPr>
                      <w:rFonts w:hint="eastAsia" w:hAnsi="宋体"/>
                      <w:color w:val="auto"/>
                      <w:sz w:val="18"/>
                      <w:szCs w:val="18"/>
                    </w:rPr>
                    <w:t>生活</w:t>
                  </w:r>
                  <w:r>
                    <w:rPr>
                      <w:rFonts w:hAnsi="宋体"/>
                      <w:color w:val="auto"/>
                      <w:sz w:val="18"/>
                      <w:szCs w:val="18"/>
                    </w:rPr>
                    <w:t>饮用水源保护</w:t>
                  </w:r>
                  <w:r>
                    <w:rPr>
                      <w:rFonts w:hint="eastAsia" w:hAnsi="宋体"/>
                      <w:color w:val="auto"/>
                      <w:sz w:val="18"/>
                      <w:szCs w:val="18"/>
                    </w:rPr>
                    <w:t>区</w:t>
                  </w:r>
                  <w:r>
                    <w:rPr>
                      <w:rFonts w:hAnsi="宋体"/>
                      <w:color w:val="auto"/>
                      <w:sz w:val="18"/>
                      <w:szCs w:val="18"/>
                    </w:rPr>
                    <w:t>等，</w:t>
                  </w:r>
                  <w:r>
                    <w:rPr>
                      <w:rFonts w:hint="eastAsia" w:hAnsi="宋体"/>
                      <w:color w:val="auto"/>
                      <w:sz w:val="18"/>
                      <w:szCs w:val="18"/>
                    </w:rPr>
                    <w:t>故</w:t>
                  </w:r>
                  <w:r>
                    <w:rPr>
                      <w:rFonts w:hAnsi="宋体"/>
                      <w:color w:val="auto"/>
                      <w:sz w:val="18"/>
                      <w:szCs w:val="18"/>
                    </w:rPr>
                    <w:t>项目不触及生态保护</w:t>
                  </w:r>
                  <w:r>
                    <w:rPr>
                      <w:rFonts w:hint="eastAsia" w:hAnsi="宋体"/>
                      <w:color w:val="auto"/>
                      <w:sz w:val="18"/>
                      <w:szCs w:val="18"/>
                    </w:rPr>
                    <w:t>红线。</w:t>
                  </w:r>
                </w:p>
              </w:tc>
              <w:tc>
                <w:tcPr>
                  <w:tcW w:w="483" w:type="pct"/>
                  <w:vAlign w:val="center"/>
                </w:tcPr>
                <w:p>
                  <w:pPr>
                    <w:jc w:val="center"/>
                    <w:rPr>
                      <w:rFonts w:hAnsi="宋体"/>
                      <w:color w:val="auto"/>
                      <w:sz w:val="18"/>
                      <w:szCs w:val="18"/>
                    </w:rPr>
                  </w:pPr>
                  <w:r>
                    <w:rPr>
                      <w:rFonts w:hint="eastAsia" w:hAnsi="宋体"/>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957" w:type="pct"/>
                  <w:vMerge w:val="continue"/>
                  <w:vAlign w:val="center"/>
                </w:tcPr>
                <w:p>
                  <w:pPr>
                    <w:adjustRightInd w:val="0"/>
                    <w:snapToGrid w:val="0"/>
                    <w:jc w:val="center"/>
                    <w:rPr>
                      <w:color w:val="auto"/>
                      <w:sz w:val="18"/>
                      <w:szCs w:val="18"/>
                    </w:rPr>
                  </w:pPr>
                </w:p>
              </w:tc>
              <w:tc>
                <w:tcPr>
                  <w:tcW w:w="1732" w:type="pct"/>
                  <w:vAlign w:val="center"/>
                </w:tcPr>
                <w:p>
                  <w:pPr>
                    <w:adjustRightInd w:val="0"/>
                    <w:snapToGrid w:val="0"/>
                    <w:jc w:val="center"/>
                    <w:rPr>
                      <w:rFonts w:hAnsi="宋体"/>
                      <w:color w:val="auto"/>
                      <w:sz w:val="18"/>
                      <w:szCs w:val="18"/>
                    </w:rPr>
                  </w:pPr>
                  <w:r>
                    <w:rPr>
                      <w:rFonts w:hint="eastAsia"/>
                      <w:color w:val="auto"/>
                      <w:sz w:val="18"/>
                      <w:szCs w:val="18"/>
                    </w:rPr>
                    <w:t>资源利用上线</w:t>
                  </w:r>
                </w:p>
              </w:tc>
              <w:tc>
                <w:tcPr>
                  <w:tcW w:w="1828" w:type="pct"/>
                  <w:vAlign w:val="center"/>
                </w:tcPr>
                <w:p>
                  <w:pPr>
                    <w:adjustRightInd w:val="0"/>
                    <w:snapToGrid w:val="0"/>
                    <w:jc w:val="center"/>
                    <w:rPr>
                      <w:rFonts w:hAnsi="宋体"/>
                      <w:color w:val="auto"/>
                      <w:sz w:val="18"/>
                      <w:szCs w:val="18"/>
                    </w:rPr>
                  </w:pPr>
                  <w:r>
                    <w:rPr>
                      <w:rFonts w:hint="eastAsia"/>
                      <w:bCs/>
                      <w:color w:val="auto"/>
                      <w:sz w:val="18"/>
                      <w:szCs w:val="18"/>
                    </w:rPr>
                    <w:t>本项目为宠物医院项目，属社会事业与服务业类项目，运营过程中涉及能源主要为水、电能，本项目属于低能耗项目，</w:t>
                  </w:r>
                  <w:r>
                    <w:rPr>
                      <w:rFonts w:hint="eastAsia"/>
                      <w:color w:val="auto"/>
                      <w:sz w:val="18"/>
                      <w:szCs w:val="18"/>
                    </w:rPr>
                    <w:t>项目资源利用不会突破区域的资源利用上线。</w:t>
                  </w:r>
                </w:p>
              </w:tc>
              <w:tc>
                <w:tcPr>
                  <w:tcW w:w="483" w:type="pct"/>
                  <w:vAlign w:val="center"/>
                </w:tcPr>
                <w:p>
                  <w:pPr>
                    <w:jc w:val="center"/>
                    <w:rPr>
                      <w:rFonts w:hAnsi="宋体"/>
                      <w:color w:val="auto"/>
                      <w:sz w:val="18"/>
                      <w:szCs w:val="18"/>
                    </w:rPr>
                  </w:pPr>
                  <w:r>
                    <w:rPr>
                      <w:rFonts w:hint="eastAsia" w:hAnsi="宋体"/>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957" w:type="pct"/>
                  <w:vMerge w:val="continue"/>
                  <w:vAlign w:val="center"/>
                </w:tcPr>
                <w:p>
                  <w:pPr>
                    <w:adjustRightInd w:val="0"/>
                    <w:snapToGrid w:val="0"/>
                    <w:jc w:val="center"/>
                    <w:rPr>
                      <w:color w:val="auto"/>
                      <w:sz w:val="18"/>
                      <w:szCs w:val="18"/>
                    </w:rPr>
                  </w:pPr>
                </w:p>
              </w:tc>
              <w:tc>
                <w:tcPr>
                  <w:tcW w:w="1732" w:type="pct"/>
                  <w:vAlign w:val="center"/>
                </w:tcPr>
                <w:p>
                  <w:pPr>
                    <w:adjustRightInd w:val="0"/>
                    <w:snapToGrid w:val="0"/>
                    <w:jc w:val="center"/>
                    <w:rPr>
                      <w:rFonts w:hAnsi="宋体"/>
                      <w:color w:val="auto"/>
                      <w:sz w:val="18"/>
                      <w:szCs w:val="18"/>
                    </w:rPr>
                  </w:pPr>
                  <w:r>
                    <w:rPr>
                      <w:rFonts w:hint="eastAsia"/>
                      <w:color w:val="auto"/>
                      <w:sz w:val="18"/>
                      <w:szCs w:val="18"/>
                    </w:rPr>
                    <w:t>环境质量底线</w:t>
                  </w:r>
                </w:p>
              </w:tc>
              <w:tc>
                <w:tcPr>
                  <w:tcW w:w="1828" w:type="pct"/>
                  <w:vAlign w:val="center"/>
                </w:tcPr>
                <w:p>
                  <w:pPr>
                    <w:adjustRightInd w:val="0"/>
                    <w:snapToGrid w:val="0"/>
                    <w:jc w:val="center"/>
                    <w:rPr>
                      <w:rFonts w:hAnsi="宋体"/>
                      <w:color w:val="auto"/>
                      <w:sz w:val="18"/>
                      <w:szCs w:val="18"/>
                    </w:rPr>
                  </w:pPr>
                  <w:r>
                    <w:rPr>
                      <w:rFonts w:hAnsi="宋体"/>
                      <w:color w:val="auto"/>
                      <w:sz w:val="18"/>
                      <w:szCs w:val="18"/>
                    </w:rPr>
                    <w:t>由陕西省环境保护厅办公室发布的《环保快报》数据结果，</w:t>
                  </w:r>
                  <w:r>
                    <w:rPr>
                      <w:rFonts w:hint="eastAsia" w:hAnsi="宋体"/>
                      <w:color w:val="auto"/>
                      <w:sz w:val="18"/>
                      <w:szCs w:val="18"/>
                    </w:rPr>
                    <w:t>莲湖区</w:t>
                  </w:r>
                  <w:r>
                    <w:rPr>
                      <w:rFonts w:hAnsi="宋体"/>
                      <w:color w:val="auto"/>
                      <w:sz w:val="18"/>
                      <w:szCs w:val="18"/>
                    </w:rPr>
                    <w:t>环境空气质量为不达标区。</w:t>
                  </w:r>
                  <w:r>
                    <w:rPr>
                      <w:rFonts w:hint="eastAsia" w:hAnsi="宋体"/>
                      <w:color w:val="auto"/>
                      <w:sz w:val="18"/>
                      <w:szCs w:val="18"/>
                    </w:rPr>
                    <w:t>部分因子超标原因主要与区域所处地理位置及区域气象条件有关。根据环境各要素预测结果，</w:t>
                  </w:r>
                  <w:r>
                    <w:rPr>
                      <w:color w:val="auto"/>
                      <w:kern w:val="0"/>
                      <w:sz w:val="18"/>
                      <w:szCs w:val="18"/>
                    </w:rPr>
                    <w:t>本项目运营期各污染物采取相应的环保措施后能满足达标排放要求，项目建设不会改变区域环境质量，不触及环境质量底线</w:t>
                  </w:r>
                  <w:r>
                    <w:rPr>
                      <w:rFonts w:hint="eastAsia"/>
                      <w:color w:val="auto"/>
                      <w:kern w:val="0"/>
                      <w:sz w:val="18"/>
                      <w:szCs w:val="18"/>
                    </w:rPr>
                    <w:t>。</w:t>
                  </w:r>
                </w:p>
              </w:tc>
              <w:tc>
                <w:tcPr>
                  <w:tcW w:w="483" w:type="pct"/>
                  <w:vAlign w:val="center"/>
                </w:tcPr>
                <w:p>
                  <w:pPr>
                    <w:jc w:val="center"/>
                    <w:rPr>
                      <w:rFonts w:hAnsi="宋体"/>
                      <w:color w:val="auto"/>
                      <w:sz w:val="18"/>
                      <w:szCs w:val="18"/>
                    </w:rPr>
                  </w:pPr>
                  <w:r>
                    <w:rPr>
                      <w:rFonts w:hint="eastAsia" w:hAnsi="宋体"/>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957" w:type="pct"/>
                  <w:vMerge w:val="continue"/>
                  <w:vAlign w:val="center"/>
                </w:tcPr>
                <w:p>
                  <w:pPr>
                    <w:adjustRightInd w:val="0"/>
                    <w:snapToGrid w:val="0"/>
                    <w:jc w:val="center"/>
                    <w:rPr>
                      <w:color w:val="auto"/>
                      <w:sz w:val="18"/>
                      <w:szCs w:val="18"/>
                    </w:rPr>
                  </w:pPr>
                </w:p>
              </w:tc>
              <w:tc>
                <w:tcPr>
                  <w:tcW w:w="1732" w:type="pct"/>
                  <w:vAlign w:val="center"/>
                </w:tcPr>
                <w:p>
                  <w:pPr>
                    <w:adjustRightInd w:val="0"/>
                    <w:snapToGrid w:val="0"/>
                    <w:jc w:val="center"/>
                    <w:rPr>
                      <w:rFonts w:hAnsi="宋体"/>
                      <w:color w:val="auto"/>
                      <w:sz w:val="18"/>
                      <w:szCs w:val="18"/>
                    </w:rPr>
                  </w:pPr>
                  <w:r>
                    <w:rPr>
                      <w:rFonts w:hint="eastAsia" w:hAnsi="宋体"/>
                      <w:color w:val="auto"/>
                      <w:sz w:val="18"/>
                      <w:szCs w:val="18"/>
                    </w:rPr>
                    <w:t>环境准入负面清单</w:t>
                  </w:r>
                </w:p>
              </w:tc>
              <w:tc>
                <w:tcPr>
                  <w:tcW w:w="1828" w:type="pct"/>
                  <w:vAlign w:val="center"/>
                </w:tcPr>
                <w:p>
                  <w:pPr>
                    <w:adjustRightInd w:val="0"/>
                    <w:snapToGrid w:val="0"/>
                    <w:jc w:val="center"/>
                    <w:rPr>
                      <w:rFonts w:hAnsi="宋体"/>
                      <w:color w:val="auto"/>
                      <w:sz w:val="18"/>
                      <w:szCs w:val="18"/>
                    </w:rPr>
                  </w:pPr>
                  <w:r>
                    <w:rPr>
                      <w:rFonts w:hint="eastAsia"/>
                      <w:color w:val="auto"/>
                      <w:sz w:val="18"/>
                      <w:szCs w:val="18"/>
                    </w:rPr>
                    <w:t>本项目不在</w:t>
                  </w:r>
                  <w:r>
                    <w:rPr>
                      <w:color w:val="auto"/>
                      <w:sz w:val="18"/>
                      <w:szCs w:val="18"/>
                    </w:rPr>
                    <w:t>《</w:t>
                  </w:r>
                  <w:r>
                    <w:rPr>
                      <w:rFonts w:hint="eastAsia"/>
                      <w:color w:val="auto"/>
                      <w:sz w:val="18"/>
                      <w:szCs w:val="18"/>
                    </w:rPr>
                    <w:t>市场</w:t>
                  </w:r>
                  <w:r>
                    <w:rPr>
                      <w:color w:val="auto"/>
                      <w:sz w:val="18"/>
                      <w:szCs w:val="18"/>
                    </w:rPr>
                    <w:t>准入</w:t>
                  </w:r>
                  <w:r>
                    <w:rPr>
                      <w:rFonts w:hint="eastAsia"/>
                      <w:color w:val="auto"/>
                      <w:sz w:val="18"/>
                      <w:szCs w:val="18"/>
                    </w:rPr>
                    <w:t>负面清单</w:t>
                  </w:r>
                  <w:r>
                    <w:rPr>
                      <w:color w:val="auto"/>
                      <w:sz w:val="18"/>
                      <w:szCs w:val="18"/>
                    </w:rPr>
                    <w:t>（</w:t>
                  </w:r>
                  <w:r>
                    <w:rPr>
                      <w:rFonts w:hint="eastAsia"/>
                      <w:color w:val="auto"/>
                      <w:sz w:val="18"/>
                      <w:szCs w:val="18"/>
                    </w:rPr>
                    <w:t>2022年版</w:t>
                  </w:r>
                  <w:r>
                    <w:rPr>
                      <w:color w:val="auto"/>
                      <w:sz w:val="18"/>
                      <w:szCs w:val="18"/>
                    </w:rPr>
                    <w:t>）》</w:t>
                  </w:r>
                  <w:r>
                    <w:rPr>
                      <w:rFonts w:hint="eastAsia"/>
                      <w:color w:val="auto"/>
                      <w:sz w:val="18"/>
                      <w:szCs w:val="18"/>
                    </w:rPr>
                    <w:t>之内</w:t>
                  </w:r>
                  <w:r>
                    <w:rPr>
                      <w:color w:val="auto"/>
                      <w:sz w:val="18"/>
                      <w:szCs w:val="18"/>
                    </w:rPr>
                    <w:t>。</w:t>
                  </w:r>
                  <w:r>
                    <w:rPr>
                      <w:rFonts w:hint="eastAsia"/>
                      <w:color w:val="auto"/>
                      <w:sz w:val="18"/>
                      <w:szCs w:val="18"/>
                    </w:rPr>
                    <w:t>本项目不属于</w:t>
                  </w:r>
                  <w:r>
                    <w:rPr>
                      <w:color w:val="auto"/>
                      <w:sz w:val="18"/>
                      <w:szCs w:val="18"/>
                    </w:rPr>
                    <w:t>陕西省</w:t>
                  </w:r>
                  <w:r>
                    <w:rPr>
                      <w:rFonts w:hint="eastAsia"/>
                      <w:color w:val="auto"/>
                      <w:sz w:val="18"/>
                      <w:szCs w:val="18"/>
                    </w:rPr>
                    <w:t>国家</w:t>
                  </w:r>
                  <w:r>
                    <w:rPr>
                      <w:color w:val="auto"/>
                      <w:sz w:val="18"/>
                      <w:szCs w:val="18"/>
                    </w:rPr>
                    <w:t>重点生态功能区</w:t>
                  </w:r>
                  <w:r>
                    <w:rPr>
                      <w:rFonts w:hint="eastAsia"/>
                      <w:color w:val="auto"/>
                      <w:sz w:val="18"/>
                      <w:szCs w:val="18"/>
                    </w:rPr>
                    <w:t>产业</w:t>
                  </w:r>
                  <w:r>
                    <w:rPr>
                      <w:color w:val="auto"/>
                      <w:sz w:val="18"/>
                      <w:szCs w:val="18"/>
                    </w:rPr>
                    <w:t>准入负面清单（</w:t>
                  </w:r>
                  <w:r>
                    <w:rPr>
                      <w:rFonts w:hint="eastAsia"/>
                      <w:color w:val="auto"/>
                      <w:sz w:val="18"/>
                      <w:szCs w:val="18"/>
                    </w:rPr>
                    <w:t>第一批</w:t>
                  </w:r>
                  <w:r>
                    <w:rPr>
                      <w:color w:val="auto"/>
                      <w:sz w:val="18"/>
                      <w:szCs w:val="18"/>
                    </w:rPr>
                    <w:t>、第二批）</w:t>
                  </w:r>
                  <w:r>
                    <w:rPr>
                      <w:rFonts w:hint="eastAsia"/>
                      <w:color w:val="auto"/>
                      <w:sz w:val="18"/>
                      <w:szCs w:val="18"/>
                    </w:rPr>
                    <w:t>。</w:t>
                  </w:r>
                </w:p>
              </w:tc>
              <w:tc>
                <w:tcPr>
                  <w:tcW w:w="483" w:type="pct"/>
                  <w:vAlign w:val="center"/>
                </w:tcPr>
                <w:p>
                  <w:pPr>
                    <w:jc w:val="center"/>
                    <w:rPr>
                      <w:rFonts w:hAnsi="宋体"/>
                      <w:color w:val="auto"/>
                      <w:sz w:val="18"/>
                      <w:szCs w:val="18"/>
                    </w:rPr>
                  </w:pPr>
                  <w:r>
                    <w:rPr>
                      <w:rFonts w:hint="eastAsia" w:hAnsi="宋体"/>
                      <w:color w:val="auto"/>
                      <w:sz w:val="18"/>
                      <w:szCs w:val="18"/>
                    </w:rPr>
                    <w:t>符合</w:t>
                  </w:r>
                </w:p>
              </w:tc>
            </w:tr>
          </w:tbl>
          <w:p>
            <w:pPr>
              <w:spacing w:line="360" w:lineRule="auto"/>
              <w:ind w:firstLine="420" w:firstLineChars="200"/>
              <w:rPr>
                <w:color w:val="auto"/>
              </w:rPr>
            </w:pPr>
            <w:r>
              <w:rPr>
                <w:rFonts w:hint="eastAsia"/>
                <w:color w:val="auto"/>
              </w:rPr>
              <w:t>根据《陕西省</w:t>
            </w:r>
            <w:r>
              <w:rPr>
                <w:color w:val="auto"/>
              </w:rPr>
              <w:t>“</w:t>
            </w:r>
            <w:r>
              <w:rPr>
                <w:rFonts w:hint="eastAsia"/>
                <w:color w:val="auto"/>
              </w:rPr>
              <w:t>三线一单</w:t>
            </w:r>
            <w:r>
              <w:rPr>
                <w:color w:val="auto"/>
              </w:rPr>
              <w:t>”</w:t>
            </w:r>
            <w:r>
              <w:rPr>
                <w:rFonts w:hint="eastAsia"/>
                <w:color w:val="auto"/>
              </w:rPr>
              <w:t>生态</w:t>
            </w:r>
            <w:r>
              <w:rPr>
                <w:color w:val="auto"/>
              </w:rPr>
              <w:t>环境分区管控</w:t>
            </w:r>
            <w:r>
              <w:rPr>
                <w:rFonts w:hint="eastAsia"/>
                <w:color w:val="auto"/>
              </w:rPr>
              <w:t>应用</w:t>
            </w:r>
            <w:r>
              <w:rPr>
                <w:color w:val="auto"/>
              </w:rPr>
              <w:t>技术指南：</w:t>
            </w:r>
            <w:r>
              <w:rPr>
                <w:rFonts w:hint="eastAsia"/>
                <w:color w:val="auto"/>
              </w:rPr>
              <w:t>环境</w:t>
            </w:r>
            <w:r>
              <w:rPr>
                <w:color w:val="auto"/>
              </w:rPr>
              <w:t>影响评价（</w:t>
            </w:r>
            <w:r>
              <w:rPr>
                <w:rFonts w:hint="eastAsia"/>
                <w:color w:val="auto"/>
              </w:rPr>
              <w:t>试行</w:t>
            </w:r>
            <w:r>
              <w:rPr>
                <w:color w:val="auto"/>
              </w:rPr>
              <w:t>）</w:t>
            </w:r>
            <w:r>
              <w:rPr>
                <w:rFonts w:hint="eastAsia"/>
                <w:color w:val="auto"/>
              </w:rPr>
              <w:t>》（陕环</w:t>
            </w:r>
            <w:r>
              <w:rPr>
                <w:color w:val="auto"/>
              </w:rPr>
              <w:t>办发【</w:t>
            </w:r>
            <w:r>
              <w:rPr>
                <w:rFonts w:hint="eastAsia"/>
                <w:color w:val="auto"/>
              </w:rPr>
              <w:t>2022</w:t>
            </w:r>
            <w:r>
              <w:rPr>
                <w:color w:val="auto"/>
              </w:rPr>
              <w:t>】</w:t>
            </w:r>
            <w:r>
              <w:rPr>
                <w:rFonts w:hint="eastAsia"/>
                <w:color w:val="auto"/>
              </w:rPr>
              <w:t>76号文）</w:t>
            </w:r>
            <w:r>
              <w:rPr>
                <w:color w:val="auto"/>
              </w:rPr>
              <w:t>、</w:t>
            </w:r>
            <w:r>
              <w:rPr>
                <w:rFonts w:hint="eastAsia"/>
                <w:color w:val="auto"/>
              </w:rPr>
              <w:t>《西</w:t>
            </w:r>
            <w:r>
              <w:rPr>
                <w:color w:val="auto"/>
              </w:rPr>
              <w:t>安市</w:t>
            </w:r>
            <w:r>
              <w:rPr>
                <w:rFonts w:hint="eastAsia"/>
                <w:color w:val="auto"/>
              </w:rPr>
              <w:t>“三线</w:t>
            </w:r>
            <w:r>
              <w:rPr>
                <w:color w:val="auto"/>
              </w:rPr>
              <w:t>一单</w:t>
            </w:r>
            <w:r>
              <w:rPr>
                <w:rFonts w:hint="eastAsia"/>
                <w:color w:val="auto"/>
              </w:rPr>
              <w:t>”生态</w:t>
            </w:r>
            <w:r>
              <w:rPr>
                <w:color w:val="auto"/>
              </w:rPr>
              <w:t>环境分区管控方案</w:t>
            </w:r>
            <w:r>
              <w:rPr>
                <w:rFonts w:hint="eastAsia"/>
                <w:color w:val="auto"/>
              </w:rPr>
              <w:t>》，</w:t>
            </w:r>
            <w:r>
              <w:rPr>
                <w:color w:val="auto"/>
              </w:rPr>
              <w:t>项目生态环境</w:t>
            </w:r>
            <w:r>
              <w:rPr>
                <w:rFonts w:hint="eastAsia"/>
                <w:color w:val="auto"/>
              </w:rPr>
              <w:t>管控</w:t>
            </w:r>
            <w:r>
              <w:rPr>
                <w:color w:val="auto"/>
              </w:rPr>
              <w:t>分区对照</w:t>
            </w:r>
            <w:r>
              <w:rPr>
                <w:rFonts w:hint="eastAsia"/>
                <w:color w:val="auto"/>
              </w:rPr>
              <w:t>分析</w:t>
            </w:r>
            <w:r>
              <w:rPr>
                <w:color w:val="auto"/>
              </w:rPr>
              <w:t>内容为：</w:t>
            </w:r>
            <w:r>
              <w:rPr>
                <w:rFonts w:hint="eastAsia"/>
                <w:color w:val="auto"/>
              </w:rPr>
              <w:t>本项目位于西</w:t>
            </w:r>
            <w:r>
              <w:rPr>
                <w:color w:val="auto"/>
              </w:rPr>
              <w:t>安市莲湖区杏园路</w:t>
            </w:r>
            <w:r>
              <w:rPr>
                <w:rFonts w:hint="eastAsia"/>
                <w:color w:val="auto"/>
              </w:rPr>
              <w:t>186号丰</w:t>
            </w:r>
            <w:r>
              <w:rPr>
                <w:color w:val="auto"/>
              </w:rPr>
              <w:t>和坊一期</w:t>
            </w:r>
            <w:r>
              <w:rPr>
                <w:rFonts w:hint="eastAsia"/>
                <w:color w:val="auto"/>
              </w:rPr>
              <w:t>15幢1011室</w:t>
            </w:r>
            <w:r>
              <w:rPr>
                <w:color w:val="auto"/>
              </w:rPr>
              <w:t>，</w:t>
            </w:r>
            <w:r>
              <w:rPr>
                <w:rFonts w:hint="eastAsia"/>
                <w:color w:val="auto"/>
              </w:rPr>
              <w:t>不涉及</w:t>
            </w:r>
            <w:r>
              <w:rPr>
                <w:color w:val="auto"/>
              </w:rPr>
              <w:t>生态环境敏感区</w:t>
            </w:r>
            <w:r>
              <w:rPr>
                <w:rFonts w:hint="eastAsia"/>
                <w:color w:val="auto"/>
              </w:rPr>
              <w:t>。</w:t>
            </w:r>
            <w:r>
              <w:rPr>
                <w:color w:val="auto"/>
              </w:rPr>
              <w:t>根据</w:t>
            </w:r>
            <w:r>
              <w:rPr>
                <w:rFonts w:hint="eastAsia"/>
                <w:color w:val="auto"/>
              </w:rPr>
              <w:t>西</w:t>
            </w:r>
            <w:r>
              <w:rPr>
                <w:color w:val="auto"/>
              </w:rPr>
              <w:t>安市</w:t>
            </w:r>
            <w:r>
              <w:rPr>
                <w:rFonts w:hint="eastAsia"/>
                <w:color w:val="auto"/>
              </w:rPr>
              <w:t>生态</w:t>
            </w:r>
            <w:r>
              <w:rPr>
                <w:color w:val="auto"/>
              </w:rPr>
              <w:t>环境管控单元</w:t>
            </w:r>
            <w:r>
              <w:rPr>
                <w:rFonts w:hint="eastAsia"/>
                <w:color w:val="auto"/>
              </w:rPr>
              <w:t>分布图</w:t>
            </w:r>
            <w:r>
              <w:rPr>
                <w:color w:val="auto"/>
              </w:rPr>
              <w:t>（</w:t>
            </w:r>
            <w:r>
              <w:rPr>
                <w:rFonts w:hint="eastAsia"/>
                <w:color w:val="auto"/>
              </w:rPr>
              <w:t>附图6</w:t>
            </w:r>
            <w:r>
              <w:rPr>
                <w:color w:val="auto"/>
              </w:rPr>
              <w:t>）</w:t>
            </w:r>
            <w:r>
              <w:rPr>
                <w:rFonts w:hint="eastAsia"/>
                <w:color w:val="auto"/>
              </w:rPr>
              <w:t>确定</w:t>
            </w:r>
            <w:r>
              <w:rPr>
                <w:color w:val="auto"/>
              </w:rPr>
              <w:t>本项目位于重点管控单元，</w:t>
            </w:r>
            <w:r>
              <w:rPr>
                <w:rFonts w:hint="eastAsia"/>
                <w:color w:val="auto"/>
              </w:rPr>
              <w:t>管控</w:t>
            </w:r>
            <w:r>
              <w:rPr>
                <w:color w:val="auto"/>
              </w:rPr>
              <w:t>面积</w:t>
            </w:r>
            <w:r>
              <w:rPr>
                <w:rFonts w:hint="eastAsia"/>
                <w:color w:val="auto"/>
              </w:rPr>
              <w:t>107.8m</w:t>
            </w:r>
            <w:r>
              <w:rPr>
                <w:rFonts w:hint="eastAsia"/>
                <w:color w:val="auto"/>
                <w:vertAlign w:val="superscript"/>
              </w:rPr>
              <w:t>2</w:t>
            </w:r>
            <w:r>
              <w:rPr>
                <w:rFonts w:hint="eastAsia"/>
                <w:color w:val="auto"/>
              </w:rPr>
              <w:t>。项目</w:t>
            </w:r>
            <w:r>
              <w:rPr>
                <w:color w:val="auto"/>
              </w:rPr>
              <w:t>在采取有效的环保措施后，</w:t>
            </w:r>
            <w:r>
              <w:rPr>
                <w:rFonts w:hint="eastAsia"/>
                <w:color w:val="auto"/>
              </w:rPr>
              <w:t>污染</w:t>
            </w:r>
            <w:r>
              <w:rPr>
                <w:color w:val="auto"/>
              </w:rPr>
              <w:t>物可达标排放，对周边环境影响较小。</w:t>
            </w:r>
            <w:r>
              <w:rPr>
                <w:rFonts w:hint="eastAsia"/>
                <w:color w:val="auto"/>
              </w:rPr>
              <w:t>本项目</w:t>
            </w:r>
            <w:r>
              <w:rPr>
                <w:color w:val="auto"/>
              </w:rPr>
              <w:t>生态环境准入清单</w:t>
            </w:r>
            <w:r>
              <w:rPr>
                <w:rFonts w:hint="eastAsia"/>
                <w:color w:val="auto"/>
              </w:rPr>
              <w:t>分析见</w:t>
            </w:r>
            <w:r>
              <w:rPr>
                <w:color w:val="auto"/>
              </w:rPr>
              <w:t>表</w:t>
            </w:r>
            <w:r>
              <w:rPr>
                <w:rFonts w:hint="eastAsia"/>
                <w:color w:val="auto"/>
              </w:rPr>
              <w:t>1</w:t>
            </w:r>
            <w:r>
              <w:rPr>
                <w:color w:val="auto"/>
              </w:rPr>
              <w:t>-2</w:t>
            </w:r>
            <w:r>
              <w:rPr>
                <w:rFonts w:hint="eastAsia"/>
                <w:color w:val="auto"/>
              </w:rPr>
              <w:t>。</w:t>
            </w:r>
          </w:p>
          <w:p>
            <w:pPr>
              <w:jc w:val="center"/>
              <w:rPr>
                <w:b/>
                <w:bCs/>
                <w:color w:val="auto"/>
                <w:szCs w:val="21"/>
              </w:rPr>
            </w:pPr>
            <w:r>
              <w:rPr>
                <w:rFonts w:hint="eastAsia"/>
                <w:b/>
                <w:bCs/>
                <w:color w:val="auto"/>
                <w:szCs w:val="21"/>
              </w:rPr>
              <w:t>表1</w:t>
            </w:r>
            <w:r>
              <w:rPr>
                <w:b/>
                <w:bCs/>
                <w:color w:val="auto"/>
                <w:szCs w:val="21"/>
              </w:rPr>
              <w:t xml:space="preserve">-2    </w:t>
            </w:r>
            <w:r>
              <w:rPr>
                <w:rFonts w:hint="eastAsia"/>
                <w:b/>
                <w:bCs/>
                <w:color w:val="auto"/>
                <w:szCs w:val="21"/>
              </w:rPr>
              <w:t>项目</w:t>
            </w:r>
            <w:r>
              <w:rPr>
                <w:b/>
                <w:bCs/>
                <w:color w:val="auto"/>
                <w:szCs w:val="21"/>
              </w:rPr>
              <w:t>与西安市“</w:t>
            </w:r>
            <w:r>
              <w:rPr>
                <w:rFonts w:hint="eastAsia"/>
                <w:b/>
                <w:bCs/>
                <w:color w:val="auto"/>
                <w:szCs w:val="21"/>
              </w:rPr>
              <w:t>三线一单</w:t>
            </w:r>
            <w:r>
              <w:rPr>
                <w:b/>
                <w:bCs/>
                <w:color w:val="auto"/>
                <w:szCs w:val="21"/>
              </w:rPr>
              <w:t>”</w:t>
            </w:r>
            <w:r>
              <w:rPr>
                <w:rFonts w:hint="eastAsia"/>
                <w:b/>
                <w:bCs/>
                <w:color w:val="auto"/>
                <w:szCs w:val="21"/>
              </w:rPr>
              <w:t>分区</w:t>
            </w:r>
            <w:r>
              <w:rPr>
                <w:b/>
                <w:bCs/>
                <w:color w:val="auto"/>
                <w:szCs w:val="21"/>
              </w:rPr>
              <w:t>管控方案对比分析表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16"/>
              <w:gridCol w:w="630"/>
              <w:gridCol w:w="629"/>
              <w:gridCol w:w="630"/>
              <w:gridCol w:w="397"/>
              <w:gridCol w:w="2181"/>
              <w:gridCol w:w="1163"/>
              <w:gridCol w:w="6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400" w:type="pct"/>
                  <w:vAlign w:val="center"/>
                </w:tcPr>
                <w:p>
                  <w:pPr>
                    <w:adjustRightInd w:val="0"/>
                    <w:snapToGrid w:val="0"/>
                    <w:jc w:val="center"/>
                    <w:rPr>
                      <w:color w:val="auto"/>
                      <w:sz w:val="18"/>
                      <w:szCs w:val="18"/>
                    </w:rPr>
                  </w:pPr>
                  <w:r>
                    <w:rPr>
                      <w:rFonts w:hint="eastAsia"/>
                      <w:color w:val="auto"/>
                      <w:sz w:val="18"/>
                      <w:szCs w:val="18"/>
                    </w:rPr>
                    <w:t>市</w:t>
                  </w:r>
                  <w:r>
                    <w:rPr>
                      <w:color w:val="auto"/>
                      <w:sz w:val="18"/>
                      <w:szCs w:val="18"/>
                    </w:rPr>
                    <w:t>区县</w:t>
                  </w:r>
                </w:p>
              </w:tc>
              <w:tc>
                <w:tcPr>
                  <w:tcW w:w="484" w:type="pct"/>
                  <w:vAlign w:val="center"/>
                </w:tcPr>
                <w:p>
                  <w:pPr>
                    <w:adjustRightInd w:val="0"/>
                    <w:snapToGrid w:val="0"/>
                    <w:jc w:val="center"/>
                    <w:rPr>
                      <w:color w:val="auto"/>
                      <w:sz w:val="18"/>
                      <w:szCs w:val="18"/>
                    </w:rPr>
                  </w:pPr>
                  <w:r>
                    <w:rPr>
                      <w:rFonts w:hint="eastAsia"/>
                      <w:color w:val="auto"/>
                      <w:sz w:val="18"/>
                      <w:szCs w:val="18"/>
                    </w:rPr>
                    <w:t>环境</w:t>
                  </w:r>
                  <w:r>
                    <w:rPr>
                      <w:color w:val="auto"/>
                      <w:sz w:val="18"/>
                      <w:szCs w:val="18"/>
                    </w:rPr>
                    <w:t>管控单元名称</w:t>
                  </w:r>
                </w:p>
              </w:tc>
              <w:tc>
                <w:tcPr>
                  <w:tcW w:w="483" w:type="pct"/>
                  <w:vAlign w:val="center"/>
                </w:tcPr>
                <w:p>
                  <w:pPr>
                    <w:adjustRightInd w:val="0"/>
                    <w:snapToGrid w:val="0"/>
                    <w:jc w:val="center"/>
                    <w:rPr>
                      <w:color w:val="auto"/>
                      <w:sz w:val="18"/>
                      <w:szCs w:val="18"/>
                    </w:rPr>
                  </w:pPr>
                  <w:r>
                    <w:rPr>
                      <w:rFonts w:hint="eastAsia"/>
                      <w:color w:val="auto"/>
                      <w:sz w:val="18"/>
                      <w:szCs w:val="18"/>
                    </w:rPr>
                    <w:t>管控</w:t>
                  </w:r>
                  <w:r>
                    <w:rPr>
                      <w:color w:val="auto"/>
                      <w:sz w:val="18"/>
                      <w:szCs w:val="18"/>
                    </w:rPr>
                    <w:t>单元</w:t>
                  </w:r>
                  <w:r>
                    <w:rPr>
                      <w:rFonts w:hint="eastAsia"/>
                      <w:color w:val="auto"/>
                      <w:sz w:val="18"/>
                      <w:szCs w:val="18"/>
                    </w:rPr>
                    <w:t>分类</w:t>
                  </w:r>
                </w:p>
              </w:tc>
              <w:tc>
                <w:tcPr>
                  <w:tcW w:w="484" w:type="pct"/>
                  <w:vAlign w:val="center"/>
                </w:tcPr>
                <w:p>
                  <w:pPr>
                    <w:adjustRightInd w:val="0"/>
                    <w:snapToGrid w:val="0"/>
                    <w:jc w:val="center"/>
                    <w:rPr>
                      <w:color w:val="auto"/>
                      <w:sz w:val="18"/>
                      <w:szCs w:val="18"/>
                    </w:rPr>
                  </w:pPr>
                  <w:r>
                    <w:rPr>
                      <w:rFonts w:hint="eastAsia"/>
                      <w:color w:val="auto"/>
                      <w:sz w:val="18"/>
                      <w:szCs w:val="18"/>
                    </w:rPr>
                    <w:t>单元</w:t>
                  </w:r>
                  <w:r>
                    <w:rPr>
                      <w:color w:val="auto"/>
                      <w:sz w:val="18"/>
                      <w:szCs w:val="18"/>
                    </w:rPr>
                    <w:t>元素属性</w:t>
                  </w:r>
                </w:p>
              </w:tc>
              <w:tc>
                <w:tcPr>
                  <w:tcW w:w="1940" w:type="pct"/>
                  <w:gridSpan w:val="2"/>
                  <w:vAlign w:val="center"/>
                </w:tcPr>
                <w:p>
                  <w:pPr>
                    <w:adjustRightInd w:val="0"/>
                    <w:snapToGrid w:val="0"/>
                    <w:jc w:val="center"/>
                    <w:rPr>
                      <w:color w:val="auto"/>
                      <w:sz w:val="18"/>
                      <w:szCs w:val="18"/>
                    </w:rPr>
                  </w:pPr>
                  <w:r>
                    <w:rPr>
                      <w:rFonts w:hint="eastAsia"/>
                      <w:color w:val="auto"/>
                      <w:sz w:val="18"/>
                      <w:szCs w:val="18"/>
                    </w:rPr>
                    <w:t>管控</w:t>
                  </w:r>
                  <w:r>
                    <w:rPr>
                      <w:color w:val="auto"/>
                      <w:sz w:val="18"/>
                      <w:szCs w:val="18"/>
                    </w:rPr>
                    <w:t>要求</w:t>
                  </w:r>
                </w:p>
              </w:tc>
              <w:tc>
                <w:tcPr>
                  <w:tcW w:w="877" w:type="pct"/>
                  <w:vAlign w:val="center"/>
                </w:tcPr>
                <w:p>
                  <w:pPr>
                    <w:adjustRightInd w:val="0"/>
                    <w:snapToGrid w:val="0"/>
                    <w:jc w:val="center"/>
                    <w:rPr>
                      <w:color w:val="auto"/>
                      <w:sz w:val="18"/>
                      <w:szCs w:val="18"/>
                    </w:rPr>
                  </w:pPr>
                  <w:r>
                    <w:rPr>
                      <w:rFonts w:hint="eastAsia"/>
                      <w:color w:val="auto"/>
                      <w:sz w:val="18"/>
                      <w:szCs w:val="18"/>
                    </w:rPr>
                    <w:t>项目</w:t>
                  </w:r>
                  <w:r>
                    <w:rPr>
                      <w:color w:val="auto"/>
                      <w:sz w:val="18"/>
                      <w:szCs w:val="18"/>
                    </w:rPr>
                    <w:t>情况</w:t>
                  </w:r>
                </w:p>
              </w:tc>
              <w:tc>
                <w:tcPr>
                  <w:tcW w:w="332" w:type="pct"/>
                  <w:vAlign w:val="center"/>
                </w:tcPr>
                <w:p>
                  <w:pPr>
                    <w:jc w:val="center"/>
                    <w:rPr>
                      <w:color w:val="auto"/>
                      <w:sz w:val="18"/>
                      <w:szCs w:val="18"/>
                    </w:rPr>
                  </w:pPr>
                  <w:r>
                    <w:rPr>
                      <w:rFonts w:hint="eastAsia"/>
                      <w:color w:val="auto"/>
                      <w:sz w:val="18"/>
                      <w:szCs w:val="18"/>
                    </w:rPr>
                    <w:t>面积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400" w:type="pct"/>
                  <w:vMerge w:val="restart"/>
                  <w:vAlign w:val="center"/>
                </w:tcPr>
                <w:p>
                  <w:pPr>
                    <w:adjustRightInd w:val="0"/>
                    <w:snapToGrid w:val="0"/>
                    <w:jc w:val="center"/>
                    <w:rPr>
                      <w:color w:val="auto"/>
                      <w:sz w:val="18"/>
                      <w:szCs w:val="18"/>
                    </w:rPr>
                  </w:pPr>
                  <w:r>
                    <w:rPr>
                      <w:rFonts w:hint="eastAsia"/>
                      <w:color w:val="auto"/>
                      <w:sz w:val="18"/>
                      <w:szCs w:val="18"/>
                    </w:rPr>
                    <w:t>西</w:t>
                  </w:r>
                  <w:r>
                    <w:rPr>
                      <w:color w:val="auto"/>
                      <w:sz w:val="18"/>
                      <w:szCs w:val="18"/>
                    </w:rPr>
                    <w:t>安市莲湖区</w:t>
                  </w:r>
                </w:p>
              </w:tc>
              <w:tc>
                <w:tcPr>
                  <w:tcW w:w="484" w:type="pct"/>
                  <w:vMerge w:val="restart"/>
                  <w:vAlign w:val="center"/>
                </w:tcPr>
                <w:p>
                  <w:pPr>
                    <w:adjustRightInd w:val="0"/>
                    <w:snapToGrid w:val="0"/>
                    <w:jc w:val="center"/>
                    <w:rPr>
                      <w:color w:val="auto"/>
                      <w:sz w:val="18"/>
                      <w:szCs w:val="18"/>
                    </w:rPr>
                  </w:pPr>
                  <w:r>
                    <w:rPr>
                      <w:rFonts w:hint="eastAsia"/>
                      <w:color w:val="auto"/>
                      <w:sz w:val="18"/>
                      <w:szCs w:val="18"/>
                    </w:rPr>
                    <w:t>陕西省</w:t>
                  </w:r>
                  <w:r>
                    <w:rPr>
                      <w:color w:val="auto"/>
                      <w:sz w:val="18"/>
                      <w:szCs w:val="18"/>
                    </w:rPr>
                    <w:t>西安市莲湖区重点管控单元</w:t>
                  </w:r>
                  <w:r>
                    <w:rPr>
                      <w:rFonts w:hint="eastAsia"/>
                      <w:color w:val="auto"/>
                      <w:sz w:val="18"/>
                      <w:szCs w:val="18"/>
                    </w:rPr>
                    <w:t>1</w:t>
                  </w:r>
                </w:p>
              </w:tc>
              <w:tc>
                <w:tcPr>
                  <w:tcW w:w="483" w:type="pct"/>
                  <w:vMerge w:val="restart"/>
                  <w:vAlign w:val="center"/>
                </w:tcPr>
                <w:p>
                  <w:pPr>
                    <w:adjustRightInd w:val="0"/>
                    <w:snapToGrid w:val="0"/>
                    <w:jc w:val="center"/>
                    <w:rPr>
                      <w:color w:val="auto"/>
                      <w:sz w:val="18"/>
                      <w:szCs w:val="18"/>
                    </w:rPr>
                  </w:pPr>
                  <w:r>
                    <w:rPr>
                      <w:rFonts w:hint="eastAsia"/>
                      <w:color w:val="auto"/>
                      <w:sz w:val="18"/>
                      <w:szCs w:val="18"/>
                    </w:rPr>
                    <w:t>水环境</w:t>
                  </w:r>
                  <w:r>
                    <w:rPr>
                      <w:color w:val="auto"/>
                      <w:sz w:val="18"/>
                      <w:szCs w:val="18"/>
                    </w:rPr>
                    <w:t>城镇污染重点管控区</w:t>
                  </w:r>
                </w:p>
              </w:tc>
              <w:tc>
                <w:tcPr>
                  <w:tcW w:w="484" w:type="pct"/>
                  <w:vMerge w:val="restart"/>
                  <w:vAlign w:val="center"/>
                </w:tcPr>
                <w:p>
                  <w:pPr>
                    <w:adjustRightInd w:val="0"/>
                    <w:snapToGrid w:val="0"/>
                    <w:jc w:val="center"/>
                    <w:rPr>
                      <w:color w:val="auto"/>
                      <w:sz w:val="18"/>
                      <w:szCs w:val="18"/>
                    </w:rPr>
                  </w:pPr>
                  <w:r>
                    <w:rPr>
                      <w:rFonts w:hint="eastAsia"/>
                      <w:color w:val="auto"/>
                      <w:sz w:val="18"/>
                      <w:szCs w:val="18"/>
                    </w:rPr>
                    <w:t>重点</w:t>
                  </w:r>
                  <w:r>
                    <w:rPr>
                      <w:color w:val="auto"/>
                      <w:sz w:val="18"/>
                      <w:szCs w:val="18"/>
                    </w:rPr>
                    <w:t>管控单元</w:t>
                  </w:r>
                </w:p>
              </w:tc>
              <w:tc>
                <w:tcPr>
                  <w:tcW w:w="293" w:type="pct"/>
                  <w:vAlign w:val="center"/>
                </w:tcPr>
                <w:p>
                  <w:pPr>
                    <w:adjustRightInd w:val="0"/>
                    <w:snapToGrid w:val="0"/>
                    <w:jc w:val="center"/>
                    <w:rPr>
                      <w:color w:val="auto"/>
                      <w:sz w:val="18"/>
                      <w:szCs w:val="18"/>
                    </w:rPr>
                  </w:pPr>
                  <w:r>
                    <w:rPr>
                      <w:rFonts w:hint="eastAsia"/>
                      <w:color w:val="auto"/>
                      <w:sz w:val="18"/>
                      <w:szCs w:val="18"/>
                    </w:rPr>
                    <w:t>空间</w:t>
                  </w:r>
                  <w:r>
                    <w:rPr>
                      <w:color w:val="auto"/>
                      <w:sz w:val="18"/>
                      <w:szCs w:val="18"/>
                    </w:rPr>
                    <w:t>布局约束</w:t>
                  </w:r>
                </w:p>
              </w:tc>
              <w:tc>
                <w:tcPr>
                  <w:tcW w:w="1647" w:type="pct"/>
                  <w:vAlign w:val="center"/>
                </w:tcPr>
                <w:p>
                  <w:pPr>
                    <w:adjustRightInd w:val="0"/>
                    <w:snapToGrid w:val="0"/>
                    <w:jc w:val="left"/>
                    <w:rPr>
                      <w:color w:val="auto"/>
                      <w:sz w:val="18"/>
                      <w:szCs w:val="18"/>
                    </w:rPr>
                  </w:pPr>
                  <w:r>
                    <w:rPr>
                      <w:color w:val="auto"/>
                      <w:sz w:val="18"/>
                      <w:szCs w:val="18"/>
                    </w:rPr>
                    <w:t>1、统筹好城市、县城及农村污水处理设施建设，继续提升污水处理能力，完善城镇污水处理厂和农村污水处理设施运营管理机制。到2025年城镇污水集中处理率稳步提升，县城污水集中处理率达到95%，加强雨污管网管理与建设。</w:t>
                  </w:r>
                </w:p>
                <w:p>
                  <w:pPr>
                    <w:pStyle w:val="2"/>
                    <w:rPr>
                      <w:rFonts w:ascii="Times New Roman" w:cs="Times New Roman"/>
                      <w:color w:val="auto"/>
                      <w:sz w:val="18"/>
                      <w:szCs w:val="18"/>
                    </w:rPr>
                  </w:pPr>
                  <w:r>
                    <w:rPr>
                      <w:rFonts w:ascii="Times New Roman" w:cs="Times New Roman"/>
                      <w:color w:val="auto"/>
                      <w:sz w:val="18"/>
                      <w:szCs w:val="18"/>
                    </w:rPr>
                    <w:t>2、继续巩固</w:t>
                  </w:r>
                  <w:r>
                    <w:rPr>
                      <w:rFonts w:hint="eastAsia" w:ascii="Times New Roman" w:cs="Times New Roman"/>
                      <w:color w:val="auto"/>
                      <w:sz w:val="18"/>
                      <w:szCs w:val="18"/>
                    </w:rPr>
                    <w:t>城镇</w:t>
                  </w:r>
                  <w:r>
                    <w:rPr>
                      <w:rFonts w:ascii="Times New Roman" w:cs="Times New Roman"/>
                      <w:color w:val="auto"/>
                      <w:sz w:val="18"/>
                      <w:szCs w:val="18"/>
                    </w:rPr>
                    <w:t>建成区</w:t>
                  </w:r>
                  <w:r>
                    <w:rPr>
                      <w:rFonts w:hint="eastAsia" w:ascii="Times New Roman" w:cs="Times New Roman"/>
                      <w:color w:val="auto"/>
                      <w:sz w:val="18"/>
                      <w:szCs w:val="18"/>
                    </w:rPr>
                    <w:t>黑臭</w:t>
                  </w:r>
                  <w:r>
                    <w:rPr>
                      <w:rFonts w:ascii="Times New Roman" w:cs="Times New Roman"/>
                      <w:color w:val="auto"/>
                      <w:sz w:val="18"/>
                      <w:szCs w:val="18"/>
                    </w:rPr>
                    <w:t>水体整治成果，</w:t>
                  </w:r>
                  <w:r>
                    <w:rPr>
                      <w:rFonts w:hint="eastAsia" w:ascii="Times New Roman" w:cs="Times New Roman"/>
                      <w:color w:val="auto"/>
                      <w:sz w:val="18"/>
                      <w:szCs w:val="18"/>
                    </w:rPr>
                    <w:t>建立</w:t>
                  </w:r>
                  <w:r>
                    <w:rPr>
                      <w:rFonts w:ascii="Times New Roman" w:cs="Times New Roman"/>
                      <w:color w:val="auto"/>
                      <w:sz w:val="18"/>
                      <w:szCs w:val="18"/>
                    </w:rPr>
                    <w:t>完善</w:t>
                  </w:r>
                  <w:r>
                    <w:rPr>
                      <w:rFonts w:hint="eastAsia" w:ascii="Times New Roman" w:cs="Times New Roman"/>
                      <w:color w:val="auto"/>
                      <w:sz w:val="18"/>
                      <w:szCs w:val="18"/>
                    </w:rPr>
                    <w:t>黑臭</w:t>
                  </w:r>
                  <w:r>
                    <w:rPr>
                      <w:rFonts w:ascii="Times New Roman" w:cs="Times New Roman"/>
                      <w:color w:val="auto"/>
                      <w:sz w:val="18"/>
                      <w:szCs w:val="18"/>
                    </w:rPr>
                    <w:t>水体</w:t>
                  </w:r>
                  <w:r>
                    <w:rPr>
                      <w:rFonts w:hint="eastAsia" w:ascii="Times New Roman" w:cs="Times New Roman"/>
                      <w:color w:val="auto"/>
                      <w:sz w:val="18"/>
                      <w:szCs w:val="18"/>
                    </w:rPr>
                    <w:t>污染</w:t>
                  </w:r>
                  <w:r>
                    <w:rPr>
                      <w:rFonts w:ascii="Times New Roman" w:cs="Times New Roman"/>
                      <w:color w:val="auto"/>
                      <w:sz w:val="18"/>
                      <w:szCs w:val="18"/>
                    </w:rPr>
                    <w:t>防治</w:t>
                  </w:r>
                  <w:r>
                    <w:rPr>
                      <w:rFonts w:hint="eastAsia" w:ascii="Times New Roman" w:cs="Times New Roman"/>
                      <w:color w:val="auto"/>
                      <w:sz w:val="18"/>
                      <w:szCs w:val="18"/>
                    </w:rPr>
                    <w:t>长效</w:t>
                  </w:r>
                  <w:r>
                    <w:rPr>
                      <w:rFonts w:ascii="Times New Roman" w:cs="Times New Roman"/>
                      <w:color w:val="auto"/>
                      <w:sz w:val="18"/>
                      <w:szCs w:val="18"/>
                    </w:rPr>
                    <w:t>机制，</w:t>
                  </w:r>
                  <w:r>
                    <w:rPr>
                      <w:rFonts w:hint="eastAsia" w:ascii="Times New Roman" w:cs="Times New Roman"/>
                      <w:color w:val="auto"/>
                      <w:sz w:val="18"/>
                      <w:szCs w:val="18"/>
                    </w:rPr>
                    <w:t>定期</w:t>
                  </w:r>
                  <w:r>
                    <w:rPr>
                      <w:rFonts w:ascii="Times New Roman" w:cs="Times New Roman"/>
                      <w:color w:val="auto"/>
                      <w:sz w:val="18"/>
                      <w:szCs w:val="18"/>
                    </w:rPr>
                    <w:t>开展巡查监测</w:t>
                  </w:r>
                  <w:r>
                    <w:rPr>
                      <w:rFonts w:hint="eastAsia" w:ascii="Times New Roman" w:cs="Times New Roman"/>
                      <w:color w:val="auto"/>
                      <w:sz w:val="18"/>
                      <w:szCs w:val="18"/>
                    </w:rPr>
                    <w:t>、</w:t>
                  </w:r>
                  <w:r>
                    <w:rPr>
                      <w:rFonts w:ascii="Times New Roman" w:cs="Times New Roman"/>
                      <w:color w:val="auto"/>
                      <w:sz w:val="18"/>
                      <w:szCs w:val="18"/>
                    </w:rPr>
                    <w:t>评估等工作，</w:t>
                  </w:r>
                  <w:r>
                    <w:rPr>
                      <w:rFonts w:hint="eastAsia" w:ascii="Times New Roman" w:cs="Times New Roman"/>
                      <w:color w:val="auto"/>
                      <w:sz w:val="18"/>
                      <w:szCs w:val="18"/>
                    </w:rPr>
                    <w:t>有效</w:t>
                  </w:r>
                  <w:r>
                    <w:rPr>
                      <w:rFonts w:ascii="Times New Roman" w:cs="Times New Roman"/>
                      <w:color w:val="auto"/>
                      <w:sz w:val="18"/>
                      <w:szCs w:val="18"/>
                    </w:rPr>
                    <w:t>防止水质反弹。</w:t>
                  </w:r>
                </w:p>
                <w:p>
                  <w:pPr>
                    <w:pStyle w:val="2"/>
                    <w:rPr>
                      <w:rFonts w:ascii="Times New Roman" w:cs="Times New Roman"/>
                      <w:color w:val="auto"/>
                      <w:sz w:val="18"/>
                      <w:szCs w:val="18"/>
                    </w:rPr>
                  </w:pPr>
                  <w:r>
                    <w:rPr>
                      <w:rFonts w:ascii="Times New Roman" w:cs="Times New Roman"/>
                      <w:color w:val="auto"/>
                      <w:sz w:val="18"/>
                      <w:szCs w:val="18"/>
                    </w:rPr>
                    <w:t>3</w:t>
                  </w:r>
                  <w:r>
                    <w:rPr>
                      <w:rFonts w:hint="eastAsia" w:ascii="Times New Roman" w:cs="Times New Roman"/>
                      <w:color w:val="auto"/>
                      <w:sz w:val="18"/>
                      <w:szCs w:val="18"/>
                    </w:rPr>
                    <w:t>、严格</w:t>
                  </w:r>
                  <w:r>
                    <w:rPr>
                      <w:rFonts w:ascii="Times New Roman" w:cs="Times New Roman"/>
                      <w:color w:val="auto"/>
                      <w:sz w:val="18"/>
                      <w:szCs w:val="18"/>
                    </w:rPr>
                    <w:t>控制新建、扩建化学制</w:t>
                  </w:r>
                  <w:r>
                    <w:rPr>
                      <w:rFonts w:hint="eastAsia" w:ascii="Times New Roman" w:cs="Times New Roman"/>
                      <w:color w:val="auto"/>
                      <w:sz w:val="18"/>
                      <w:szCs w:val="18"/>
                    </w:rPr>
                    <w:t>浆造纸</w:t>
                  </w:r>
                  <w:r>
                    <w:rPr>
                      <w:rFonts w:ascii="Times New Roman" w:cs="Times New Roman"/>
                      <w:color w:val="auto"/>
                      <w:sz w:val="18"/>
                      <w:szCs w:val="18"/>
                    </w:rPr>
                    <w:t>、</w:t>
                  </w:r>
                  <w:r>
                    <w:rPr>
                      <w:rFonts w:hint="eastAsia" w:ascii="Times New Roman" w:cs="Times New Roman"/>
                      <w:color w:val="auto"/>
                      <w:sz w:val="18"/>
                      <w:szCs w:val="18"/>
                    </w:rPr>
                    <w:t>化工</w:t>
                  </w:r>
                  <w:r>
                    <w:rPr>
                      <w:rFonts w:ascii="Times New Roman" w:cs="Times New Roman"/>
                      <w:color w:val="auto"/>
                      <w:sz w:val="18"/>
                      <w:szCs w:val="18"/>
                    </w:rPr>
                    <w:t>、</w:t>
                  </w:r>
                  <w:r>
                    <w:rPr>
                      <w:rFonts w:hint="eastAsia" w:ascii="Times New Roman" w:cs="Times New Roman"/>
                      <w:color w:val="auto"/>
                      <w:sz w:val="18"/>
                      <w:szCs w:val="18"/>
                    </w:rPr>
                    <w:t>印染</w:t>
                  </w:r>
                  <w:r>
                    <w:rPr>
                      <w:rFonts w:ascii="Times New Roman" w:cs="Times New Roman"/>
                      <w:color w:val="auto"/>
                      <w:sz w:val="18"/>
                      <w:szCs w:val="18"/>
                    </w:rPr>
                    <w:t>、果汁</w:t>
                  </w:r>
                  <w:r>
                    <w:rPr>
                      <w:rFonts w:hint="eastAsia" w:ascii="Times New Roman" w:cs="Times New Roman"/>
                      <w:color w:val="auto"/>
                      <w:sz w:val="18"/>
                      <w:szCs w:val="18"/>
                    </w:rPr>
                    <w:t>和</w:t>
                  </w:r>
                  <w:r>
                    <w:rPr>
                      <w:rFonts w:ascii="Times New Roman" w:cs="Times New Roman"/>
                      <w:color w:val="auto"/>
                      <w:sz w:val="18"/>
                      <w:szCs w:val="18"/>
                    </w:rPr>
                    <w:t>淀粉加工等高</w:t>
                  </w:r>
                  <w:r>
                    <w:rPr>
                      <w:rFonts w:hint="eastAsia" w:ascii="Times New Roman" w:cs="Times New Roman"/>
                      <w:color w:val="auto"/>
                      <w:sz w:val="18"/>
                      <w:szCs w:val="18"/>
                    </w:rPr>
                    <w:t>耗水、</w:t>
                  </w:r>
                  <w:r>
                    <w:rPr>
                      <w:rFonts w:ascii="Times New Roman" w:cs="Times New Roman"/>
                      <w:color w:val="auto"/>
                      <w:sz w:val="18"/>
                      <w:szCs w:val="18"/>
                    </w:rPr>
                    <w:t>高污染项目，</w:t>
                  </w:r>
                  <w:r>
                    <w:rPr>
                      <w:rFonts w:hint="eastAsia" w:ascii="Times New Roman" w:cs="Times New Roman"/>
                      <w:color w:val="auto"/>
                      <w:sz w:val="18"/>
                      <w:szCs w:val="18"/>
                    </w:rPr>
                    <w:t>水污染</w:t>
                  </w:r>
                  <w:r>
                    <w:rPr>
                      <w:rFonts w:ascii="Times New Roman" w:cs="Times New Roman"/>
                      <w:color w:val="auto"/>
                      <w:sz w:val="18"/>
                      <w:szCs w:val="18"/>
                    </w:rPr>
                    <w:t>排放企业严格执行</w:t>
                  </w:r>
                  <w:r>
                    <w:rPr>
                      <w:rFonts w:hint="eastAsia" w:ascii="Times New Roman" w:cs="Times New Roman"/>
                      <w:color w:val="auto"/>
                      <w:sz w:val="18"/>
                      <w:szCs w:val="18"/>
                    </w:rPr>
                    <w:t>排污</w:t>
                  </w:r>
                  <w:r>
                    <w:rPr>
                      <w:rFonts w:ascii="Times New Roman" w:cs="Times New Roman"/>
                      <w:color w:val="auto"/>
                      <w:sz w:val="18"/>
                      <w:szCs w:val="18"/>
                    </w:rPr>
                    <w:t>许可制度，</w:t>
                  </w:r>
                  <w:r>
                    <w:rPr>
                      <w:rFonts w:hint="eastAsia" w:ascii="Times New Roman" w:cs="Times New Roman"/>
                      <w:color w:val="auto"/>
                      <w:sz w:val="18"/>
                      <w:szCs w:val="18"/>
                    </w:rPr>
                    <w:t>实施</w:t>
                  </w:r>
                  <w:r>
                    <w:rPr>
                      <w:rFonts w:ascii="Times New Roman" w:cs="Times New Roman"/>
                      <w:color w:val="auto"/>
                      <w:sz w:val="18"/>
                      <w:szCs w:val="18"/>
                    </w:rPr>
                    <w:t>“</w:t>
                  </w:r>
                  <w:r>
                    <w:rPr>
                      <w:rFonts w:hint="eastAsia" w:ascii="Times New Roman" w:cs="Times New Roman"/>
                      <w:color w:val="auto"/>
                      <w:sz w:val="18"/>
                      <w:szCs w:val="18"/>
                    </w:rPr>
                    <w:t>持证</w:t>
                  </w:r>
                  <w:r>
                    <w:rPr>
                      <w:rFonts w:ascii="Times New Roman" w:cs="Times New Roman"/>
                      <w:color w:val="auto"/>
                      <w:sz w:val="18"/>
                      <w:szCs w:val="18"/>
                    </w:rPr>
                    <w:t>排水”</w:t>
                  </w:r>
                  <w:r>
                    <w:rPr>
                      <w:rFonts w:hint="eastAsia" w:ascii="Times New Roman" w:cs="Times New Roman"/>
                      <w:color w:val="auto"/>
                      <w:sz w:val="18"/>
                      <w:szCs w:val="18"/>
                    </w:rPr>
                    <w:t>。</w:t>
                  </w:r>
                </w:p>
                <w:p>
                  <w:pPr>
                    <w:pStyle w:val="2"/>
                    <w:rPr>
                      <w:color w:val="auto"/>
                    </w:rPr>
                  </w:pPr>
                  <w:r>
                    <w:rPr>
                      <w:rFonts w:ascii="Times New Roman" w:cs="Times New Roman"/>
                      <w:color w:val="auto"/>
                      <w:sz w:val="18"/>
                      <w:szCs w:val="18"/>
                    </w:rPr>
                    <w:t>4</w:t>
                  </w:r>
                  <w:r>
                    <w:rPr>
                      <w:rFonts w:hint="eastAsia" w:ascii="Times New Roman" w:cs="Times New Roman"/>
                      <w:color w:val="auto"/>
                      <w:sz w:val="18"/>
                      <w:szCs w:val="18"/>
                    </w:rPr>
                    <w:t>、全面</w:t>
                  </w:r>
                  <w:r>
                    <w:rPr>
                      <w:rFonts w:ascii="Times New Roman" w:cs="Times New Roman"/>
                      <w:color w:val="auto"/>
                      <w:sz w:val="18"/>
                      <w:szCs w:val="18"/>
                    </w:rPr>
                    <w:t>推进工业园区污水管网排查</w:t>
                  </w:r>
                  <w:r>
                    <w:rPr>
                      <w:rFonts w:hint="eastAsia" w:ascii="Times New Roman" w:cs="Times New Roman"/>
                      <w:color w:val="auto"/>
                      <w:sz w:val="18"/>
                      <w:szCs w:val="18"/>
                    </w:rPr>
                    <w:t>整治</w:t>
                  </w:r>
                  <w:r>
                    <w:rPr>
                      <w:rFonts w:ascii="Times New Roman" w:cs="Times New Roman"/>
                      <w:color w:val="auto"/>
                      <w:sz w:val="18"/>
                      <w:szCs w:val="18"/>
                    </w:rPr>
                    <w:t>和污水</w:t>
                  </w:r>
                  <w:r>
                    <w:rPr>
                      <w:rFonts w:hint="eastAsia" w:ascii="Times New Roman" w:cs="Times New Roman"/>
                      <w:color w:val="auto"/>
                      <w:sz w:val="18"/>
                      <w:szCs w:val="18"/>
                    </w:rPr>
                    <w:t>收集</w:t>
                  </w:r>
                  <w:r>
                    <w:rPr>
                      <w:rFonts w:ascii="Times New Roman" w:cs="Times New Roman"/>
                      <w:color w:val="auto"/>
                      <w:sz w:val="18"/>
                      <w:szCs w:val="18"/>
                    </w:rPr>
                    <w:t>处理设施建设</w:t>
                  </w:r>
                  <w:r>
                    <w:rPr>
                      <w:rFonts w:hint="eastAsia" w:ascii="Times New Roman" w:cs="Times New Roman"/>
                      <w:color w:val="auto"/>
                      <w:sz w:val="18"/>
                      <w:szCs w:val="18"/>
                    </w:rPr>
                    <w:t>，</w:t>
                  </w:r>
                  <w:r>
                    <w:rPr>
                      <w:rFonts w:ascii="Times New Roman" w:cs="Times New Roman"/>
                      <w:color w:val="auto"/>
                      <w:sz w:val="18"/>
                      <w:szCs w:val="18"/>
                    </w:rPr>
                    <w:t>推进化工园区雨污分流改造</w:t>
                  </w:r>
                  <w:r>
                    <w:rPr>
                      <w:rFonts w:hint="eastAsia" w:ascii="Times New Roman" w:cs="Times New Roman"/>
                      <w:color w:val="auto"/>
                      <w:sz w:val="18"/>
                      <w:szCs w:val="18"/>
                    </w:rPr>
                    <w:t>和</w:t>
                  </w:r>
                  <w:r>
                    <w:rPr>
                      <w:rFonts w:ascii="Times New Roman" w:cs="Times New Roman"/>
                      <w:color w:val="auto"/>
                      <w:sz w:val="18"/>
                      <w:szCs w:val="18"/>
                    </w:rPr>
                    <w:t>初期雨水收集处理，</w:t>
                  </w:r>
                  <w:r>
                    <w:rPr>
                      <w:rFonts w:hint="eastAsia" w:ascii="Times New Roman" w:cs="Times New Roman"/>
                      <w:color w:val="auto"/>
                      <w:sz w:val="18"/>
                      <w:szCs w:val="18"/>
                    </w:rPr>
                    <w:t>实施</w:t>
                  </w:r>
                  <w:r>
                    <w:rPr>
                      <w:rFonts w:ascii="Times New Roman" w:cs="Times New Roman"/>
                      <w:color w:val="auto"/>
                      <w:sz w:val="18"/>
                      <w:szCs w:val="18"/>
                    </w:rPr>
                    <w:t>重点行业企业</w:t>
                  </w:r>
                  <w:r>
                    <w:rPr>
                      <w:rFonts w:hint="eastAsia" w:ascii="Times New Roman" w:cs="Times New Roman"/>
                      <w:color w:val="auto"/>
                      <w:sz w:val="18"/>
                      <w:szCs w:val="18"/>
                    </w:rPr>
                    <w:t>达标</w:t>
                  </w:r>
                  <w:r>
                    <w:rPr>
                      <w:rFonts w:ascii="Times New Roman" w:cs="Times New Roman"/>
                      <w:color w:val="auto"/>
                      <w:sz w:val="18"/>
                      <w:szCs w:val="18"/>
                    </w:rPr>
                    <w:t>排放</w:t>
                  </w:r>
                  <w:r>
                    <w:rPr>
                      <w:rFonts w:hint="eastAsia" w:ascii="Times New Roman" w:cs="Times New Roman"/>
                      <w:color w:val="auto"/>
                      <w:sz w:val="18"/>
                      <w:szCs w:val="18"/>
                    </w:rPr>
                    <w:t>限期</w:t>
                  </w:r>
                  <w:r>
                    <w:rPr>
                      <w:rFonts w:ascii="Times New Roman" w:cs="Times New Roman"/>
                      <w:color w:val="auto"/>
                      <w:sz w:val="18"/>
                      <w:szCs w:val="18"/>
                    </w:rPr>
                    <w:t>改造，</w:t>
                  </w:r>
                  <w:r>
                    <w:rPr>
                      <w:rFonts w:hint="eastAsia" w:ascii="Times New Roman" w:cs="Times New Roman"/>
                      <w:color w:val="auto"/>
                      <w:sz w:val="18"/>
                      <w:szCs w:val="18"/>
                    </w:rPr>
                    <w:t>大力</w:t>
                  </w:r>
                  <w:r>
                    <w:rPr>
                      <w:rFonts w:ascii="Times New Roman" w:cs="Times New Roman"/>
                      <w:color w:val="auto"/>
                      <w:sz w:val="18"/>
                      <w:szCs w:val="18"/>
                    </w:rPr>
                    <w:t>推进化学需氧量、</w:t>
                  </w:r>
                  <w:r>
                    <w:rPr>
                      <w:rFonts w:hint="eastAsia" w:ascii="Times New Roman" w:cs="Times New Roman"/>
                      <w:color w:val="auto"/>
                      <w:sz w:val="18"/>
                      <w:szCs w:val="18"/>
                    </w:rPr>
                    <w:t>氨氮</w:t>
                  </w:r>
                  <w:r>
                    <w:rPr>
                      <w:rFonts w:ascii="Times New Roman" w:cs="Times New Roman"/>
                      <w:color w:val="auto"/>
                      <w:sz w:val="18"/>
                      <w:szCs w:val="18"/>
                    </w:rPr>
                    <w:t>、总磷重点行业</w:t>
                  </w:r>
                  <w:r>
                    <w:rPr>
                      <w:rFonts w:hint="eastAsia" w:ascii="Times New Roman" w:cs="Times New Roman"/>
                      <w:color w:val="auto"/>
                      <w:sz w:val="18"/>
                      <w:szCs w:val="18"/>
                    </w:rPr>
                    <w:t>污染</w:t>
                  </w:r>
                  <w:r>
                    <w:rPr>
                      <w:rFonts w:ascii="Times New Roman" w:cs="Times New Roman"/>
                      <w:color w:val="auto"/>
                      <w:sz w:val="18"/>
                      <w:szCs w:val="18"/>
                    </w:rPr>
                    <w:t>减排</w:t>
                  </w:r>
                  <w:r>
                    <w:rPr>
                      <w:rFonts w:hint="eastAsia" w:ascii="Times New Roman" w:cs="Times New Roman"/>
                      <w:color w:val="auto"/>
                      <w:sz w:val="18"/>
                      <w:szCs w:val="18"/>
                    </w:rPr>
                    <w:t>。</w:t>
                  </w:r>
                  <w:r>
                    <w:rPr>
                      <w:rFonts w:ascii="Times New Roman" w:cs="Times New Roman"/>
                      <w:color w:val="auto"/>
                      <w:sz w:val="18"/>
                      <w:szCs w:val="18"/>
                    </w:rPr>
                    <w:t>水</w:t>
                  </w:r>
                  <w:r>
                    <w:rPr>
                      <w:rFonts w:hint="eastAsia" w:ascii="Times New Roman" w:cs="Times New Roman"/>
                      <w:color w:val="auto"/>
                      <w:sz w:val="18"/>
                      <w:szCs w:val="18"/>
                    </w:rPr>
                    <w:t>环境</w:t>
                  </w:r>
                  <w:r>
                    <w:rPr>
                      <w:rFonts w:ascii="Times New Roman" w:cs="Times New Roman"/>
                      <w:color w:val="auto"/>
                      <w:sz w:val="18"/>
                      <w:szCs w:val="18"/>
                    </w:rPr>
                    <w:t>超载范围内的</w:t>
                  </w:r>
                  <w:r>
                    <w:rPr>
                      <w:rFonts w:hint="eastAsia" w:ascii="Times New Roman" w:cs="Times New Roman"/>
                      <w:color w:val="auto"/>
                      <w:sz w:val="18"/>
                      <w:szCs w:val="18"/>
                    </w:rPr>
                    <w:t>新建</w:t>
                  </w:r>
                  <w:r>
                    <w:rPr>
                      <w:rFonts w:ascii="Times New Roman" w:cs="Times New Roman"/>
                      <w:color w:val="auto"/>
                      <w:sz w:val="18"/>
                      <w:szCs w:val="18"/>
                    </w:rPr>
                    <w:t>、改建、扩建工业项目</w:t>
                  </w:r>
                  <w:r>
                    <w:rPr>
                      <w:rFonts w:hint="eastAsia" w:ascii="Times New Roman" w:cs="Times New Roman"/>
                      <w:color w:val="auto"/>
                      <w:sz w:val="18"/>
                      <w:szCs w:val="18"/>
                    </w:rPr>
                    <w:t>，实行</w:t>
                  </w:r>
                  <w:r>
                    <w:rPr>
                      <w:rFonts w:ascii="Times New Roman" w:cs="Times New Roman"/>
                      <w:color w:val="auto"/>
                      <w:sz w:val="18"/>
                      <w:szCs w:val="18"/>
                    </w:rPr>
                    <w:t>主要污染物排放</w:t>
                  </w:r>
                  <w:r>
                    <w:rPr>
                      <w:rFonts w:hint="eastAsia" w:ascii="Times New Roman" w:cs="Times New Roman"/>
                      <w:color w:val="auto"/>
                      <w:sz w:val="18"/>
                      <w:szCs w:val="18"/>
                    </w:rPr>
                    <w:t>等量</w:t>
                  </w:r>
                  <w:r>
                    <w:rPr>
                      <w:rFonts w:ascii="Times New Roman" w:cs="Times New Roman"/>
                      <w:color w:val="auto"/>
                      <w:sz w:val="18"/>
                      <w:szCs w:val="18"/>
                    </w:rPr>
                    <w:t>或减量置换。</w:t>
                  </w:r>
                </w:p>
              </w:tc>
              <w:tc>
                <w:tcPr>
                  <w:tcW w:w="877" w:type="pct"/>
                  <w:vAlign w:val="center"/>
                </w:tcPr>
                <w:p>
                  <w:pPr>
                    <w:adjustRightInd w:val="0"/>
                    <w:snapToGrid w:val="0"/>
                    <w:jc w:val="left"/>
                    <w:rPr>
                      <w:color w:val="auto"/>
                      <w:sz w:val="18"/>
                      <w:szCs w:val="18"/>
                    </w:rPr>
                  </w:pPr>
                  <w:r>
                    <w:rPr>
                      <w:rFonts w:hint="eastAsia"/>
                      <w:color w:val="auto"/>
                      <w:sz w:val="18"/>
                      <w:szCs w:val="18"/>
                    </w:rPr>
                    <w:t>本项目行业</w:t>
                  </w:r>
                  <w:r>
                    <w:rPr>
                      <w:color w:val="auto"/>
                      <w:sz w:val="18"/>
                      <w:szCs w:val="18"/>
                    </w:rPr>
                    <w:t>类别为</w:t>
                  </w:r>
                  <w:r>
                    <w:rPr>
                      <w:rFonts w:hint="eastAsia"/>
                      <w:color w:val="auto"/>
                      <w:sz w:val="18"/>
                      <w:szCs w:val="18"/>
                    </w:rPr>
                    <w:t>社会</w:t>
                  </w:r>
                  <w:r>
                    <w:rPr>
                      <w:color w:val="auto"/>
                      <w:sz w:val="18"/>
                      <w:szCs w:val="18"/>
                    </w:rPr>
                    <w:t>事业与服务业中的动物医院，</w:t>
                  </w:r>
                  <w:r>
                    <w:rPr>
                      <w:rFonts w:hint="eastAsia"/>
                      <w:color w:val="auto"/>
                      <w:sz w:val="18"/>
                      <w:szCs w:val="18"/>
                    </w:rPr>
                    <w:t>不属于高</w:t>
                  </w:r>
                  <w:r>
                    <w:rPr>
                      <w:color w:val="auto"/>
                      <w:sz w:val="18"/>
                      <w:szCs w:val="18"/>
                    </w:rPr>
                    <w:t>耗水、高污染项目。</w:t>
                  </w:r>
                  <w:r>
                    <w:rPr>
                      <w:rFonts w:hint="eastAsia"/>
                      <w:color w:val="auto"/>
                      <w:sz w:val="18"/>
                      <w:szCs w:val="18"/>
                    </w:rPr>
                    <w:t>项目</w:t>
                  </w:r>
                  <w:r>
                    <w:rPr>
                      <w:color w:val="auto"/>
                      <w:sz w:val="18"/>
                      <w:szCs w:val="18"/>
                    </w:rPr>
                    <w:t>建设地位于</w:t>
                  </w:r>
                  <w:r>
                    <w:rPr>
                      <w:rFonts w:hint="eastAsia"/>
                      <w:color w:val="auto"/>
                      <w:sz w:val="18"/>
                      <w:szCs w:val="18"/>
                    </w:rPr>
                    <w:t>莲湖区</w:t>
                  </w:r>
                  <w:r>
                    <w:rPr>
                      <w:color w:val="auto"/>
                      <w:sz w:val="18"/>
                      <w:szCs w:val="18"/>
                    </w:rPr>
                    <w:t>丰和坊</w:t>
                  </w:r>
                  <w:r>
                    <w:rPr>
                      <w:rFonts w:hint="eastAsia"/>
                      <w:color w:val="auto"/>
                      <w:sz w:val="18"/>
                      <w:szCs w:val="18"/>
                    </w:rPr>
                    <w:t>一期15幢1011室</w:t>
                  </w:r>
                  <w:r>
                    <w:rPr>
                      <w:color w:val="auto"/>
                      <w:sz w:val="18"/>
                      <w:szCs w:val="18"/>
                    </w:rPr>
                    <w:t>，所在区域</w:t>
                  </w:r>
                  <w:r>
                    <w:rPr>
                      <w:rFonts w:hint="eastAsia"/>
                      <w:color w:val="auto"/>
                      <w:sz w:val="18"/>
                      <w:szCs w:val="18"/>
                    </w:rPr>
                    <w:t>城镇</w:t>
                  </w:r>
                  <w:r>
                    <w:rPr>
                      <w:color w:val="auto"/>
                      <w:sz w:val="18"/>
                      <w:szCs w:val="18"/>
                    </w:rPr>
                    <w:t>污水管网已铺设到位，</w:t>
                  </w:r>
                  <w:r>
                    <w:rPr>
                      <w:rFonts w:hint="eastAsia"/>
                      <w:color w:val="auto"/>
                      <w:sz w:val="18"/>
                      <w:szCs w:val="18"/>
                    </w:rPr>
                    <w:t>本项目医疗</w:t>
                  </w:r>
                  <w:r>
                    <w:rPr>
                      <w:color w:val="auto"/>
                      <w:sz w:val="18"/>
                      <w:szCs w:val="18"/>
                    </w:rPr>
                    <w:t>废水经消毒后与生活污水一同进入丰和坊一期</w:t>
                  </w:r>
                  <w:r>
                    <w:rPr>
                      <w:rFonts w:hint="eastAsia"/>
                      <w:color w:val="auto"/>
                      <w:sz w:val="18"/>
                      <w:szCs w:val="18"/>
                    </w:rPr>
                    <w:t>15幢</w:t>
                  </w:r>
                  <w:r>
                    <w:rPr>
                      <w:color w:val="auto"/>
                      <w:sz w:val="18"/>
                      <w:szCs w:val="18"/>
                    </w:rPr>
                    <w:t>公用化粪池处理后</w:t>
                  </w:r>
                  <w:r>
                    <w:rPr>
                      <w:rFonts w:hint="eastAsia"/>
                      <w:color w:val="auto"/>
                      <w:sz w:val="18"/>
                      <w:szCs w:val="18"/>
                    </w:rPr>
                    <w:t>经</w:t>
                  </w:r>
                  <w:r>
                    <w:rPr>
                      <w:color w:val="auto"/>
                      <w:sz w:val="18"/>
                      <w:szCs w:val="18"/>
                    </w:rPr>
                    <w:t>市政管网</w:t>
                  </w:r>
                  <w:r>
                    <w:rPr>
                      <w:rFonts w:hint="eastAsia"/>
                      <w:color w:val="auto"/>
                      <w:sz w:val="18"/>
                      <w:szCs w:val="18"/>
                    </w:rPr>
                    <w:t>最终</w:t>
                  </w:r>
                  <w:r>
                    <w:rPr>
                      <w:color w:val="auto"/>
                      <w:sz w:val="18"/>
                      <w:szCs w:val="18"/>
                    </w:rPr>
                    <w:t>进入</w:t>
                  </w:r>
                  <w:r>
                    <w:rPr>
                      <w:rFonts w:hint="eastAsia"/>
                      <w:color w:val="auto"/>
                      <w:sz w:val="18"/>
                      <w:szCs w:val="18"/>
                    </w:rPr>
                    <w:t>邓家村</w:t>
                  </w:r>
                  <w:r>
                    <w:rPr>
                      <w:color w:val="auto"/>
                      <w:sz w:val="18"/>
                      <w:szCs w:val="18"/>
                    </w:rPr>
                    <w:t>污水处理厂处理。</w:t>
                  </w:r>
                </w:p>
              </w:tc>
              <w:tc>
                <w:tcPr>
                  <w:tcW w:w="332" w:type="pct"/>
                  <w:vMerge w:val="restart"/>
                  <w:vAlign w:val="center"/>
                </w:tcPr>
                <w:p>
                  <w:pPr>
                    <w:jc w:val="center"/>
                    <w:rPr>
                      <w:color w:val="auto"/>
                      <w:sz w:val="18"/>
                      <w:szCs w:val="18"/>
                    </w:rPr>
                  </w:pPr>
                  <w:r>
                    <w:rPr>
                      <w:rFonts w:hint="eastAsia"/>
                      <w:color w:val="auto"/>
                      <w:sz w:val="18"/>
                      <w:szCs w:val="18"/>
                    </w:rPr>
                    <w:t>107.8</w:t>
                  </w:r>
                </w:p>
                <w:p>
                  <w:pPr>
                    <w:jc w:val="center"/>
                    <w:rPr>
                      <w:color w:val="auto"/>
                      <w:sz w:val="18"/>
                      <w:szCs w:val="18"/>
                    </w:rPr>
                  </w:pPr>
                  <w:r>
                    <w:rPr>
                      <w:rFonts w:hint="eastAsia"/>
                      <w:color w:val="auto"/>
                      <w:sz w:val="18"/>
                      <w:szCs w:val="18"/>
                    </w:rPr>
                    <w:t>m</w:t>
                  </w:r>
                  <w:r>
                    <w:rPr>
                      <w:rFonts w:hint="eastAsia"/>
                      <w:color w:val="auto"/>
                      <w:sz w:val="18"/>
                      <w:szCs w:val="18"/>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400" w:type="pct"/>
                  <w:vMerge w:val="continue"/>
                  <w:vAlign w:val="center"/>
                </w:tcPr>
                <w:p>
                  <w:pPr>
                    <w:adjustRightInd w:val="0"/>
                    <w:snapToGrid w:val="0"/>
                    <w:jc w:val="center"/>
                    <w:rPr>
                      <w:color w:val="auto"/>
                      <w:sz w:val="18"/>
                      <w:szCs w:val="18"/>
                    </w:rPr>
                  </w:pPr>
                </w:p>
              </w:tc>
              <w:tc>
                <w:tcPr>
                  <w:tcW w:w="484" w:type="pct"/>
                  <w:vMerge w:val="continue"/>
                  <w:vAlign w:val="center"/>
                </w:tcPr>
                <w:p>
                  <w:pPr>
                    <w:adjustRightInd w:val="0"/>
                    <w:snapToGrid w:val="0"/>
                    <w:jc w:val="center"/>
                    <w:rPr>
                      <w:color w:val="auto"/>
                      <w:sz w:val="18"/>
                      <w:szCs w:val="18"/>
                    </w:rPr>
                  </w:pPr>
                </w:p>
              </w:tc>
              <w:tc>
                <w:tcPr>
                  <w:tcW w:w="483" w:type="pct"/>
                  <w:vMerge w:val="continue"/>
                  <w:vAlign w:val="center"/>
                </w:tcPr>
                <w:p>
                  <w:pPr>
                    <w:adjustRightInd w:val="0"/>
                    <w:snapToGrid w:val="0"/>
                    <w:jc w:val="center"/>
                    <w:rPr>
                      <w:color w:val="auto"/>
                      <w:sz w:val="18"/>
                      <w:szCs w:val="18"/>
                    </w:rPr>
                  </w:pPr>
                </w:p>
              </w:tc>
              <w:tc>
                <w:tcPr>
                  <w:tcW w:w="484" w:type="pct"/>
                  <w:vMerge w:val="continue"/>
                  <w:vAlign w:val="center"/>
                </w:tcPr>
                <w:p>
                  <w:pPr>
                    <w:adjustRightInd w:val="0"/>
                    <w:snapToGrid w:val="0"/>
                    <w:jc w:val="center"/>
                    <w:rPr>
                      <w:color w:val="auto"/>
                      <w:sz w:val="18"/>
                      <w:szCs w:val="18"/>
                    </w:rPr>
                  </w:pPr>
                </w:p>
              </w:tc>
              <w:tc>
                <w:tcPr>
                  <w:tcW w:w="293" w:type="pct"/>
                  <w:vAlign w:val="center"/>
                </w:tcPr>
                <w:p>
                  <w:pPr>
                    <w:adjustRightInd w:val="0"/>
                    <w:snapToGrid w:val="0"/>
                    <w:jc w:val="center"/>
                    <w:rPr>
                      <w:color w:val="auto"/>
                      <w:sz w:val="18"/>
                      <w:szCs w:val="18"/>
                    </w:rPr>
                  </w:pPr>
                  <w:r>
                    <w:rPr>
                      <w:rFonts w:hint="eastAsia"/>
                      <w:color w:val="auto"/>
                      <w:sz w:val="18"/>
                      <w:szCs w:val="18"/>
                    </w:rPr>
                    <w:t>污染物</w:t>
                  </w:r>
                  <w:r>
                    <w:rPr>
                      <w:color w:val="auto"/>
                      <w:sz w:val="18"/>
                      <w:szCs w:val="18"/>
                    </w:rPr>
                    <w:t>排放管控</w:t>
                  </w:r>
                </w:p>
              </w:tc>
              <w:tc>
                <w:tcPr>
                  <w:tcW w:w="1647" w:type="pct"/>
                  <w:vAlign w:val="center"/>
                </w:tcPr>
                <w:p>
                  <w:pPr>
                    <w:adjustRightInd w:val="0"/>
                    <w:snapToGrid w:val="0"/>
                    <w:jc w:val="left"/>
                    <w:rPr>
                      <w:color w:val="auto"/>
                      <w:sz w:val="18"/>
                      <w:szCs w:val="18"/>
                    </w:rPr>
                  </w:pPr>
                  <w:r>
                    <w:rPr>
                      <w:rFonts w:hint="eastAsia"/>
                      <w:color w:val="auto"/>
                      <w:sz w:val="18"/>
                      <w:szCs w:val="18"/>
                    </w:rPr>
                    <w:t>到2025年</w:t>
                  </w:r>
                  <w:r>
                    <w:rPr>
                      <w:color w:val="auto"/>
                      <w:sz w:val="18"/>
                      <w:szCs w:val="18"/>
                    </w:rPr>
                    <w:t>，基本消除城镇建成区生活污水直排口和收集处理设施空白区，城市和县城污水处理能力基本满足经济社会发展需要，县城污水处理率达到95%以上。</w:t>
                  </w:r>
                </w:p>
                <w:p>
                  <w:pPr>
                    <w:pStyle w:val="2"/>
                    <w:rPr>
                      <w:color w:val="auto"/>
                    </w:rPr>
                  </w:pPr>
                  <w:r>
                    <w:rPr>
                      <w:rFonts w:ascii="Times New Roman" w:cs="Times New Roman"/>
                      <w:color w:val="auto"/>
                      <w:sz w:val="18"/>
                      <w:szCs w:val="18"/>
                    </w:rPr>
                    <w:t>保证城镇污水处理厂</w:t>
                  </w:r>
                  <w:r>
                    <w:rPr>
                      <w:rFonts w:hint="eastAsia" w:ascii="Times New Roman" w:cs="Times New Roman"/>
                      <w:color w:val="auto"/>
                      <w:sz w:val="18"/>
                      <w:szCs w:val="18"/>
                    </w:rPr>
                    <w:t>出水</w:t>
                  </w:r>
                  <w:r>
                    <w:rPr>
                      <w:rFonts w:ascii="Times New Roman" w:cs="Times New Roman"/>
                      <w:color w:val="auto"/>
                      <w:sz w:val="18"/>
                      <w:szCs w:val="18"/>
                    </w:rPr>
                    <w:t>水质稳定达到</w:t>
                  </w:r>
                  <w:r>
                    <w:rPr>
                      <w:rFonts w:hint="eastAsia" w:ascii="Times New Roman" w:cs="Times New Roman"/>
                      <w:color w:val="auto"/>
                      <w:sz w:val="18"/>
                      <w:szCs w:val="18"/>
                    </w:rPr>
                    <w:t>《陕西省</w:t>
                  </w:r>
                  <w:r>
                    <w:rPr>
                      <w:rFonts w:ascii="Times New Roman" w:cs="Times New Roman"/>
                      <w:color w:val="auto"/>
                      <w:sz w:val="18"/>
                      <w:szCs w:val="18"/>
                    </w:rPr>
                    <w:t>黄河</w:t>
                  </w:r>
                  <w:r>
                    <w:rPr>
                      <w:rFonts w:hint="eastAsia" w:ascii="Times New Roman" w:cs="Times New Roman"/>
                      <w:color w:val="auto"/>
                      <w:sz w:val="18"/>
                      <w:szCs w:val="18"/>
                    </w:rPr>
                    <w:t>流域污水</w:t>
                  </w:r>
                  <w:r>
                    <w:rPr>
                      <w:rFonts w:ascii="Times New Roman" w:cs="Times New Roman"/>
                      <w:color w:val="auto"/>
                      <w:sz w:val="18"/>
                      <w:szCs w:val="18"/>
                    </w:rPr>
                    <w:t>综合排放标准</w:t>
                  </w:r>
                  <w:r>
                    <w:rPr>
                      <w:rFonts w:hint="eastAsia" w:ascii="Times New Roman" w:cs="Times New Roman"/>
                      <w:color w:val="auto"/>
                      <w:sz w:val="18"/>
                      <w:szCs w:val="18"/>
                    </w:rPr>
                    <w:t>》（DB61/224-</w:t>
                  </w:r>
                  <w:r>
                    <w:rPr>
                      <w:rFonts w:ascii="Times New Roman" w:cs="Times New Roman"/>
                      <w:color w:val="auto"/>
                      <w:sz w:val="18"/>
                      <w:szCs w:val="18"/>
                    </w:rPr>
                    <w:t>2018</w:t>
                  </w:r>
                  <w:r>
                    <w:rPr>
                      <w:rFonts w:hint="eastAsia" w:ascii="Times New Roman" w:cs="Times New Roman"/>
                      <w:color w:val="auto"/>
                      <w:sz w:val="18"/>
                      <w:szCs w:val="18"/>
                    </w:rPr>
                    <w:t>）要求</w:t>
                  </w:r>
                  <w:r>
                    <w:rPr>
                      <w:rFonts w:ascii="Times New Roman" w:cs="Times New Roman"/>
                      <w:color w:val="auto"/>
                      <w:sz w:val="18"/>
                      <w:szCs w:val="18"/>
                    </w:rPr>
                    <w:t>，</w:t>
                  </w:r>
                  <w:r>
                    <w:rPr>
                      <w:rFonts w:hint="eastAsia" w:ascii="Times New Roman" w:cs="Times New Roman"/>
                      <w:color w:val="auto"/>
                      <w:sz w:val="18"/>
                      <w:szCs w:val="18"/>
                    </w:rPr>
                    <w:t>完善</w:t>
                  </w:r>
                  <w:r>
                    <w:rPr>
                      <w:rFonts w:ascii="Times New Roman" w:cs="Times New Roman"/>
                      <w:color w:val="auto"/>
                      <w:sz w:val="18"/>
                      <w:szCs w:val="18"/>
                    </w:rPr>
                    <w:t>城镇配套管网建设，</w:t>
                  </w:r>
                  <w:r>
                    <w:rPr>
                      <w:rFonts w:hint="eastAsia" w:ascii="Times New Roman" w:cs="Times New Roman"/>
                      <w:color w:val="auto"/>
                      <w:sz w:val="18"/>
                      <w:szCs w:val="18"/>
                    </w:rPr>
                    <w:t>实施雨污分流</w:t>
                  </w:r>
                  <w:r>
                    <w:rPr>
                      <w:rFonts w:ascii="Times New Roman" w:cs="Times New Roman"/>
                      <w:color w:val="auto"/>
                      <w:sz w:val="18"/>
                      <w:szCs w:val="18"/>
                    </w:rPr>
                    <w:t>改造。</w:t>
                  </w:r>
                </w:p>
              </w:tc>
              <w:tc>
                <w:tcPr>
                  <w:tcW w:w="877" w:type="pct"/>
                  <w:vAlign w:val="center"/>
                </w:tcPr>
                <w:p>
                  <w:pPr>
                    <w:adjustRightInd w:val="0"/>
                    <w:snapToGrid w:val="0"/>
                    <w:jc w:val="center"/>
                    <w:rPr>
                      <w:rFonts w:eastAsiaTheme="minorEastAsia"/>
                      <w:color w:val="auto"/>
                      <w:sz w:val="18"/>
                      <w:szCs w:val="18"/>
                    </w:rPr>
                  </w:pPr>
                  <w:r>
                    <w:rPr>
                      <w:rFonts w:eastAsiaTheme="minorEastAsia"/>
                      <w:color w:val="auto"/>
                      <w:sz w:val="18"/>
                      <w:szCs w:val="18"/>
                    </w:rPr>
                    <w:t>本项目废水经市政管网排入邓家村污水处理厂，该污水处理厂出水水质稳定达到《陕西省黄河流域污水综合排放标准》DB61/224-</w:t>
                  </w:r>
                </w:p>
                <w:p>
                  <w:pPr>
                    <w:pStyle w:val="2"/>
                    <w:rPr>
                      <w:color w:val="auto"/>
                    </w:rPr>
                  </w:pPr>
                  <w:r>
                    <w:rPr>
                      <w:rFonts w:ascii="Times New Roman" w:cs="Times New Roman" w:eastAsiaTheme="minorEastAsia"/>
                      <w:color w:val="auto"/>
                      <w:sz w:val="18"/>
                      <w:szCs w:val="18"/>
                    </w:rPr>
                    <w:t>2018相关要求。</w:t>
                  </w:r>
                </w:p>
              </w:tc>
              <w:tc>
                <w:tcPr>
                  <w:tcW w:w="332" w:type="pct"/>
                  <w:vMerge w:val="continue"/>
                  <w:vAlign w:val="center"/>
                </w:tcPr>
                <w:p>
                  <w:pPr>
                    <w:jc w:val="center"/>
                    <w:rPr>
                      <w:color w:val="auto"/>
                      <w:sz w:val="18"/>
                      <w:szCs w:val="18"/>
                    </w:rPr>
                  </w:pPr>
                </w:p>
              </w:tc>
            </w:tr>
          </w:tbl>
          <w:p>
            <w:pPr>
              <w:spacing w:line="360" w:lineRule="auto"/>
              <w:ind w:firstLine="422" w:firstLineChars="200"/>
              <w:rPr>
                <w:b/>
                <w:color w:val="auto"/>
              </w:rPr>
            </w:pPr>
            <w:r>
              <w:rPr>
                <w:b/>
                <w:color w:val="auto"/>
              </w:rPr>
              <w:t>2</w:t>
            </w:r>
            <w:r>
              <w:rPr>
                <w:rFonts w:hAnsi="宋体"/>
                <w:b/>
                <w:color w:val="auto"/>
              </w:rPr>
              <w:t>、产业政策符合性</w:t>
            </w:r>
            <w:r>
              <w:rPr>
                <w:rFonts w:hint="eastAsia" w:hAnsi="宋体"/>
                <w:b/>
                <w:color w:val="auto"/>
              </w:rPr>
              <w:t>分析</w:t>
            </w:r>
          </w:p>
          <w:p>
            <w:pPr>
              <w:spacing w:line="360" w:lineRule="auto"/>
              <w:ind w:firstLine="420" w:firstLineChars="200"/>
              <w:rPr>
                <w:rFonts w:eastAsiaTheme="minorEastAsia"/>
                <w:color w:val="auto"/>
              </w:rPr>
            </w:pPr>
            <w:r>
              <w:rPr>
                <w:rFonts w:eastAsiaTheme="minorEastAsia"/>
                <w:color w:val="auto"/>
              </w:rPr>
              <w:t>根据国家发改委29号令《产业结构调整指导目录》（2019年本），本项目既不属于鼓励类项目，也不属于限制类、淘汰类项目，因此项目的建设符合国家产业政策要求。</w:t>
            </w:r>
          </w:p>
          <w:p>
            <w:pPr>
              <w:spacing w:line="360" w:lineRule="auto"/>
              <w:ind w:firstLine="420" w:firstLineChars="200"/>
              <w:rPr>
                <w:rFonts w:eastAsiaTheme="minorEastAsia"/>
                <w:color w:val="auto"/>
              </w:rPr>
            </w:pPr>
            <w:r>
              <w:rPr>
                <w:rFonts w:eastAsiaTheme="minorEastAsia"/>
                <w:color w:val="auto"/>
              </w:rPr>
              <w:t>本项目为动物医院诊疗服务，</w:t>
            </w:r>
            <w:r>
              <w:rPr>
                <w:rFonts w:hint="eastAsia" w:eastAsiaTheme="minorEastAsia"/>
                <w:color w:val="auto"/>
              </w:rPr>
              <w:t>不属于</w:t>
            </w:r>
            <w:r>
              <w:rPr>
                <w:rFonts w:eastAsiaTheme="minorEastAsia"/>
                <w:color w:val="auto"/>
              </w:rPr>
              <w:t>《</w:t>
            </w:r>
            <w:r>
              <w:rPr>
                <w:rFonts w:hint="eastAsia" w:eastAsiaTheme="minorEastAsia"/>
                <w:color w:val="auto"/>
              </w:rPr>
              <w:t>市场</w:t>
            </w:r>
            <w:r>
              <w:rPr>
                <w:rFonts w:eastAsiaTheme="minorEastAsia"/>
                <w:color w:val="auto"/>
              </w:rPr>
              <w:t>准入负面清单（</w:t>
            </w:r>
            <w:r>
              <w:rPr>
                <w:rFonts w:hint="eastAsia" w:eastAsiaTheme="minorEastAsia"/>
                <w:color w:val="auto"/>
              </w:rPr>
              <w:t>2</w:t>
            </w:r>
            <w:r>
              <w:rPr>
                <w:rFonts w:eastAsiaTheme="minorEastAsia"/>
                <w:color w:val="auto"/>
              </w:rPr>
              <w:t>022</w:t>
            </w:r>
            <w:r>
              <w:rPr>
                <w:rFonts w:hint="eastAsia" w:eastAsiaTheme="minorEastAsia"/>
                <w:color w:val="auto"/>
              </w:rPr>
              <w:t>年</w:t>
            </w:r>
            <w:r>
              <w:rPr>
                <w:rFonts w:eastAsiaTheme="minorEastAsia"/>
                <w:color w:val="auto"/>
              </w:rPr>
              <w:t>版）》</w:t>
            </w:r>
            <w:r>
              <w:rPr>
                <w:rFonts w:hint="eastAsia" w:eastAsiaTheme="minorEastAsia"/>
                <w:color w:val="auto"/>
              </w:rPr>
              <w:t>中</w:t>
            </w:r>
            <w:r>
              <w:rPr>
                <w:rFonts w:eastAsiaTheme="minorEastAsia"/>
                <w:color w:val="auto"/>
              </w:rPr>
              <w:t>禁止类项目，</w:t>
            </w:r>
            <w:r>
              <w:rPr>
                <w:rFonts w:hint="eastAsia" w:eastAsiaTheme="minorEastAsia"/>
                <w:color w:val="auto"/>
              </w:rPr>
              <w:t>视为</w:t>
            </w:r>
            <w:r>
              <w:rPr>
                <w:rFonts w:eastAsiaTheme="minorEastAsia"/>
                <w:color w:val="auto"/>
              </w:rPr>
              <w:t>允许类。项目</w:t>
            </w:r>
            <w:r>
              <w:rPr>
                <w:rFonts w:hint="eastAsia" w:eastAsiaTheme="minorEastAsia"/>
                <w:color w:val="auto"/>
              </w:rPr>
              <w:t>建设</w:t>
            </w:r>
            <w:r>
              <w:rPr>
                <w:rFonts w:eastAsiaTheme="minorEastAsia"/>
                <w:color w:val="auto"/>
              </w:rPr>
              <w:t>符合</w:t>
            </w:r>
            <w:r>
              <w:rPr>
                <w:rFonts w:hint="eastAsia" w:eastAsiaTheme="minorEastAsia"/>
                <w:color w:val="auto"/>
              </w:rPr>
              <w:t>国家市场</w:t>
            </w:r>
            <w:r>
              <w:rPr>
                <w:rFonts w:eastAsiaTheme="minorEastAsia"/>
                <w:color w:val="auto"/>
              </w:rPr>
              <w:t>准入</w:t>
            </w:r>
            <w:r>
              <w:rPr>
                <w:rFonts w:hint="eastAsia" w:eastAsiaTheme="minorEastAsia"/>
                <w:color w:val="auto"/>
              </w:rPr>
              <w:t>政策</w:t>
            </w:r>
            <w:r>
              <w:rPr>
                <w:rFonts w:eastAsiaTheme="minorEastAsia"/>
                <w:color w:val="auto"/>
              </w:rPr>
              <w:t>。</w:t>
            </w:r>
          </w:p>
          <w:p>
            <w:pPr>
              <w:spacing w:line="360" w:lineRule="auto"/>
              <w:ind w:firstLine="422" w:firstLineChars="200"/>
              <w:rPr>
                <w:b/>
                <w:color w:val="auto"/>
              </w:rPr>
            </w:pPr>
            <w:r>
              <w:rPr>
                <w:b/>
                <w:color w:val="auto"/>
              </w:rPr>
              <w:t>3</w:t>
            </w:r>
            <w:r>
              <w:rPr>
                <w:rFonts w:hAnsi="宋体"/>
                <w:b/>
                <w:color w:val="auto"/>
              </w:rPr>
              <w:t>、相关政策符合性分析</w:t>
            </w:r>
          </w:p>
          <w:p>
            <w:pPr>
              <w:spacing w:line="360" w:lineRule="auto"/>
              <w:ind w:firstLine="420" w:firstLineChars="200"/>
              <w:rPr>
                <w:color w:val="auto"/>
              </w:rPr>
            </w:pPr>
            <w:r>
              <w:rPr>
                <w:rFonts w:hint="eastAsia" w:hAnsi="宋体"/>
                <w:color w:val="auto"/>
              </w:rPr>
              <w:t>（1）与《动物诊疗机构管理办法》（2017年修订）相符性分析</w:t>
            </w:r>
          </w:p>
          <w:p>
            <w:pPr>
              <w:autoSpaceDE w:val="0"/>
              <w:autoSpaceDN w:val="0"/>
              <w:adjustRightInd w:val="0"/>
              <w:ind w:firstLine="422" w:firstLineChars="200"/>
              <w:jc w:val="center"/>
              <w:rPr>
                <w:color w:val="auto"/>
                <w:szCs w:val="21"/>
              </w:rPr>
            </w:pPr>
            <w:r>
              <w:rPr>
                <w:b/>
                <w:bCs/>
                <w:color w:val="auto"/>
                <w:szCs w:val="21"/>
              </w:rPr>
              <w:t xml:space="preserve">表1-3 </w:t>
            </w:r>
            <w:r>
              <w:rPr>
                <w:rFonts w:hint="eastAsia"/>
                <w:b/>
                <w:bCs/>
                <w:color w:val="auto"/>
                <w:szCs w:val="21"/>
              </w:rPr>
              <w:t xml:space="preserve">    </w:t>
            </w:r>
            <w:r>
              <w:rPr>
                <w:b/>
                <w:bCs/>
                <w:color w:val="auto"/>
                <w:szCs w:val="21"/>
              </w:rPr>
              <w:t>与</w:t>
            </w:r>
            <w:r>
              <w:rPr>
                <w:rFonts w:hint="eastAsia"/>
                <w:b/>
                <w:bCs/>
                <w:color w:val="auto"/>
                <w:szCs w:val="21"/>
              </w:rPr>
              <w:t>《动物诊疗机构管理办法》</w:t>
            </w:r>
            <w:r>
              <w:rPr>
                <w:b/>
                <w:bCs/>
                <w:color w:val="auto"/>
                <w:szCs w:val="21"/>
              </w:rPr>
              <w:t>相符性分析</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649"/>
              <w:gridCol w:w="2374"/>
              <w:gridCol w:w="5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Align w:val="center"/>
                </w:tcPr>
                <w:p>
                  <w:pPr>
                    <w:pStyle w:val="49"/>
                    <w:widowControl w:val="0"/>
                    <w:autoSpaceDE w:val="0"/>
                    <w:autoSpaceDN w:val="0"/>
                    <w:spacing w:before="0" w:after="0"/>
                    <w:jc w:val="center"/>
                    <w:rPr>
                      <w:rFonts w:ascii="Times New Roman" w:hAnsi="Times New Roman"/>
                      <w:color w:val="auto"/>
                      <w:sz w:val="18"/>
                      <w:szCs w:val="18"/>
                    </w:rPr>
                  </w:pPr>
                  <w:r>
                    <w:rPr>
                      <w:rFonts w:ascii="Times New Roman" w:hAnsi="Times New Roman"/>
                      <w:color w:val="auto"/>
                      <w:sz w:val="18"/>
                      <w:szCs w:val="18"/>
                    </w:rPr>
                    <w:t>文件</w:t>
                  </w:r>
                </w:p>
              </w:tc>
              <w:tc>
                <w:tcPr>
                  <w:tcW w:w="2552" w:type="dxa"/>
                  <w:vAlign w:val="center"/>
                </w:tcPr>
                <w:p>
                  <w:pPr>
                    <w:jc w:val="center"/>
                    <w:rPr>
                      <w:color w:val="auto"/>
                      <w:sz w:val="18"/>
                      <w:szCs w:val="18"/>
                    </w:rPr>
                  </w:pPr>
                  <w:r>
                    <w:rPr>
                      <w:color w:val="auto"/>
                      <w:sz w:val="18"/>
                      <w:szCs w:val="18"/>
                    </w:rPr>
                    <w:t>政策要求</w:t>
                  </w:r>
                </w:p>
              </w:tc>
              <w:tc>
                <w:tcPr>
                  <w:tcW w:w="2287" w:type="dxa"/>
                  <w:vAlign w:val="center"/>
                </w:tcPr>
                <w:p>
                  <w:pPr>
                    <w:jc w:val="center"/>
                    <w:rPr>
                      <w:color w:val="auto"/>
                      <w:sz w:val="18"/>
                      <w:szCs w:val="18"/>
                    </w:rPr>
                  </w:pPr>
                  <w:r>
                    <w:rPr>
                      <w:color w:val="auto"/>
                      <w:sz w:val="18"/>
                      <w:szCs w:val="18"/>
                    </w:rPr>
                    <w:t>本项目情况</w:t>
                  </w:r>
                </w:p>
              </w:tc>
              <w:tc>
                <w:tcPr>
                  <w:tcW w:w="493" w:type="dxa"/>
                  <w:vAlign w:val="center"/>
                </w:tcPr>
                <w:p>
                  <w:pPr>
                    <w:jc w:val="center"/>
                    <w:rPr>
                      <w:color w:val="auto"/>
                      <w:sz w:val="18"/>
                      <w:szCs w:val="18"/>
                    </w:rPr>
                  </w:pPr>
                  <w:r>
                    <w:rPr>
                      <w:color w:val="auto"/>
                      <w:sz w:val="18"/>
                      <w:szCs w:val="18"/>
                    </w:rPr>
                    <w:t>相符性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Merge w:val="restart"/>
                  <w:vAlign w:val="center"/>
                </w:tcPr>
                <w:p>
                  <w:pPr>
                    <w:adjustRightInd w:val="0"/>
                    <w:snapToGrid w:val="0"/>
                    <w:jc w:val="center"/>
                    <w:rPr>
                      <w:color w:val="auto"/>
                      <w:sz w:val="18"/>
                      <w:szCs w:val="18"/>
                    </w:rPr>
                  </w:pPr>
                  <w:r>
                    <w:rPr>
                      <w:rFonts w:hint="eastAsia"/>
                      <w:color w:val="auto"/>
                      <w:sz w:val="18"/>
                      <w:szCs w:val="18"/>
                    </w:rPr>
                    <w:t>《动物诊疗机构管理办法》（2017年修订）</w:t>
                  </w:r>
                </w:p>
              </w:tc>
              <w:tc>
                <w:tcPr>
                  <w:tcW w:w="2552" w:type="dxa"/>
                  <w:vAlign w:val="center"/>
                </w:tcPr>
                <w:p>
                  <w:pPr>
                    <w:jc w:val="center"/>
                    <w:rPr>
                      <w:color w:val="auto"/>
                      <w:sz w:val="18"/>
                      <w:szCs w:val="18"/>
                    </w:rPr>
                  </w:pPr>
                  <w:r>
                    <w:rPr>
                      <w:rFonts w:hint="eastAsia"/>
                      <w:color w:val="auto"/>
                      <w:sz w:val="18"/>
                      <w:szCs w:val="18"/>
                    </w:rPr>
                    <w:t>有固定的动物诊疗场所，且动物诊疗场所使用面积符合省、自治区、直辖市兽医主管部门规定。</w:t>
                  </w:r>
                </w:p>
              </w:tc>
              <w:tc>
                <w:tcPr>
                  <w:tcW w:w="2287" w:type="dxa"/>
                  <w:vAlign w:val="center"/>
                </w:tcPr>
                <w:p>
                  <w:pPr>
                    <w:jc w:val="center"/>
                    <w:rPr>
                      <w:color w:val="auto"/>
                      <w:sz w:val="18"/>
                      <w:szCs w:val="18"/>
                    </w:rPr>
                  </w:pPr>
                  <w:r>
                    <w:rPr>
                      <w:rFonts w:hint="eastAsia"/>
                      <w:color w:val="auto"/>
                      <w:sz w:val="18"/>
                      <w:szCs w:val="18"/>
                    </w:rPr>
                    <w:t>项目租用</w:t>
                  </w:r>
                  <w:r>
                    <w:rPr>
                      <w:rFonts w:hint="eastAsia" w:hAnsi="宋体"/>
                      <w:color w:val="auto"/>
                      <w:sz w:val="18"/>
                      <w:szCs w:val="18"/>
                    </w:rPr>
                    <w:t>丰</w:t>
                  </w:r>
                  <w:r>
                    <w:rPr>
                      <w:rFonts w:hAnsi="宋体"/>
                      <w:color w:val="auto"/>
                      <w:sz w:val="18"/>
                      <w:szCs w:val="18"/>
                    </w:rPr>
                    <w:t>和坊一期</w:t>
                  </w:r>
                  <w:r>
                    <w:rPr>
                      <w:rFonts w:hint="eastAsia" w:hAnsi="宋体"/>
                      <w:color w:val="auto"/>
                      <w:sz w:val="18"/>
                      <w:szCs w:val="18"/>
                    </w:rPr>
                    <w:t>15幢</w:t>
                  </w:r>
                  <w:r>
                    <w:rPr>
                      <w:rFonts w:hAnsi="宋体"/>
                      <w:color w:val="auto"/>
                      <w:sz w:val="18"/>
                      <w:szCs w:val="18"/>
                    </w:rPr>
                    <w:t>底商</w:t>
                  </w:r>
                  <w:r>
                    <w:rPr>
                      <w:rFonts w:hint="eastAsia" w:hAnsi="宋体"/>
                      <w:color w:val="auto"/>
                      <w:sz w:val="18"/>
                      <w:szCs w:val="18"/>
                    </w:rPr>
                    <w:t>1011室</w:t>
                  </w:r>
                  <w:r>
                    <w:rPr>
                      <w:rFonts w:hint="eastAsia"/>
                      <w:color w:val="auto"/>
                      <w:sz w:val="18"/>
                      <w:szCs w:val="18"/>
                    </w:rPr>
                    <w:t>作为诊治场所，医院面积占地面积</w:t>
                  </w:r>
                  <w:r>
                    <w:rPr>
                      <w:color w:val="auto"/>
                      <w:sz w:val="18"/>
                      <w:szCs w:val="18"/>
                    </w:rPr>
                    <w:t>107.8m</w:t>
                  </w:r>
                  <w:r>
                    <w:rPr>
                      <w:rFonts w:hint="eastAsia"/>
                      <w:color w:val="auto"/>
                      <w:sz w:val="18"/>
                      <w:szCs w:val="18"/>
                      <w:vertAlign w:val="superscript"/>
                    </w:rPr>
                    <w:t>2</w:t>
                  </w:r>
                  <w:r>
                    <w:rPr>
                      <w:rFonts w:hint="eastAsia"/>
                      <w:color w:val="auto"/>
                      <w:sz w:val="18"/>
                      <w:szCs w:val="18"/>
                    </w:rPr>
                    <w:t>。</w:t>
                  </w:r>
                </w:p>
              </w:tc>
              <w:tc>
                <w:tcPr>
                  <w:tcW w:w="493" w:type="dxa"/>
                  <w:vAlign w:val="center"/>
                </w:tcPr>
                <w:p>
                  <w:pPr>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89" w:type="dxa"/>
                  <w:vMerge w:val="continue"/>
                  <w:vAlign w:val="center"/>
                </w:tcPr>
                <w:p>
                  <w:pPr>
                    <w:adjustRightInd w:val="0"/>
                    <w:snapToGrid w:val="0"/>
                    <w:jc w:val="center"/>
                    <w:rPr>
                      <w:color w:val="auto"/>
                      <w:sz w:val="18"/>
                      <w:szCs w:val="18"/>
                    </w:rPr>
                  </w:pPr>
                </w:p>
              </w:tc>
              <w:tc>
                <w:tcPr>
                  <w:tcW w:w="2552" w:type="dxa"/>
                  <w:vAlign w:val="center"/>
                </w:tcPr>
                <w:p>
                  <w:pPr>
                    <w:adjustRightInd w:val="0"/>
                    <w:snapToGrid w:val="0"/>
                    <w:jc w:val="center"/>
                    <w:rPr>
                      <w:color w:val="auto"/>
                      <w:sz w:val="18"/>
                      <w:szCs w:val="18"/>
                    </w:rPr>
                  </w:pPr>
                  <w:r>
                    <w:rPr>
                      <w:color w:val="auto"/>
                      <w:sz w:val="18"/>
                      <w:szCs w:val="18"/>
                    </w:rPr>
                    <w:t>动物诊疗场所选址距离畜禽养殖场、屠宰加工场、动物交易场所不少于200m</w:t>
                  </w:r>
                  <w:r>
                    <w:rPr>
                      <w:rFonts w:hint="eastAsia"/>
                      <w:color w:val="auto"/>
                      <w:sz w:val="18"/>
                      <w:szCs w:val="18"/>
                    </w:rPr>
                    <w:t>。</w:t>
                  </w:r>
                </w:p>
              </w:tc>
              <w:tc>
                <w:tcPr>
                  <w:tcW w:w="2287" w:type="dxa"/>
                  <w:vAlign w:val="center"/>
                </w:tcPr>
                <w:p>
                  <w:pPr>
                    <w:adjustRightInd w:val="0"/>
                    <w:snapToGrid w:val="0"/>
                    <w:jc w:val="center"/>
                    <w:rPr>
                      <w:color w:val="auto"/>
                      <w:sz w:val="18"/>
                      <w:szCs w:val="18"/>
                    </w:rPr>
                  </w:pPr>
                  <w:r>
                    <w:rPr>
                      <w:rFonts w:hint="eastAsia"/>
                      <w:color w:val="auto"/>
                      <w:sz w:val="18"/>
                      <w:szCs w:val="18"/>
                    </w:rPr>
                    <w:t>本项目</w:t>
                  </w:r>
                  <w:r>
                    <w:rPr>
                      <w:color w:val="auto"/>
                      <w:sz w:val="18"/>
                      <w:szCs w:val="18"/>
                    </w:rPr>
                    <w:t>周边</w:t>
                  </w:r>
                  <w:r>
                    <w:rPr>
                      <w:rFonts w:hint="eastAsia"/>
                      <w:color w:val="auto"/>
                      <w:sz w:val="18"/>
                      <w:szCs w:val="18"/>
                    </w:rPr>
                    <w:t>200m</w:t>
                  </w:r>
                  <w:r>
                    <w:rPr>
                      <w:color w:val="auto"/>
                      <w:sz w:val="18"/>
                      <w:szCs w:val="18"/>
                    </w:rPr>
                    <w:t>为居民住宅区，无畜禽养殖场、屠宰加工场、动物交易场所等</w:t>
                  </w:r>
                  <w:r>
                    <w:rPr>
                      <w:rFonts w:hint="eastAsia"/>
                      <w:color w:val="auto"/>
                      <w:sz w:val="18"/>
                      <w:szCs w:val="18"/>
                    </w:rPr>
                    <w:t>。</w:t>
                  </w:r>
                </w:p>
              </w:tc>
              <w:tc>
                <w:tcPr>
                  <w:tcW w:w="493" w:type="dxa"/>
                  <w:vAlign w:val="center"/>
                </w:tcPr>
                <w:p>
                  <w:pPr>
                    <w:widowControl/>
                    <w:jc w:val="center"/>
                    <w:rPr>
                      <w:color w:val="auto"/>
                      <w:sz w:val="18"/>
                      <w:szCs w:val="18"/>
                    </w:rPr>
                  </w:pPr>
                  <w:r>
                    <w:rPr>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89" w:type="dxa"/>
                  <w:vMerge w:val="continue"/>
                  <w:vAlign w:val="center"/>
                </w:tcPr>
                <w:p>
                  <w:pPr>
                    <w:adjustRightInd w:val="0"/>
                    <w:snapToGrid w:val="0"/>
                    <w:jc w:val="center"/>
                    <w:rPr>
                      <w:color w:val="auto"/>
                      <w:sz w:val="18"/>
                      <w:szCs w:val="18"/>
                    </w:rPr>
                  </w:pPr>
                </w:p>
              </w:tc>
              <w:tc>
                <w:tcPr>
                  <w:tcW w:w="2552" w:type="dxa"/>
                  <w:vAlign w:val="center"/>
                </w:tcPr>
                <w:p>
                  <w:pPr>
                    <w:adjustRightInd w:val="0"/>
                    <w:snapToGrid w:val="0"/>
                    <w:jc w:val="center"/>
                    <w:rPr>
                      <w:color w:val="auto"/>
                      <w:sz w:val="18"/>
                      <w:szCs w:val="18"/>
                    </w:rPr>
                  </w:pPr>
                  <w:r>
                    <w:rPr>
                      <w:color w:val="auto"/>
                      <w:sz w:val="18"/>
                      <w:szCs w:val="18"/>
                    </w:rPr>
                    <w:t>动物诊疗场所设有独立的出入口</w:t>
                  </w:r>
                  <w:r>
                    <w:rPr>
                      <w:rFonts w:hint="eastAsia"/>
                      <w:color w:val="auto"/>
                      <w:sz w:val="18"/>
                      <w:szCs w:val="18"/>
                    </w:rPr>
                    <w:t>，</w:t>
                  </w:r>
                  <w:r>
                    <w:rPr>
                      <w:color w:val="auto"/>
                      <w:sz w:val="18"/>
                      <w:szCs w:val="18"/>
                    </w:rPr>
                    <w:t>出入口不得设在居民住宅楼内或者院内</w:t>
                  </w:r>
                  <w:r>
                    <w:rPr>
                      <w:rFonts w:hint="eastAsia"/>
                      <w:color w:val="auto"/>
                      <w:sz w:val="18"/>
                      <w:szCs w:val="18"/>
                    </w:rPr>
                    <w:t>，</w:t>
                  </w:r>
                  <w:r>
                    <w:rPr>
                      <w:color w:val="auto"/>
                      <w:sz w:val="18"/>
                      <w:szCs w:val="18"/>
                    </w:rPr>
                    <w:t>不得与同一建筑物的其他用户共用通道</w:t>
                  </w:r>
                  <w:r>
                    <w:rPr>
                      <w:rFonts w:hint="eastAsia"/>
                      <w:color w:val="auto"/>
                      <w:sz w:val="18"/>
                      <w:szCs w:val="18"/>
                    </w:rPr>
                    <w:t>。</w:t>
                  </w:r>
                </w:p>
              </w:tc>
              <w:tc>
                <w:tcPr>
                  <w:tcW w:w="2287" w:type="dxa"/>
                  <w:vAlign w:val="center"/>
                </w:tcPr>
                <w:p>
                  <w:pPr>
                    <w:adjustRightInd w:val="0"/>
                    <w:snapToGrid w:val="0"/>
                    <w:jc w:val="center"/>
                    <w:rPr>
                      <w:color w:val="auto"/>
                      <w:sz w:val="18"/>
                      <w:szCs w:val="18"/>
                    </w:rPr>
                  </w:pPr>
                  <w:r>
                    <w:rPr>
                      <w:rFonts w:hint="eastAsia"/>
                      <w:color w:val="auto"/>
                      <w:sz w:val="18"/>
                      <w:szCs w:val="18"/>
                    </w:rPr>
                    <w:t>项目租用</w:t>
                  </w:r>
                  <w:r>
                    <w:rPr>
                      <w:rFonts w:hint="eastAsia" w:hAnsi="宋体"/>
                      <w:color w:val="auto"/>
                      <w:sz w:val="18"/>
                      <w:szCs w:val="18"/>
                    </w:rPr>
                    <w:t>丰和</w:t>
                  </w:r>
                  <w:r>
                    <w:rPr>
                      <w:rFonts w:hAnsi="宋体"/>
                      <w:color w:val="auto"/>
                      <w:sz w:val="18"/>
                      <w:szCs w:val="18"/>
                    </w:rPr>
                    <w:t>坊一期</w:t>
                  </w:r>
                  <w:r>
                    <w:rPr>
                      <w:rFonts w:hint="eastAsia" w:hAnsi="宋体"/>
                      <w:color w:val="auto"/>
                      <w:sz w:val="18"/>
                      <w:szCs w:val="18"/>
                    </w:rPr>
                    <w:t>15幢</w:t>
                  </w:r>
                  <w:r>
                    <w:rPr>
                      <w:rFonts w:hAnsi="宋体"/>
                      <w:color w:val="auto"/>
                      <w:sz w:val="18"/>
                      <w:szCs w:val="18"/>
                    </w:rPr>
                    <w:t>底商</w:t>
                  </w:r>
                  <w:r>
                    <w:rPr>
                      <w:rFonts w:hint="eastAsia" w:hAnsi="宋体"/>
                      <w:color w:val="auto"/>
                      <w:sz w:val="18"/>
                      <w:szCs w:val="18"/>
                    </w:rPr>
                    <w:t>1011室</w:t>
                  </w:r>
                  <w:r>
                    <w:rPr>
                      <w:rFonts w:hint="eastAsia"/>
                      <w:color w:val="auto"/>
                      <w:sz w:val="18"/>
                      <w:szCs w:val="18"/>
                    </w:rPr>
                    <w:t>进行经营，唯一出入口为临街商铺大门，南</w:t>
                  </w:r>
                  <w:r>
                    <w:rPr>
                      <w:color w:val="auto"/>
                      <w:sz w:val="18"/>
                      <w:szCs w:val="18"/>
                    </w:rPr>
                    <w:t>侧</w:t>
                  </w:r>
                  <w:r>
                    <w:rPr>
                      <w:rFonts w:hint="eastAsia"/>
                      <w:color w:val="auto"/>
                      <w:sz w:val="18"/>
                      <w:szCs w:val="18"/>
                    </w:rPr>
                    <w:t>为丰禾</w:t>
                  </w:r>
                  <w:r>
                    <w:rPr>
                      <w:color w:val="auto"/>
                      <w:sz w:val="18"/>
                      <w:szCs w:val="18"/>
                    </w:rPr>
                    <w:t>路</w:t>
                  </w:r>
                  <w:r>
                    <w:rPr>
                      <w:rFonts w:hint="eastAsia"/>
                      <w:color w:val="auto"/>
                      <w:sz w:val="18"/>
                      <w:szCs w:val="18"/>
                    </w:rPr>
                    <w:t>，不与同一建筑物的其他用户公用通道。</w:t>
                  </w:r>
                </w:p>
              </w:tc>
              <w:tc>
                <w:tcPr>
                  <w:tcW w:w="493" w:type="dxa"/>
                  <w:vAlign w:val="center"/>
                </w:tcPr>
                <w:p>
                  <w:pPr>
                    <w:widowControl/>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89" w:type="dxa"/>
                  <w:vMerge w:val="continue"/>
                  <w:vAlign w:val="center"/>
                </w:tcPr>
                <w:p>
                  <w:pPr>
                    <w:adjustRightInd w:val="0"/>
                    <w:snapToGrid w:val="0"/>
                    <w:jc w:val="center"/>
                    <w:rPr>
                      <w:color w:val="auto"/>
                      <w:sz w:val="18"/>
                      <w:szCs w:val="18"/>
                    </w:rPr>
                  </w:pPr>
                </w:p>
              </w:tc>
              <w:tc>
                <w:tcPr>
                  <w:tcW w:w="2552" w:type="dxa"/>
                  <w:vAlign w:val="center"/>
                </w:tcPr>
                <w:p>
                  <w:pPr>
                    <w:adjustRightInd w:val="0"/>
                    <w:snapToGrid w:val="0"/>
                    <w:jc w:val="center"/>
                    <w:rPr>
                      <w:color w:val="auto"/>
                      <w:sz w:val="18"/>
                      <w:szCs w:val="18"/>
                    </w:rPr>
                  </w:pPr>
                  <w:r>
                    <w:rPr>
                      <w:color w:val="auto"/>
                      <w:sz w:val="18"/>
                      <w:szCs w:val="18"/>
                    </w:rPr>
                    <w:t>动物诊疗机构兼营宠物用品、宠物食品、宠物美容等项目的</w:t>
                  </w:r>
                  <w:r>
                    <w:rPr>
                      <w:rFonts w:hint="eastAsia"/>
                      <w:color w:val="auto"/>
                      <w:sz w:val="18"/>
                      <w:szCs w:val="18"/>
                    </w:rPr>
                    <w:t>，</w:t>
                  </w:r>
                  <w:r>
                    <w:rPr>
                      <w:color w:val="auto"/>
                      <w:sz w:val="18"/>
                      <w:szCs w:val="18"/>
                    </w:rPr>
                    <w:t>兼营区域与动物诊疗区域应当分别独立设置</w:t>
                  </w:r>
                  <w:r>
                    <w:rPr>
                      <w:rFonts w:hint="eastAsia"/>
                      <w:color w:val="auto"/>
                      <w:sz w:val="18"/>
                      <w:szCs w:val="18"/>
                    </w:rPr>
                    <w:t>。</w:t>
                  </w:r>
                </w:p>
              </w:tc>
              <w:tc>
                <w:tcPr>
                  <w:tcW w:w="2287" w:type="dxa"/>
                  <w:vAlign w:val="center"/>
                </w:tcPr>
                <w:p>
                  <w:pPr>
                    <w:adjustRightInd w:val="0"/>
                    <w:snapToGrid w:val="0"/>
                    <w:jc w:val="center"/>
                    <w:rPr>
                      <w:color w:val="auto"/>
                      <w:sz w:val="18"/>
                      <w:szCs w:val="18"/>
                    </w:rPr>
                  </w:pPr>
                  <w:r>
                    <w:rPr>
                      <w:color w:val="auto"/>
                      <w:sz w:val="18"/>
                      <w:szCs w:val="18"/>
                    </w:rPr>
                    <w:t>项目设置的</w:t>
                  </w:r>
                  <w:r>
                    <w:rPr>
                      <w:rFonts w:hint="eastAsia"/>
                      <w:color w:val="auto"/>
                      <w:sz w:val="18"/>
                      <w:szCs w:val="18"/>
                    </w:rPr>
                    <w:t>诊室</w:t>
                  </w:r>
                  <w:r>
                    <w:rPr>
                      <w:color w:val="auto"/>
                      <w:sz w:val="18"/>
                      <w:szCs w:val="18"/>
                    </w:rPr>
                    <w:t>、手术室、</w:t>
                  </w:r>
                  <w:r>
                    <w:rPr>
                      <w:rFonts w:hint="eastAsia"/>
                      <w:color w:val="auto"/>
                      <w:sz w:val="18"/>
                      <w:szCs w:val="18"/>
                    </w:rPr>
                    <w:t>影像室</w:t>
                  </w:r>
                  <w:r>
                    <w:rPr>
                      <w:color w:val="auto"/>
                      <w:sz w:val="18"/>
                      <w:szCs w:val="18"/>
                    </w:rPr>
                    <w:t>、</w:t>
                  </w:r>
                  <w:r>
                    <w:rPr>
                      <w:rFonts w:hint="eastAsia"/>
                      <w:color w:val="auto"/>
                      <w:sz w:val="18"/>
                      <w:szCs w:val="18"/>
                    </w:rPr>
                    <w:t>化验药房</w:t>
                  </w:r>
                  <w:r>
                    <w:rPr>
                      <w:color w:val="auto"/>
                      <w:sz w:val="18"/>
                      <w:szCs w:val="18"/>
                    </w:rPr>
                    <w:t>、</w:t>
                  </w:r>
                  <w:r>
                    <w:rPr>
                      <w:rFonts w:hint="eastAsia"/>
                      <w:color w:val="auto"/>
                      <w:sz w:val="18"/>
                      <w:szCs w:val="18"/>
                    </w:rPr>
                    <w:t>医废</w:t>
                  </w:r>
                  <w:r>
                    <w:rPr>
                      <w:color w:val="auto"/>
                      <w:sz w:val="18"/>
                      <w:szCs w:val="18"/>
                    </w:rPr>
                    <w:t>间、美容、洗浴室等均分别独立设置，明确区分兼营区域和诊疗区域</w:t>
                  </w:r>
                  <w:r>
                    <w:rPr>
                      <w:rFonts w:hint="eastAsia"/>
                      <w:color w:val="auto"/>
                      <w:sz w:val="18"/>
                      <w:szCs w:val="18"/>
                    </w:rPr>
                    <w:t>。</w:t>
                  </w:r>
                </w:p>
              </w:tc>
              <w:tc>
                <w:tcPr>
                  <w:tcW w:w="493" w:type="dxa"/>
                  <w:vAlign w:val="center"/>
                </w:tcPr>
                <w:p>
                  <w:pPr>
                    <w:widowControl/>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89" w:type="dxa"/>
                  <w:vMerge w:val="continue"/>
                  <w:vAlign w:val="center"/>
                </w:tcPr>
                <w:p>
                  <w:pPr>
                    <w:adjustRightInd w:val="0"/>
                    <w:snapToGrid w:val="0"/>
                    <w:jc w:val="center"/>
                    <w:rPr>
                      <w:color w:val="auto"/>
                      <w:sz w:val="18"/>
                      <w:szCs w:val="18"/>
                    </w:rPr>
                  </w:pPr>
                </w:p>
              </w:tc>
              <w:tc>
                <w:tcPr>
                  <w:tcW w:w="2552" w:type="dxa"/>
                  <w:vAlign w:val="center"/>
                </w:tcPr>
                <w:p>
                  <w:pPr>
                    <w:adjustRightInd w:val="0"/>
                    <w:snapToGrid w:val="0"/>
                    <w:jc w:val="center"/>
                    <w:rPr>
                      <w:color w:val="auto"/>
                      <w:sz w:val="18"/>
                      <w:szCs w:val="18"/>
                    </w:rPr>
                  </w:pPr>
                  <w:r>
                    <w:rPr>
                      <w:color w:val="auto"/>
                      <w:sz w:val="18"/>
                      <w:szCs w:val="18"/>
                    </w:rPr>
                    <w:t>动物诊疗机构应当参照《医疗废弃物管理条例》的有关规定处理医疗废弃物</w:t>
                  </w:r>
                  <w:r>
                    <w:rPr>
                      <w:rFonts w:hint="eastAsia"/>
                      <w:color w:val="auto"/>
                      <w:sz w:val="18"/>
                      <w:szCs w:val="18"/>
                    </w:rPr>
                    <w:t>。</w:t>
                  </w:r>
                </w:p>
              </w:tc>
              <w:tc>
                <w:tcPr>
                  <w:tcW w:w="2287" w:type="dxa"/>
                  <w:vAlign w:val="center"/>
                </w:tcPr>
                <w:p>
                  <w:pPr>
                    <w:adjustRightInd w:val="0"/>
                    <w:snapToGrid w:val="0"/>
                    <w:jc w:val="center"/>
                    <w:rPr>
                      <w:color w:val="auto"/>
                      <w:sz w:val="18"/>
                      <w:szCs w:val="18"/>
                    </w:rPr>
                  </w:pPr>
                  <w:r>
                    <w:rPr>
                      <w:rFonts w:hint="eastAsia"/>
                      <w:color w:val="auto"/>
                      <w:sz w:val="18"/>
                      <w:szCs w:val="18"/>
                    </w:rPr>
                    <w:t>医疗垃圾收集桶分布于手术室和化验药房内，方便宠物手术治疗、化验后产生的医疗垃圾收集和清运；在化验室药房北侧设</w:t>
                  </w:r>
                  <w:r>
                    <w:rPr>
                      <w:color w:val="auto"/>
                      <w:sz w:val="18"/>
                      <w:szCs w:val="18"/>
                    </w:rPr>
                    <w:t>医</w:t>
                  </w:r>
                  <w:r>
                    <w:rPr>
                      <w:rFonts w:hint="eastAsia"/>
                      <w:color w:val="auto"/>
                      <w:sz w:val="18"/>
                      <w:szCs w:val="18"/>
                    </w:rPr>
                    <w:t>废</w:t>
                  </w:r>
                  <w:r>
                    <w:rPr>
                      <w:color w:val="auto"/>
                      <w:sz w:val="18"/>
                      <w:szCs w:val="18"/>
                    </w:rPr>
                    <w:t>间</w:t>
                  </w:r>
                  <w:r>
                    <w:rPr>
                      <w:rFonts w:hint="eastAsia"/>
                      <w:color w:val="auto"/>
                      <w:sz w:val="18"/>
                      <w:szCs w:val="18"/>
                    </w:rPr>
                    <w:t>（建筑</w:t>
                  </w:r>
                  <w:r>
                    <w:rPr>
                      <w:color w:val="auto"/>
                      <w:sz w:val="18"/>
                      <w:szCs w:val="18"/>
                    </w:rPr>
                    <w:t>面积</w:t>
                  </w:r>
                  <w:r>
                    <w:rPr>
                      <w:rFonts w:hint="eastAsia"/>
                      <w:color w:val="auto"/>
                      <w:sz w:val="18"/>
                      <w:szCs w:val="18"/>
                    </w:rPr>
                    <w:t>约</w:t>
                  </w:r>
                  <w:r>
                    <w:rPr>
                      <w:color w:val="auto"/>
                      <w:sz w:val="18"/>
                      <w:szCs w:val="18"/>
                    </w:rPr>
                    <w:t>2.5m</w:t>
                  </w:r>
                  <w:r>
                    <w:rPr>
                      <w:color w:val="auto"/>
                      <w:sz w:val="18"/>
                      <w:szCs w:val="18"/>
                      <w:vertAlign w:val="superscript"/>
                    </w:rPr>
                    <w:t>2</w:t>
                  </w:r>
                  <w:r>
                    <w:rPr>
                      <w:rFonts w:hint="eastAsia"/>
                      <w:color w:val="auto"/>
                      <w:sz w:val="18"/>
                      <w:szCs w:val="18"/>
                    </w:rPr>
                    <w:t>）对</w:t>
                  </w:r>
                  <w:r>
                    <w:rPr>
                      <w:color w:val="auto"/>
                      <w:sz w:val="18"/>
                      <w:szCs w:val="18"/>
                    </w:rPr>
                    <w:t>医疗废物</w:t>
                  </w:r>
                  <w:r>
                    <w:rPr>
                      <w:rFonts w:hint="eastAsia"/>
                      <w:color w:val="auto"/>
                      <w:sz w:val="18"/>
                      <w:szCs w:val="18"/>
                    </w:rPr>
                    <w:t>进行暂存，委托西安卫达实业</w:t>
                  </w:r>
                  <w:r>
                    <w:rPr>
                      <w:color w:val="auto"/>
                      <w:sz w:val="18"/>
                      <w:szCs w:val="18"/>
                    </w:rPr>
                    <w:t>发展有限公司</w:t>
                  </w:r>
                  <w:r>
                    <w:rPr>
                      <w:rFonts w:hint="eastAsia"/>
                      <w:color w:val="auto"/>
                      <w:sz w:val="18"/>
                      <w:szCs w:val="18"/>
                    </w:rPr>
                    <w:t>定期进行处理。</w:t>
                  </w:r>
                </w:p>
              </w:tc>
              <w:tc>
                <w:tcPr>
                  <w:tcW w:w="493" w:type="dxa"/>
                  <w:vAlign w:val="center"/>
                </w:tcPr>
                <w:p>
                  <w:pPr>
                    <w:widowControl/>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89" w:type="dxa"/>
                  <w:vMerge w:val="continue"/>
                  <w:vAlign w:val="center"/>
                </w:tcPr>
                <w:p>
                  <w:pPr>
                    <w:adjustRightInd w:val="0"/>
                    <w:snapToGrid w:val="0"/>
                    <w:jc w:val="center"/>
                    <w:rPr>
                      <w:color w:val="auto"/>
                      <w:sz w:val="18"/>
                      <w:szCs w:val="18"/>
                    </w:rPr>
                  </w:pPr>
                </w:p>
              </w:tc>
              <w:tc>
                <w:tcPr>
                  <w:tcW w:w="2552" w:type="dxa"/>
                  <w:vAlign w:val="center"/>
                </w:tcPr>
                <w:p>
                  <w:pPr>
                    <w:adjustRightInd w:val="0"/>
                    <w:snapToGrid w:val="0"/>
                    <w:jc w:val="center"/>
                    <w:rPr>
                      <w:color w:val="auto"/>
                      <w:sz w:val="18"/>
                      <w:szCs w:val="18"/>
                    </w:rPr>
                  </w:pPr>
                  <w:r>
                    <w:rPr>
                      <w:color w:val="auto"/>
                      <w:sz w:val="18"/>
                      <w:szCs w:val="18"/>
                    </w:rPr>
                    <w:t>动物诊疗机构不得随意抛弃病死动物、动物病理组织和医疗废弃物</w:t>
                  </w:r>
                  <w:r>
                    <w:rPr>
                      <w:rFonts w:hint="eastAsia"/>
                      <w:color w:val="auto"/>
                      <w:sz w:val="18"/>
                      <w:szCs w:val="18"/>
                    </w:rPr>
                    <w:t>，</w:t>
                  </w:r>
                  <w:r>
                    <w:rPr>
                      <w:color w:val="auto"/>
                      <w:sz w:val="18"/>
                      <w:szCs w:val="18"/>
                    </w:rPr>
                    <w:t>不得排放未经无害化处理或者处理不达标的诊疗废水</w:t>
                  </w:r>
                  <w:r>
                    <w:rPr>
                      <w:rFonts w:hint="eastAsia"/>
                      <w:color w:val="auto"/>
                      <w:sz w:val="18"/>
                      <w:szCs w:val="18"/>
                    </w:rPr>
                    <w:t>。</w:t>
                  </w:r>
                </w:p>
              </w:tc>
              <w:tc>
                <w:tcPr>
                  <w:tcW w:w="2287" w:type="dxa"/>
                  <w:vAlign w:val="center"/>
                </w:tcPr>
                <w:p>
                  <w:pPr>
                    <w:adjustRightInd w:val="0"/>
                    <w:snapToGrid w:val="0"/>
                    <w:rPr>
                      <w:color w:val="auto"/>
                      <w:sz w:val="18"/>
                      <w:szCs w:val="18"/>
                    </w:rPr>
                  </w:pPr>
                  <w:r>
                    <w:rPr>
                      <w:color w:val="auto"/>
                      <w:sz w:val="18"/>
                      <w:szCs w:val="18"/>
                    </w:rPr>
                    <w:t>项目禁止在运送过程中丢弃医疗废物；禁止在非贮存地点倾倒、堆放医疗废物或者将医疗废物混入其他废物和生活垃圾。项目安装</w:t>
                  </w:r>
                  <w:r>
                    <w:rPr>
                      <w:rFonts w:hint="eastAsia"/>
                      <w:color w:val="auto"/>
                      <w:sz w:val="18"/>
                      <w:szCs w:val="18"/>
                    </w:rPr>
                    <w:t>HB-</w:t>
                  </w:r>
                  <w:r>
                    <w:rPr>
                      <w:color w:val="auto"/>
                      <w:sz w:val="18"/>
                      <w:szCs w:val="18"/>
                    </w:rPr>
                    <w:t>50系列废水缓释消毒器，对医疗废水进行处理</w:t>
                  </w:r>
                  <w:r>
                    <w:rPr>
                      <w:rFonts w:hint="eastAsia"/>
                      <w:color w:val="auto"/>
                      <w:sz w:val="18"/>
                      <w:szCs w:val="18"/>
                    </w:rPr>
                    <w:t>。</w:t>
                  </w:r>
                </w:p>
              </w:tc>
              <w:tc>
                <w:tcPr>
                  <w:tcW w:w="493" w:type="dxa"/>
                  <w:vAlign w:val="center"/>
                </w:tcPr>
                <w:p>
                  <w:pPr>
                    <w:widowControl/>
                    <w:jc w:val="center"/>
                    <w:rPr>
                      <w:color w:val="auto"/>
                      <w:sz w:val="18"/>
                      <w:szCs w:val="18"/>
                    </w:rPr>
                  </w:pPr>
                  <w:r>
                    <w:rPr>
                      <w:rFonts w:hint="eastAsia"/>
                      <w:color w:val="auto"/>
                      <w:sz w:val="18"/>
                      <w:szCs w:val="18"/>
                    </w:rPr>
                    <w:t>符合</w:t>
                  </w:r>
                </w:p>
              </w:tc>
            </w:tr>
          </w:tbl>
          <w:p>
            <w:pPr>
              <w:autoSpaceDE w:val="0"/>
              <w:autoSpaceDN w:val="0"/>
              <w:adjustRightInd w:val="0"/>
              <w:snapToGrid w:val="0"/>
              <w:spacing w:line="360" w:lineRule="exact"/>
              <w:ind w:firstLine="420" w:firstLineChars="200"/>
              <w:jc w:val="left"/>
              <w:rPr>
                <w:color w:val="auto"/>
              </w:rPr>
            </w:pPr>
            <w:r>
              <w:rPr>
                <w:rFonts w:hint="eastAsia"/>
                <w:color w:val="auto"/>
              </w:rPr>
              <w:t>（2）与《西安市畜牧兽医局关于进一步加强动物诊疗机构管理工作的通知》（市畜发【2017】90号）、《西安市畜牧兽医局关于动物诊疗机构环保手续有关的通知》（市畜发【2018】57号）相符性分析</w:t>
            </w:r>
          </w:p>
          <w:p>
            <w:pPr>
              <w:autoSpaceDE w:val="0"/>
              <w:autoSpaceDN w:val="0"/>
              <w:adjustRightInd w:val="0"/>
              <w:snapToGrid w:val="0"/>
              <w:spacing w:line="360" w:lineRule="exact"/>
              <w:jc w:val="center"/>
              <w:rPr>
                <w:b/>
                <w:color w:val="auto"/>
              </w:rPr>
            </w:pPr>
            <w:r>
              <w:rPr>
                <w:rFonts w:hint="eastAsia"/>
                <w:b/>
                <w:color w:val="auto"/>
              </w:rPr>
              <w:t>表1-</w:t>
            </w:r>
            <w:r>
              <w:rPr>
                <w:b/>
                <w:color w:val="auto"/>
              </w:rPr>
              <w:t>4</w:t>
            </w:r>
            <w:r>
              <w:rPr>
                <w:rFonts w:hint="eastAsia"/>
                <w:b/>
                <w:color w:val="auto"/>
              </w:rPr>
              <w:t xml:space="preserve">    与西安市诊疗机构相关规定的符合性分析</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649"/>
              <w:gridCol w:w="2374"/>
              <w:gridCol w:w="5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Align w:val="center"/>
                </w:tcPr>
                <w:p>
                  <w:pPr>
                    <w:pStyle w:val="49"/>
                    <w:widowControl w:val="0"/>
                    <w:autoSpaceDE w:val="0"/>
                    <w:autoSpaceDN w:val="0"/>
                    <w:spacing w:before="0" w:after="0"/>
                    <w:jc w:val="center"/>
                    <w:rPr>
                      <w:rFonts w:ascii="Times New Roman" w:hAnsi="Times New Roman"/>
                      <w:color w:val="auto"/>
                      <w:sz w:val="18"/>
                      <w:szCs w:val="18"/>
                    </w:rPr>
                  </w:pPr>
                  <w:r>
                    <w:rPr>
                      <w:rFonts w:ascii="Times New Roman" w:hAnsi="Times New Roman"/>
                      <w:color w:val="auto"/>
                      <w:sz w:val="18"/>
                      <w:szCs w:val="18"/>
                    </w:rPr>
                    <w:t>文件</w:t>
                  </w:r>
                </w:p>
              </w:tc>
              <w:tc>
                <w:tcPr>
                  <w:tcW w:w="2552" w:type="dxa"/>
                  <w:vAlign w:val="center"/>
                </w:tcPr>
                <w:p>
                  <w:pPr>
                    <w:jc w:val="center"/>
                    <w:rPr>
                      <w:color w:val="auto"/>
                      <w:sz w:val="18"/>
                      <w:szCs w:val="18"/>
                    </w:rPr>
                  </w:pPr>
                  <w:r>
                    <w:rPr>
                      <w:color w:val="auto"/>
                      <w:sz w:val="18"/>
                      <w:szCs w:val="18"/>
                    </w:rPr>
                    <w:t>政策要求</w:t>
                  </w:r>
                </w:p>
              </w:tc>
              <w:tc>
                <w:tcPr>
                  <w:tcW w:w="2287" w:type="dxa"/>
                  <w:vAlign w:val="center"/>
                </w:tcPr>
                <w:p>
                  <w:pPr>
                    <w:jc w:val="center"/>
                    <w:rPr>
                      <w:color w:val="auto"/>
                      <w:sz w:val="18"/>
                      <w:szCs w:val="18"/>
                    </w:rPr>
                  </w:pPr>
                  <w:r>
                    <w:rPr>
                      <w:color w:val="auto"/>
                      <w:sz w:val="18"/>
                      <w:szCs w:val="18"/>
                    </w:rPr>
                    <w:t>本项目情况</w:t>
                  </w:r>
                </w:p>
              </w:tc>
              <w:tc>
                <w:tcPr>
                  <w:tcW w:w="493" w:type="dxa"/>
                  <w:vAlign w:val="center"/>
                </w:tcPr>
                <w:p>
                  <w:pPr>
                    <w:jc w:val="center"/>
                    <w:rPr>
                      <w:color w:val="auto"/>
                      <w:sz w:val="18"/>
                      <w:szCs w:val="18"/>
                    </w:rPr>
                  </w:pPr>
                  <w:r>
                    <w:rPr>
                      <w:color w:val="auto"/>
                      <w:sz w:val="18"/>
                      <w:szCs w:val="18"/>
                    </w:rPr>
                    <w:t>相符性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Merge w:val="restart"/>
                  <w:vAlign w:val="center"/>
                </w:tcPr>
                <w:p>
                  <w:pPr>
                    <w:pStyle w:val="49"/>
                    <w:widowControl w:val="0"/>
                    <w:autoSpaceDE w:val="0"/>
                    <w:autoSpaceDN w:val="0"/>
                    <w:spacing w:before="0" w:after="0"/>
                    <w:jc w:val="center"/>
                    <w:rPr>
                      <w:rFonts w:ascii="Times New Roman" w:hAnsi="Times New Roman"/>
                      <w:color w:val="auto"/>
                      <w:sz w:val="18"/>
                      <w:szCs w:val="18"/>
                    </w:rPr>
                  </w:pPr>
                  <w:r>
                    <w:rPr>
                      <w:rFonts w:hint="eastAsia" w:ascii="Times New Roman" w:hAnsi="Times New Roman"/>
                      <w:color w:val="auto"/>
                      <w:sz w:val="18"/>
                      <w:szCs w:val="18"/>
                    </w:rPr>
                    <w:t>《西安市畜牧兽医局关于进一步加强动物诊疗机构管理工作的通知》（市畜发【2017】90号）</w:t>
                  </w:r>
                </w:p>
              </w:tc>
              <w:tc>
                <w:tcPr>
                  <w:tcW w:w="2552" w:type="dxa"/>
                  <w:vAlign w:val="center"/>
                </w:tcPr>
                <w:p>
                  <w:pPr>
                    <w:jc w:val="center"/>
                    <w:rPr>
                      <w:color w:val="auto"/>
                      <w:sz w:val="18"/>
                      <w:szCs w:val="18"/>
                    </w:rPr>
                  </w:pPr>
                  <w:r>
                    <w:rPr>
                      <w:rFonts w:hint="eastAsia"/>
                      <w:color w:val="auto"/>
                      <w:sz w:val="18"/>
                      <w:szCs w:val="18"/>
                    </w:rPr>
                    <w:t>有固定的诊疗场所，且场所使用面积应符合以下要求：动物医院用房使用面积100m</w:t>
                  </w:r>
                  <w:r>
                    <w:rPr>
                      <w:rFonts w:hint="eastAsia"/>
                      <w:color w:val="auto"/>
                      <w:sz w:val="18"/>
                      <w:szCs w:val="18"/>
                      <w:vertAlign w:val="superscript"/>
                    </w:rPr>
                    <w:t>2</w:t>
                  </w:r>
                  <w:r>
                    <w:rPr>
                      <w:rFonts w:hint="eastAsia"/>
                      <w:color w:val="auto"/>
                      <w:sz w:val="18"/>
                      <w:szCs w:val="18"/>
                    </w:rPr>
                    <w:t>以上，其他动物诊疗机构所用房所用面积50m</w:t>
                  </w:r>
                  <w:r>
                    <w:rPr>
                      <w:rFonts w:hint="eastAsia"/>
                      <w:color w:val="auto"/>
                      <w:sz w:val="18"/>
                      <w:szCs w:val="18"/>
                      <w:vertAlign w:val="superscript"/>
                    </w:rPr>
                    <w:t>2</w:t>
                  </w:r>
                  <w:r>
                    <w:rPr>
                      <w:rFonts w:hint="eastAsia"/>
                      <w:color w:val="auto"/>
                      <w:sz w:val="18"/>
                      <w:szCs w:val="18"/>
                    </w:rPr>
                    <w:t>以上。</w:t>
                  </w:r>
                </w:p>
              </w:tc>
              <w:tc>
                <w:tcPr>
                  <w:tcW w:w="2287" w:type="dxa"/>
                  <w:vAlign w:val="center"/>
                </w:tcPr>
                <w:p>
                  <w:pPr>
                    <w:jc w:val="center"/>
                    <w:rPr>
                      <w:color w:val="auto"/>
                      <w:sz w:val="18"/>
                      <w:szCs w:val="18"/>
                    </w:rPr>
                  </w:pPr>
                  <w:r>
                    <w:rPr>
                      <w:rFonts w:hint="eastAsia"/>
                      <w:color w:val="auto"/>
                      <w:sz w:val="18"/>
                      <w:szCs w:val="18"/>
                    </w:rPr>
                    <w:t>项目租用</w:t>
                  </w:r>
                  <w:r>
                    <w:rPr>
                      <w:rFonts w:hint="eastAsia" w:hAnsi="宋体"/>
                      <w:color w:val="auto"/>
                      <w:sz w:val="18"/>
                      <w:szCs w:val="18"/>
                    </w:rPr>
                    <w:t>丰和</w:t>
                  </w:r>
                  <w:r>
                    <w:rPr>
                      <w:rFonts w:hAnsi="宋体"/>
                      <w:color w:val="auto"/>
                      <w:sz w:val="18"/>
                      <w:szCs w:val="18"/>
                    </w:rPr>
                    <w:t>坊一期</w:t>
                  </w:r>
                  <w:r>
                    <w:rPr>
                      <w:rFonts w:hint="eastAsia" w:hAnsi="宋体"/>
                      <w:color w:val="auto"/>
                      <w:sz w:val="18"/>
                      <w:szCs w:val="18"/>
                    </w:rPr>
                    <w:t>15幢</w:t>
                  </w:r>
                  <w:r>
                    <w:rPr>
                      <w:rFonts w:hAnsi="宋体"/>
                      <w:color w:val="auto"/>
                      <w:sz w:val="18"/>
                      <w:szCs w:val="18"/>
                    </w:rPr>
                    <w:t>底商</w:t>
                  </w:r>
                  <w:r>
                    <w:rPr>
                      <w:rFonts w:hint="eastAsia" w:hAnsi="宋体"/>
                      <w:color w:val="auto"/>
                      <w:sz w:val="18"/>
                      <w:szCs w:val="18"/>
                    </w:rPr>
                    <w:t>1011室</w:t>
                  </w:r>
                  <w:r>
                    <w:rPr>
                      <w:rFonts w:hint="eastAsia"/>
                      <w:color w:val="auto"/>
                      <w:sz w:val="18"/>
                      <w:szCs w:val="18"/>
                    </w:rPr>
                    <w:t>作为诊治场所，医院建筑</w:t>
                  </w:r>
                  <w:r>
                    <w:rPr>
                      <w:color w:val="auto"/>
                      <w:sz w:val="18"/>
                      <w:szCs w:val="18"/>
                    </w:rPr>
                    <w:t>面积107.8</w:t>
                  </w:r>
                  <w:r>
                    <w:rPr>
                      <w:rFonts w:hint="eastAsia"/>
                      <w:color w:val="auto"/>
                      <w:sz w:val="18"/>
                      <w:szCs w:val="18"/>
                    </w:rPr>
                    <w:t>m</w:t>
                  </w:r>
                  <w:r>
                    <w:rPr>
                      <w:rFonts w:hint="eastAsia"/>
                      <w:color w:val="auto"/>
                      <w:sz w:val="18"/>
                      <w:szCs w:val="18"/>
                      <w:vertAlign w:val="superscript"/>
                    </w:rPr>
                    <w:t>2</w:t>
                  </w:r>
                  <w:r>
                    <w:rPr>
                      <w:rFonts w:hint="eastAsia"/>
                      <w:color w:val="auto"/>
                      <w:sz w:val="18"/>
                      <w:szCs w:val="18"/>
                    </w:rPr>
                    <w:t>。</w:t>
                  </w:r>
                </w:p>
              </w:tc>
              <w:tc>
                <w:tcPr>
                  <w:tcW w:w="493" w:type="dxa"/>
                  <w:vAlign w:val="center"/>
                </w:tcPr>
                <w:p>
                  <w:pPr>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Merge w:val="continue"/>
                  <w:vAlign w:val="center"/>
                </w:tcPr>
                <w:p>
                  <w:pPr>
                    <w:pStyle w:val="49"/>
                    <w:widowControl w:val="0"/>
                    <w:autoSpaceDE w:val="0"/>
                    <w:autoSpaceDN w:val="0"/>
                    <w:spacing w:before="0" w:after="0"/>
                    <w:jc w:val="center"/>
                    <w:rPr>
                      <w:rFonts w:ascii="Times New Roman" w:hAnsi="Times New Roman"/>
                      <w:color w:val="auto"/>
                      <w:sz w:val="18"/>
                      <w:szCs w:val="18"/>
                    </w:rPr>
                  </w:pPr>
                </w:p>
              </w:tc>
              <w:tc>
                <w:tcPr>
                  <w:tcW w:w="2552" w:type="dxa"/>
                  <w:vAlign w:val="center"/>
                </w:tcPr>
                <w:p>
                  <w:pPr>
                    <w:jc w:val="center"/>
                    <w:rPr>
                      <w:color w:val="auto"/>
                      <w:sz w:val="18"/>
                      <w:szCs w:val="18"/>
                    </w:rPr>
                  </w:pPr>
                  <w:r>
                    <w:rPr>
                      <w:rFonts w:hint="eastAsia"/>
                      <w:color w:val="auto"/>
                      <w:sz w:val="18"/>
                      <w:szCs w:val="18"/>
                    </w:rPr>
                    <w:t>动物诊疗场所选址距离畜禽养殖场、屠宰加工场所、动物交易场所不得少于200m，且符合国家、本省和当地规定的动物防疫条件。</w:t>
                  </w:r>
                </w:p>
              </w:tc>
              <w:tc>
                <w:tcPr>
                  <w:tcW w:w="2287" w:type="dxa"/>
                  <w:vAlign w:val="center"/>
                </w:tcPr>
                <w:p>
                  <w:pPr>
                    <w:jc w:val="center"/>
                    <w:rPr>
                      <w:color w:val="auto"/>
                      <w:sz w:val="18"/>
                      <w:szCs w:val="18"/>
                    </w:rPr>
                  </w:pPr>
                  <w:r>
                    <w:rPr>
                      <w:rFonts w:hint="eastAsia"/>
                      <w:color w:val="auto"/>
                      <w:sz w:val="18"/>
                      <w:szCs w:val="18"/>
                    </w:rPr>
                    <w:t>本项目</w:t>
                  </w:r>
                  <w:r>
                    <w:rPr>
                      <w:color w:val="auto"/>
                      <w:sz w:val="18"/>
                      <w:szCs w:val="18"/>
                    </w:rPr>
                    <w:t>周边</w:t>
                  </w:r>
                  <w:r>
                    <w:rPr>
                      <w:rFonts w:hint="eastAsia"/>
                      <w:color w:val="auto"/>
                      <w:sz w:val="18"/>
                      <w:szCs w:val="18"/>
                    </w:rPr>
                    <w:t>200m</w:t>
                  </w:r>
                  <w:r>
                    <w:rPr>
                      <w:color w:val="auto"/>
                      <w:sz w:val="18"/>
                      <w:szCs w:val="18"/>
                    </w:rPr>
                    <w:t>为居民住宅区，无畜禽养殖场、屠宰加工场、动物交易场所等</w:t>
                  </w:r>
                  <w:r>
                    <w:rPr>
                      <w:rFonts w:hint="eastAsia"/>
                      <w:color w:val="auto"/>
                      <w:sz w:val="18"/>
                      <w:szCs w:val="18"/>
                    </w:rPr>
                    <w:t>。</w:t>
                  </w:r>
                </w:p>
              </w:tc>
              <w:tc>
                <w:tcPr>
                  <w:tcW w:w="493" w:type="dxa"/>
                  <w:vAlign w:val="center"/>
                </w:tcPr>
                <w:p>
                  <w:pPr>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Merge w:val="continue"/>
                  <w:vAlign w:val="center"/>
                </w:tcPr>
                <w:p>
                  <w:pPr>
                    <w:pStyle w:val="49"/>
                    <w:widowControl w:val="0"/>
                    <w:autoSpaceDE w:val="0"/>
                    <w:autoSpaceDN w:val="0"/>
                    <w:spacing w:before="0" w:after="0"/>
                    <w:jc w:val="center"/>
                    <w:rPr>
                      <w:rFonts w:ascii="Times New Roman" w:hAnsi="Times New Roman"/>
                      <w:color w:val="auto"/>
                      <w:sz w:val="18"/>
                      <w:szCs w:val="18"/>
                    </w:rPr>
                  </w:pPr>
                </w:p>
              </w:tc>
              <w:tc>
                <w:tcPr>
                  <w:tcW w:w="2552" w:type="dxa"/>
                  <w:vAlign w:val="center"/>
                </w:tcPr>
                <w:p>
                  <w:pPr>
                    <w:jc w:val="center"/>
                    <w:rPr>
                      <w:color w:val="auto"/>
                      <w:sz w:val="18"/>
                      <w:szCs w:val="18"/>
                    </w:rPr>
                  </w:pPr>
                  <w:r>
                    <w:rPr>
                      <w:rFonts w:hint="eastAsia"/>
                      <w:color w:val="auto"/>
                      <w:sz w:val="18"/>
                      <w:szCs w:val="18"/>
                    </w:rPr>
                    <w:t>动物诊疗场所设有独立的出入口，出入口不得设在居民住宅楼内或者院内，不得与同一建筑物的其他用户共用通道。</w:t>
                  </w:r>
                </w:p>
              </w:tc>
              <w:tc>
                <w:tcPr>
                  <w:tcW w:w="2287" w:type="dxa"/>
                  <w:vAlign w:val="center"/>
                </w:tcPr>
                <w:p>
                  <w:pPr>
                    <w:jc w:val="center"/>
                    <w:rPr>
                      <w:color w:val="auto"/>
                      <w:sz w:val="18"/>
                      <w:szCs w:val="18"/>
                    </w:rPr>
                  </w:pPr>
                  <w:r>
                    <w:rPr>
                      <w:rFonts w:hint="eastAsia"/>
                      <w:color w:val="auto"/>
                      <w:sz w:val="18"/>
                      <w:szCs w:val="18"/>
                    </w:rPr>
                    <w:t>本项目唯一出入口为临街商铺大门，</w:t>
                  </w:r>
                  <w:r>
                    <w:rPr>
                      <w:color w:val="auto"/>
                      <w:sz w:val="18"/>
                      <w:szCs w:val="18"/>
                    </w:rPr>
                    <w:t>南</w:t>
                  </w:r>
                  <w:r>
                    <w:rPr>
                      <w:rFonts w:hint="eastAsia"/>
                      <w:color w:val="auto"/>
                      <w:sz w:val="18"/>
                      <w:szCs w:val="18"/>
                    </w:rPr>
                    <w:t>侧为丰禾</w:t>
                  </w:r>
                  <w:r>
                    <w:rPr>
                      <w:color w:val="auto"/>
                      <w:sz w:val="18"/>
                      <w:szCs w:val="18"/>
                    </w:rPr>
                    <w:t>路</w:t>
                  </w:r>
                  <w:r>
                    <w:rPr>
                      <w:rFonts w:hint="eastAsia"/>
                      <w:color w:val="auto"/>
                      <w:sz w:val="18"/>
                      <w:szCs w:val="18"/>
                    </w:rPr>
                    <w:t>，不与同一建筑物的其他用户公用通道。</w:t>
                  </w:r>
                </w:p>
              </w:tc>
              <w:tc>
                <w:tcPr>
                  <w:tcW w:w="493" w:type="dxa"/>
                  <w:vAlign w:val="center"/>
                </w:tcPr>
                <w:p>
                  <w:pPr>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Merge w:val="continue"/>
                  <w:vAlign w:val="center"/>
                </w:tcPr>
                <w:p>
                  <w:pPr>
                    <w:pStyle w:val="49"/>
                    <w:widowControl w:val="0"/>
                    <w:autoSpaceDE w:val="0"/>
                    <w:autoSpaceDN w:val="0"/>
                    <w:spacing w:before="0" w:after="0"/>
                    <w:jc w:val="center"/>
                    <w:rPr>
                      <w:rFonts w:ascii="Times New Roman" w:hAnsi="Times New Roman"/>
                      <w:color w:val="auto"/>
                      <w:sz w:val="18"/>
                      <w:szCs w:val="18"/>
                    </w:rPr>
                  </w:pPr>
                </w:p>
              </w:tc>
              <w:tc>
                <w:tcPr>
                  <w:tcW w:w="2552" w:type="dxa"/>
                  <w:vAlign w:val="center"/>
                </w:tcPr>
                <w:p>
                  <w:pPr>
                    <w:jc w:val="center"/>
                    <w:rPr>
                      <w:color w:val="auto"/>
                      <w:sz w:val="18"/>
                      <w:szCs w:val="18"/>
                    </w:rPr>
                  </w:pPr>
                  <w:r>
                    <w:rPr>
                      <w:rFonts w:hint="eastAsia"/>
                      <w:color w:val="auto"/>
                      <w:sz w:val="18"/>
                      <w:szCs w:val="18"/>
                    </w:rPr>
                    <w:t>具有布局合理的诊疗室、手术室、兽药房等设施；具有诊断、手术、消毒、冷藏、常规化验、污水处理等设施设备。</w:t>
                  </w:r>
                </w:p>
              </w:tc>
              <w:tc>
                <w:tcPr>
                  <w:tcW w:w="2287" w:type="dxa"/>
                  <w:vAlign w:val="center"/>
                </w:tcPr>
                <w:p>
                  <w:pPr>
                    <w:jc w:val="center"/>
                    <w:rPr>
                      <w:color w:val="auto"/>
                      <w:sz w:val="18"/>
                      <w:szCs w:val="18"/>
                    </w:rPr>
                  </w:pPr>
                  <w:r>
                    <w:rPr>
                      <w:rFonts w:hint="eastAsia"/>
                      <w:color w:val="auto"/>
                      <w:sz w:val="18"/>
                      <w:szCs w:val="18"/>
                    </w:rPr>
                    <w:t>医院设诊室、手术室、化验药房等设施；具有诊断、手术、消毒、冷藏、常规化验、污水处理等设施设备。</w:t>
                  </w:r>
                </w:p>
              </w:tc>
              <w:tc>
                <w:tcPr>
                  <w:tcW w:w="493" w:type="dxa"/>
                  <w:vAlign w:val="center"/>
                </w:tcPr>
                <w:p>
                  <w:pPr>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Merge w:val="continue"/>
                  <w:vAlign w:val="center"/>
                </w:tcPr>
                <w:p>
                  <w:pPr>
                    <w:pStyle w:val="49"/>
                    <w:widowControl w:val="0"/>
                    <w:autoSpaceDE w:val="0"/>
                    <w:autoSpaceDN w:val="0"/>
                    <w:spacing w:before="0" w:after="0"/>
                    <w:jc w:val="center"/>
                    <w:rPr>
                      <w:rFonts w:ascii="Times New Roman" w:hAnsi="Times New Roman"/>
                      <w:color w:val="auto"/>
                      <w:sz w:val="18"/>
                      <w:szCs w:val="18"/>
                    </w:rPr>
                  </w:pPr>
                </w:p>
              </w:tc>
              <w:tc>
                <w:tcPr>
                  <w:tcW w:w="2552" w:type="dxa"/>
                  <w:vAlign w:val="center"/>
                </w:tcPr>
                <w:p>
                  <w:pPr>
                    <w:jc w:val="center"/>
                    <w:rPr>
                      <w:color w:val="auto"/>
                      <w:sz w:val="18"/>
                      <w:szCs w:val="18"/>
                    </w:rPr>
                  </w:pPr>
                  <w:r>
                    <w:rPr>
                      <w:rFonts w:hint="eastAsia"/>
                      <w:color w:val="auto"/>
                      <w:sz w:val="18"/>
                      <w:szCs w:val="18"/>
                    </w:rPr>
                    <w:t>兼营动物用品、宠物食品、宠物美容等项目的，兼营区域与动物诊所区域应当分别独立设置，</w:t>
                  </w:r>
                </w:p>
              </w:tc>
              <w:tc>
                <w:tcPr>
                  <w:tcW w:w="2287" w:type="dxa"/>
                  <w:vAlign w:val="center"/>
                </w:tcPr>
                <w:p>
                  <w:pPr>
                    <w:jc w:val="center"/>
                    <w:rPr>
                      <w:color w:val="auto"/>
                      <w:sz w:val="18"/>
                      <w:szCs w:val="18"/>
                    </w:rPr>
                  </w:pPr>
                  <w:r>
                    <w:rPr>
                      <w:rFonts w:hint="eastAsia"/>
                      <w:color w:val="auto"/>
                      <w:sz w:val="18"/>
                      <w:szCs w:val="18"/>
                    </w:rPr>
                    <w:t>本项目设宠物用品</w:t>
                  </w:r>
                  <w:r>
                    <w:rPr>
                      <w:color w:val="auto"/>
                      <w:sz w:val="18"/>
                      <w:szCs w:val="18"/>
                    </w:rPr>
                    <w:t>零售</w:t>
                  </w:r>
                  <w:r>
                    <w:rPr>
                      <w:rFonts w:hint="eastAsia"/>
                      <w:color w:val="auto"/>
                      <w:sz w:val="18"/>
                      <w:szCs w:val="18"/>
                    </w:rPr>
                    <w:t>、</w:t>
                  </w:r>
                  <w:r>
                    <w:rPr>
                      <w:color w:val="auto"/>
                      <w:sz w:val="18"/>
                      <w:szCs w:val="18"/>
                    </w:rPr>
                    <w:t>宠物美容洗浴，位于院区南部，与动物诊疗区域</w:t>
                  </w:r>
                  <w:r>
                    <w:rPr>
                      <w:rFonts w:hint="eastAsia"/>
                      <w:color w:val="auto"/>
                      <w:sz w:val="18"/>
                      <w:szCs w:val="18"/>
                    </w:rPr>
                    <w:t>分别</w:t>
                  </w:r>
                  <w:r>
                    <w:rPr>
                      <w:color w:val="auto"/>
                      <w:sz w:val="18"/>
                      <w:szCs w:val="18"/>
                    </w:rPr>
                    <w:t>单独设置。</w:t>
                  </w:r>
                </w:p>
              </w:tc>
              <w:tc>
                <w:tcPr>
                  <w:tcW w:w="493" w:type="dxa"/>
                  <w:vAlign w:val="center"/>
                </w:tcPr>
                <w:p>
                  <w:pPr>
                    <w:jc w:val="center"/>
                    <w:rPr>
                      <w:color w:val="auto"/>
                      <w:sz w:val="18"/>
                      <w:szCs w:val="18"/>
                    </w:rPr>
                  </w:pPr>
                  <w:r>
                    <w:rPr>
                      <w:rFonts w:hint="eastAsia"/>
                      <w:color w:val="auto"/>
                      <w:sz w:val="18"/>
                      <w:szCs w:val="18"/>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9" w:type="dxa"/>
                  <w:vAlign w:val="center"/>
                </w:tcPr>
                <w:p>
                  <w:pPr>
                    <w:pStyle w:val="49"/>
                    <w:widowControl w:val="0"/>
                    <w:autoSpaceDE w:val="0"/>
                    <w:autoSpaceDN w:val="0"/>
                    <w:spacing w:before="0" w:after="0"/>
                    <w:jc w:val="center"/>
                    <w:rPr>
                      <w:rFonts w:ascii="Times New Roman" w:hAnsi="Times New Roman"/>
                      <w:color w:val="auto"/>
                      <w:sz w:val="18"/>
                      <w:szCs w:val="18"/>
                    </w:rPr>
                  </w:pPr>
                  <w:r>
                    <w:rPr>
                      <w:rFonts w:ascii="Times New Roman"/>
                      <w:color w:val="auto"/>
                      <w:sz w:val="18"/>
                      <w:szCs w:val="18"/>
                    </w:rPr>
                    <w:t>《西安市畜牧兽医局关于动物诊疗机构环保手续有关的通知》（市畜发【</w:t>
                  </w:r>
                  <w:r>
                    <w:rPr>
                      <w:rFonts w:ascii="Times New Roman" w:hAnsi="Times New Roman"/>
                      <w:color w:val="auto"/>
                      <w:sz w:val="18"/>
                      <w:szCs w:val="18"/>
                    </w:rPr>
                    <w:t>2018</w:t>
                  </w:r>
                  <w:r>
                    <w:rPr>
                      <w:rFonts w:ascii="Times New Roman"/>
                      <w:color w:val="auto"/>
                      <w:sz w:val="18"/>
                      <w:szCs w:val="18"/>
                    </w:rPr>
                    <w:t>】</w:t>
                  </w:r>
                  <w:r>
                    <w:rPr>
                      <w:rFonts w:ascii="Times New Roman" w:hAnsi="Times New Roman"/>
                      <w:color w:val="auto"/>
                      <w:sz w:val="18"/>
                      <w:szCs w:val="18"/>
                    </w:rPr>
                    <w:t>57</w:t>
                  </w:r>
                  <w:r>
                    <w:rPr>
                      <w:rFonts w:ascii="Times New Roman"/>
                      <w:color w:val="auto"/>
                      <w:sz w:val="18"/>
                      <w:szCs w:val="18"/>
                    </w:rPr>
                    <w:t>号）</w:t>
                  </w:r>
                </w:p>
              </w:tc>
              <w:tc>
                <w:tcPr>
                  <w:tcW w:w="2552" w:type="dxa"/>
                  <w:vAlign w:val="center"/>
                </w:tcPr>
                <w:p>
                  <w:pPr>
                    <w:jc w:val="center"/>
                    <w:rPr>
                      <w:color w:val="auto"/>
                      <w:sz w:val="18"/>
                      <w:szCs w:val="18"/>
                    </w:rPr>
                  </w:pPr>
                  <w:r>
                    <w:rPr>
                      <w:rFonts w:hint="eastAsia"/>
                      <w:color w:val="auto"/>
                      <w:sz w:val="18"/>
                      <w:szCs w:val="18"/>
                    </w:rPr>
                    <w:t>项目具备了从事动物颅腔、胸腔和腹腔手术能力的动物诊疗机构需按照《建设项目环境影响评价分类管理名录》办理环境影响评价报告。</w:t>
                  </w:r>
                </w:p>
              </w:tc>
              <w:tc>
                <w:tcPr>
                  <w:tcW w:w="2287" w:type="dxa"/>
                  <w:vAlign w:val="center"/>
                </w:tcPr>
                <w:p>
                  <w:pPr>
                    <w:jc w:val="center"/>
                    <w:rPr>
                      <w:color w:val="auto"/>
                      <w:sz w:val="18"/>
                      <w:szCs w:val="18"/>
                    </w:rPr>
                  </w:pPr>
                  <w:r>
                    <w:rPr>
                      <w:rFonts w:hint="eastAsia"/>
                      <w:color w:val="auto"/>
                      <w:sz w:val="18"/>
                      <w:szCs w:val="18"/>
                    </w:rPr>
                    <w:t>本项目涉及动物颅腔、胸腔和腹腔手术，根据《建设项目环境影响评价分类管理名录》（2021年版）编制环境影响评价报告表。</w:t>
                  </w:r>
                </w:p>
              </w:tc>
              <w:tc>
                <w:tcPr>
                  <w:tcW w:w="493" w:type="dxa"/>
                  <w:vAlign w:val="center"/>
                </w:tcPr>
                <w:p>
                  <w:pPr>
                    <w:jc w:val="center"/>
                    <w:rPr>
                      <w:color w:val="auto"/>
                      <w:sz w:val="18"/>
                      <w:szCs w:val="18"/>
                    </w:rPr>
                  </w:pPr>
                  <w:r>
                    <w:rPr>
                      <w:rFonts w:hint="eastAsia"/>
                      <w:color w:val="auto"/>
                      <w:sz w:val="18"/>
                      <w:szCs w:val="18"/>
                    </w:rPr>
                    <w:t>符合</w:t>
                  </w:r>
                </w:p>
              </w:tc>
            </w:tr>
          </w:tbl>
          <w:p>
            <w:pPr>
              <w:autoSpaceDE w:val="0"/>
              <w:autoSpaceDN w:val="0"/>
              <w:adjustRightInd w:val="0"/>
              <w:snapToGrid w:val="0"/>
              <w:spacing w:line="360" w:lineRule="exact"/>
              <w:ind w:firstLine="422" w:firstLineChars="200"/>
              <w:jc w:val="left"/>
              <w:rPr>
                <w:b/>
                <w:color w:val="auto"/>
              </w:rPr>
            </w:pPr>
            <w:r>
              <w:rPr>
                <w:b/>
                <w:color w:val="auto"/>
              </w:rPr>
              <w:t>3</w:t>
            </w:r>
            <w:r>
              <w:rPr>
                <w:rFonts w:hAnsi="宋体"/>
                <w:b/>
                <w:color w:val="auto"/>
              </w:rPr>
              <w:t>、选址合理性</w:t>
            </w:r>
            <w:bookmarkStart w:id="2" w:name="_Ref303096042"/>
            <w:r>
              <w:rPr>
                <w:rFonts w:hint="eastAsia" w:hAnsi="宋体"/>
                <w:b/>
                <w:color w:val="auto"/>
              </w:rPr>
              <w:t>分析</w:t>
            </w:r>
          </w:p>
          <w:p>
            <w:pPr>
              <w:autoSpaceDE w:val="0"/>
              <w:autoSpaceDN w:val="0"/>
              <w:adjustRightInd w:val="0"/>
              <w:snapToGrid w:val="0"/>
              <w:spacing w:line="360" w:lineRule="exact"/>
              <w:ind w:firstLine="420" w:firstLineChars="200"/>
              <w:jc w:val="left"/>
              <w:rPr>
                <w:color w:val="auto"/>
              </w:rPr>
            </w:pPr>
            <w:r>
              <w:rPr>
                <w:color w:val="auto"/>
                <w:lang w:val="zh-CN"/>
              </w:rPr>
              <w:fldChar w:fldCharType="begin"/>
            </w:r>
            <w:r>
              <w:rPr>
                <w:color w:val="auto"/>
                <w:lang w:val="zh-CN"/>
              </w:rPr>
              <w:instrText xml:space="preserve"> = 1 \* GB3 \* MERGEFORMAT </w:instrText>
            </w:r>
            <w:r>
              <w:rPr>
                <w:color w:val="auto"/>
                <w:lang w:val="zh-CN"/>
              </w:rPr>
              <w:fldChar w:fldCharType="separate"/>
            </w:r>
            <w:r>
              <w:rPr>
                <w:rFonts w:hAnsi="宋体"/>
                <w:color w:val="auto"/>
                <w:lang w:val="zh-CN"/>
              </w:rPr>
              <w:t>①</w:t>
            </w:r>
            <w:r>
              <w:rPr>
                <w:color w:val="auto"/>
                <w:lang w:val="zh-CN"/>
              </w:rPr>
              <w:fldChar w:fldCharType="end"/>
            </w:r>
            <w:r>
              <w:rPr>
                <w:rFonts w:hAnsi="宋体"/>
                <w:color w:val="auto"/>
                <w:lang w:val="zh-CN"/>
              </w:rPr>
              <w:t>区位及交通</w:t>
            </w:r>
          </w:p>
          <w:p>
            <w:pPr>
              <w:autoSpaceDE w:val="0"/>
              <w:autoSpaceDN w:val="0"/>
              <w:adjustRightInd w:val="0"/>
              <w:snapToGrid w:val="0"/>
              <w:spacing w:line="360" w:lineRule="exact"/>
              <w:ind w:firstLine="420" w:firstLineChars="200"/>
              <w:jc w:val="left"/>
              <w:rPr>
                <w:color w:val="auto"/>
              </w:rPr>
            </w:pPr>
            <w:r>
              <w:rPr>
                <w:rFonts w:hAnsi="宋体"/>
                <w:color w:val="auto"/>
              </w:rPr>
              <w:t>本项目位于西安市</w:t>
            </w:r>
            <w:r>
              <w:rPr>
                <w:rFonts w:hint="eastAsia" w:hAnsi="宋体"/>
                <w:color w:val="auto"/>
              </w:rPr>
              <w:t>莲湖区杏</w:t>
            </w:r>
            <w:r>
              <w:rPr>
                <w:rFonts w:hAnsi="宋体"/>
                <w:color w:val="auto"/>
              </w:rPr>
              <w:t>园路</w:t>
            </w:r>
            <w:r>
              <w:rPr>
                <w:rFonts w:hint="eastAsia" w:hAnsi="宋体"/>
                <w:color w:val="auto"/>
              </w:rPr>
              <w:t>186号</w:t>
            </w:r>
            <w:r>
              <w:rPr>
                <w:rFonts w:hAnsi="宋体"/>
                <w:color w:val="auto"/>
              </w:rPr>
              <w:t>丰和坊一期</w:t>
            </w:r>
            <w:r>
              <w:rPr>
                <w:rFonts w:hint="eastAsia" w:hAnsi="宋体"/>
                <w:color w:val="auto"/>
              </w:rPr>
              <w:t>15幢底商1011室，医院</w:t>
            </w:r>
            <w:r>
              <w:rPr>
                <w:rFonts w:hAnsi="宋体"/>
                <w:color w:val="auto"/>
              </w:rPr>
              <w:t>所在的丰和坊一期</w:t>
            </w:r>
            <w:r>
              <w:rPr>
                <w:rFonts w:hint="eastAsia" w:hAnsi="宋体"/>
                <w:color w:val="auto"/>
              </w:rPr>
              <w:t>15栋</w:t>
            </w:r>
            <w:r>
              <w:rPr>
                <w:rFonts w:hAnsi="宋体"/>
                <w:color w:val="auto"/>
              </w:rPr>
              <w:t>楼北侧</w:t>
            </w:r>
            <w:r>
              <w:rPr>
                <w:rFonts w:hint="eastAsia" w:hAnsi="宋体"/>
                <w:color w:val="auto"/>
              </w:rPr>
              <w:t>、</w:t>
            </w:r>
            <w:r>
              <w:rPr>
                <w:rFonts w:hAnsi="宋体"/>
                <w:color w:val="auto"/>
              </w:rPr>
              <w:t>西侧为小区内空地</w:t>
            </w:r>
            <w:r>
              <w:rPr>
                <w:rFonts w:hint="eastAsia" w:hAnsi="宋体"/>
                <w:color w:val="auto"/>
              </w:rPr>
              <w:t>和</w:t>
            </w:r>
            <w:r>
              <w:rPr>
                <w:rFonts w:hAnsi="宋体"/>
                <w:color w:val="auto"/>
              </w:rPr>
              <w:t>道路，</w:t>
            </w:r>
            <w:r>
              <w:rPr>
                <w:rFonts w:hint="eastAsia" w:hAnsi="宋体"/>
                <w:color w:val="auto"/>
              </w:rPr>
              <w:t>南侧</w:t>
            </w:r>
            <w:r>
              <w:rPr>
                <w:rFonts w:hAnsi="宋体"/>
                <w:color w:val="auto"/>
              </w:rPr>
              <w:t>临丰禾路，东侧临</w:t>
            </w:r>
            <w:r>
              <w:rPr>
                <w:rFonts w:hint="eastAsia" w:hAnsi="宋体"/>
                <w:color w:val="auto"/>
              </w:rPr>
              <w:t>杏园</w:t>
            </w:r>
            <w:r>
              <w:rPr>
                <w:rFonts w:hAnsi="宋体"/>
                <w:color w:val="auto"/>
              </w:rPr>
              <w:t>路，</w:t>
            </w:r>
            <w:r>
              <w:rPr>
                <w:rFonts w:hAnsi="宋体"/>
                <w:color w:val="auto"/>
                <w:lang w:val="zh-CN"/>
              </w:rPr>
              <w:t>地理位置优</w:t>
            </w:r>
            <w:r>
              <w:rPr>
                <w:rFonts w:hAnsi="宋体"/>
                <w:color w:val="auto"/>
              </w:rPr>
              <w:t>越，交通便利，地理位置见附图</w:t>
            </w:r>
            <w:r>
              <w:rPr>
                <w:color w:val="auto"/>
              </w:rPr>
              <w:t>1</w:t>
            </w:r>
            <w:r>
              <w:rPr>
                <w:rFonts w:hAnsi="宋体"/>
                <w:color w:val="auto"/>
              </w:rPr>
              <w:t>。</w:t>
            </w:r>
          </w:p>
          <w:p>
            <w:pPr>
              <w:autoSpaceDE w:val="0"/>
              <w:autoSpaceDN w:val="0"/>
              <w:adjustRightInd w:val="0"/>
              <w:snapToGrid w:val="0"/>
              <w:spacing w:line="360" w:lineRule="exact"/>
              <w:ind w:firstLine="420" w:firstLineChars="200"/>
              <w:jc w:val="left"/>
              <w:rPr>
                <w:color w:val="auto"/>
              </w:rPr>
            </w:pPr>
            <w:r>
              <w:rPr>
                <w:color w:val="auto"/>
                <w:szCs w:val="21"/>
                <w:lang w:val="zh-CN"/>
              </w:rPr>
              <w:fldChar w:fldCharType="begin"/>
            </w:r>
            <w:r>
              <w:rPr>
                <w:color w:val="auto"/>
                <w:szCs w:val="21"/>
                <w:lang w:val="zh-CN"/>
              </w:rPr>
              <w:instrText xml:space="preserve"> = 2 \* GB3 \* MERGEFORMAT </w:instrText>
            </w:r>
            <w:r>
              <w:rPr>
                <w:color w:val="auto"/>
                <w:szCs w:val="21"/>
                <w:lang w:val="zh-CN"/>
              </w:rPr>
              <w:fldChar w:fldCharType="separate"/>
            </w:r>
            <w:r>
              <w:rPr>
                <w:rFonts w:hAnsi="宋体"/>
                <w:color w:val="auto"/>
                <w:szCs w:val="21"/>
                <w:lang w:val="zh-CN"/>
              </w:rPr>
              <w:t>②</w:t>
            </w:r>
            <w:r>
              <w:rPr>
                <w:color w:val="auto"/>
                <w:szCs w:val="21"/>
                <w:lang w:val="zh-CN"/>
              </w:rPr>
              <w:fldChar w:fldCharType="end"/>
            </w:r>
            <w:r>
              <w:rPr>
                <w:color w:val="auto"/>
                <w:szCs w:val="21"/>
                <w:lang w:val="zh-CN"/>
              </w:rPr>
              <w:t>基础设施条件</w:t>
            </w:r>
          </w:p>
          <w:p>
            <w:pPr>
              <w:autoSpaceDE w:val="0"/>
              <w:autoSpaceDN w:val="0"/>
              <w:adjustRightInd w:val="0"/>
              <w:snapToGrid w:val="0"/>
              <w:spacing w:line="360" w:lineRule="exact"/>
              <w:ind w:firstLine="420" w:firstLineChars="200"/>
              <w:jc w:val="left"/>
              <w:rPr>
                <w:color w:val="auto"/>
              </w:rPr>
            </w:pPr>
            <w:r>
              <w:rPr>
                <w:color w:val="auto"/>
                <w:szCs w:val="21"/>
                <w:lang w:val="zh-CN"/>
              </w:rPr>
              <w:t>经调查，项目所在地供水、供电管网已敷设到位，项目运营期依托</w:t>
            </w:r>
            <w:r>
              <w:rPr>
                <w:rFonts w:hint="eastAsia"/>
                <w:color w:val="auto"/>
                <w:szCs w:val="21"/>
                <w:lang w:val="zh-CN"/>
              </w:rPr>
              <w:t>丰和</w:t>
            </w:r>
            <w:r>
              <w:rPr>
                <w:color w:val="auto"/>
                <w:szCs w:val="21"/>
                <w:lang w:val="zh-CN"/>
              </w:rPr>
              <w:t>坊一期</w:t>
            </w:r>
            <w:r>
              <w:rPr>
                <w:rFonts w:hint="eastAsia"/>
                <w:color w:val="auto"/>
                <w:szCs w:val="21"/>
                <w:lang w:val="zh-CN"/>
              </w:rPr>
              <w:t>现有</w:t>
            </w:r>
            <w:r>
              <w:rPr>
                <w:color w:val="auto"/>
                <w:szCs w:val="21"/>
                <w:lang w:val="zh-CN"/>
              </w:rPr>
              <w:t>供水、供电设施，可满足生产及生活需要。</w:t>
            </w:r>
          </w:p>
          <w:p>
            <w:pPr>
              <w:autoSpaceDE w:val="0"/>
              <w:autoSpaceDN w:val="0"/>
              <w:adjustRightInd w:val="0"/>
              <w:snapToGrid w:val="0"/>
              <w:spacing w:line="360" w:lineRule="exact"/>
              <w:ind w:firstLine="420" w:firstLineChars="200"/>
              <w:jc w:val="left"/>
              <w:rPr>
                <w:color w:val="auto"/>
              </w:rPr>
            </w:pPr>
            <w:r>
              <w:rPr>
                <w:color w:val="auto"/>
                <w:lang w:val="zh-CN"/>
              </w:rPr>
              <w:fldChar w:fldCharType="begin"/>
            </w:r>
            <w:r>
              <w:rPr>
                <w:color w:val="auto"/>
                <w:lang w:val="zh-CN"/>
              </w:rPr>
              <w:instrText xml:space="preserve"> = 3 \* GB3 \* MERGEFORMAT </w:instrText>
            </w:r>
            <w:r>
              <w:rPr>
                <w:color w:val="auto"/>
                <w:lang w:val="zh-CN"/>
              </w:rPr>
              <w:fldChar w:fldCharType="separate"/>
            </w:r>
            <w:r>
              <w:rPr>
                <w:rFonts w:hAnsi="宋体"/>
                <w:color w:val="auto"/>
                <w:lang w:val="zh-CN"/>
              </w:rPr>
              <w:t>③</w:t>
            </w:r>
            <w:r>
              <w:rPr>
                <w:color w:val="auto"/>
                <w:lang w:val="zh-CN"/>
              </w:rPr>
              <w:fldChar w:fldCharType="end"/>
            </w:r>
            <w:r>
              <w:rPr>
                <w:rFonts w:hint="eastAsia" w:hAnsi="宋体"/>
                <w:color w:val="auto"/>
                <w:lang w:val="zh-CN"/>
              </w:rPr>
              <w:t>环境敏感性</w:t>
            </w:r>
          </w:p>
          <w:p>
            <w:pPr>
              <w:autoSpaceDE w:val="0"/>
              <w:autoSpaceDN w:val="0"/>
              <w:adjustRightInd w:val="0"/>
              <w:snapToGrid w:val="0"/>
              <w:spacing w:line="360" w:lineRule="exact"/>
              <w:ind w:firstLine="420" w:firstLineChars="200"/>
              <w:jc w:val="left"/>
              <w:rPr>
                <w:rFonts w:hint="eastAsia" w:hAnsi="宋体"/>
                <w:color w:val="auto"/>
              </w:rPr>
            </w:pPr>
            <w:r>
              <w:rPr>
                <w:rFonts w:hAnsi="宋体"/>
                <w:color w:val="auto"/>
              </w:rPr>
              <w:t>本项目</w:t>
            </w:r>
            <w:r>
              <w:rPr>
                <w:rFonts w:hint="eastAsia" w:hAnsi="宋体"/>
                <w:color w:val="auto"/>
              </w:rPr>
              <w:t>租用</w:t>
            </w:r>
            <w:r>
              <w:rPr>
                <w:rFonts w:hint="eastAsia" w:hAnsi="宋体"/>
                <w:color w:val="auto"/>
                <w:szCs w:val="21"/>
              </w:rPr>
              <w:t>丰和</w:t>
            </w:r>
            <w:r>
              <w:rPr>
                <w:rFonts w:hAnsi="宋体"/>
                <w:color w:val="auto"/>
                <w:szCs w:val="21"/>
              </w:rPr>
              <w:t>坊一期</w:t>
            </w:r>
            <w:r>
              <w:rPr>
                <w:rFonts w:hint="eastAsia" w:hAnsi="宋体"/>
                <w:color w:val="auto"/>
                <w:szCs w:val="21"/>
              </w:rPr>
              <w:t>15幢</w:t>
            </w:r>
            <w:r>
              <w:rPr>
                <w:rFonts w:hAnsi="宋体"/>
                <w:color w:val="auto"/>
                <w:szCs w:val="21"/>
              </w:rPr>
              <w:t>底层商铺</w:t>
            </w:r>
            <w:r>
              <w:rPr>
                <w:rFonts w:hint="eastAsia" w:hAnsi="宋体"/>
                <w:color w:val="auto"/>
              </w:rPr>
              <w:t>，不新增用地，不涉及基本农田。经调查</w:t>
            </w:r>
            <w:r>
              <w:rPr>
                <w:rFonts w:hAnsi="宋体"/>
                <w:color w:val="auto"/>
              </w:rPr>
              <w:t>，</w:t>
            </w:r>
            <w:r>
              <w:rPr>
                <w:rFonts w:hint="eastAsia" w:hAnsi="宋体"/>
                <w:color w:val="auto"/>
              </w:rPr>
              <w:t>医院南侧临丰禾路，西侧临</w:t>
            </w:r>
            <w:r>
              <w:rPr>
                <w:rFonts w:hAnsi="宋体"/>
                <w:color w:val="auto"/>
              </w:rPr>
              <w:t>国酒茅台商铺，东侧临大秦酒市商铺，</w:t>
            </w:r>
            <w:r>
              <w:rPr>
                <w:rFonts w:hint="eastAsia" w:hAnsi="宋体"/>
                <w:color w:val="auto"/>
              </w:rPr>
              <w:t>楼上</w:t>
            </w:r>
            <w:r>
              <w:rPr>
                <w:rFonts w:hAnsi="宋体"/>
                <w:color w:val="auto"/>
              </w:rPr>
              <w:t>为商铺，目前空置；</w:t>
            </w:r>
            <w:r>
              <w:rPr>
                <w:rFonts w:hint="eastAsia" w:hAnsi="宋体"/>
                <w:color w:val="auto"/>
              </w:rPr>
              <w:t>项目周边主要为商业居住混杂区，无污染性企业，地质条件稳定，无不良</w:t>
            </w:r>
            <w:r>
              <w:rPr>
                <w:rFonts w:hAnsiTheme="minorEastAsia" w:eastAsiaTheme="minorEastAsia"/>
                <w:color w:val="auto"/>
                <w:szCs w:val="21"/>
              </w:rPr>
              <w:t>地质现象。所选</w:t>
            </w:r>
            <w:r>
              <w:rPr>
                <w:rFonts w:hint="eastAsia" w:hAnsiTheme="minorEastAsia" w:eastAsiaTheme="minorEastAsia"/>
                <w:color w:val="auto"/>
                <w:szCs w:val="21"/>
              </w:rPr>
              <w:t>场</w:t>
            </w:r>
            <w:r>
              <w:rPr>
                <w:rFonts w:hAnsiTheme="minorEastAsia" w:eastAsiaTheme="minorEastAsia"/>
                <w:color w:val="auto"/>
                <w:szCs w:val="21"/>
              </w:rPr>
              <w:t>址及周围无自然保护</w:t>
            </w:r>
            <w:r>
              <w:rPr>
                <w:rFonts w:hint="eastAsia" w:hAnsiTheme="minorEastAsia" w:eastAsiaTheme="minorEastAsia"/>
                <w:color w:val="auto"/>
                <w:szCs w:val="21"/>
              </w:rPr>
              <w:t>区</w:t>
            </w:r>
            <w:r>
              <w:rPr>
                <w:rFonts w:hAnsiTheme="minorEastAsia" w:eastAsiaTheme="minorEastAsia"/>
                <w:color w:val="auto"/>
                <w:szCs w:val="21"/>
              </w:rPr>
              <w:t>、风景名胜区、生态保护区、集中式的供水水源地等环境敏感区。</w:t>
            </w:r>
            <w:r>
              <w:rPr>
                <w:rFonts w:hint="eastAsia" w:hAnsiTheme="minorEastAsia" w:eastAsiaTheme="minorEastAsia"/>
                <w:color w:val="auto"/>
                <w:szCs w:val="21"/>
              </w:rPr>
              <w:t>不涉及“三线一单”，</w:t>
            </w:r>
            <w:r>
              <w:rPr>
                <w:rFonts w:hAnsiTheme="minorEastAsia" w:eastAsiaTheme="minorEastAsia"/>
                <w:color w:val="auto"/>
                <w:szCs w:val="21"/>
              </w:rPr>
              <w:t>即：</w:t>
            </w:r>
            <w:r>
              <w:rPr>
                <w:rFonts w:hint="eastAsia" w:hAnsiTheme="minorEastAsia" w:eastAsiaTheme="minorEastAsia"/>
                <w:color w:val="auto"/>
                <w:szCs w:val="21"/>
              </w:rPr>
              <w:t>生态</w:t>
            </w:r>
            <w:r>
              <w:rPr>
                <w:rFonts w:hAnsiTheme="minorEastAsia" w:eastAsiaTheme="minorEastAsia"/>
                <w:color w:val="auto"/>
                <w:szCs w:val="21"/>
              </w:rPr>
              <w:t>保护红线、资源利用上线、环境质量底线、</w:t>
            </w:r>
            <w:r>
              <w:rPr>
                <w:rFonts w:hint="eastAsia" w:hAnsiTheme="minorEastAsia" w:eastAsiaTheme="minorEastAsia"/>
                <w:color w:val="auto"/>
                <w:szCs w:val="21"/>
              </w:rPr>
              <w:t>环境</w:t>
            </w:r>
            <w:r>
              <w:rPr>
                <w:rFonts w:hAnsiTheme="minorEastAsia" w:eastAsiaTheme="minorEastAsia"/>
                <w:color w:val="auto"/>
                <w:szCs w:val="21"/>
              </w:rPr>
              <w:t>准入负面清单。</w:t>
            </w:r>
          </w:p>
          <w:p>
            <w:pPr>
              <w:autoSpaceDE w:val="0"/>
              <w:autoSpaceDN w:val="0"/>
              <w:adjustRightInd w:val="0"/>
              <w:snapToGrid w:val="0"/>
              <w:spacing w:line="360" w:lineRule="exact"/>
              <w:ind w:firstLine="420" w:firstLineChars="200"/>
              <w:jc w:val="left"/>
              <w:rPr>
                <w:rFonts w:eastAsiaTheme="minorEastAsia"/>
                <w:color w:val="auto"/>
                <w:szCs w:val="21"/>
              </w:rPr>
            </w:pPr>
            <w:r>
              <w:rPr>
                <w:rFonts w:hAnsiTheme="minorEastAsia" w:eastAsiaTheme="minorEastAsia"/>
                <w:color w:val="auto"/>
                <w:szCs w:val="21"/>
              </w:rPr>
              <w:t>④污染物达标排放的可达性</w:t>
            </w:r>
          </w:p>
          <w:p>
            <w:pPr>
              <w:autoSpaceDE w:val="0"/>
              <w:autoSpaceDN w:val="0"/>
              <w:adjustRightInd w:val="0"/>
              <w:snapToGrid w:val="0"/>
              <w:spacing w:line="360" w:lineRule="exact"/>
              <w:ind w:firstLine="420" w:firstLineChars="200"/>
              <w:jc w:val="left"/>
              <w:rPr>
                <w:rFonts w:hAnsiTheme="minorEastAsia" w:eastAsiaTheme="minorEastAsia"/>
                <w:color w:val="auto"/>
                <w:szCs w:val="21"/>
              </w:rPr>
            </w:pPr>
            <w:r>
              <w:rPr>
                <w:rFonts w:hAnsiTheme="minorEastAsia" w:eastAsiaTheme="minorEastAsia"/>
                <w:color w:val="auto"/>
                <w:szCs w:val="21"/>
              </w:rPr>
              <w:t>项目医疗废水采用缓释消毒设备加氯片消毒工艺，无生化处理过程，运行无异味产生。</w:t>
            </w:r>
            <w:r>
              <w:rPr>
                <w:rFonts w:hint="eastAsia" w:hAnsiTheme="minorEastAsia" w:eastAsiaTheme="minorEastAsia"/>
                <w:color w:val="auto"/>
                <w:szCs w:val="21"/>
              </w:rPr>
              <w:t>医院</w:t>
            </w:r>
            <w:r>
              <w:rPr>
                <w:rFonts w:hAnsiTheme="minorEastAsia" w:eastAsiaTheme="minorEastAsia"/>
                <w:color w:val="auto"/>
                <w:szCs w:val="21"/>
              </w:rPr>
              <w:t>运行期间废气主要为宠物粪便产生的异味，宠物粪尿被猫砂吸收包裹后及时由医护人员清除并装入专用密封袋中密封保存，同时加强室内通风换气并定期喷洒小宠祛味消毒液祛除异味。</w:t>
            </w:r>
            <w:r>
              <w:rPr>
                <w:rFonts w:hint="eastAsia" w:hAnsiTheme="minorEastAsia" w:eastAsiaTheme="minorEastAsia"/>
                <w:color w:val="auto"/>
                <w:szCs w:val="21"/>
              </w:rPr>
              <w:t>医院</w:t>
            </w:r>
            <w:r>
              <w:rPr>
                <w:rFonts w:hAnsiTheme="minorEastAsia" w:eastAsiaTheme="minorEastAsia"/>
                <w:color w:val="auto"/>
                <w:szCs w:val="21"/>
              </w:rPr>
              <w:t>安装</w:t>
            </w:r>
            <w:r>
              <w:rPr>
                <w:rFonts w:eastAsiaTheme="minorEastAsia"/>
                <w:color w:val="auto"/>
                <w:szCs w:val="21"/>
              </w:rPr>
              <w:t>1</w:t>
            </w:r>
            <w:r>
              <w:rPr>
                <w:rFonts w:hAnsiTheme="minorEastAsia" w:eastAsiaTheme="minorEastAsia"/>
                <w:color w:val="auto"/>
                <w:szCs w:val="21"/>
              </w:rPr>
              <w:t>套</w:t>
            </w:r>
            <w:r>
              <w:rPr>
                <w:rFonts w:hint="eastAsia" w:eastAsiaTheme="minorEastAsia"/>
                <w:color w:val="auto"/>
                <w:szCs w:val="21"/>
              </w:rPr>
              <w:t>HB-</w:t>
            </w:r>
            <w:r>
              <w:rPr>
                <w:rFonts w:eastAsiaTheme="minorEastAsia"/>
                <w:color w:val="auto"/>
                <w:szCs w:val="21"/>
              </w:rPr>
              <w:t>50</w:t>
            </w:r>
            <w:r>
              <w:rPr>
                <w:rFonts w:hAnsiTheme="minorEastAsia" w:eastAsiaTheme="minorEastAsia"/>
                <w:color w:val="auto"/>
                <w:szCs w:val="21"/>
              </w:rPr>
              <w:t>系列废水缓释消毒器对医疗废水进行处理后，与员工生活污水均</w:t>
            </w:r>
            <w:r>
              <w:rPr>
                <w:rFonts w:hint="eastAsia" w:hAnsiTheme="minorEastAsia" w:eastAsiaTheme="minorEastAsia"/>
                <w:color w:val="auto"/>
                <w:szCs w:val="21"/>
              </w:rPr>
              <w:t>进入丰和</w:t>
            </w:r>
            <w:r>
              <w:rPr>
                <w:rFonts w:hAnsiTheme="minorEastAsia" w:eastAsiaTheme="minorEastAsia"/>
                <w:color w:val="auto"/>
                <w:szCs w:val="21"/>
              </w:rPr>
              <w:t>坊一期公用化粪池处理后排入</w:t>
            </w:r>
            <w:r>
              <w:rPr>
                <w:rFonts w:hint="eastAsia" w:hAnsiTheme="minorEastAsia" w:eastAsiaTheme="minorEastAsia"/>
                <w:color w:val="auto"/>
                <w:szCs w:val="21"/>
              </w:rPr>
              <w:t>丰禾</w:t>
            </w:r>
            <w:r>
              <w:rPr>
                <w:rFonts w:hAnsiTheme="minorEastAsia" w:eastAsiaTheme="minorEastAsia"/>
                <w:color w:val="auto"/>
                <w:szCs w:val="21"/>
              </w:rPr>
              <w:t>路市政污水管网，最终经西安市第</w:t>
            </w:r>
            <w:r>
              <w:rPr>
                <w:rFonts w:hint="eastAsia" w:hAnsiTheme="minorEastAsia" w:eastAsiaTheme="minorEastAsia"/>
                <w:color w:val="auto"/>
                <w:szCs w:val="21"/>
              </w:rPr>
              <w:t>一</w:t>
            </w:r>
            <w:r>
              <w:rPr>
                <w:rFonts w:hAnsiTheme="minorEastAsia" w:eastAsiaTheme="minorEastAsia"/>
                <w:color w:val="auto"/>
                <w:szCs w:val="21"/>
              </w:rPr>
              <w:t>污水处理厂</w:t>
            </w:r>
            <w:r>
              <w:rPr>
                <w:rFonts w:hint="eastAsia" w:hAnsiTheme="minorEastAsia" w:eastAsiaTheme="minorEastAsia"/>
                <w:color w:val="auto"/>
                <w:szCs w:val="21"/>
              </w:rPr>
              <w:t>（邓家村</w:t>
            </w:r>
            <w:r>
              <w:rPr>
                <w:rFonts w:hAnsiTheme="minorEastAsia" w:eastAsiaTheme="minorEastAsia"/>
                <w:color w:val="auto"/>
                <w:szCs w:val="21"/>
              </w:rPr>
              <w:t>污水处理厂</w:t>
            </w:r>
            <w:r>
              <w:rPr>
                <w:rFonts w:hint="eastAsia" w:hAnsiTheme="minorEastAsia" w:eastAsiaTheme="minorEastAsia"/>
                <w:color w:val="auto"/>
                <w:szCs w:val="21"/>
              </w:rPr>
              <w:t>）</w:t>
            </w:r>
            <w:r>
              <w:rPr>
                <w:rFonts w:hAnsiTheme="minorEastAsia" w:eastAsiaTheme="minorEastAsia"/>
                <w:color w:val="auto"/>
                <w:szCs w:val="21"/>
              </w:rPr>
              <w:t>处理。</w:t>
            </w:r>
          </w:p>
          <w:p>
            <w:pPr>
              <w:autoSpaceDE w:val="0"/>
              <w:autoSpaceDN w:val="0"/>
              <w:adjustRightInd w:val="0"/>
              <w:snapToGrid w:val="0"/>
              <w:spacing w:line="360" w:lineRule="exact"/>
              <w:ind w:firstLine="420" w:firstLineChars="200"/>
              <w:jc w:val="left"/>
              <w:rPr>
                <w:snapToGrid w:val="0"/>
                <w:color w:val="auto"/>
                <w:szCs w:val="21"/>
              </w:rPr>
            </w:pPr>
            <w:r>
              <w:rPr>
                <w:color w:val="auto"/>
                <w:szCs w:val="21"/>
              </w:rPr>
              <w:t>项目对空调机组设备安装减震垫等减振降噪措施，并进行定期维护。动物就诊时安排在密闭诊室内及对犬类动物采取套嘴等措施，防止动物叫声对周围环境造成影响。</w:t>
            </w:r>
          </w:p>
          <w:p>
            <w:pPr>
              <w:autoSpaceDE w:val="0"/>
              <w:autoSpaceDN w:val="0"/>
              <w:adjustRightInd w:val="0"/>
              <w:snapToGrid w:val="0"/>
              <w:spacing w:line="360" w:lineRule="exact"/>
              <w:ind w:firstLine="420" w:firstLineChars="200"/>
              <w:jc w:val="left"/>
              <w:rPr>
                <w:color w:val="auto"/>
                <w:szCs w:val="21"/>
              </w:rPr>
            </w:pPr>
            <w:r>
              <w:rPr>
                <w:rFonts w:hint="eastAsia"/>
                <w:color w:val="auto"/>
                <w:szCs w:val="21"/>
              </w:rPr>
              <w:t>生活</w:t>
            </w:r>
            <w:r>
              <w:rPr>
                <w:rFonts w:hAnsiTheme="minorEastAsia" w:eastAsiaTheme="minorEastAsia"/>
                <w:color w:val="auto"/>
                <w:szCs w:val="21"/>
              </w:rPr>
              <w:t>垃圾和美容垃圾由带盖垃圾桶分类收集，交由环卫部门定期清运。宠物粪便采取猫砂托盘收集，并经消石灰拌和后及时装入专用密封袋中密封，每日交由环卫部门清运。医疗垃圾收集桶分布于手术室内和化验</w:t>
            </w:r>
            <w:r>
              <w:rPr>
                <w:rFonts w:hint="eastAsia" w:hAnsiTheme="minorEastAsia" w:eastAsiaTheme="minorEastAsia"/>
                <w:color w:val="auto"/>
                <w:szCs w:val="21"/>
              </w:rPr>
              <w:t>药房</w:t>
            </w:r>
            <w:r>
              <w:rPr>
                <w:rFonts w:hAnsiTheme="minorEastAsia" w:eastAsiaTheme="minorEastAsia"/>
                <w:color w:val="auto"/>
                <w:szCs w:val="21"/>
              </w:rPr>
              <w:t>内，方便宠物手术治疗、化验后产生的医疗垃圾的收集和清运。项目医疗废物间位于</w:t>
            </w:r>
            <w:r>
              <w:rPr>
                <w:rFonts w:hint="eastAsia" w:hAnsiTheme="minorEastAsia" w:eastAsiaTheme="minorEastAsia"/>
                <w:color w:val="auto"/>
                <w:szCs w:val="21"/>
              </w:rPr>
              <w:t>医院化验</w:t>
            </w:r>
            <w:r>
              <w:rPr>
                <w:rFonts w:hAnsiTheme="minorEastAsia" w:eastAsiaTheme="minorEastAsia"/>
                <w:color w:val="auto"/>
                <w:szCs w:val="21"/>
              </w:rPr>
              <w:t>药房北侧（建筑面积</w:t>
            </w:r>
            <w:r>
              <w:rPr>
                <w:rFonts w:hint="eastAsia" w:hAnsiTheme="minorEastAsia" w:eastAsiaTheme="minorEastAsia"/>
                <w:color w:val="auto"/>
                <w:szCs w:val="21"/>
              </w:rPr>
              <w:t>2</w:t>
            </w:r>
            <w:r>
              <w:rPr>
                <w:rFonts w:hAnsiTheme="minorEastAsia" w:eastAsiaTheme="minorEastAsia"/>
                <w:color w:val="auto"/>
                <w:szCs w:val="21"/>
              </w:rPr>
              <w:t>.5</w:t>
            </w:r>
            <w:r>
              <w:rPr>
                <w:rFonts w:eastAsiaTheme="minorEastAsia"/>
                <w:color w:val="auto"/>
                <w:szCs w:val="21"/>
              </w:rPr>
              <w:t>m</w:t>
            </w:r>
            <w:r>
              <w:rPr>
                <w:rFonts w:eastAsiaTheme="minorEastAsia"/>
                <w:color w:val="auto"/>
                <w:szCs w:val="21"/>
                <w:vertAlign w:val="superscript"/>
              </w:rPr>
              <w:t>2</w:t>
            </w:r>
            <w:r>
              <w:rPr>
                <w:rFonts w:hAnsiTheme="minorEastAsia" w:eastAsiaTheme="minorEastAsia"/>
                <w:color w:val="auto"/>
                <w:szCs w:val="21"/>
              </w:rPr>
              <w:t>），委托</w:t>
            </w:r>
            <w:r>
              <w:rPr>
                <w:rFonts w:hint="eastAsia" w:hAnsiTheme="minorEastAsia" w:eastAsiaTheme="minorEastAsia"/>
                <w:color w:val="auto"/>
                <w:szCs w:val="21"/>
              </w:rPr>
              <w:t>西</w:t>
            </w:r>
            <w:r>
              <w:rPr>
                <w:rFonts w:hAnsiTheme="minorEastAsia" w:eastAsiaTheme="minorEastAsia"/>
                <w:color w:val="auto"/>
                <w:szCs w:val="21"/>
              </w:rPr>
              <w:t>安卫</w:t>
            </w:r>
            <w:r>
              <w:rPr>
                <w:rFonts w:hint="eastAsia" w:hAnsiTheme="minorEastAsia" w:eastAsiaTheme="minorEastAsia"/>
                <w:color w:val="auto"/>
                <w:szCs w:val="21"/>
              </w:rPr>
              <w:t>达</w:t>
            </w:r>
            <w:r>
              <w:rPr>
                <w:rFonts w:hAnsiTheme="minorEastAsia" w:eastAsiaTheme="minorEastAsia"/>
                <w:color w:val="auto"/>
                <w:szCs w:val="21"/>
              </w:rPr>
              <w:t>实业发展有限公司</w:t>
            </w:r>
            <w:r>
              <w:rPr>
                <w:rFonts w:hint="eastAsia" w:hAnsiTheme="minorEastAsia" w:eastAsiaTheme="minorEastAsia"/>
                <w:color w:val="auto"/>
                <w:szCs w:val="21"/>
              </w:rPr>
              <w:t>定期</w:t>
            </w:r>
            <w:r>
              <w:rPr>
                <w:rFonts w:hAnsiTheme="minorEastAsia" w:eastAsiaTheme="minorEastAsia"/>
                <w:color w:val="auto"/>
                <w:szCs w:val="21"/>
              </w:rPr>
              <w:t>处理。另外，项目病理性废物中的病死动物尸体，医院进行消毒处理后进行密封暂存，并向宠物主人告知有处理资质单位的联系方式，由宠物主人对病死动物进行后续无害化处置</w:t>
            </w:r>
            <w:r>
              <w:rPr>
                <w:rFonts w:hint="eastAsia" w:hAnsiTheme="minorEastAsia" w:eastAsiaTheme="minorEastAsia"/>
                <w:color w:val="auto"/>
                <w:szCs w:val="21"/>
              </w:rPr>
              <w:t>。</w:t>
            </w:r>
          </w:p>
          <w:p>
            <w:pPr>
              <w:autoSpaceDE w:val="0"/>
              <w:autoSpaceDN w:val="0"/>
              <w:adjustRightInd w:val="0"/>
              <w:snapToGrid w:val="0"/>
              <w:spacing w:line="360" w:lineRule="exact"/>
              <w:ind w:firstLine="420" w:firstLineChars="200"/>
              <w:jc w:val="left"/>
              <w:rPr>
                <w:color w:val="auto"/>
                <w:szCs w:val="21"/>
              </w:rPr>
            </w:pPr>
            <w:r>
              <w:rPr>
                <w:rFonts w:hint="eastAsia"/>
                <w:color w:val="auto"/>
                <w:szCs w:val="21"/>
              </w:rPr>
              <w:t>综上，在采取相应环保措施后，本项目产生的各类污染物均可实现达标排放和总量控制要求，不会改变当地环境质量现状，不会对周围环境产生明显影响。从环保角度分析，项目选址合理。</w:t>
            </w:r>
          </w:p>
          <w:p>
            <w:pPr>
              <w:autoSpaceDE w:val="0"/>
              <w:autoSpaceDN w:val="0"/>
              <w:adjustRightInd w:val="0"/>
              <w:snapToGrid w:val="0"/>
              <w:spacing w:line="360" w:lineRule="exact"/>
              <w:ind w:firstLine="420" w:firstLineChars="200"/>
              <w:jc w:val="left"/>
              <w:rPr>
                <w:color w:val="auto"/>
                <w:szCs w:val="21"/>
              </w:rPr>
            </w:pPr>
          </w:p>
          <w:bookmarkEnd w:id="2"/>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rFonts w:hint="eastAsia"/>
                <w:color w:val="auto"/>
              </w:rPr>
            </w:pPr>
          </w:p>
        </w:tc>
      </w:tr>
    </w:tbl>
    <w:p>
      <w:pPr>
        <w:spacing w:line="360" w:lineRule="auto"/>
        <w:outlineLvl w:val="0"/>
        <w:rPr>
          <w:rFonts w:eastAsia="黑体"/>
          <w:color w:val="auto"/>
          <w:sz w:val="30"/>
        </w:rPr>
        <w:sectPr>
          <w:footerReference r:id="rId5" w:type="default"/>
          <w:pgSz w:w="11906" w:h="16838"/>
          <w:pgMar w:top="1701" w:right="1531" w:bottom="1701" w:left="1531" w:header="851" w:footer="1077" w:gutter="0"/>
          <w:pgNumType w:start="1"/>
          <w:cols w:space="720" w:num="1"/>
          <w:docGrid w:linePitch="312" w:charSpace="0"/>
        </w:sectPr>
      </w:pPr>
    </w:p>
    <w:p>
      <w:pPr>
        <w:pStyle w:val="18"/>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二、建设项目工程分析</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86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704" w:hRule="atLeast"/>
          <w:jc w:val="center"/>
        </w:trPr>
        <w:tc>
          <w:tcPr>
            <w:tcW w:w="828" w:type="dxa"/>
            <w:vAlign w:val="center"/>
          </w:tcPr>
          <w:p>
            <w:pPr>
              <w:pStyle w:val="18"/>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建设内容</w:t>
            </w:r>
          </w:p>
        </w:tc>
        <w:tc>
          <w:tcPr>
            <w:tcW w:w="8211" w:type="dxa"/>
          </w:tcPr>
          <w:p>
            <w:pPr>
              <w:spacing w:line="360" w:lineRule="auto"/>
              <w:ind w:firstLine="422" w:firstLineChars="200"/>
              <w:rPr>
                <w:rFonts w:hAnsi="宋体"/>
                <w:b/>
                <w:color w:val="auto"/>
              </w:rPr>
            </w:pPr>
            <w:r>
              <w:rPr>
                <w:rFonts w:hAnsi="宋体"/>
                <w:b/>
                <w:color w:val="auto"/>
              </w:rPr>
              <w:t>1</w:t>
            </w:r>
            <w:r>
              <w:rPr>
                <w:rFonts w:hint="eastAsia" w:hAnsi="宋体"/>
                <w:b/>
                <w:color w:val="auto"/>
              </w:rPr>
              <w:t>、主要建设内容及组成</w:t>
            </w:r>
          </w:p>
          <w:p>
            <w:pPr>
              <w:spacing w:line="360" w:lineRule="auto"/>
              <w:ind w:firstLine="420" w:firstLineChars="200"/>
              <w:rPr>
                <w:rFonts w:hint="eastAsia" w:hAnsi="宋体"/>
                <w:color w:val="auto"/>
              </w:rPr>
            </w:pPr>
            <w:r>
              <w:rPr>
                <w:rFonts w:hint="eastAsia" w:hAnsi="宋体"/>
                <w:color w:val="auto"/>
              </w:rPr>
              <w:t>本项目租用</w:t>
            </w:r>
            <w:r>
              <w:rPr>
                <w:rFonts w:hint="eastAsia"/>
                <w:color w:val="auto"/>
                <w:szCs w:val="21"/>
              </w:rPr>
              <w:t>莲湖区</w:t>
            </w:r>
            <w:r>
              <w:rPr>
                <w:color w:val="auto"/>
                <w:szCs w:val="21"/>
              </w:rPr>
              <w:t>丰和坊一期</w:t>
            </w:r>
            <w:r>
              <w:rPr>
                <w:rFonts w:hint="eastAsia"/>
                <w:color w:val="auto"/>
                <w:szCs w:val="21"/>
              </w:rPr>
              <w:t>15幢1011室</w:t>
            </w:r>
            <w:r>
              <w:rPr>
                <w:color w:val="auto"/>
                <w:szCs w:val="21"/>
              </w:rPr>
              <w:t>底</w:t>
            </w:r>
            <w:r>
              <w:rPr>
                <w:rFonts w:hint="eastAsia"/>
                <w:color w:val="auto"/>
                <w:szCs w:val="21"/>
              </w:rPr>
              <w:t>商，</w:t>
            </w:r>
            <w:r>
              <w:rPr>
                <w:color w:val="auto"/>
                <w:szCs w:val="21"/>
              </w:rPr>
              <w:t>占地面积约107.8</w:t>
            </w:r>
            <w:r>
              <w:rPr>
                <w:rFonts w:hint="eastAsia"/>
                <w:color w:val="auto"/>
                <w:szCs w:val="21"/>
              </w:rPr>
              <w:t>m</w:t>
            </w:r>
            <w:r>
              <w:rPr>
                <w:rFonts w:hint="eastAsia"/>
                <w:color w:val="auto"/>
                <w:szCs w:val="21"/>
                <w:vertAlign w:val="superscript"/>
              </w:rPr>
              <w:t>2</w:t>
            </w:r>
            <w:r>
              <w:rPr>
                <w:rFonts w:hint="eastAsia"/>
                <w:color w:val="auto"/>
                <w:szCs w:val="21"/>
              </w:rPr>
              <w:t>，</w:t>
            </w:r>
            <w:r>
              <w:rPr>
                <w:rFonts w:hint="eastAsia" w:hAnsi="宋体"/>
                <w:color w:val="auto"/>
              </w:rPr>
              <w:t>医院分</w:t>
            </w:r>
            <w:r>
              <w:rPr>
                <w:rFonts w:hAnsi="宋体"/>
                <w:color w:val="auto"/>
              </w:rPr>
              <w:t>南北两大区域，其中</w:t>
            </w:r>
            <w:r>
              <w:rPr>
                <w:rFonts w:hint="eastAsia" w:hAnsi="宋体"/>
                <w:color w:val="auto"/>
              </w:rPr>
              <w:t>：</w:t>
            </w:r>
            <w:r>
              <w:rPr>
                <w:rFonts w:hAnsi="宋体"/>
                <w:color w:val="auto"/>
              </w:rPr>
              <w:t>南部</w:t>
            </w:r>
            <w:r>
              <w:rPr>
                <w:rFonts w:hint="eastAsia" w:hAnsi="宋体"/>
                <w:color w:val="auto"/>
              </w:rPr>
              <w:t>设商品</w:t>
            </w:r>
            <w:r>
              <w:rPr>
                <w:rFonts w:hAnsi="宋体"/>
                <w:color w:val="auto"/>
              </w:rPr>
              <w:t>区、</w:t>
            </w:r>
            <w:r>
              <w:rPr>
                <w:rFonts w:hint="eastAsia" w:hAnsi="宋体"/>
                <w:color w:val="auto"/>
              </w:rPr>
              <w:t>顾客</w:t>
            </w:r>
            <w:r>
              <w:rPr>
                <w:rFonts w:hAnsi="宋体"/>
                <w:color w:val="auto"/>
              </w:rPr>
              <w:t>休息</w:t>
            </w:r>
            <w:r>
              <w:rPr>
                <w:rFonts w:hint="eastAsia" w:hAnsi="宋体"/>
                <w:color w:val="auto"/>
              </w:rPr>
              <w:t>区</w:t>
            </w:r>
            <w:r>
              <w:rPr>
                <w:rFonts w:hAnsi="宋体"/>
                <w:color w:val="auto"/>
              </w:rPr>
              <w:t>、宠物美容、洗浴室，从事</w:t>
            </w:r>
            <w:r>
              <w:rPr>
                <w:rFonts w:hint="eastAsia" w:hAnsi="宋体"/>
                <w:color w:val="auto"/>
              </w:rPr>
              <w:t>宠物洗浴美容、少量宠物用品及饲料零售活动；北部</w:t>
            </w:r>
            <w:r>
              <w:rPr>
                <w:rFonts w:hAnsi="宋体"/>
                <w:color w:val="auto"/>
              </w:rPr>
              <w:t>设</w:t>
            </w:r>
            <w:r>
              <w:rPr>
                <w:rFonts w:hint="eastAsia" w:hAnsi="宋体"/>
                <w:color w:val="auto"/>
              </w:rPr>
              <w:t>诊室</w:t>
            </w:r>
            <w:r>
              <w:rPr>
                <w:rFonts w:hAnsi="宋体"/>
                <w:color w:val="auto"/>
              </w:rPr>
              <w:t>、化验药房、医</w:t>
            </w:r>
            <w:r>
              <w:rPr>
                <w:rFonts w:hint="eastAsia" w:hAnsi="宋体"/>
                <w:color w:val="auto"/>
              </w:rPr>
              <w:t>废</w:t>
            </w:r>
            <w:r>
              <w:rPr>
                <w:rFonts w:hAnsi="宋体"/>
                <w:color w:val="auto"/>
              </w:rPr>
              <w:t>间、住院区、</w:t>
            </w:r>
            <w:r>
              <w:rPr>
                <w:rFonts w:hint="eastAsia" w:hAnsi="宋体"/>
                <w:color w:val="auto"/>
              </w:rPr>
              <w:t>手术室</w:t>
            </w:r>
            <w:r>
              <w:rPr>
                <w:rFonts w:hAnsi="宋体"/>
                <w:color w:val="auto"/>
              </w:rPr>
              <w:t>、影像室。</w:t>
            </w:r>
            <w:r>
              <w:rPr>
                <w:rFonts w:hint="eastAsia" w:hAnsi="宋体"/>
                <w:color w:val="auto"/>
              </w:rPr>
              <w:t>主要从事宠物疾病防治、诊疗、治疗、手术（涉及绝育、去势、外伤缝合、骨折、肠胃异物取出、剖腹产等涉及动物颅腔、腹腔和胸腔的手术）等。主要检测项目包括：血常规、生化、血气、寄生虫、影像、B超等。项目病毒检测均采用试纸检测，血样制成试剂片，由仪器进行检测。医院不设宠物寄养，无员工宿舍、食堂。本项目不</w:t>
            </w:r>
            <w:r>
              <w:rPr>
                <w:rFonts w:hAnsi="宋体"/>
                <w:color w:val="auto"/>
              </w:rPr>
              <w:t>涉及</w:t>
            </w:r>
            <w:r>
              <w:rPr>
                <w:rFonts w:hint="eastAsia" w:hAnsi="宋体"/>
                <w:color w:val="auto"/>
              </w:rPr>
              <w:t>放射性影像</w:t>
            </w:r>
            <w:r>
              <w:rPr>
                <w:rFonts w:hAnsi="宋体"/>
                <w:color w:val="auto"/>
              </w:rPr>
              <w:t>类设备，</w:t>
            </w:r>
            <w:r>
              <w:rPr>
                <w:rFonts w:hint="eastAsia" w:hAnsi="宋体"/>
                <w:color w:val="auto"/>
              </w:rPr>
              <w:t>若</w:t>
            </w:r>
            <w:r>
              <w:rPr>
                <w:rFonts w:hAnsi="宋体"/>
                <w:color w:val="auto"/>
              </w:rPr>
              <w:t>今后需购置</w:t>
            </w:r>
            <w:r>
              <w:rPr>
                <w:rFonts w:hint="eastAsia" w:hAnsi="宋体"/>
                <w:color w:val="auto"/>
              </w:rPr>
              <w:t>放射</w:t>
            </w:r>
            <w:r>
              <w:rPr>
                <w:rFonts w:hAnsi="宋体"/>
                <w:color w:val="auto"/>
              </w:rPr>
              <w:t>类设备，</w:t>
            </w:r>
            <w:r>
              <w:rPr>
                <w:rFonts w:hint="eastAsia" w:hAnsi="宋体"/>
                <w:color w:val="auto"/>
              </w:rPr>
              <w:t>建设</w:t>
            </w:r>
            <w:r>
              <w:rPr>
                <w:rFonts w:hAnsi="宋体"/>
                <w:color w:val="auto"/>
              </w:rPr>
              <w:t>单位须</w:t>
            </w:r>
            <w:r>
              <w:rPr>
                <w:rFonts w:hint="eastAsia" w:hAnsi="宋体"/>
                <w:color w:val="auto"/>
              </w:rPr>
              <w:t>另行</w:t>
            </w:r>
            <w:r>
              <w:rPr>
                <w:rFonts w:hAnsi="宋体"/>
                <w:color w:val="auto"/>
              </w:rPr>
              <w:t>办理环评手续，不在本次评价范围之内。</w:t>
            </w:r>
          </w:p>
          <w:p>
            <w:pPr>
              <w:spacing w:line="360" w:lineRule="auto"/>
              <w:ind w:firstLine="420" w:firstLineChars="200"/>
              <w:rPr>
                <w:rFonts w:hAnsi="宋体"/>
                <w:color w:val="auto"/>
              </w:rPr>
            </w:pPr>
            <w:r>
              <w:rPr>
                <w:rFonts w:hint="eastAsia" w:hAnsi="宋体"/>
                <w:color w:val="auto"/>
              </w:rPr>
              <w:t>项目主要建设内容及组成见表2-1。</w:t>
            </w:r>
          </w:p>
          <w:p>
            <w:pPr>
              <w:jc w:val="center"/>
              <w:rPr>
                <w:b/>
                <w:bCs/>
                <w:color w:val="auto"/>
                <w:szCs w:val="21"/>
              </w:rPr>
            </w:pPr>
            <w:r>
              <w:rPr>
                <w:rFonts w:hAnsi="宋体"/>
                <w:b/>
                <w:bCs/>
                <w:color w:val="auto"/>
                <w:szCs w:val="21"/>
              </w:rPr>
              <w:t>表</w:t>
            </w:r>
            <w:r>
              <w:rPr>
                <w:b/>
                <w:bCs/>
                <w:color w:val="auto"/>
                <w:szCs w:val="21"/>
              </w:rPr>
              <w:t xml:space="preserve">2-1    </w:t>
            </w:r>
            <w:r>
              <w:rPr>
                <w:rFonts w:hint="eastAsia" w:hAnsi="宋体"/>
                <w:b/>
                <w:bCs/>
                <w:color w:val="auto"/>
                <w:szCs w:val="21"/>
              </w:rPr>
              <w:t>项目组成一览表</w:t>
            </w:r>
          </w:p>
          <w:tbl>
            <w:tblPr>
              <w:tblStyle w:val="21"/>
              <w:tblW w:w="812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15"/>
              <w:gridCol w:w="1277"/>
              <w:gridCol w:w="4960"/>
              <w:gridCol w:w="11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Align w:val="center"/>
                </w:tcPr>
                <w:p>
                  <w:pPr>
                    <w:jc w:val="center"/>
                    <w:rPr>
                      <w:color w:val="auto"/>
                      <w:sz w:val="18"/>
                      <w:szCs w:val="18"/>
                    </w:rPr>
                  </w:pPr>
                  <w:r>
                    <w:rPr>
                      <w:rFonts w:hAnsi="宋体"/>
                      <w:color w:val="auto"/>
                      <w:sz w:val="18"/>
                      <w:szCs w:val="18"/>
                    </w:rPr>
                    <w:t>工程类别</w:t>
                  </w:r>
                </w:p>
              </w:tc>
              <w:tc>
                <w:tcPr>
                  <w:tcW w:w="786" w:type="pct"/>
                  <w:vAlign w:val="center"/>
                </w:tcPr>
                <w:p>
                  <w:pPr>
                    <w:jc w:val="center"/>
                    <w:rPr>
                      <w:rFonts w:hAnsi="宋体"/>
                      <w:color w:val="auto"/>
                      <w:sz w:val="18"/>
                      <w:szCs w:val="18"/>
                    </w:rPr>
                  </w:pPr>
                  <w:r>
                    <w:rPr>
                      <w:rFonts w:hAnsi="宋体"/>
                      <w:color w:val="auto"/>
                      <w:sz w:val="18"/>
                      <w:szCs w:val="18"/>
                    </w:rPr>
                    <w:t>工程</w:t>
                  </w:r>
                </w:p>
                <w:p>
                  <w:pPr>
                    <w:jc w:val="center"/>
                    <w:rPr>
                      <w:color w:val="auto"/>
                      <w:sz w:val="18"/>
                      <w:szCs w:val="18"/>
                    </w:rPr>
                  </w:pPr>
                  <w:r>
                    <w:rPr>
                      <w:rFonts w:hAnsi="宋体"/>
                      <w:color w:val="auto"/>
                      <w:sz w:val="18"/>
                      <w:szCs w:val="18"/>
                    </w:rPr>
                    <w:t>名称</w:t>
                  </w:r>
                </w:p>
              </w:tc>
              <w:tc>
                <w:tcPr>
                  <w:tcW w:w="3054" w:type="pct"/>
                  <w:tcBorders>
                    <w:right w:val="single" w:color="auto" w:sz="4" w:space="0"/>
                  </w:tcBorders>
                  <w:vAlign w:val="center"/>
                </w:tcPr>
                <w:p>
                  <w:pPr>
                    <w:jc w:val="center"/>
                    <w:rPr>
                      <w:color w:val="auto"/>
                      <w:sz w:val="18"/>
                      <w:szCs w:val="18"/>
                    </w:rPr>
                  </w:pPr>
                  <w:r>
                    <w:rPr>
                      <w:rFonts w:hAnsi="宋体"/>
                      <w:color w:val="auto"/>
                      <w:sz w:val="18"/>
                      <w:szCs w:val="18"/>
                    </w:rPr>
                    <w:t>建设内容</w:t>
                  </w:r>
                </w:p>
              </w:tc>
              <w:tc>
                <w:tcPr>
                  <w:tcW w:w="720" w:type="pct"/>
                  <w:tcBorders>
                    <w:left w:val="single" w:color="auto" w:sz="4" w:space="0"/>
                  </w:tcBorders>
                  <w:vAlign w:val="center"/>
                </w:tcPr>
                <w:p>
                  <w:pPr>
                    <w:jc w:val="center"/>
                    <w:rPr>
                      <w:color w:val="auto"/>
                      <w:sz w:val="18"/>
                      <w:szCs w:val="18"/>
                    </w:rPr>
                  </w:pPr>
                  <w:r>
                    <w:rPr>
                      <w:rFonts w:hint="eastAsia"/>
                      <w:color w:val="auto"/>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restart"/>
                  <w:vAlign w:val="center"/>
                </w:tcPr>
                <w:p>
                  <w:pPr>
                    <w:jc w:val="center"/>
                    <w:rPr>
                      <w:rFonts w:hAnsi="宋体"/>
                      <w:color w:val="auto"/>
                      <w:sz w:val="18"/>
                      <w:szCs w:val="18"/>
                    </w:rPr>
                  </w:pPr>
                  <w:r>
                    <w:rPr>
                      <w:rFonts w:hint="eastAsia" w:hAnsi="宋体"/>
                      <w:color w:val="auto"/>
                      <w:sz w:val="18"/>
                      <w:szCs w:val="18"/>
                    </w:rPr>
                    <w:t>主体工程</w:t>
                  </w:r>
                </w:p>
              </w:tc>
              <w:tc>
                <w:tcPr>
                  <w:tcW w:w="786" w:type="pct"/>
                  <w:vAlign w:val="center"/>
                </w:tcPr>
                <w:p>
                  <w:pPr>
                    <w:jc w:val="center"/>
                    <w:rPr>
                      <w:rFonts w:hAnsi="宋体"/>
                      <w:color w:val="auto"/>
                      <w:sz w:val="18"/>
                      <w:szCs w:val="18"/>
                    </w:rPr>
                  </w:pPr>
                  <w:r>
                    <w:rPr>
                      <w:rFonts w:hint="eastAsia" w:hAnsi="宋体"/>
                      <w:color w:val="auto"/>
                      <w:sz w:val="18"/>
                      <w:szCs w:val="18"/>
                    </w:rPr>
                    <w:t>院区南</w:t>
                  </w:r>
                  <w:r>
                    <w:rPr>
                      <w:rFonts w:hAnsi="宋体"/>
                      <w:color w:val="auto"/>
                      <w:sz w:val="18"/>
                      <w:szCs w:val="18"/>
                    </w:rPr>
                    <w:t>部</w:t>
                  </w:r>
                  <w:r>
                    <w:rPr>
                      <w:rFonts w:hint="eastAsia" w:hAnsi="宋体"/>
                      <w:color w:val="auto"/>
                      <w:sz w:val="18"/>
                      <w:szCs w:val="18"/>
                    </w:rPr>
                    <w:t>（约33m</w:t>
                  </w:r>
                  <w:r>
                    <w:rPr>
                      <w:rFonts w:hint="eastAsia" w:hAnsi="宋体"/>
                      <w:color w:val="auto"/>
                      <w:sz w:val="18"/>
                      <w:szCs w:val="18"/>
                      <w:vertAlign w:val="superscript"/>
                    </w:rPr>
                    <w:t>2</w:t>
                  </w:r>
                  <w:r>
                    <w:rPr>
                      <w:rFonts w:hint="eastAsia" w:hAnsi="宋体"/>
                      <w:color w:val="auto"/>
                      <w:sz w:val="18"/>
                      <w:szCs w:val="18"/>
                    </w:rPr>
                    <w:t>）</w:t>
                  </w:r>
                </w:p>
              </w:tc>
              <w:tc>
                <w:tcPr>
                  <w:tcW w:w="3054" w:type="pct"/>
                  <w:tcBorders>
                    <w:bottom w:val="single" w:color="auto" w:sz="4" w:space="0"/>
                    <w:right w:val="single" w:color="auto" w:sz="4" w:space="0"/>
                  </w:tcBorders>
                  <w:vAlign w:val="center"/>
                </w:tcPr>
                <w:p>
                  <w:pPr>
                    <w:jc w:val="center"/>
                    <w:rPr>
                      <w:rFonts w:hAnsi="宋体"/>
                      <w:color w:val="auto"/>
                      <w:sz w:val="18"/>
                      <w:szCs w:val="18"/>
                    </w:rPr>
                  </w:pPr>
                  <w:r>
                    <w:rPr>
                      <w:rFonts w:hint="eastAsia" w:hAnsi="宋体"/>
                      <w:color w:val="auto"/>
                      <w:sz w:val="18"/>
                      <w:szCs w:val="18"/>
                    </w:rPr>
                    <w:t>主要包括接待台、商品区、休息区及宠物美容洗浴室。其中：</w:t>
                  </w:r>
                  <w:r>
                    <w:rPr>
                      <w:rFonts w:hAnsi="宋体"/>
                      <w:color w:val="auto"/>
                      <w:sz w:val="18"/>
                      <w:szCs w:val="18"/>
                    </w:rPr>
                    <w:t>美容室</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面积6</w:t>
                  </w:r>
                  <w:r>
                    <w:rPr>
                      <w:rFonts w:hAnsi="宋体"/>
                      <w:color w:val="auto"/>
                      <w:sz w:val="18"/>
                      <w:szCs w:val="18"/>
                    </w:rPr>
                    <w:t>m</w:t>
                  </w:r>
                  <w:r>
                    <w:rPr>
                      <w:rFonts w:hAnsi="宋体"/>
                      <w:color w:val="auto"/>
                      <w:sz w:val="18"/>
                      <w:szCs w:val="18"/>
                      <w:vertAlign w:val="superscript"/>
                    </w:rPr>
                    <w:t>2</w:t>
                  </w:r>
                  <w:r>
                    <w:rPr>
                      <w:rFonts w:hint="eastAsia" w:hAnsi="宋体"/>
                      <w:color w:val="auto"/>
                      <w:sz w:val="18"/>
                      <w:szCs w:val="18"/>
                    </w:rPr>
                    <w:t>，设</w:t>
                  </w:r>
                  <w:r>
                    <w:rPr>
                      <w:rFonts w:hAnsi="宋体"/>
                      <w:color w:val="auto"/>
                      <w:sz w:val="18"/>
                      <w:szCs w:val="18"/>
                    </w:rPr>
                    <w:t>剪毛</w:t>
                  </w:r>
                  <w:r>
                    <w:rPr>
                      <w:rFonts w:hint="eastAsia" w:hAnsi="宋体"/>
                      <w:color w:val="auto"/>
                      <w:sz w:val="18"/>
                      <w:szCs w:val="18"/>
                    </w:rPr>
                    <w:t>床</w:t>
                  </w:r>
                  <w:r>
                    <w:rPr>
                      <w:rFonts w:hAnsi="宋体"/>
                      <w:color w:val="auto"/>
                      <w:sz w:val="18"/>
                      <w:szCs w:val="18"/>
                    </w:rPr>
                    <w:t>、吹毛床</w:t>
                  </w:r>
                  <w:r>
                    <w:rPr>
                      <w:rFonts w:hint="eastAsia" w:hAnsi="宋体"/>
                      <w:color w:val="auto"/>
                      <w:sz w:val="18"/>
                      <w:szCs w:val="18"/>
                    </w:rPr>
                    <w:t>）</w:t>
                  </w:r>
                  <w:r>
                    <w:rPr>
                      <w:rFonts w:hAnsi="宋体"/>
                      <w:color w:val="auto"/>
                      <w:sz w:val="18"/>
                      <w:szCs w:val="18"/>
                    </w:rPr>
                    <w:t>；洗浴室</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面积6m</w:t>
                  </w:r>
                  <w:r>
                    <w:rPr>
                      <w:rFonts w:hint="eastAsia" w:hAnsi="宋体"/>
                      <w:color w:val="auto"/>
                      <w:sz w:val="18"/>
                      <w:szCs w:val="18"/>
                      <w:vertAlign w:val="superscript"/>
                    </w:rPr>
                    <w:t>2</w:t>
                  </w:r>
                  <w:r>
                    <w:rPr>
                      <w:rFonts w:hint="eastAsia" w:hAnsi="宋体"/>
                      <w:color w:val="auto"/>
                      <w:sz w:val="18"/>
                      <w:szCs w:val="18"/>
                    </w:rPr>
                    <w:t>，</w:t>
                  </w:r>
                  <w:r>
                    <w:rPr>
                      <w:rFonts w:hAnsi="宋体"/>
                      <w:color w:val="auto"/>
                      <w:sz w:val="18"/>
                      <w:szCs w:val="18"/>
                    </w:rPr>
                    <w:t>设</w:t>
                  </w:r>
                  <w:r>
                    <w:rPr>
                      <w:rFonts w:hint="eastAsia" w:hAnsi="宋体"/>
                      <w:color w:val="auto"/>
                      <w:sz w:val="18"/>
                      <w:szCs w:val="18"/>
                    </w:rPr>
                    <w:t>浴盆1个</w:t>
                  </w:r>
                  <w:r>
                    <w:rPr>
                      <w:rFonts w:hAnsi="宋体"/>
                      <w:color w:val="auto"/>
                      <w:sz w:val="18"/>
                      <w:szCs w:val="18"/>
                    </w:rPr>
                    <w:t>）</w:t>
                  </w:r>
                </w:p>
              </w:tc>
              <w:tc>
                <w:tcPr>
                  <w:tcW w:w="720" w:type="pct"/>
                  <w:tcBorders>
                    <w:left w:val="single" w:color="auto" w:sz="4" w:space="0"/>
                  </w:tcBorders>
                  <w:vAlign w:val="center"/>
                </w:tcPr>
                <w:p>
                  <w:pPr>
                    <w:widowControl/>
                    <w:jc w:val="center"/>
                    <w:rPr>
                      <w:rFonts w:hAnsi="宋体"/>
                      <w:color w:val="auto"/>
                      <w:sz w:val="18"/>
                      <w:szCs w:val="18"/>
                    </w:rPr>
                  </w:pPr>
                  <w:r>
                    <w:rPr>
                      <w:rFonts w:hint="eastAsia" w:hAnsi="宋体"/>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rFonts w:hAnsi="宋体"/>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院区北部（约75m</w:t>
                  </w:r>
                  <w:r>
                    <w:rPr>
                      <w:rFonts w:hint="eastAsia" w:hAnsi="宋体"/>
                      <w:color w:val="auto"/>
                      <w:sz w:val="18"/>
                      <w:szCs w:val="18"/>
                      <w:vertAlign w:val="superscript"/>
                    </w:rPr>
                    <w:t>2</w:t>
                  </w:r>
                  <w:r>
                    <w:rPr>
                      <w:rFonts w:hint="eastAsia" w:hAnsi="宋体"/>
                      <w:color w:val="auto"/>
                      <w:sz w:val="18"/>
                      <w:szCs w:val="18"/>
                    </w:rPr>
                    <w:t>）</w:t>
                  </w:r>
                </w:p>
              </w:tc>
              <w:tc>
                <w:tcPr>
                  <w:tcW w:w="3054" w:type="pct"/>
                  <w:tcBorders>
                    <w:top w:val="single" w:color="auto" w:sz="4" w:space="0"/>
                    <w:right w:val="single" w:color="auto" w:sz="4" w:space="0"/>
                  </w:tcBorders>
                  <w:vAlign w:val="center"/>
                </w:tcPr>
                <w:p>
                  <w:pPr>
                    <w:jc w:val="center"/>
                    <w:rPr>
                      <w:rFonts w:hAnsi="宋体"/>
                      <w:color w:val="auto"/>
                      <w:sz w:val="18"/>
                      <w:szCs w:val="18"/>
                    </w:rPr>
                  </w:pPr>
                  <w:r>
                    <w:rPr>
                      <w:rFonts w:hint="eastAsia" w:hAnsi="宋体"/>
                      <w:color w:val="auto"/>
                      <w:sz w:val="18"/>
                      <w:szCs w:val="18"/>
                    </w:rPr>
                    <w:t>主要包括：1</w:t>
                  </w:r>
                  <w:r>
                    <w:rPr>
                      <w:rFonts w:hAnsi="宋体"/>
                      <w:color w:val="auto"/>
                      <w:sz w:val="18"/>
                      <w:szCs w:val="18"/>
                    </w:rPr>
                    <w:t>#诊室（</w:t>
                  </w:r>
                  <w:r>
                    <w:rPr>
                      <w:rFonts w:hint="eastAsia" w:hAnsi="宋体"/>
                      <w:color w:val="auto"/>
                      <w:sz w:val="18"/>
                      <w:szCs w:val="18"/>
                    </w:rPr>
                    <w:t>面积5.8m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w:t>
                  </w:r>
                  <w:r>
                    <w:rPr>
                      <w:rFonts w:hAnsi="宋体"/>
                      <w:color w:val="auto"/>
                      <w:sz w:val="18"/>
                      <w:szCs w:val="18"/>
                    </w:rPr>
                    <w:t>2#诊室（</w:t>
                  </w:r>
                  <w:r>
                    <w:rPr>
                      <w:rFonts w:hint="eastAsia" w:hAnsi="宋体"/>
                      <w:color w:val="auto"/>
                      <w:sz w:val="18"/>
                      <w:szCs w:val="18"/>
                    </w:rPr>
                    <w:t>面积6.3m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、化验</w:t>
                  </w:r>
                  <w:r>
                    <w:rPr>
                      <w:rFonts w:hAnsi="宋体"/>
                      <w:color w:val="auto"/>
                      <w:sz w:val="18"/>
                      <w:szCs w:val="18"/>
                    </w:rPr>
                    <w:t>药房</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面积4.8m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、医废</w:t>
                  </w:r>
                  <w:r>
                    <w:rPr>
                      <w:rFonts w:hAnsi="宋体"/>
                      <w:color w:val="auto"/>
                      <w:sz w:val="18"/>
                      <w:szCs w:val="18"/>
                    </w:rPr>
                    <w:t>间</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面积2.5m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、猫</w:t>
                  </w:r>
                  <w:r>
                    <w:rPr>
                      <w:rFonts w:hAnsi="宋体"/>
                      <w:color w:val="auto"/>
                      <w:sz w:val="18"/>
                      <w:szCs w:val="18"/>
                    </w:rPr>
                    <w:t>住院室</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面积4.3m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、中央</w:t>
                  </w:r>
                  <w:r>
                    <w:rPr>
                      <w:rFonts w:hAnsi="宋体"/>
                      <w:color w:val="auto"/>
                      <w:sz w:val="18"/>
                      <w:szCs w:val="18"/>
                    </w:rPr>
                    <w:t>处置室</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面积12m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w:t>
                  </w:r>
                  <w:r>
                    <w:rPr>
                      <w:rFonts w:hAnsi="宋体"/>
                      <w:color w:val="auto"/>
                      <w:sz w:val="18"/>
                      <w:szCs w:val="18"/>
                    </w:rPr>
                    <w:t>手术室</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面积8m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w:t>
                  </w:r>
                  <w:r>
                    <w:rPr>
                      <w:rFonts w:hAnsi="宋体"/>
                      <w:color w:val="auto"/>
                      <w:sz w:val="18"/>
                      <w:szCs w:val="18"/>
                    </w:rPr>
                    <w:t>影像室</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面积4.5m</w:t>
                  </w:r>
                  <w:r>
                    <w:rPr>
                      <w:rFonts w:hint="eastAsia" w:hAnsi="宋体"/>
                      <w:color w:val="auto"/>
                      <w:sz w:val="18"/>
                      <w:szCs w:val="18"/>
                      <w:vertAlign w:val="superscript"/>
                    </w:rPr>
                    <w:t>2</w:t>
                  </w:r>
                  <w:r>
                    <w:rPr>
                      <w:rFonts w:hAnsi="宋体"/>
                      <w:color w:val="auto"/>
                      <w:sz w:val="18"/>
                      <w:szCs w:val="18"/>
                    </w:rPr>
                    <w:t>）</w:t>
                  </w:r>
                  <w:r>
                    <w:rPr>
                      <w:rFonts w:hint="eastAsia" w:hAnsi="宋体"/>
                      <w:color w:val="auto"/>
                      <w:sz w:val="18"/>
                      <w:szCs w:val="18"/>
                    </w:rPr>
                    <w:t>、</w:t>
                  </w:r>
                  <w:r>
                    <w:rPr>
                      <w:rFonts w:hAnsi="宋体"/>
                      <w:color w:val="auto"/>
                      <w:sz w:val="18"/>
                      <w:szCs w:val="18"/>
                    </w:rPr>
                    <w:t>卫生间</w:t>
                  </w:r>
                  <w:r>
                    <w:rPr>
                      <w:rFonts w:hint="eastAsia" w:hAnsi="宋体"/>
                      <w:color w:val="auto"/>
                      <w:sz w:val="18"/>
                      <w:szCs w:val="18"/>
                    </w:rPr>
                    <w:t>1间</w:t>
                  </w:r>
                  <w:r>
                    <w:rPr>
                      <w:rFonts w:hAnsi="宋体"/>
                      <w:color w:val="auto"/>
                      <w:sz w:val="18"/>
                      <w:szCs w:val="18"/>
                    </w:rPr>
                    <w:t>（</w:t>
                  </w:r>
                  <w:r>
                    <w:rPr>
                      <w:rFonts w:hint="eastAsia" w:hAnsi="宋体"/>
                      <w:color w:val="auto"/>
                      <w:sz w:val="18"/>
                      <w:szCs w:val="18"/>
                    </w:rPr>
                    <w:t>面积2.5m</w:t>
                  </w:r>
                  <w:r>
                    <w:rPr>
                      <w:rFonts w:hint="eastAsia" w:hAnsi="宋体"/>
                      <w:color w:val="auto"/>
                      <w:sz w:val="18"/>
                      <w:szCs w:val="18"/>
                      <w:vertAlign w:val="superscript"/>
                    </w:rPr>
                    <w:t>2</w:t>
                  </w:r>
                  <w:r>
                    <w:rPr>
                      <w:rFonts w:hAnsi="宋体"/>
                      <w:color w:val="auto"/>
                      <w:sz w:val="18"/>
                      <w:szCs w:val="18"/>
                    </w:rPr>
                    <w:t>）</w:t>
                  </w:r>
                </w:p>
              </w:tc>
              <w:tc>
                <w:tcPr>
                  <w:tcW w:w="720" w:type="pct"/>
                  <w:tcBorders>
                    <w:left w:val="single" w:color="auto" w:sz="4" w:space="0"/>
                  </w:tcBorders>
                  <w:vAlign w:val="center"/>
                </w:tcPr>
                <w:p>
                  <w:pPr>
                    <w:widowControl/>
                    <w:jc w:val="center"/>
                    <w:rPr>
                      <w:rFonts w:hAnsi="宋体"/>
                      <w:color w:val="auto"/>
                      <w:sz w:val="18"/>
                      <w:szCs w:val="18"/>
                    </w:rPr>
                  </w:pPr>
                  <w:r>
                    <w:rPr>
                      <w:rFonts w:hint="eastAsia" w:hAnsi="宋体"/>
                      <w:color w:val="auto"/>
                      <w:sz w:val="18"/>
                      <w:szCs w:val="18"/>
                    </w:rPr>
                    <w:t>依托</w:t>
                  </w:r>
                  <w:r>
                    <w:rPr>
                      <w:rFonts w:hAnsi="宋体"/>
                      <w:color w:val="auto"/>
                      <w:sz w:val="18"/>
                      <w:szCs w:val="18"/>
                    </w:rPr>
                    <w:t>现有，</w:t>
                  </w:r>
                  <w:r>
                    <w:rPr>
                      <w:rFonts w:hint="eastAsia" w:hAnsi="宋体"/>
                      <w:color w:val="auto"/>
                      <w:sz w:val="18"/>
                      <w:szCs w:val="18"/>
                    </w:rPr>
                    <w:t>仅在</w:t>
                  </w:r>
                  <w:r>
                    <w:rPr>
                      <w:rFonts w:hAnsi="宋体"/>
                      <w:color w:val="auto"/>
                      <w:sz w:val="18"/>
                      <w:szCs w:val="18"/>
                    </w:rPr>
                    <w:t>原有</w:t>
                  </w:r>
                  <w:r>
                    <w:rPr>
                      <w:rFonts w:hint="eastAsia" w:hAnsi="宋体"/>
                      <w:color w:val="auto"/>
                      <w:sz w:val="18"/>
                      <w:szCs w:val="18"/>
                    </w:rPr>
                    <w:t>手术</w:t>
                  </w:r>
                  <w:r>
                    <w:rPr>
                      <w:rFonts w:hAnsi="宋体"/>
                      <w:color w:val="auto"/>
                      <w:sz w:val="18"/>
                      <w:szCs w:val="18"/>
                    </w:rPr>
                    <w:t>室内增加开展</w:t>
                  </w:r>
                  <w:r>
                    <w:rPr>
                      <w:rFonts w:hint="eastAsia" w:hAnsi="宋体"/>
                      <w:color w:val="auto"/>
                      <w:sz w:val="18"/>
                      <w:szCs w:val="18"/>
                    </w:rPr>
                    <w:t>动物</w:t>
                  </w:r>
                  <w:r>
                    <w:rPr>
                      <w:rFonts w:hAnsi="宋体"/>
                      <w:color w:val="auto"/>
                      <w:sz w:val="18"/>
                      <w:szCs w:val="18"/>
                    </w:rPr>
                    <w:t>颅腔、胸腔和腹腔</w:t>
                  </w:r>
                  <w:r>
                    <w:rPr>
                      <w:rFonts w:hint="eastAsia" w:hAnsi="宋体"/>
                      <w:color w:val="auto"/>
                      <w:sz w:val="18"/>
                      <w:szCs w:val="18"/>
                    </w:rPr>
                    <w:t>类</w:t>
                  </w:r>
                  <w:r>
                    <w:rPr>
                      <w:rFonts w:hAnsi="宋体"/>
                      <w:color w:val="auto"/>
                      <w:sz w:val="18"/>
                      <w:szCs w:val="18"/>
                    </w:rPr>
                    <w:t>手术</w:t>
                  </w:r>
                  <w:r>
                    <w:rPr>
                      <w:rFonts w:hint="eastAsia" w:hAnsi="宋体"/>
                      <w:color w:val="auto"/>
                      <w:sz w:val="18"/>
                      <w:szCs w:val="18"/>
                    </w:rPr>
                    <w:t>活动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restart"/>
                  <w:vAlign w:val="center"/>
                </w:tcPr>
                <w:p>
                  <w:pPr>
                    <w:jc w:val="center"/>
                    <w:rPr>
                      <w:rFonts w:hAnsi="宋体"/>
                      <w:color w:val="auto"/>
                      <w:sz w:val="18"/>
                      <w:szCs w:val="18"/>
                    </w:rPr>
                  </w:pPr>
                  <w:r>
                    <w:rPr>
                      <w:rFonts w:hint="eastAsia" w:hAnsi="宋体"/>
                      <w:color w:val="auto"/>
                      <w:sz w:val="18"/>
                      <w:szCs w:val="18"/>
                    </w:rPr>
                    <w:t>储运</w:t>
                  </w:r>
                  <w:r>
                    <w:rPr>
                      <w:rFonts w:hAnsi="宋体"/>
                      <w:color w:val="auto"/>
                      <w:sz w:val="18"/>
                      <w:szCs w:val="18"/>
                    </w:rPr>
                    <w:t>工程</w:t>
                  </w:r>
                </w:p>
              </w:tc>
              <w:tc>
                <w:tcPr>
                  <w:tcW w:w="786" w:type="pct"/>
                  <w:vAlign w:val="center"/>
                </w:tcPr>
                <w:p>
                  <w:pPr>
                    <w:jc w:val="center"/>
                    <w:rPr>
                      <w:rFonts w:hAnsi="宋体"/>
                      <w:color w:val="auto"/>
                      <w:sz w:val="18"/>
                      <w:szCs w:val="18"/>
                    </w:rPr>
                  </w:pPr>
                  <w:r>
                    <w:rPr>
                      <w:rFonts w:hint="eastAsia" w:hAnsi="宋体"/>
                      <w:color w:val="auto"/>
                      <w:sz w:val="18"/>
                      <w:szCs w:val="18"/>
                    </w:rPr>
                    <w:t>医疗及</w:t>
                  </w:r>
                  <w:r>
                    <w:rPr>
                      <w:rFonts w:hAnsi="宋体"/>
                      <w:color w:val="auto"/>
                      <w:sz w:val="18"/>
                      <w:szCs w:val="18"/>
                    </w:rPr>
                    <w:t>消毒</w:t>
                  </w:r>
                  <w:r>
                    <w:rPr>
                      <w:rFonts w:hint="eastAsia" w:hAnsi="宋体"/>
                      <w:color w:val="auto"/>
                      <w:sz w:val="18"/>
                      <w:szCs w:val="18"/>
                    </w:rPr>
                    <w:t>用品存储</w:t>
                  </w:r>
                </w:p>
              </w:tc>
              <w:tc>
                <w:tcPr>
                  <w:tcW w:w="3054" w:type="pct"/>
                  <w:tcBorders>
                    <w:top w:val="single" w:color="auto" w:sz="4" w:space="0"/>
                    <w:right w:val="single" w:color="auto" w:sz="4" w:space="0"/>
                  </w:tcBorders>
                  <w:vAlign w:val="center"/>
                </w:tcPr>
                <w:p>
                  <w:pPr>
                    <w:jc w:val="center"/>
                    <w:rPr>
                      <w:rFonts w:hAnsi="宋体"/>
                      <w:color w:val="auto"/>
                      <w:sz w:val="18"/>
                      <w:szCs w:val="18"/>
                    </w:rPr>
                  </w:pPr>
                  <w:r>
                    <w:rPr>
                      <w:rFonts w:hint="eastAsia" w:hAnsi="宋体"/>
                      <w:color w:val="auto"/>
                      <w:sz w:val="18"/>
                      <w:szCs w:val="18"/>
                    </w:rPr>
                    <w:t>化验药房</w:t>
                  </w:r>
                  <w:r>
                    <w:rPr>
                      <w:rFonts w:hAnsi="宋体"/>
                      <w:color w:val="auto"/>
                      <w:sz w:val="18"/>
                      <w:szCs w:val="18"/>
                    </w:rPr>
                    <w:t>内</w:t>
                  </w:r>
                  <w:r>
                    <w:rPr>
                      <w:rFonts w:hint="eastAsia" w:hAnsi="宋体"/>
                      <w:color w:val="auto"/>
                      <w:sz w:val="18"/>
                      <w:szCs w:val="18"/>
                    </w:rPr>
                    <w:t>西北角</w:t>
                  </w:r>
                  <w:r>
                    <w:rPr>
                      <w:rFonts w:hAnsi="宋体"/>
                      <w:color w:val="auto"/>
                      <w:sz w:val="18"/>
                      <w:szCs w:val="18"/>
                    </w:rPr>
                    <w:t>设</w:t>
                  </w:r>
                  <w:r>
                    <w:rPr>
                      <w:rFonts w:hint="eastAsia" w:hAnsi="宋体"/>
                      <w:color w:val="auto"/>
                      <w:sz w:val="18"/>
                      <w:szCs w:val="18"/>
                    </w:rPr>
                    <w:t>恒温</w:t>
                  </w:r>
                  <w:r>
                    <w:rPr>
                      <w:rFonts w:hAnsi="宋体"/>
                      <w:color w:val="auto"/>
                      <w:sz w:val="18"/>
                      <w:szCs w:val="18"/>
                    </w:rPr>
                    <w:t>箱1</w:t>
                  </w:r>
                  <w:r>
                    <w:rPr>
                      <w:rFonts w:hint="eastAsia" w:hAnsi="宋体"/>
                      <w:color w:val="auto"/>
                      <w:sz w:val="18"/>
                      <w:szCs w:val="18"/>
                    </w:rPr>
                    <w:t>个</w:t>
                  </w:r>
                  <w:r>
                    <w:rPr>
                      <w:rFonts w:hAnsi="宋体"/>
                      <w:color w:val="auto"/>
                      <w:sz w:val="18"/>
                      <w:szCs w:val="18"/>
                    </w:rPr>
                    <w:t>，容积</w:t>
                  </w:r>
                  <w:r>
                    <w:rPr>
                      <w:rFonts w:hint="eastAsia" w:hAnsi="宋体"/>
                      <w:color w:val="auto"/>
                      <w:sz w:val="18"/>
                      <w:szCs w:val="18"/>
                    </w:rPr>
                    <w:t>约2.5m</w:t>
                  </w:r>
                  <w:r>
                    <w:rPr>
                      <w:rFonts w:hint="eastAsia" w:hAnsi="宋体"/>
                      <w:color w:val="auto"/>
                      <w:sz w:val="18"/>
                      <w:szCs w:val="18"/>
                      <w:vertAlign w:val="superscript"/>
                    </w:rPr>
                    <w:t>3</w:t>
                  </w:r>
                  <w:r>
                    <w:rPr>
                      <w:rFonts w:hint="eastAsia" w:hAnsi="宋体"/>
                      <w:color w:val="auto"/>
                      <w:sz w:val="18"/>
                      <w:szCs w:val="18"/>
                    </w:rPr>
                    <w:t>，用于医疗</w:t>
                  </w:r>
                  <w:r>
                    <w:rPr>
                      <w:rFonts w:hAnsi="宋体"/>
                      <w:color w:val="auto"/>
                      <w:sz w:val="18"/>
                      <w:szCs w:val="18"/>
                    </w:rPr>
                    <w:t>用品</w:t>
                  </w:r>
                  <w:r>
                    <w:rPr>
                      <w:rFonts w:hint="eastAsia" w:hAnsi="宋体"/>
                      <w:color w:val="auto"/>
                      <w:sz w:val="18"/>
                      <w:szCs w:val="18"/>
                    </w:rPr>
                    <w:t>剂</w:t>
                  </w:r>
                  <w:r>
                    <w:rPr>
                      <w:rFonts w:hAnsi="宋体"/>
                      <w:color w:val="auto"/>
                      <w:sz w:val="18"/>
                      <w:szCs w:val="18"/>
                    </w:rPr>
                    <w:t>消毒用品存放</w:t>
                  </w:r>
                </w:p>
              </w:tc>
              <w:tc>
                <w:tcPr>
                  <w:tcW w:w="720" w:type="pct"/>
                  <w:tcBorders>
                    <w:left w:val="single" w:color="auto" w:sz="4" w:space="0"/>
                  </w:tcBorders>
                  <w:vAlign w:val="center"/>
                </w:tcPr>
                <w:p>
                  <w:pPr>
                    <w:widowControl/>
                    <w:jc w:val="center"/>
                    <w:rPr>
                      <w:rFonts w:hAnsi="宋体"/>
                      <w:color w:val="auto"/>
                      <w:sz w:val="18"/>
                      <w:szCs w:val="18"/>
                    </w:rPr>
                  </w:pPr>
                  <w:r>
                    <w:rPr>
                      <w:rFonts w:hint="eastAsia" w:hAnsi="宋体"/>
                      <w:color w:val="auto"/>
                      <w:sz w:val="18"/>
                      <w:szCs w:val="18"/>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rFonts w:hAnsi="宋体"/>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宠物</w:t>
                  </w:r>
                  <w:r>
                    <w:rPr>
                      <w:rFonts w:hAnsi="宋体"/>
                      <w:color w:val="auto"/>
                      <w:sz w:val="18"/>
                      <w:szCs w:val="18"/>
                    </w:rPr>
                    <w:t>洗浴美容用品</w:t>
                  </w:r>
                  <w:r>
                    <w:rPr>
                      <w:rFonts w:hint="eastAsia" w:hAnsi="宋体"/>
                      <w:color w:val="auto"/>
                      <w:sz w:val="18"/>
                      <w:szCs w:val="18"/>
                    </w:rPr>
                    <w:t>存储</w:t>
                  </w:r>
                </w:p>
              </w:tc>
              <w:tc>
                <w:tcPr>
                  <w:tcW w:w="3054" w:type="pct"/>
                  <w:tcBorders>
                    <w:top w:val="single" w:color="auto" w:sz="4" w:space="0"/>
                    <w:right w:val="single" w:color="auto" w:sz="4" w:space="0"/>
                  </w:tcBorders>
                  <w:vAlign w:val="center"/>
                </w:tcPr>
                <w:p>
                  <w:pPr>
                    <w:jc w:val="center"/>
                    <w:rPr>
                      <w:rFonts w:hAnsi="宋体"/>
                      <w:color w:val="auto"/>
                      <w:sz w:val="18"/>
                      <w:szCs w:val="18"/>
                    </w:rPr>
                  </w:pPr>
                  <w:r>
                    <w:rPr>
                      <w:rFonts w:hint="eastAsia" w:hAnsi="宋体"/>
                      <w:color w:val="auto"/>
                      <w:sz w:val="18"/>
                      <w:szCs w:val="18"/>
                    </w:rPr>
                    <w:t>存放</w:t>
                  </w:r>
                  <w:r>
                    <w:rPr>
                      <w:rFonts w:hAnsi="宋体"/>
                      <w:color w:val="auto"/>
                      <w:sz w:val="18"/>
                      <w:szCs w:val="18"/>
                    </w:rPr>
                    <w:t>于美容护理</w:t>
                  </w:r>
                  <w:r>
                    <w:rPr>
                      <w:rFonts w:hint="eastAsia" w:hAnsi="宋体"/>
                      <w:color w:val="auto"/>
                      <w:sz w:val="18"/>
                      <w:szCs w:val="18"/>
                    </w:rPr>
                    <w:t>间</w:t>
                  </w:r>
                  <w:r>
                    <w:rPr>
                      <w:rFonts w:hAnsi="宋体"/>
                      <w:color w:val="auto"/>
                      <w:sz w:val="18"/>
                      <w:szCs w:val="18"/>
                    </w:rPr>
                    <w:t>储物柜</w:t>
                  </w:r>
                  <w:r>
                    <w:rPr>
                      <w:rFonts w:hint="eastAsia" w:hAnsi="宋体"/>
                      <w:color w:val="auto"/>
                      <w:sz w:val="18"/>
                      <w:szCs w:val="18"/>
                    </w:rPr>
                    <w:t>内</w:t>
                  </w:r>
                </w:p>
              </w:tc>
              <w:tc>
                <w:tcPr>
                  <w:tcW w:w="720" w:type="pct"/>
                  <w:tcBorders>
                    <w:left w:val="single" w:color="auto" w:sz="4" w:space="0"/>
                  </w:tcBorders>
                  <w:vAlign w:val="center"/>
                </w:tcPr>
                <w:p>
                  <w:pPr>
                    <w:widowControl/>
                    <w:jc w:val="center"/>
                    <w:rPr>
                      <w:rFonts w:hAnsi="宋体"/>
                      <w:color w:val="auto"/>
                      <w:sz w:val="18"/>
                      <w:szCs w:val="18"/>
                    </w:rPr>
                  </w:pPr>
                  <w:r>
                    <w:rPr>
                      <w:rFonts w:hint="eastAsia" w:hAnsi="宋体"/>
                      <w:color w:val="auto"/>
                      <w:sz w:val="18"/>
                      <w:szCs w:val="18"/>
                    </w:rPr>
                    <w:t>依托</w:t>
                  </w:r>
                  <w:r>
                    <w:rPr>
                      <w:rFonts w:hAnsi="宋体"/>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restart"/>
                  <w:vAlign w:val="center"/>
                </w:tcPr>
                <w:p>
                  <w:pPr>
                    <w:jc w:val="center"/>
                    <w:rPr>
                      <w:color w:val="auto"/>
                      <w:sz w:val="18"/>
                      <w:szCs w:val="18"/>
                    </w:rPr>
                  </w:pPr>
                  <w:r>
                    <w:rPr>
                      <w:rFonts w:hAnsi="宋体"/>
                      <w:color w:val="auto"/>
                      <w:sz w:val="18"/>
                      <w:szCs w:val="18"/>
                    </w:rPr>
                    <w:t>公用工程</w:t>
                  </w:r>
                </w:p>
              </w:tc>
              <w:tc>
                <w:tcPr>
                  <w:tcW w:w="786" w:type="pct"/>
                  <w:vAlign w:val="center"/>
                </w:tcPr>
                <w:p>
                  <w:pPr>
                    <w:jc w:val="center"/>
                    <w:rPr>
                      <w:color w:val="auto"/>
                      <w:sz w:val="18"/>
                      <w:szCs w:val="18"/>
                    </w:rPr>
                  </w:pPr>
                  <w:r>
                    <w:rPr>
                      <w:rFonts w:hAnsi="宋体"/>
                      <w:color w:val="auto"/>
                      <w:sz w:val="18"/>
                      <w:szCs w:val="18"/>
                    </w:rPr>
                    <w:t>供电</w:t>
                  </w:r>
                </w:p>
              </w:tc>
              <w:tc>
                <w:tcPr>
                  <w:tcW w:w="3054" w:type="pct"/>
                  <w:tcBorders>
                    <w:right w:val="single" w:color="auto" w:sz="4" w:space="0"/>
                  </w:tcBorders>
                  <w:vAlign w:val="center"/>
                </w:tcPr>
                <w:p>
                  <w:pPr>
                    <w:jc w:val="center"/>
                    <w:rPr>
                      <w:color w:val="auto"/>
                      <w:sz w:val="18"/>
                      <w:szCs w:val="18"/>
                    </w:rPr>
                  </w:pPr>
                  <w:r>
                    <w:rPr>
                      <w:rFonts w:hAnsi="宋体"/>
                      <w:color w:val="auto"/>
                      <w:sz w:val="18"/>
                      <w:szCs w:val="18"/>
                    </w:rPr>
                    <w:t>由市政电网供给</w:t>
                  </w:r>
                </w:p>
              </w:tc>
              <w:tc>
                <w:tcPr>
                  <w:tcW w:w="720" w:type="pct"/>
                  <w:tcBorders>
                    <w:left w:val="single" w:color="auto" w:sz="4" w:space="0"/>
                  </w:tcBorders>
                  <w:vAlign w:val="center"/>
                </w:tcPr>
                <w:p>
                  <w:pPr>
                    <w:jc w:val="center"/>
                    <w:rPr>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color w:val="auto"/>
                      <w:sz w:val="18"/>
                      <w:szCs w:val="18"/>
                    </w:rPr>
                  </w:pPr>
                  <w:r>
                    <w:rPr>
                      <w:rFonts w:hAnsi="宋体"/>
                      <w:color w:val="auto"/>
                      <w:sz w:val="18"/>
                      <w:szCs w:val="18"/>
                    </w:rPr>
                    <w:t>给水</w:t>
                  </w:r>
                </w:p>
              </w:tc>
              <w:tc>
                <w:tcPr>
                  <w:tcW w:w="3054" w:type="pct"/>
                  <w:tcBorders>
                    <w:right w:val="single" w:color="auto" w:sz="4" w:space="0"/>
                  </w:tcBorders>
                  <w:vAlign w:val="center"/>
                </w:tcPr>
                <w:p>
                  <w:pPr>
                    <w:jc w:val="center"/>
                    <w:rPr>
                      <w:color w:val="auto"/>
                      <w:sz w:val="18"/>
                      <w:szCs w:val="18"/>
                    </w:rPr>
                  </w:pPr>
                  <w:r>
                    <w:rPr>
                      <w:rFonts w:hint="eastAsia"/>
                      <w:color w:val="auto"/>
                      <w:sz w:val="18"/>
                      <w:szCs w:val="18"/>
                    </w:rPr>
                    <w:t>由市政管网供给</w:t>
                  </w:r>
                </w:p>
              </w:tc>
              <w:tc>
                <w:tcPr>
                  <w:tcW w:w="720" w:type="pct"/>
                  <w:tcBorders>
                    <w:left w:val="single" w:color="auto" w:sz="4" w:space="0"/>
                  </w:tcBorders>
                  <w:vAlign w:val="center"/>
                </w:tcPr>
                <w:p>
                  <w:pPr>
                    <w:jc w:val="center"/>
                    <w:rPr>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排水</w:t>
                  </w:r>
                </w:p>
              </w:tc>
              <w:tc>
                <w:tcPr>
                  <w:tcW w:w="3054" w:type="pct"/>
                  <w:tcBorders>
                    <w:right w:val="single" w:color="auto" w:sz="4" w:space="0"/>
                  </w:tcBorders>
                  <w:vAlign w:val="center"/>
                </w:tcPr>
                <w:p>
                  <w:pPr>
                    <w:jc w:val="center"/>
                    <w:rPr>
                      <w:rFonts w:hAnsi="宋体"/>
                      <w:color w:val="auto"/>
                      <w:sz w:val="18"/>
                      <w:szCs w:val="18"/>
                    </w:rPr>
                  </w:pPr>
                  <w:r>
                    <w:rPr>
                      <w:rFonts w:hint="eastAsia" w:hAnsi="宋体"/>
                      <w:color w:val="auto"/>
                      <w:sz w:val="18"/>
                      <w:szCs w:val="18"/>
                    </w:rPr>
                    <w:t>项目排水与上层商业用房排水系统分开，医疗废水经废水</w:t>
                  </w:r>
                  <w:r>
                    <w:rPr>
                      <w:rFonts w:hAnsi="宋体"/>
                      <w:color w:val="auto"/>
                      <w:sz w:val="18"/>
                      <w:szCs w:val="18"/>
                    </w:rPr>
                    <w:t>缓释消毒器</w:t>
                  </w:r>
                  <w:r>
                    <w:rPr>
                      <w:rFonts w:hint="eastAsia" w:hAnsi="宋体"/>
                      <w:color w:val="auto"/>
                      <w:sz w:val="18"/>
                      <w:szCs w:val="18"/>
                    </w:rPr>
                    <w:t>处理后与宠物洗浴废水、职工生活污水经污水管道进入丰和</w:t>
                  </w:r>
                  <w:r>
                    <w:rPr>
                      <w:rFonts w:hAnsi="宋体"/>
                      <w:color w:val="auto"/>
                      <w:sz w:val="18"/>
                      <w:szCs w:val="18"/>
                    </w:rPr>
                    <w:t>坊一期</w:t>
                  </w:r>
                  <w:r>
                    <w:rPr>
                      <w:rFonts w:hint="eastAsia" w:hAnsi="宋体"/>
                      <w:color w:val="auto"/>
                      <w:sz w:val="18"/>
                      <w:szCs w:val="18"/>
                    </w:rPr>
                    <w:t>15幢</w:t>
                  </w:r>
                  <w:r>
                    <w:rPr>
                      <w:rFonts w:hAnsi="宋体"/>
                      <w:color w:val="auto"/>
                      <w:sz w:val="18"/>
                      <w:szCs w:val="18"/>
                    </w:rPr>
                    <w:t>公用</w:t>
                  </w:r>
                  <w:r>
                    <w:rPr>
                      <w:rFonts w:hint="eastAsia" w:hAnsi="宋体"/>
                      <w:color w:val="auto"/>
                      <w:sz w:val="18"/>
                      <w:szCs w:val="18"/>
                    </w:rPr>
                    <w:t>化粪池处理后，经丰禾路市政污水管网最终排入邓家村污水处理厂。</w:t>
                  </w:r>
                </w:p>
              </w:tc>
              <w:tc>
                <w:tcPr>
                  <w:tcW w:w="720" w:type="pct"/>
                  <w:tcBorders>
                    <w:left w:val="single" w:color="auto" w:sz="4" w:space="0"/>
                  </w:tcBorders>
                  <w:vAlign w:val="center"/>
                </w:tcPr>
                <w:p>
                  <w:pPr>
                    <w:widowControl/>
                    <w:jc w:val="center"/>
                    <w:rPr>
                      <w:rFonts w:hAnsi="宋体"/>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color w:val="auto"/>
                      <w:sz w:val="18"/>
                      <w:szCs w:val="18"/>
                    </w:rPr>
                  </w:pPr>
                  <w:r>
                    <w:rPr>
                      <w:rFonts w:hAnsi="宋体"/>
                      <w:color w:val="auto"/>
                      <w:sz w:val="18"/>
                      <w:szCs w:val="18"/>
                    </w:rPr>
                    <w:t>采暖与制冷</w:t>
                  </w:r>
                </w:p>
              </w:tc>
              <w:tc>
                <w:tcPr>
                  <w:tcW w:w="3054" w:type="pct"/>
                  <w:tcBorders>
                    <w:right w:val="single" w:color="auto" w:sz="4" w:space="0"/>
                  </w:tcBorders>
                  <w:vAlign w:val="center"/>
                </w:tcPr>
                <w:p>
                  <w:pPr>
                    <w:jc w:val="center"/>
                    <w:rPr>
                      <w:color w:val="auto"/>
                      <w:sz w:val="18"/>
                      <w:szCs w:val="18"/>
                    </w:rPr>
                  </w:pPr>
                  <w:r>
                    <w:rPr>
                      <w:rFonts w:hint="eastAsia" w:hAnsi="宋体"/>
                      <w:color w:val="auto"/>
                      <w:sz w:val="18"/>
                      <w:szCs w:val="18"/>
                    </w:rPr>
                    <w:t>采暖、制冷均采用中央空调，空调外机放置于医院出入口上方临丰禾</w:t>
                  </w:r>
                  <w:r>
                    <w:rPr>
                      <w:rFonts w:hAnsi="宋体"/>
                      <w:color w:val="auto"/>
                      <w:sz w:val="18"/>
                      <w:szCs w:val="18"/>
                    </w:rPr>
                    <w:t>路</w:t>
                  </w:r>
                  <w:r>
                    <w:rPr>
                      <w:rFonts w:hint="eastAsia" w:hAnsi="宋体"/>
                      <w:color w:val="auto"/>
                      <w:sz w:val="18"/>
                      <w:szCs w:val="18"/>
                    </w:rPr>
                    <w:t>一侧。</w:t>
                  </w:r>
                </w:p>
              </w:tc>
              <w:tc>
                <w:tcPr>
                  <w:tcW w:w="720" w:type="pct"/>
                  <w:tcBorders>
                    <w:left w:val="single" w:color="auto" w:sz="4" w:space="0"/>
                  </w:tcBorders>
                  <w:vAlign w:val="center"/>
                </w:tcPr>
                <w:p>
                  <w:pPr>
                    <w:jc w:val="center"/>
                    <w:rPr>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restart"/>
                  <w:vAlign w:val="center"/>
                </w:tcPr>
                <w:p>
                  <w:pPr>
                    <w:jc w:val="center"/>
                    <w:rPr>
                      <w:color w:val="auto"/>
                      <w:sz w:val="18"/>
                      <w:szCs w:val="18"/>
                    </w:rPr>
                  </w:pPr>
                  <w:r>
                    <w:rPr>
                      <w:rFonts w:hint="eastAsia"/>
                      <w:color w:val="auto"/>
                      <w:sz w:val="18"/>
                      <w:szCs w:val="18"/>
                    </w:rPr>
                    <w:t>环保工程</w:t>
                  </w:r>
                </w:p>
              </w:tc>
              <w:tc>
                <w:tcPr>
                  <w:tcW w:w="786" w:type="pct"/>
                  <w:vAlign w:val="center"/>
                </w:tcPr>
                <w:p>
                  <w:pPr>
                    <w:jc w:val="center"/>
                    <w:rPr>
                      <w:rFonts w:hAnsi="宋体"/>
                      <w:color w:val="auto"/>
                      <w:sz w:val="18"/>
                      <w:szCs w:val="18"/>
                    </w:rPr>
                  </w:pPr>
                  <w:r>
                    <w:rPr>
                      <w:rFonts w:hint="eastAsia" w:hAnsi="宋体"/>
                      <w:color w:val="auto"/>
                      <w:sz w:val="18"/>
                      <w:szCs w:val="18"/>
                    </w:rPr>
                    <w:t>废气</w:t>
                  </w:r>
                </w:p>
              </w:tc>
              <w:tc>
                <w:tcPr>
                  <w:tcW w:w="3054" w:type="pct"/>
                  <w:tcBorders>
                    <w:right w:val="single" w:color="auto" w:sz="4" w:space="0"/>
                  </w:tcBorders>
                  <w:vAlign w:val="center"/>
                </w:tcPr>
                <w:p>
                  <w:pPr>
                    <w:jc w:val="center"/>
                    <w:rPr>
                      <w:rFonts w:hAnsi="宋体"/>
                      <w:color w:val="auto"/>
                      <w:sz w:val="18"/>
                      <w:szCs w:val="18"/>
                    </w:rPr>
                  </w:pPr>
                  <w:r>
                    <w:rPr>
                      <w:color w:val="auto"/>
                      <w:sz w:val="18"/>
                      <w:szCs w:val="18"/>
                    </w:rPr>
                    <w:t>主要为宠物粪便产生的异味，</w:t>
                  </w:r>
                  <w:r>
                    <w:rPr>
                      <w:rFonts w:hint="eastAsia"/>
                      <w:color w:val="auto"/>
                      <w:sz w:val="18"/>
                      <w:szCs w:val="18"/>
                    </w:rPr>
                    <w:t>医院</w:t>
                  </w:r>
                  <w:r>
                    <w:rPr>
                      <w:color w:val="auto"/>
                      <w:sz w:val="18"/>
                      <w:szCs w:val="18"/>
                    </w:rPr>
                    <w:t>接诊宠物均在宠物笼中，其下方放置有猫砂用以吸收粪尿托盘，宠物粪尿被猫砂吸收包裹后及时由医护人员清除并装入专用密封袋中密封保存；同时定期喷洒小宠祛味消毒液祛除异味，同时加强室内通风换气</w:t>
                  </w:r>
                  <w:r>
                    <w:rPr>
                      <w:rFonts w:hint="eastAsia"/>
                      <w:color w:val="auto"/>
                      <w:sz w:val="18"/>
                      <w:szCs w:val="18"/>
                    </w:rPr>
                    <w:t>。</w:t>
                  </w:r>
                </w:p>
              </w:tc>
              <w:tc>
                <w:tcPr>
                  <w:tcW w:w="720" w:type="pct"/>
                  <w:tcBorders>
                    <w:left w:val="single" w:color="auto" w:sz="4" w:space="0"/>
                  </w:tcBorders>
                  <w:vAlign w:val="center"/>
                </w:tcPr>
                <w:p>
                  <w:pPr>
                    <w:widowControl/>
                    <w:jc w:val="center"/>
                    <w:rPr>
                      <w:rFonts w:hAnsi="宋体"/>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废水</w:t>
                  </w:r>
                </w:p>
              </w:tc>
              <w:tc>
                <w:tcPr>
                  <w:tcW w:w="3054" w:type="pct"/>
                  <w:tcBorders>
                    <w:right w:val="single" w:color="auto" w:sz="4" w:space="0"/>
                  </w:tcBorders>
                  <w:vAlign w:val="center"/>
                </w:tcPr>
                <w:p>
                  <w:pPr>
                    <w:jc w:val="center"/>
                    <w:rPr>
                      <w:rFonts w:hAnsi="宋体"/>
                      <w:color w:val="auto"/>
                      <w:sz w:val="18"/>
                      <w:szCs w:val="18"/>
                    </w:rPr>
                  </w:pPr>
                  <w:r>
                    <w:rPr>
                      <w:rFonts w:hint="eastAsia"/>
                      <w:color w:val="auto"/>
                      <w:sz w:val="18"/>
                      <w:szCs w:val="18"/>
                    </w:rPr>
                    <w:t>主要为</w:t>
                  </w:r>
                  <w:r>
                    <w:rPr>
                      <w:color w:val="auto"/>
                      <w:sz w:val="18"/>
                      <w:szCs w:val="18"/>
                    </w:rPr>
                    <w:t>生活污水</w:t>
                  </w:r>
                  <w:r>
                    <w:rPr>
                      <w:rFonts w:hint="eastAsia"/>
                      <w:color w:val="auto"/>
                      <w:sz w:val="18"/>
                      <w:szCs w:val="18"/>
                    </w:rPr>
                    <w:t>、宠物洗浴废水</w:t>
                  </w:r>
                  <w:r>
                    <w:rPr>
                      <w:color w:val="auto"/>
                      <w:sz w:val="18"/>
                      <w:szCs w:val="18"/>
                    </w:rPr>
                    <w:t>和医疗废水。其中，医疗废水由废水缓释消毒器处理（套数：1套；型号：H</w:t>
                  </w:r>
                  <w:r>
                    <w:rPr>
                      <w:rFonts w:hint="eastAsia"/>
                      <w:color w:val="auto"/>
                      <w:sz w:val="18"/>
                      <w:szCs w:val="18"/>
                    </w:rPr>
                    <w:t>B-</w:t>
                  </w:r>
                  <w:r>
                    <w:rPr>
                      <w:color w:val="auto"/>
                      <w:sz w:val="18"/>
                      <w:szCs w:val="18"/>
                    </w:rPr>
                    <w:t>50；处理规模：0.5m</w:t>
                  </w:r>
                  <w:r>
                    <w:rPr>
                      <w:color w:val="auto"/>
                      <w:sz w:val="18"/>
                      <w:szCs w:val="18"/>
                      <w:vertAlign w:val="superscript"/>
                    </w:rPr>
                    <w:t>3</w:t>
                  </w:r>
                  <w:r>
                    <w:rPr>
                      <w:color w:val="auto"/>
                      <w:sz w:val="18"/>
                      <w:szCs w:val="18"/>
                    </w:rPr>
                    <w:t>/d</w:t>
                  </w:r>
                  <w:r>
                    <w:rPr>
                      <w:rFonts w:hint="eastAsia"/>
                      <w:color w:val="auto"/>
                      <w:sz w:val="18"/>
                      <w:szCs w:val="18"/>
                    </w:rPr>
                    <w:t>；位置：手术室</w:t>
                  </w:r>
                  <w:r>
                    <w:rPr>
                      <w:color w:val="auto"/>
                      <w:sz w:val="18"/>
                      <w:szCs w:val="18"/>
                    </w:rPr>
                    <w:t>），与</w:t>
                  </w:r>
                  <w:r>
                    <w:rPr>
                      <w:rFonts w:hint="eastAsia"/>
                      <w:color w:val="auto"/>
                      <w:sz w:val="18"/>
                      <w:szCs w:val="18"/>
                    </w:rPr>
                    <w:t>宠物洗浴废水（滤网</w:t>
                  </w:r>
                  <w:r>
                    <w:rPr>
                      <w:color w:val="auto"/>
                      <w:sz w:val="18"/>
                      <w:szCs w:val="18"/>
                    </w:rPr>
                    <w:t>过滤毛发</w:t>
                  </w:r>
                  <w:r>
                    <w:rPr>
                      <w:rFonts w:hint="eastAsia"/>
                      <w:color w:val="auto"/>
                      <w:sz w:val="18"/>
                      <w:szCs w:val="18"/>
                    </w:rPr>
                    <w:t>）、</w:t>
                  </w:r>
                  <w:r>
                    <w:rPr>
                      <w:color w:val="auto"/>
                      <w:sz w:val="18"/>
                      <w:szCs w:val="18"/>
                    </w:rPr>
                    <w:t>生活污水一同依托</w:t>
                  </w:r>
                  <w:r>
                    <w:rPr>
                      <w:rFonts w:hint="eastAsia"/>
                      <w:color w:val="auto"/>
                      <w:sz w:val="18"/>
                      <w:szCs w:val="18"/>
                    </w:rPr>
                    <w:t>丰</w:t>
                  </w:r>
                  <w:r>
                    <w:rPr>
                      <w:color w:val="auto"/>
                      <w:sz w:val="18"/>
                      <w:szCs w:val="18"/>
                    </w:rPr>
                    <w:t>禾坊</w:t>
                  </w:r>
                  <w:r>
                    <w:rPr>
                      <w:rFonts w:hint="eastAsia"/>
                      <w:color w:val="auto"/>
                      <w:sz w:val="18"/>
                      <w:szCs w:val="18"/>
                    </w:rPr>
                    <w:t>15幢现</w:t>
                  </w:r>
                  <w:r>
                    <w:rPr>
                      <w:color w:val="auto"/>
                      <w:sz w:val="18"/>
                      <w:szCs w:val="18"/>
                    </w:rPr>
                    <w:t>有公用化粪池后排入</w:t>
                  </w:r>
                  <w:r>
                    <w:rPr>
                      <w:rFonts w:hint="eastAsia"/>
                      <w:color w:val="auto"/>
                      <w:sz w:val="18"/>
                      <w:szCs w:val="18"/>
                    </w:rPr>
                    <w:t>进丰禾路</w:t>
                  </w:r>
                  <w:r>
                    <w:rPr>
                      <w:color w:val="auto"/>
                      <w:sz w:val="18"/>
                      <w:szCs w:val="18"/>
                    </w:rPr>
                    <w:t>市政污水管网，最终</w:t>
                  </w:r>
                  <w:r>
                    <w:rPr>
                      <w:rFonts w:hint="eastAsia"/>
                      <w:color w:val="auto"/>
                      <w:sz w:val="18"/>
                      <w:szCs w:val="18"/>
                    </w:rPr>
                    <w:t>排入邓家村</w:t>
                  </w:r>
                  <w:r>
                    <w:rPr>
                      <w:color w:val="auto"/>
                      <w:sz w:val="18"/>
                      <w:szCs w:val="18"/>
                    </w:rPr>
                    <w:t>污水处理厂</w:t>
                  </w:r>
                  <w:r>
                    <w:rPr>
                      <w:rFonts w:hint="eastAsia"/>
                      <w:color w:val="auto"/>
                      <w:sz w:val="18"/>
                      <w:szCs w:val="18"/>
                    </w:rPr>
                    <w:t>。</w:t>
                  </w:r>
                </w:p>
              </w:tc>
              <w:tc>
                <w:tcPr>
                  <w:tcW w:w="720" w:type="pct"/>
                  <w:tcBorders>
                    <w:left w:val="single" w:color="auto" w:sz="4" w:space="0"/>
                  </w:tcBorders>
                  <w:vAlign w:val="center"/>
                </w:tcPr>
                <w:p>
                  <w:pPr>
                    <w:jc w:val="center"/>
                    <w:rPr>
                      <w:rFonts w:hAnsi="宋体"/>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噪声</w:t>
                  </w:r>
                </w:p>
              </w:tc>
              <w:tc>
                <w:tcPr>
                  <w:tcW w:w="3054" w:type="pct"/>
                  <w:tcBorders>
                    <w:right w:val="single" w:color="auto" w:sz="4" w:space="0"/>
                  </w:tcBorders>
                  <w:vAlign w:val="center"/>
                </w:tcPr>
                <w:p>
                  <w:pPr>
                    <w:jc w:val="center"/>
                    <w:rPr>
                      <w:rFonts w:hAnsi="宋体"/>
                      <w:color w:val="auto"/>
                      <w:sz w:val="18"/>
                      <w:szCs w:val="18"/>
                    </w:rPr>
                  </w:pPr>
                  <w:r>
                    <w:rPr>
                      <w:rFonts w:hint="eastAsia"/>
                      <w:color w:val="auto"/>
                      <w:sz w:val="18"/>
                      <w:szCs w:val="18"/>
                    </w:rPr>
                    <w:t>主要为</w:t>
                  </w:r>
                  <w:r>
                    <w:rPr>
                      <w:color w:val="auto"/>
                      <w:sz w:val="18"/>
                      <w:szCs w:val="18"/>
                    </w:rPr>
                    <w:t>空调外机运行和动物就诊时的噪声。对空调机组设备安装减震垫等减振降噪措施进行定期维护。动物就诊时安排在密闭诊室内及对犬类动物施行套嘴等措施</w:t>
                  </w:r>
                  <w:r>
                    <w:rPr>
                      <w:rFonts w:hint="eastAsia"/>
                      <w:color w:val="auto"/>
                      <w:sz w:val="18"/>
                      <w:szCs w:val="18"/>
                    </w:rPr>
                    <w:t>。</w:t>
                  </w:r>
                </w:p>
              </w:tc>
              <w:tc>
                <w:tcPr>
                  <w:tcW w:w="720" w:type="pct"/>
                  <w:tcBorders>
                    <w:left w:val="single" w:color="auto" w:sz="4" w:space="0"/>
                  </w:tcBorders>
                  <w:vAlign w:val="center"/>
                </w:tcPr>
                <w:p>
                  <w:pPr>
                    <w:widowControl/>
                    <w:jc w:val="center"/>
                    <w:rPr>
                      <w:rFonts w:hAnsi="宋体"/>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固体废物</w:t>
                  </w:r>
                </w:p>
              </w:tc>
              <w:tc>
                <w:tcPr>
                  <w:tcW w:w="3054" w:type="pct"/>
                  <w:tcBorders>
                    <w:right w:val="single" w:color="auto" w:sz="4" w:space="0"/>
                  </w:tcBorders>
                  <w:vAlign w:val="center"/>
                </w:tcPr>
                <w:p>
                  <w:pPr>
                    <w:jc w:val="center"/>
                    <w:rPr>
                      <w:rFonts w:hAnsi="宋体"/>
                      <w:color w:val="auto"/>
                      <w:sz w:val="18"/>
                      <w:szCs w:val="18"/>
                    </w:rPr>
                  </w:pPr>
                  <w:r>
                    <w:rPr>
                      <w:color w:val="auto"/>
                      <w:sz w:val="18"/>
                      <w:szCs w:val="18"/>
                    </w:rPr>
                    <w:t>生活垃圾</w:t>
                  </w:r>
                  <w:r>
                    <w:rPr>
                      <w:rFonts w:hint="eastAsia"/>
                      <w:color w:val="auto"/>
                      <w:sz w:val="18"/>
                      <w:szCs w:val="18"/>
                    </w:rPr>
                    <w:t>和宠物美容垃圾均</w:t>
                  </w:r>
                  <w:r>
                    <w:rPr>
                      <w:color w:val="auto"/>
                      <w:sz w:val="18"/>
                      <w:szCs w:val="18"/>
                    </w:rPr>
                    <w:t>由环卫部门统一处置</w:t>
                  </w:r>
                  <w:r>
                    <w:rPr>
                      <w:rFonts w:hint="eastAsia"/>
                      <w:color w:val="auto"/>
                      <w:sz w:val="18"/>
                      <w:szCs w:val="18"/>
                    </w:rPr>
                    <w:t>；</w:t>
                  </w:r>
                  <w:r>
                    <w:rPr>
                      <w:color w:val="auto"/>
                      <w:sz w:val="18"/>
                      <w:szCs w:val="18"/>
                    </w:rPr>
                    <w:t>宠物粪便采取猫砂托盘收集，并经消石灰拌和后及时装入专用密封袋中密封，每日交由环卫部门清运。对留观期间的染疫或者疑似染疫宠物产生的动物粪便，严格按照医疗废物进行管理和处置。医疗垃圾收集桶分布于手术室内和化验室内，方便宠物手术治疗、化验后产生的医疗垃圾的收集和清运</w:t>
                  </w:r>
                  <w:r>
                    <w:rPr>
                      <w:rFonts w:hint="eastAsia"/>
                      <w:color w:val="auto"/>
                      <w:sz w:val="18"/>
                      <w:szCs w:val="18"/>
                    </w:rPr>
                    <w:t>，暂存于</w:t>
                  </w:r>
                  <w:r>
                    <w:rPr>
                      <w:color w:val="auto"/>
                      <w:sz w:val="18"/>
                      <w:szCs w:val="18"/>
                    </w:rPr>
                    <w:t>医疗</w:t>
                  </w:r>
                  <w:r>
                    <w:rPr>
                      <w:rFonts w:hint="eastAsia"/>
                      <w:color w:val="auto"/>
                      <w:sz w:val="18"/>
                      <w:szCs w:val="18"/>
                    </w:rPr>
                    <w:t>废物</w:t>
                  </w:r>
                  <w:r>
                    <w:rPr>
                      <w:color w:val="auto"/>
                      <w:sz w:val="18"/>
                      <w:szCs w:val="18"/>
                    </w:rPr>
                    <w:t>间（建筑面积：2.5m</w:t>
                  </w:r>
                  <w:r>
                    <w:rPr>
                      <w:color w:val="auto"/>
                      <w:sz w:val="18"/>
                      <w:szCs w:val="18"/>
                      <w:vertAlign w:val="superscript"/>
                    </w:rPr>
                    <w:t>2</w:t>
                  </w:r>
                  <w:r>
                    <w:rPr>
                      <w:color w:val="auto"/>
                      <w:sz w:val="18"/>
                      <w:szCs w:val="18"/>
                    </w:rPr>
                    <w:t>），委托西安</w:t>
                  </w:r>
                  <w:r>
                    <w:rPr>
                      <w:rFonts w:hint="eastAsia"/>
                      <w:color w:val="auto"/>
                      <w:sz w:val="18"/>
                      <w:szCs w:val="18"/>
                    </w:rPr>
                    <w:t>卫达</w:t>
                  </w:r>
                  <w:r>
                    <w:rPr>
                      <w:color w:val="auto"/>
                      <w:sz w:val="18"/>
                      <w:szCs w:val="18"/>
                    </w:rPr>
                    <w:t>实业有限公司进行处理。病理性废物中的病死动物尸体，医院进行消毒处理后进行密封暂存，并向宠物主人告知有处理资质单位的联系方式，由宠物主人对病死动物进行后续无害化处置</w:t>
                  </w:r>
                </w:p>
              </w:tc>
              <w:tc>
                <w:tcPr>
                  <w:tcW w:w="720" w:type="pct"/>
                  <w:tcBorders>
                    <w:left w:val="single" w:color="auto" w:sz="4" w:space="0"/>
                  </w:tcBorders>
                  <w:vAlign w:val="center"/>
                </w:tcPr>
                <w:p>
                  <w:pPr>
                    <w:widowControl/>
                    <w:jc w:val="center"/>
                    <w:rPr>
                      <w:rFonts w:hAnsi="宋体"/>
                      <w:color w:val="auto"/>
                      <w:sz w:val="18"/>
                      <w:szCs w:val="18"/>
                    </w:rPr>
                  </w:pPr>
                  <w:r>
                    <w:rPr>
                      <w:rFonts w:hint="eastAsia"/>
                      <w:color w:val="auto"/>
                      <w:sz w:val="18"/>
                      <w:szCs w:val="18"/>
                    </w:rPr>
                    <w:t>依托</w:t>
                  </w:r>
                  <w:r>
                    <w:rPr>
                      <w:color w:val="auto"/>
                      <w:sz w:val="18"/>
                      <w:szCs w:val="18"/>
                    </w:rPr>
                    <w:t>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0" w:type="pct"/>
                  <w:vMerge w:val="continue"/>
                  <w:vAlign w:val="center"/>
                </w:tcPr>
                <w:p>
                  <w:pPr>
                    <w:jc w:val="center"/>
                    <w:rPr>
                      <w:color w:val="auto"/>
                      <w:sz w:val="18"/>
                      <w:szCs w:val="18"/>
                    </w:rPr>
                  </w:pPr>
                </w:p>
              </w:tc>
              <w:tc>
                <w:tcPr>
                  <w:tcW w:w="786" w:type="pct"/>
                  <w:vAlign w:val="center"/>
                </w:tcPr>
                <w:p>
                  <w:pPr>
                    <w:jc w:val="center"/>
                    <w:rPr>
                      <w:rFonts w:hAnsi="宋体"/>
                      <w:color w:val="auto"/>
                      <w:sz w:val="18"/>
                      <w:szCs w:val="18"/>
                    </w:rPr>
                  </w:pPr>
                  <w:r>
                    <w:rPr>
                      <w:rFonts w:hint="eastAsia" w:hAnsi="宋体"/>
                      <w:color w:val="auto"/>
                      <w:sz w:val="18"/>
                      <w:szCs w:val="18"/>
                    </w:rPr>
                    <w:t>土壤及</w:t>
                  </w:r>
                  <w:r>
                    <w:rPr>
                      <w:rFonts w:hAnsi="宋体"/>
                      <w:color w:val="auto"/>
                      <w:sz w:val="18"/>
                      <w:szCs w:val="18"/>
                    </w:rPr>
                    <w:t>地下水污染防治</w:t>
                  </w:r>
                </w:p>
              </w:tc>
              <w:tc>
                <w:tcPr>
                  <w:tcW w:w="3054" w:type="pct"/>
                  <w:tcBorders>
                    <w:right w:val="single" w:color="auto" w:sz="4" w:space="0"/>
                  </w:tcBorders>
                  <w:vAlign w:val="center"/>
                </w:tcPr>
                <w:p>
                  <w:pPr>
                    <w:jc w:val="center"/>
                    <w:rPr>
                      <w:color w:val="auto"/>
                      <w:sz w:val="18"/>
                      <w:szCs w:val="18"/>
                    </w:rPr>
                  </w:pPr>
                  <w:r>
                    <w:rPr>
                      <w:rFonts w:hint="eastAsia"/>
                      <w:color w:val="auto"/>
                      <w:sz w:val="18"/>
                      <w:szCs w:val="18"/>
                    </w:rPr>
                    <w:t>对医院地面进行硬化处理，避免水土流失。污水处理设施及污水管道、医疗废物暂存间属于重点防渗区。按照《医院污水处理工程技术规范》要求对消毒间及污水管道进行防渗处理，防渗层的防渗性能不低于6m厚、渗透系数为1.0×10</w:t>
                  </w:r>
                  <w:r>
                    <w:rPr>
                      <w:color w:val="auto"/>
                      <w:sz w:val="18"/>
                      <w:szCs w:val="18"/>
                      <w:vertAlign w:val="superscript"/>
                    </w:rPr>
                    <w:t>-7</w:t>
                  </w:r>
                  <w:r>
                    <w:rPr>
                      <w:rFonts w:hint="eastAsia"/>
                      <w:color w:val="auto"/>
                      <w:sz w:val="18"/>
                      <w:szCs w:val="18"/>
                    </w:rPr>
                    <w:t>cm/s的黏土层；按照《危险废物贮存污染物控制标准》要求对医疗废物暂存间的地面做防渗处理。</w:t>
                  </w:r>
                </w:p>
              </w:tc>
              <w:tc>
                <w:tcPr>
                  <w:tcW w:w="720" w:type="pct"/>
                  <w:tcBorders>
                    <w:left w:val="single" w:color="auto" w:sz="4" w:space="0"/>
                  </w:tcBorders>
                  <w:vAlign w:val="center"/>
                </w:tcPr>
                <w:p>
                  <w:pPr>
                    <w:widowControl/>
                    <w:jc w:val="center"/>
                    <w:rPr>
                      <w:color w:val="auto"/>
                      <w:sz w:val="18"/>
                      <w:szCs w:val="18"/>
                    </w:rPr>
                  </w:pPr>
                  <w:r>
                    <w:rPr>
                      <w:rFonts w:hint="eastAsia"/>
                      <w:color w:val="auto"/>
                      <w:sz w:val="18"/>
                      <w:szCs w:val="18"/>
                    </w:rPr>
                    <w:t>依托</w:t>
                  </w:r>
                  <w:r>
                    <w:rPr>
                      <w:color w:val="auto"/>
                      <w:sz w:val="18"/>
                      <w:szCs w:val="18"/>
                    </w:rPr>
                    <w:t>现有</w:t>
                  </w:r>
                </w:p>
              </w:tc>
            </w:tr>
          </w:tbl>
          <w:p>
            <w:pPr>
              <w:pStyle w:val="2"/>
              <w:spacing w:line="360" w:lineRule="auto"/>
              <w:ind w:firstLine="417" w:firstLineChars="198"/>
              <w:rPr>
                <w:rFonts w:ascii="Times New Roman" w:cs="Times New Roman"/>
                <w:b/>
                <w:color w:val="auto"/>
                <w:sz w:val="21"/>
                <w:szCs w:val="21"/>
              </w:rPr>
            </w:pPr>
            <w:r>
              <w:rPr>
                <w:rFonts w:ascii="Times New Roman" w:cs="Times New Roman"/>
                <w:b/>
                <w:color w:val="auto"/>
                <w:sz w:val="21"/>
                <w:szCs w:val="21"/>
              </w:rPr>
              <w:t>3</w:t>
            </w:r>
            <w:r>
              <w:rPr>
                <w:rFonts w:hint="eastAsia" w:ascii="Times New Roman" w:cs="Times New Roman"/>
                <w:b/>
                <w:color w:val="auto"/>
                <w:sz w:val="21"/>
                <w:szCs w:val="21"/>
              </w:rPr>
              <w:t>、产品方案</w:t>
            </w:r>
          </w:p>
          <w:p>
            <w:pPr>
              <w:pStyle w:val="2"/>
              <w:spacing w:line="360" w:lineRule="auto"/>
              <w:ind w:firstLine="415" w:firstLineChars="198"/>
              <w:rPr>
                <w:rFonts w:ascii="Times New Roman" w:cs="Times New Roman" w:eastAsiaTheme="majorEastAsia"/>
                <w:color w:val="auto"/>
                <w:sz w:val="21"/>
                <w:szCs w:val="21"/>
              </w:rPr>
            </w:pPr>
            <w:r>
              <w:rPr>
                <w:rFonts w:ascii="Times New Roman" w:cs="Times New Roman" w:hAnsiTheme="majorEastAsia" w:eastAsiaTheme="majorEastAsia"/>
                <w:color w:val="auto"/>
                <w:sz w:val="21"/>
                <w:szCs w:val="21"/>
              </w:rPr>
              <w:t>本项目建成后预计</w:t>
            </w:r>
            <w:r>
              <w:rPr>
                <w:rFonts w:hint="eastAsia" w:ascii="Times New Roman" w:cs="Times New Roman" w:hAnsiTheme="majorEastAsia" w:eastAsiaTheme="majorEastAsia"/>
                <w:color w:val="auto"/>
                <w:sz w:val="21"/>
                <w:szCs w:val="21"/>
              </w:rPr>
              <w:t>日均接诊动物3例（其中1例手术）；日均洗浴美容宠物5只。</w:t>
            </w:r>
          </w:p>
          <w:p>
            <w:pPr>
              <w:pStyle w:val="2"/>
              <w:spacing w:line="360" w:lineRule="auto"/>
              <w:ind w:firstLine="417" w:firstLineChars="198"/>
              <w:rPr>
                <w:rFonts w:ascii="Times New Roman" w:cs="Times New Roman"/>
                <w:b/>
                <w:color w:val="auto"/>
                <w:sz w:val="21"/>
                <w:szCs w:val="21"/>
              </w:rPr>
            </w:pPr>
            <w:r>
              <w:rPr>
                <w:rFonts w:ascii="Times New Roman" w:cs="Times New Roman"/>
                <w:b/>
                <w:color w:val="auto"/>
                <w:sz w:val="21"/>
                <w:szCs w:val="21"/>
              </w:rPr>
              <w:t>4、主要生产设备</w:t>
            </w:r>
          </w:p>
          <w:p>
            <w:pPr>
              <w:jc w:val="center"/>
              <w:rPr>
                <w:b/>
                <w:color w:val="auto"/>
                <w:szCs w:val="21"/>
              </w:rPr>
            </w:pPr>
            <w:r>
              <w:rPr>
                <w:rFonts w:hAnsi="宋体"/>
                <w:b/>
                <w:color w:val="auto"/>
                <w:szCs w:val="21"/>
              </w:rPr>
              <w:t>表</w:t>
            </w:r>
            <w:r>
              <w:rPr>
                <w:b/>
                <w:color w:val="auto"/>
                <w:szCs w:val="21"/>
              </w:rPr>
              <w:t xml:space="preserve">2-2     </w:t>
            </w:r>
            <w:r>
              <w:rPr>
                <w:rFonts w:hint="eastAsia" w:hAnsi="宋体"/>
                <w:b/>
                <w:color w:val="auto"/>
                <w:szCs w:val="21"/>
              </w:rPr>
              <w:t>主要设备/设施清单</w:t>
            </w:r>
            <w:r>
              <w:rPr>
                <w:rFonts w:hAnsi="宋体"/>
                <w:b/>
                <w:color w:val="auto"/>
                <w:szCs w:val="21"/>
              </w:rPr>
              <w:t>一览表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62"/>
              <w:gridCol w:w="2271"/>
              <w:gridCol w:w="2124"/>
              <w:gridCol w:w="1030"/>
              <w:gridCol w:w="724"/>
              <w:gridCol w:w="13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序号</w:t>
                  </w:r>
                </w:p>
              </w:tc>
              <w:tc>
                <w:tcPr>
                  <w:tcW w:w="2198" w:type="dxa"/>
                  <w:vAlign w:val="center"/>
                </w:tcPr>
                <w:p>
                  <w:pPr>
                    <w:jc w:val="center"/>
                    <w:rPr>
                      <w:color w:val="auto"/>
                      <w:sz w:val="18"/>
                      <w:szCs w:val="18"/>
                    </w:rPr>
                  </w:pPr>
                  <w:r>
                    <w:rPr>
                      <w:color w:val="auto"/>
                      <w:sz w:val="18"/>
                      <w:szCs w:val="18"/>
                    </w:rPr>
                    <w:t>名称</w:t>
                  </w:r>
                </w:p>
              </w:tc>
              <w:tc>
                <w:tcPr>
                  <w:tcW w:w="2056" w:type="dxa"/>
                  <w:vAlign w:val="center"/>
                </w:tcPr>
                <w:p>
                  <w:pPr>
                    <w:jc w:val="center"/>
                    <w:rPr>
                      <w:color w:val="auto"/>
                      <w:sz w:val="18"/>
                      <w:szCs w:val="18"/>
                    </w:rPr>
                  </w:pPr>
                  <w:r>
                    <w:rPr>
                      <w:color w:val="auto"/>
                      <w:sz w:val="18"/>
                      <w:szCs w:val="18"/>
                    </w:rPr>
                    <w:t>型号及规格</w:t>
                  </w:r>
                </w:p>
              </w:tc>
              <w:tc>
                <w:tcPr>
                  <w:tcW w:w="997" w:type="dxa"/>
                  <w:vAlign w:val="center"/>
                </w:tcPr>
                <w:p>
                  <w:pPr>
                    <w:jc w:val="center"/>
                    <w:rPr>
                      <w:color w:val="auto"/>
                      <w:sz w:val="18"/>
                      <w:szCs w:val="18"/>
                    </w:rPr>
                  </w:pPr>
                  <w:r>
                    <w:rPr>
                      <w:color w:val="auto"/>
                      <w:sz w:val="18"/>
                      <w:szCs w:val="18"/>
                    </w:rPr>
                    <w:t>单位</w:t>
                  </w:r>
                </w:p>
              </w:tc>
              <w:tc>
                <w:tcPr>
                  <w:tcW w:w="701" w:type="dxa"/>
                  <w:vAlign w:val="center"/>
                </w:tcPr>
                <w:p>
                  <w:pPr>
                    <w:jc w:val="center"/>
                    <w:rPr>
                      <w:color w:val="auto"/>
                      <w:sz w:val="18"/>
                      <w:szCs w:val="18"/>
                    </w:rPr>
                  </w:pPr>
                  <w:r>
                    <w:rPr>
                      <w:color w:val="auto"/>
                      <w:sz w:val="18"/>
                      <w:szCs w:val="18"/>
                    </w:rPr>
                    <w:t>数量</w:t>
                  </w:r>
                </w:p>
              </w:tc>
              <w:tc>
                <w:tcPr>
                  <w:tcW w:w="1334" w:type="dxa"/>
                  <w:vAlign w:val="center"/>
                </w:tcPr>
                <w:p>
                  <w:pPr>
                    <w:jc w:val="center"/>
                    <w:rPr>
                      <w:color w:val="auto"/>
                      <w:sz w:val="18"/>
                      <w:szCs w:val="18"/>
                    </w:rPr>
                  </w:pPr>
                  <w:r>
                    <w:rPr>
                      <w:color w:val="auto"/>
                      <w:sz w:val="18"/>
                      <w:szCs w:val="18"/>
                    </w:rPr>
                    <w:t>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1</w:t>
                  </w:r>
                </w:p>
              </w:tc>
              <w:tc>
                <w:tcPr>
                  <w:tcW w:w="2198" w:type="dxa"/>
                  <w:vAlign w:val="center"/>
                </w:tcPr>
                <w:p>
                  <w:pPr>
                    <w:jc w:val="center"/>
                    <w:rPr>
                      <w:color w:val="auto"/>
                      <w:sz w:val="18"/>
                      <w:szCs w:val="18"/>
                    </w:rPr>
                  </w:pPr>
                  <w:r>
                    <w:rPr>
                      <w:rFonts w:hint="eastAsia"/>
                      <w:color w:val="auto"/>
                      <w:sz w:val="18"/>
                      <w:szCs w:val="18"/>
                    </w:rPr>
                    <w:t>血常规</w:t>
                  </w:r>
                </w:p>
              </w:tc>
              <w:tc>
                <w:tcPr>
                  <w:tcW w:w="2056" w:type="dxa"/>
                  <w:vAlign w:val="center"/>
                </w:tcPr>
                <w:p>
                  <w:pPr>
                    <w:jc w:val="center"/>
                    <w:rPr>
                      <w:color w:val="auto"/>
                      <w:sz w:val="18"/>
                      <w:szCs w:val="18"/>
                    </w:rPr>
                  </w:pPr>
                  <w:r>
                    <w:rPr>
                      <w:rFonts w:hint="eastAsia"/>
                      <w:color w:val="auto"/>
                      <w:sz w:val="18"/>
                      <w:szCs w:val="18"/>
                    </w:rPr>
                    <w:t>BC</w:t>
                  </w:r>
                  <w:r>
                    <w:rPr>
                      <w:color w:val="auto"/>
                      <w:sz w:val="18"/>
                      <w:szCs w:val="18"/>
                    </w:rPr>
                    <w:t>-2800Vet</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化验</w:t>
                  </w:r>
                  <w:r>
                    <w:rPr>
                      <w:color w:val="auto"/>
                      <w:sz w:val="18"/>
                      <w:szCs w:val="18"/>
                    </w:rPr>
                    <w:t>药房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2</w:t>
                  </w:r>
                </w:p>
              </w:tc>
              <w:tc>
                <w:tcPr>
                  <w:tcW w:w="2198" w:type="dxa"/>
                  <w:vAlign w:val="center"/>
                </w:tcPr>
                <w:p>
                  <w:pPr>
                    <w:jc w:val="center"/>
                    <w:rPr>
                      <w:color w:val="auto"/>
                      <w:sz w:val="18"/>
                      <w:szCs w:val="18"/>
                    </w:rPr>
                  </w:pPr>
                  <w:r>
                    <w:rPr>
                      <w:rFonts w:hint="eastAsia"/>
                      <w:color w:val="auto"/>
                      <w:sz w:val="18"/>
                      <w:szCs w:val="18"/>
                    </w:rPr>
                    <w:t>显微镜</w:t>
                  </w:r>
                </w:p>
              </w:tc>
              <w:tc>
                <w:tcPr>
                  <w:tcW w:w="2056" w:type="dxa"/>
                  <w:vAlign w:val="center"/>
                </w:tcPr>
                <w:p>
                  <w:pPr>
                    <w:jc w:val="center"/>
                    <w:rPr>
                      <w:color w:val="auto"/>
                      <w:sz w:val="18"/>
                      <w:szCs w:val="18"/>
                    </w:rPr>
                  </w:pPr>
                  <w:r>
                    <w:rPr>
                      <w:rFonts w:hint="eastAsia"/>
                      <w:color w:val="auto"/>
                      <w:sz w:val="18"/>
                      <w:szCs w:val="18"/>
                    </w:rPr>
                    <w:t>奥林巴斯CX23</w:t>
                  </w:r>
                  <w:r>
                    <w:rPr>
                      <w:color w:val="auto"/>
                      <w:sz w:val="18"/>
                      <w:szCs w:val="18"/>
                    </w:rPr>
                    <w:t>+</w:t>
                  </w:r>
                  <w:r>
                    <w:rPr>
                      <w:rFonts w:hint="eastAsia"/>
                      <w:color w:val="auto"/>
                      <w:sz w:val="18"/>
                      <w:szCs w:val="18"/>
                    </w:rPr>
                    <w:t>摄像头</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化验</w:t>
                  </w:r>
                  <w:r>
                    <w:rPr>
                      <w:color w:val="auto"/>
                      <w:sz w:val="18"/>
                      <w:szCs w:val="18"/>
                    </w:rPr>
                    <w:t>药房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3</w:t>
                  </w:r>
                </w:p>
              </w:tc>
              <w:tc>
                <w:tcPr>
                  <w:tcW w:w="2198" w:type="dxa"/>
                  <w:vAlign w:val="center"/>
                </w:tcPr>
                <w:p>
                  <w:pPr>
                    <w:jc w:val="center"/>
                    <w:rPr>
                      <w:color w:val="auto"/>
                      <w:sz w:val="18"/>
                      <w:szCs w:val="18"/>
                    </w:rPr>
                  </w:pPr>
                  <w:r>
                    <w:rPr>
                      <w:rFonts w:hint="eastAsia"/>
                      <w:color w:val="auto"/>
                      <w:sz w:val="18"/>
                      <w:szCs w:val="18"/>
                    </w:rPr>
                    <w:t>血压计</w:t>
                  </w:r>
                </w:p>
              </w:tc>
              <w:tc>
                <w:tcPr>
                  <w:tcW w:w="2056" w:type="dxa"/>
                  <w:vAlign w:val="center"/>
                </w:tcPr>
                <w:p>
                  <w:pPr>
                    <w:jc w:val="center"/>
                    <w:rPr>
                      <w:color w:val="auto"/>
                      <w:sz w:val="18"/>
                      <w:szCs w:val="18"/>
                    </w:rPr>
                  </w:pP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化验</w:t>
                  </w:r>
                  <w:r>
                    <w:rPr>
                      <w:color w:val="auto"/>
                      <w:sz w:val="18"/>
                      <w:szCs w:val="18"/>
                    </w:rPr>
                    <w:t>药房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4</w:t>
                  </w:r>
                </w:p>
              </w:tc>
              <w:tc>
                <w:tcPr>
                  <w:tcW w:w="2198" w:type="dxa"/>
                  <w:vAlign w:val="center"/>
                </w:tcPr>
                <w:p>
                  <w:pPr>
                    <w:jc w:val="center"/>
                    <w:rPr>
                      <w:color w:val="auto"/>
                      <w:sz w:val="18"/>
                      <w:szCs w:val="18"/>
                    </w:rPr>
                  </w:pPr>
                  <w:r>
                    <w:rPr>
                      <w:rFonts w:hint="eastAsia"/>
                      <w:color w:val="auto"/>
                      <w:sz w:val="18"/>
                      <w:szCs w:val="18"/>
                    </w:rPr>
                    <w:t>荧光</w:t>
                  </w:r>
                  <w:r>
                    <w:rPr>
                      <w:color w:val="auto"/>
                      <w:sz w:val="18"/>
                      <w:szCs w:val="18"/>
                    </w:rPr>
                    <w:t>定量分析仪</w:t>
                  </w:r>
                </w:p>
              </w:tc>
              <w:tc>
                <w:tcPr>
                  <w:tcW w:w="2056" w:type="dxa"/>
                  <w:vAlign w:val="center"/>
                </w:tcPr>
                <w:p>
                  <w:pPr>
                    <w:jc w:val="center"/>
                    <w:rPr>
                      <w:color w:val="auto"/>
                      <w:sz w:val="18"/>
                      <w:szCs w:val="18"/>
                    </w:rPr>
                  </w:pPr>
                  <w:r>
                    <w:rPr>
                      <w:rFonts w:hint="eastAsia"/>
                      <w:color w:val="auto"/>
                      <w:sz w:val="18"/>
                      <w:szCs w:val="18"/>
                    </w:rPr>
                    <w:t>安捷</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化验</w:t>
                  </w:r>
                  <w:r>
                    <w:rPr>
                      <w:color w:val="auto"/>
                      <w:sz w:val="18"/>
                      <w:szCs w:val="18"/>
                    </w:rPr>
                    <w:t>药房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5</w:t>
                  </w:r>
                </w:p>
              </w:tc>
              <w:tc>
                <w:tcPr>
                  <w:tcW w:w="2198" w:type="dxa"/>
                  <w:vAlign w:val="center"/>
                </w:tcPr>
                <w:p>
                  <w:pPr>
                    <w:jc w:val="center"/>
                    <w:rPr>
                      <w:color w:val="auto"/>
                      <w:sz w:val="18"/>
                      <w:szCs w:val="18"/>
                    </w:rPr>
                  </w:pPr>
                  <w:r>
                    <w:rPr>
                      <w:rFonts w:hint="eastAsia"/>
                      <w:color w:val="auto"/>
                      <w:sz w:val="18"/>
                      <w:szCs w:val="18"/>
                    </w:rPr>
                    <w:t>恒温箱</w:t>
                  </w:r>
                </w:p>
              </w:tc>
              <w:tc>
                <w:tcPr>
                  <w:tcW w:w="2056" w:type="dxa"/>
                  <w:vAlign w:val="center"/>
                </w:tcPr>
                <w:p>
                  <w:pPr>
                    <w:jc w:val="center"/>
                    <w:rPr>
                      <w:color w:val="auto"/>
                      <w:sz w:val="18"/>
                      <w:szCs w:val="18"/>
                    </w:rPr>
                  </w:pPr>
                  <w:r>
                    <w:rPr>
                      <w:rFonts w:hint="eastAsia"/>
                      <w:color w:val="auto"/>
                      <w:sz w:val="18"/>
                      <w:szCs w:val="18"/>
                    </w:rPr>
                    <w:t>深圳</w:t>
                  </w:r>
                  <w:r>
                    <w:rPr>
                      <w:color w:val="auto"/>
                      <w:sz w:val="18"/>
                      <w:szCs w:val="18"/>
                    </w:rPr>
                    <w:t>三九</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化验</w:t>
                  </w:r>
                  <w:r>
                    <w:rPr>
                      <w:color w:val="auto"/>
                      <w:sz w:val="18"/>
                      <w:szCs w:val="18"/>
                    </w:rPr>
                    <w:t>药房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6</w:t>
                  </w:r>
                </w:p>
              </w:tc>
              <w:tc>
                <w:tcPr>
                  <w:tcW w:w="2198" w:type="dxa"/>
                  <w:vAlign w:val="center"/>
                </w:tcPr>
                <w:p>
                  <w:pPr>
                    <w:jc w:val="center"/>
                    <w:rPr>
                      <w:color w:val="auto"/>
                      <w:sz w:val="18"/>
                      <w:szCs w:val="18"/>
                    </w:rPr>
                  </w:pPr>
                  <w:r>
                    <w:rPr>
                      <w:rFonts w:hint="eastAsia"/>
                      <w:color w:val="auto"/>
                      <w:sz w:val="18"/>
                      <w:szCs w:val="18"/>
                    </w:rPr>
                    <w:t>输液泵</w:t>
                  </w:r>
                </w:p>
              </w:tc>
              <w:tc>
                <w:tcPr>
                  <w:tcW w:w="2056" w:type="dxa"/>
                  <w:vAlign w:val="center"/>
                </w:tcPr>
                <w:p>
                  <w:pPr>
                    <w:jc w:val="center"/>
                    <w:rPr>
                      <w:color w:val="auto"/>
                      <w:sz w:val="18"/>
                      <w:szCs w:val="18"/>
                    </w:rPr>
                  </w:pPr>
                  <w:r>
                    <w:rPr>
                      <w:rFonts w:hint="eastAsia"/>
                      <w:color w:val="auto"/>
                      <w:sz w:val="18"/>
                      <w:szCs w:val="18"/>
                    </w:rPr>
                    <w:t>恒丰</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5</w:t>
                  </w:r>
                </w:p>
              </w:tc>
              <w:tc>
                <w:tcPr>
                  <w:tcW w:w="1334" w:type="dxa"/>
                  <w:vAlign w:val="center"/>
                </w:tcPr>
                <w:p>
                  <w:pPr>
                    <w:jc w:val="center"/>
                    <w:rPr>
                      <w:color w:val="auto"/>
                      <w:sz w:val="18"/>
                      <w:szCs w:val="18"/>
                    </w:rPr>
                  </w:pPr>
                  <w:r>
                    <w:rPr>
                      <w:rFonts w:hint="eastAsia"/>
                      <w:color w:val="auto"/>
                      <w:sz w:val="18"/>
                      <w:szCs w:val="18"/>
                    </w:rPr>
                    <w:t>住院部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7</w:t>
                  </w:r>
                </w:p>
              </w:tc>
              <w:tc>
                <w:tcPr>
                  <w:tcW w:w="2198" w:type="dxa"/>
                  <w:vAlign w:val="center"/>
                </w:tcPr>
                <w:p>
                  <w:pPr>
                    <w:jc w:val="center"/>
                    <w:rPr>
                      <w:color w:val="auto"/>
                      <w:sz w:val="18"/>
                      <w:szCs w:val="18"/>
                    </w:rPr>
                  </w:pPr>
                  <w:r>
                    <w:rPr>
                      <w:rFonts w:hint="eastAsia"/>
                      <w:color w:val="auto"/>
                      <w:sz w:val="18"/>
                      <w:szCs w:val="18"/>
                    </w:rPr>
                    <w:t>氧气机</w:t>
                  </w:r>
                </w:p>
              </w:tc>
              <w:tc>
                <w:tcPr>
                  <w:tcW w:w="2056" w:type="dxa"/>
                  <w:vAlign w:val="center"/>
                </w:tcPr>
                <w:p>
                  <w:pPr>
                    <w:jc w:val="center"/>
                    <w:rPr>
                      <w:color w:val="auto"/>
                      <w:sz w:val="18"/>
                      <w:szCs w:val="18"/>
                    </w:rPr>
                  </w:pPr>
                  <w:r>
                    <w:rPr>
                      <w:rFonts w:hint="eastAsia"/>
                      <w:color w:val="auto"/>
                      <w:sz w:val="18"/>
                      <w:szCs w:val="18"/>
                    </w:rPr>
                    <w:t>鱼跃</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住院部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8</w:t>
                  </w:r>
                </w:p>
              </w:tc>
              <w:tc>
                <w:tcPr>
                  <w:tcW w:w="2198" w:type="dxa"/>
                  <w:vAlign w:val="center"/>
                </w:tcPr>
                <w:p>
                  <w:pPr>
                    <w:jc w:val="center"/>
                    <w:rPr>
                      <w:color w:val="auto"/>
                      <w:sz w:val="18"/>
                      <w:szCs w:val="18"/>
                    </w:rPr>
                  </w:pPr>
                  <w:r>
                    <w:rPr>
                      <w:rFonts w:hint="eastAsia"/>
                      <w:color w:val="auto"/>
                      <w:sz w:val="18"/>
                      <w:szCs w:val="18"/>
                    </w:rPr>
                    <w:t>耳镜</w:t>
                  </w:r>
                </w:p>
              </w:tc>
              <w:tc>
                <w:tcPr>
                  <w:tcW w:w="2056" w:type="dxa"/>
                  <w:vAlign w:val="center"/>
                </w:tcPr>
                <w:p>
                  <w:pPr>
                    <w:jc w:val="center"/>
                    <w:rPr>
                      <w:color w:val="auto"/>
                      <w:sz w:val="18"/>
                      <w:szCs w:val="18"/>
                    </w:rPr>
                  </w:pPr>
                  <w:r>
                    <w:rPr>
                      <w:rFonts w:hint="eastAsia"/>
                      <w:color w:val="auto"/>
                      <w:sz w:val="18"/>
                      <w:szCs w:val="18"/>
                    </w:rPr>
                    <w:t>DERRY</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诊室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9</w:t>
                  </w:r>
                </w:p>
              </w:tc>
              <w:tc>
                <w:tcPr>
                  <w:tcW w:w="2198" w:type="dxa"/>
                  <w:vAlign w:val="center"/>
                </w:tcPr>
                <w:p>
                  <w:pPr>
                    <w:jc w:val="center"/>
                    <w:rPr>
                      <w:color w:val="auto"/>
                      <w:sz w:val="18"/>
                      <w:szCs w:val="18"/>
                    </w:rPr>
                  </w:pPr>
                  <w:r>
                    <w:rPr>
                      <w:rFonts w:hint="eastAsia"/>
                      <w:color w:val="auto"/>
                      <w:sz w:val="18"/>
                      <w:szCs w:val="18"/>
                    </w:rPr>
                    <w:t>喉镜</w:t>
                  </w:r>
                </w:p>
              </w:tc>
              <w:tc>
                <w:tcPr>
                  <w:tcW w:w="2056" w:type="dxa"/>
                  <w:vAlign w:val="center"/>
                </w:tcPr>
                <w:p>
                  <w:pPr>
                    <w:jc w:val="center"/>
                    <w:rPr>
                      <w:color w:val="auto"/>
                      <w:sz w:val="18"/>
                      <w:szCs w:val="18"/>
                    </w:rPr>
                  </w:pPr>
                  <w:r>
                    <w:rPr>
                      <w:rFonts w:hint="eastAsia"/>
                      <w:color w:val="auto"/>
                      <w:sz w:val="18"/>
                      <w:szCs w:val="18"/>
                    </w:rPr>
                    <w:t>DERRY</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诊室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10</w:t>
                  </w:r>
                </w:p>
              </w:tc>
              <w:tc>
                <w:tcPr>
                  <w:tcW w:w="2198" w:type="dxa"/>
                  <w:vAlign w:val="center"/>
                </w:tcPr>
                <w:p>
                  <w:pPr>
                    <w:jc w:val="center"/>
                    <w:rPr>
                      <w:color w:val="auto"/>
                      <w:sz w:val="18"/>
                      <w:szCs w:val="18"/>
                    </w:rPr>
                  </w:pPr>
                  <w:r>
                    <w:rPr>
                      <w:rFonts w:hint="eastAsia"/>
                      <w:color w:val="auto"/>
                      <w:sz w:val="18"/>
                      <w:szCs w:val="18"/>
                    </w:rPr>
                    <w:t>听诊器</w:t>
                  </w:r>
                </w:p>
              </w:tc>
              <w:tc>
                <w:tcPr>
                  <w:tcW w:w="2056" w:type="dxa"/>
                  <w:vAlign w:val="center"/>
                </w:tcPr>
                <w:p>
                  <w:pPr>
                    <w:jc w:val="center"/>
                    <w:rPr>
                      <w:color w:val="auto"/>
                      <w:sz w:val="18"/>
                      <w:szCs w:val="18"/>
                    </w:rPr>
                  </w:pPr>
                  <w:r>
                    <w:rPr>
                      <w:rFonts w:hint="eastAsia"/>
                      <w:color w:val="auto"/>
                      <w:sz w:val="18"/>
                      <w:szCs w:val="18"/>
                    </w:rPr>
                    <w:t>鱼跃</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2</w:t>
                  </w:r>
                </w:p>
              </w:tc>
              <w:tc>
                <w:tcPr>
                  <w:tcW w:w="1334" w:type="dxa"/>
                  <w:vAlign w:val="center"/>
                </w:tcPr>
                <w:p>
                  <w:pPr>
                    <w:jc w:val="center"/>
                    <w:rPr>
                      <w:color w:val="auto"/>
                      <w:sz w:val="18"/>
                      <w:szCs w:val="18"/>
                    </w:rPr>
                  </w:pPr>
                  <w:r>
                    <w:rPr>
                      <w:rFonts w:hint="eastAsia"/>
                      <w:color w:val="auto"/>
                      <w:sz w:val="18"/>
                      <w:szCs w:val="18"/>
                    </w:rPr>
                    <w:t>诊室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11</w:t>
                  </w:r>
                </w:p>
              </w:tc>
              <w:tc>
                <w:tcPr>
                  <w:tcW w:w="2198" w:type="dxa"/>
                  <w:vAlign w:val="center"/>
                </w:tcPr>
                <w:p>
                  <w:pPr>
                    <w:jc w:val="center"/>
                    <w:rPr>
                      <w:color w:val="auto"/>
                      <w:sz w:val="18"/>
                      <w:szCs w:val="18"/>
                    </w:rPr>
                  </w:pPr>
                  <w:r>
                    <w:rPr>
                      <w:rFonts w:hint="eastAsia"/>
                      <w:color w:val="auto"/>
                      <w:sz w:val="18"/>
                      <w:szCs w:val="18"/>
                    </w:rPr>
                    <w:t>手术灯</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12</w:t>
                  </w:r>
                </w:p>
              </w:tc>
              <w:tc>
                <w:tcPr>
                  <w:tcW w:w="2198" w:type="dxa"/>
                  <w:vAlign w:val="center"/>
                </w:tcPr>
                <w:p>
                  <w:pPr>
                    <w:jc w:val="center"/>
                    <w:rPr>
                      <w:color w:val="auto"/>
                      <w:sz w:val="18"/>
                      <w:szCs w:val="18"/>
                    </w:rPr>
                  </w:pPr>
                  <w:r>
                    <w:rPr>
                      <w:rFonts w:hint="eastAsia"/>
                      <w:color w:val="auto"/>
                      <w:sz w:val="18"/>
                      <w:szCs w:val="18"/>
                    </w:rPr>
                    <w:t>手术</w:t>
                  </w:r>
                  <w:r>
                    <w:rPr>
                      <w:color w:val="auto"/>
                      <w:sz w:val="18"/>
                      <w:szCs w:val="18"/>
                    </w:rPr>
                    <w:t>床</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13</w:t>
                  </w:r>
                </w:p>
              </w:tc>
              <w:tc>
                <w:tcPr>
                  <w:tcW w:w="2198" w:type="dxa"/>
                  <w:vAlign w:val="center"/>
                </w:tcPr>
                <w:p>
                  <w:pPr>
                    <w:jc w:val="center"/>
                    <w:rPr>
                      <w:color w:val="auto"/>
                      <w:sz w:val="18"/>
                      <w:szCs w:val="18"/>
                    </w:rPr>
                  </w:pPr>
                  <w:r>
                    <w:rPr>
                      <w:rFonts w:hint="eastAsia"/>
                      <w:color w:val="auto"/>
                      <w:sz w:val="18"/>
                      <w:szCs w:val="18"/>
                    </w:rPr>
                    <w:t>紫外线</w:t>
                  </w:r>
                  <w:r>
                    <w:rPr>
                      <w:color w:val="auto"/>
                      <w:sz w:val="18"/>
                      <w:szCs w:val="18"/>
                    </w:rPr>
                    <w:t>消毒灯</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14</w:t>
                  </w:r>
                </w:p>
              </w:tc>
              <w:tc>
                <w:tcPr>
                  <w:tcW w:w="2198" w:type="dxa"/>
                  <w:vAlign w:val="center"/>
                </w:tcPr>
                <w:p>
                  <w:pPr>
                    <w:jc w:val="center"/>
                    <w:rPr>
                      <w:color w:val="auto"/>
                      <w:sz w:val="18"/>
                      <w:szCs w:val="18"/>
                    </w:rPr>
                  </w:pPr>
                  <w:r>
                    <w:rPr>
                      <w:rFonts w:hint="eastAsia"/>
                      <w:color w:val="auto"/>
                      <w:sz w:val="18"/>
                      <w:szCs w:val="18"/>
                    </w:rPr>
                    <w:t>心电</w:t>
                  </w:r>
                  <w:r>
                    <w:rPr>
                      <w:color w:val="auto"/>
                      <w:sz w:val="18"/>
                      <w:szCs w:val="18"/>
                    </w:rPr>
                    <w:t>监护仪</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15</w:t>
                  </w:r>
                </w:p>
              </w:tc>
              <w:tc>
                <w:tcPr>
                  <w:tcW w:w="2198" w:type="dxa"/>
                  <w:vAlign w:val="center"/>
                </w:tcPr>
                <w:p>
                  <w:pPr>
                    <w:jc w:val="center"/>
                    <w:rPr>
                      <w:color w:val="auto"/>
                      <w:sz w:val="18"/>
                      <w:szCs w:val="18"/>
                    </w:rPr>
                  </w:pPr>
                  <w:r>
                    <w:rPr>
                      <w:rFonts w:hint="eastAsia"/>
                      <w:color w:val="auto"/>
                      <w:sz w:val="18"/>
                      <w:szCs w:val="18"/>
                    </w:rPr>
                    <w:t>洗牙机</w:t>
                  </w:r>
                </w:p>
              </w:tc>
              <w:tc>
                <w:tcPr>
                  <w:tcW w:w="2056" w:type="dxa"/>
                  <w:vAlign w:val="center"/>
                </w:tcPr>
                <w:p>
                  <w:pPr>
                    <w:jc w:val="center"/>
                    <w:rPr>
                      <w:color w:val="auto"/>
                      <w:sz w:val="18"/>
                      <w:szCs w:val="18"/>
                    </w:rPr>
                  </w:pPr>
                  <w:r>
                    <w:rPr>
                      <w:rFonts w:hint="eastAsia"/>
                      <w:color w:val="auto"/>
                      <w:sz w:val="18"/>
                      <w:szCs w:val="18"/>
                    </w:rPr>
                    <w:t>鱼跃</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16</w:t>
                  </w:r>
                </w:p>
              </w:tc>
              <w:tc>
                <w:tcPr>
                  <w:tcW w:w="2198" w:type="dxa"/>
                  <w:vAlign w:val="center"/>
                </w:tcPr>
                <w:p>
                  <w:pPr>
                    <w:jc w:val="center"/>
                    <w:rPr>
                      <w:color w:val="auto"/>
                      <w:sz w:val="18"/>
                      <w:szCs w:val="18"/>
                    </w:rPr>
                  </w:pPr>
                  <w:r>
                    <w:rPr>
                      <w:rFonts w:hint="eastAsia"/>
                      <w:color w:val="auto"/>
                      <w:sz w:val="18"/>
                      <w:szCs w:val="18"/>
                    </w:rPr>
                    <w:t>高压</w:t>
                  </w:r>
                  <w:r>
                    <w:rPr>
                      <w:color w:val="auto"/>
                      <w:sz w:val="18"/>
                      <w:szCs w:val="18"/>
                    </w:rPr>
                    <w:t>灭菌锅</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17</w:t>
                  </w:r>
                </w:p>
              </w:tc>
              <w:tc>
                <w:tcPr>
                  <w:tcW w:w="2198" w:type="dxa"/>
                  <w:vAlign w:val="center"/>
                </w:tcPr>
                <w:p>
                  <w:pPr>
                    <w:jc w:val="center"/>
                    <w:rPr>
                      <w:color w:val="auto"/>
                      <w:sz w:val="18"/>
                      <w:szCs w:val="18"/>
                    </w:rPr>
                  </w:pPr>
                  <w:r>
                    <w:rPr>
                      <w:rFonts w:hint="eastAsia"/>
                      <w:color w:val="auto"/>
                      <w:sz w:val="18"/>
                      <w:szCs w:val="18"/>
                    </w:rPr>
                    <w:t>骨科</w:t>
                  </w:r>
                  <w:r>
                    <w:rPr>
                      <w:color w:val="auto"/>
                      <w:sz w:val="18"/>
                      <w:szCs w:val="18"/>
                    </w:rPr>
                    <w:t>器械包</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18</w:t>
                  </w:r>
                </w:p>
              </w:tc>
              <w:tc>
                <w:tcPr>
                  <w:tcW w:w="2198" w:type="dxa"/>
                  <w:vAlign w:val="center"/>
                </w:tcPr>
                <w:p>
                  <w:pPr>
                    <w:jc w:val="center"/>
                    <w:rPr>
                      <w:color w:val="auto"/>
                      <w:sz w:val="18"/>
                      <w:szCs w:val="18"/>
                    </w:rPr>
                  </w:pPr>
                  <w:r>
                    <w:rPr>
                      <w:rFonts w:hint="eastAsia"/>
                      <w:color w:val="auto"/>
                      <w:sz w:val="18"/>
                      <w:szCs w:val="18"/>
                    </w:rPr>
                    <w:t>常规</w:t>
                  </w:r>
                  <w:r>
                    <w:rPr>
                      <w:color w:val="auto"/>
                      <w:sz w:val="18"/>
                      <w:szCs w:val="18"/>
                    </w:rPr>
                    <w:t>器械包</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个</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19</w:t>
                  </w:r>
                </w:p>
              </w:tc>
              <w:tc>
                <w:tcPr>
                  <w:tcW w:w="2198" w:type="dxa"/>
                  <w:vAlign w:val="center"/>
                </w:tcPr>
                <w:p>
                  <w:pPr>
                    <w:jc w:val="center"/>
                    <w:rPr>
                      <w:color w:val="auto"/>
                      <w:sz w:val="18"/>
                      <w:szCs w:val="18"/>
                    </w:rPr>
                  </w:pPr>
                  <w:r>
                    <w:rPr>
                      <w:rFonts w:hint="eastAsia"/>
                      <w:color w:val="auto"/>
                      <w:sz w:val="18"/>
                      <w:szCs w:val="18"/>
                    </w:rPr>
                    <w:t>麻醉机</w:t>
                  </w:r>
                </w:p>
              </w:tc>
              <w:tc>
                <w:tcPr>
                  <w:tcW w:w="2056" w:type="dxa"/>
                  <w:vAlign w:val="center"/>
                </w:tcPr>
                <w:p>
                  <w:pPr>
                    <w:jc w:val="center"/>
                    <w:rPr>
                      <w:color w:val="auto"/>
                      <w:sz w:val="18"/>
                      <w:szCs w:val="18"/>
                    </w:rPr>
                  </w:pPr>
                  <w:r>
                    <w:rPr>
                      <w:rFonts w:hint="eastAsia"/>
                      <w:color w:val="auto"/>
                      <w:sz w:val="18"/>
                      <w:szCs w:val="18"/>
                    </w:rPr>
                    <w:t>DERRY</w:t>
                  </w:r>
                </w:p>
              </w:tc>
              <w:tc>
                <w:tcPr>
                  <w:tcW w:w="997" w:type="dxa"/>
                  <w:vAlign w:val="center"/>
                </w:tcPr>
                <w:p>
                  <w:pPr>
                    <w:jc w:val="center"/>
                    <w:rPr>
                      <w:color w:val="auto"/>
                      <w:sz w:val="18"/>
                      <w:szCs w:val="18"/>
                    </w:rPr>
                  </w:pPr>
                  <w:r>
                    <w:rPr>
                      <w:rFonts w:hint="eastAsia"/>
                      <w:color w:val="auto"/>
                      <w:sz w:val="18"/>
                      <w:szCs w:val="18"/>
                    </w:rPr>
                    <w:t>包</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rFonts w:hint="eastAsia"/>
                      <w:color w:val="auto"/>
                      <w:sz w:val="18"/>
                      <w:szCs w:val="18"/>
                    </w:rPr>
                    <w:t>20</w:t>
                  </w:r>
                </w:p>
              </w:tc>
              <w:tc>
                <w:tcPr>
                  <w:tcW w:w="2198" w:type="dxa"/>
                  <w:vAlign w:val="center"/>
                </w:tcPr>
                <w:p>
                  <w:pPr>
                    <w:jc w:val="center"/>
                    <w:rPr>
                      <w:color w:val="auto"/>
                      <w:sz w:val="18"/>
                      <w:szCs w:val="18"/>
                    </w:rPr>
                  </w:pPr>
                  <w:r>
                    <w:rPr>
                      <w:rFonts w:hint="eastAsia"/>
                      <w:color w:val="auto"/>
                      <w:sz w:val="18"/>
                      <w:szCs w:val="18"/>
                    </w:rPr>
                    <w:t>废水</w:t>
                  </w:r>
                  <w:r>
                    <w:rPr>
                      <w:color w:val="auto"/>
                      <w:sz w:val="18"/>
                      <w:szCs w:val="18"/>
                    </w:rPr>
                    <w:t>缓释消毒器</w:t>
                  </w:r>
                </w:p>
              </w:tc>
              <w:tc>
                <w:tcPr>
                  <w:tcW w:w="2056" w:type="dxa"/>
                  <w:vAlign w:val="center"/>
                </w:tcPr>
                <w:p>
                  <w:pPr>
                    <w:jc w:val="center"/>
                    <w:rPr>
                      <w:color w:val="auto"/>
                      <w:sz w:val="18"/>
                      <w:szCs w:val="18"/>
                    </w:rPr>
                  </w:pPr>
                  <w:r>
                    <w:rPr>
                      <w:rFonts w:hint="eastAsia"/>
                      <w:color w:val="auto"/>
                      <w:sz w:val="18"/>
                      <w:szCs w:val="18"/>
                    </w:rPr>
                    <w:t>HE-50</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手术室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rFonts w:hint="eastAsia"/>
                      <w:color w:val="auto"/>
                      <w:sz w:val="18"/>
                      <w:szCs w:val="18"/>
                    </w:rPr>
                  </w:pPr>
                  <w:r>
                    <w:rPr>
                      <w:rFonts w:hint="eastAsia"/>
                      <w:color w:val="auto"/>
                      <w:sz w:val="18"/>
                      <w:szCs w:val="18"/>
                    </w:rPr>
                    <w:t>21</w:t>
                  </w:r>
                </w:p>
              </w:tc>
              <w:tc>
                <w:tcPr>
                  <w:tcW w:w="2198" w:type="dxa"/>
                  <w:vAlign w:val="center"/>
                </w:tcPr>
                <w:p>
                  <w:pPr>
                    <w:jc w:val="center"/>
                    <w:rPr>
                      <w:rFonts w:hint="eastAsia"/>
                      <w:color w:val="auto"/>
                      <w:sz w:val="18"/>
                      <w:szCs w:val="18"/>
                    </w:rPr>
                  </w:pPr>
                  <w:r>
                    <w:rPr>
                      <w:rFonts w:hint="eastAsia"/>
                      <w:color w:val="auto"/>
                      <w:sz w:val="18"/>
                      <w:szCs w:val="18"/>
                    </w:rPr>
                    <w:t>B超</w:t>
                  </w:r>
                </w:p>
              </w:tc>
              <w:tc>
                <w:tcPr>
                  <w:tcW w:w="2056" w:type="dxa"/>
                  <w:vAlign w:val="center"/>
                </w:tcPr>
                <w:p>
                  <w:pPr>
                    <w:jc w:val="center"/>
                    <w:rPr>
                      <w:rFonts w:hint="eastAsia"/>
                      <w:color w:val="auto"/>
                      <w:sz w:val="18"/>
                      <w:szCs w:val="18"/>
                    </w:rPr>
                  </w:pPr>
                  <w:r>
                    <w:rPr>
                      <w:rFonts w:hint="eastAsia"/>
                      <w:color w:val="auto"/>
                      <w:sz w:val="18"/>
                      <w:szCs w:val="18"/>
                    </w:rPr>
                    <w:t>/</w:t>
                  </w:r>
                </w:p>
              </w:tc>
              <w:tc>
                <w:tcPr>
                  <w:tcW w:w="997" w:type="dxa"/>
                  <w:vAlign w:val="center"/>
                </w:tcPr>
                <w:p>
                  <w:pPr>
                    <w:jc w:val="center"/>
                    <w:rPr>
                      <w:rFonts w:hint="eastAsia"/>
                      <w:color w:val="auto"/>
                      <w:sz w:val="18"/>
                      <w:szCs w:val="18"/>
                    </w:rPr>
                  </w:pPr>
                  <w:r>
                    <w:rPr>
                      <w:rFonts w:hint="eastAsia"/>
                      <w:color w:val="auto"/>
                      <w:sz w:val="18"/>
                      <w:szCs w:val="18"/>
                    </w:rPr>
                    <w:t>台</w:t>
                  </w:r>
                </w:p>
              </w:tc>
              <w:tc>
                <w:tcPr>
                  <w:tcW w:w="701" w:type="dxa"/>
                  <w:vAlign w:val="center"/>
                </w:tcPr>
                <w:p>
                  <w:pPr>
                    <w:jc w:val="center"/>
                    <w:rPr>
                      <w:rFonts w:hint="eastAsia"/>
                      <w:color w:val="auto"/>
                      <w:sz w:val="18"/>
                      <w:szCs w:val="18"/>
                    </w:rPr>
                  </w:pPr>
                  <w:r>
                    <w:rPr>
                      <w:rFonts w:hint="eastAsia"/>
                      <w:color w:val="auto"/>
                      <w:sz w:val="18"/>
                      <w:szCs w:val="18"/>
                    </w:rPr>
                    <w:t>1</w:t>
                  </w:r>
                </w:p>
              </w:tc>
              <w:tc>
                <w:tcPr>
                  <w:tcW w:w="1334" w:type="dxa"/>
                  <w:vAlign w:val="center"/>
                </w:tcPr>
                <w:p>
                  <w:pPr>
                    <w:jc w:val="center"/>
                    <w:rPr>
                      <w:rFonts w:hint="eastAsia"/>
                      <w:color w:val="auto"/>
                      <w:sz w:val="18"/>
                      <w:szCs w:val="18"/>
                    </w:rPr>
                  </w:pPr>
                  <w:r>
                    <w:rPr>
                      <w:rFonts w:hint="eastAsia"/>
                      <w:color w:val="auto"/>
                      <w:sz w:val="18"/>
                      <w:szCs w:val="18"/>
                    </w:rPr>
                    <w:t>影像</w:t>
                  </w:r>
                  <w:r>
                    <w:rPr>
                      <w:color w:val="auto"/>
                      <w:sz w:val="18"/>
                      <w:szCs w:val="18"/>
                    </w:rPr>
                    <w:t>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22</w:t>
                  </w:r>
                </w:p>
              </w:tc>
              <w:tc>
                <w:tcPr>
                  <w:tcW w:w="2198" w:type="dxa"/>
                  <w:vAlign w:val="center"/>
                </w:tcPr>
                <w:p>
                  <w:pPr>
                    <w:jc w:val="center"/>
                    <w:rPr>
                      <w:color w:val="auto"/>
                      <w:sz w:val="18"/>
                      <w:szCs w:val="18"/>
                    </w:rPr>
                  </w:pPr>
                  <w:r>
                    <w:rPr>
                      <w:rFonts w:hint="eastAsia"/>
                      <w:color w:val="auto"/>
                      <w:sz w:val="18"/>
                      <w:szCs w:val="18"/>
                    </w:rPr>
                    <w:t>洗牙机</w:t>
                  </w:r>
                </w:p>
              </w:tc>
              <w:tc>
                <w:tcPr>
                  <w:tcW w:w="2056" w:type="dxa"/>
                  <w:vAlign w:val="center"/>
                </w:tcPr>
                <w:p>
                  <w:pPr>
                    <w:jc w:val="center"/>
                    <w:rPr>
                      <w:color w:val="auto"/>
                      <w:sz w:val="18"/>
                      <w:szCs w:val="18"/>
                    </w:rPr>
                  </w:pPr>
                  <w:r>
                    <w:rPr>
                      <w:rFonts w:hint="eastAsia"/>
                      <w:color w:val="auto"/>
                      <w:sz w:val="18"/>
                      <w:szCs w:val="18"/>
                    </w:rPr>
                    <w:t>超声波</w:t>
                  </w:r>
                  <w:r>
                    <w:rPr>
                      <w:color w:val="auto"/>
                      <w:sz w:val="18"/>
                      <w:szCs w:val="18"/>
                    </w:rPr>
                    <w:t>洗牙机</w:t>
                  </w:r>
                  <w:r>
                    <w:rPr>
                      <w:rFonts w:hint="eastAsia"/>
                      <w:color w:val="auto"/>
                      <w:sz w:val="18"/>
                      <w:szCs w:val="18"/>
                    </w:rPr>
                    <w:t>K型</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美容</w:t>
                  </w:r>
                  <w:r>
                    <w:rPr>
                      <w:color w:val="auto"/>
                      <w:sz w:val="18"/>
                      <w:szCs w:val="18"/>
                    </w:rPr>
                    <w:t>护理室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835" w:type="dxa"/>
                  <w:vAlign w:val="center"/>
                </w:tcPr>
                <w:p>
                  <w:pPr>
                    <w:jc w:val="center"/>
                    <w:rPr>
                      <w:color w:val="auto"/>
                      <w:sz w:val="18"/>
                      <w:szCs w:val="18"/>
                    </w:rPr>
                  </w:pPr>
                  <w:r>
                    <w:rPr>
                      <w:color w:val="auto"/>
                      <w:sz w:val="18"/>
                      <w:szCs w:val="18"/>
                    </w:rPr>
                    <w:t>23</w:t>
                  </w:r>
                </w:p>
              </w:tc>
              <w:tc>
                <w:tcPr>
                  <w:tcW w:w="2198" w:type="dxa"/>
                  <w:vAlign w:val="center"/>
                </w:tcPr>
                <w:p>
                  <w:pPr>
                    <w:jc w:val="center"/>
                    <w:rPr>
                      <w:color w:val="auto"/>
                      <w:sz w:val="18"/>
                      <w:szCs w:val="18"/>
                    </w:rPr>
                  </w:pPr>
                  <w:r>
                    <w:rPr>
                      <w:rFonts w:hint="eastAsia"/>
                      <w:color w:val="auto"/>
                      <w:sz w:val="18"/>
                      <w:szCs w:val="18"/>
                    </w:rPr>
                    <w:t>空调</w:t>
                  </w:r>
                  <w:r>
                    <w:rPr>
                      <w:color w:val="auto"/>
                      <w:sz w:val="18"/>
                      <w:szCs w:val="18"/>
                    </w:rPr>
                    <w:t>机组</w:t>
                  </w:r>
                </w:p>
              </w:tc>
              <w:tc>
                <w:tcPr>
                  <w:tcW w:w="2056" w:type="dxa"/>
                  <w:vAlign w:val="center"/>
                </w:tcPr>
                <w:p>
                  <w:pPr>
                    <w:jc w:val="center"/>
                    <w:rPr>
                      <w:color w:val="auto"/>
                      <w:sz w:val="18"/>
                      <w:szCs w:val="18"/>
                    </w:rPr>
                  </w:pPr>
                  <w:r>
                    <w:rPr>
                      <w:rFonts w:hint="eastAsia"/>
                      <w:color w:val="auto"/>
                      <w:sz w:val="18"/>
                      <w:szCs w:val="18"/>
                    </w:rPr>
                    <w:t>/</w:t>
                  </w:r>
                </w:p>
              </w:tc>
              <w:tc>
                <w:tcPr>
                  <w:tcW w:w="997" w:type="dxa"/>
                  <w:vAlign w:val="center"/>
                </w:tcPr>
                <w:p>
                  <w:pPr>
                    <w:jc w:val="center"/>
                    <w:rPr>
                      <w:color w:val="auto"/>
                      <w:sz w:val="18"/>
                      <w:szCs w:val="18"/>
                    </w:rPr>
                  </w:pPr>
                  <w:r>
                    <w:rPr>
                      <w:rFonts w:hint="eastAsia"/>
                      <w:color w:val="auto"/>
                      <w:sz w:val="18"/>
                      <w:szCs w:val="18"/>
                    </w:rPr>
                    <w:t>台</w:t>
                  </w:r>
                </w:p>
              </w:tc>
              <w:tc>
                <w:tcPr>
                  <w:tcW w:w="701" w:type="dxa"/>
                  <w:vAlign w:val="center"/>
                </w:tcPr>
                <w:p>
                  <w:pPr>
                    <w:jc w:val="center"/>
                    <w:rPr>
                      <w:color w:val="auto"/>
                      <w:sz w:val="18"/>
                      <w:szCs w:val="18"/>
                    </w:rPr>
                  </w:pPr>
                  <w:r>
                    <w:rPr>
                      <w:rFonts w:hint="eastAsia"/>
                      <w:color w:val="auto"/>
                      <w:sz w:val="18"/>
                      <w:szCs w:val="18"/>
                    </w:rPr>
                    <w:t>1</w:t>
                  </w:r>
                </w:p>
              </w:tc>
              <w:tc>
                <w:tcPr>
                  <w:tcW w:w="1334" w:type="dxa"/>
                  <w:vAlign w:val="center"/>
                </w:tcPr>
                <w:p>
                  <w:pPr>
                    <w:jc w:val="center"/>
                    <w:rPr>
                      <w:color w:val="auto"/>
                      <w:sz w:val="18"/>
                      <w:szCs w:val="18"/>
                    </w:rPr>
                  </w:pPr>
                  <w:r>
                    <w:rPr>
                      <w:rFonts w:hint="eastAsia"/>
                      <w:color w:val="auto"/>
                      <w:sz w:val="18"/>
                      <w:szCs w:val="18"/>
                    </w:rPr>
                    <w:t>商铺</w:t>
                  </w:r>
                  <w:r>
                    <w:rPr>
                      <w:color w:val="auto"/>
                      <w:sz w:val="18"/>
                      <w:szCs w:val="18"/>
                    </w:rPr>
                    <w:t>北侧室外顶部</w:t>
                  </w:r>
                </w:p>
              </w:tc>
            </w:tr>
          </w:tbl>
          <w:p>
            <w:pPr>
              <w:spacing w:line="360" w:lineRule="auto"/>
              <w:rPr>
                <w:rFonts w:hAnsi="宋体"/>
                <w:bCs/>
                <w:color w:val="auto"/>
                <w:sz w:val="18"/>
                <w:szCs w:val="18"/>
              </w:rPr>
            </w:pPr>
            <w:r>
              <w:rPr>
                <w:rFonts w:hint="eastAsia" w:hAnsi="宋体"/>
                <w:bCs/>
                <w:color w:val="auto"/>
                <w:sz w:val="18"/>
                <w:szCs w:val="18"/>
              </w:rPr>
              <w:t>注：</w:t>
            </w:r>
            <w:r>
              <w:rPr>
                <w:rFonts w:hAnsi="宋体"/>
                <w:bCs/>
                <w:color w:val="auto"/>
                <w:sz w:val="18"/>
                <w:szCs w:val="18"/>
              </w:rPr>
              <w:t>本次</w:t>
            </w:r>
            <w:r>
              <w:rPr>
                <w:rFonts w:hint="eastAsia" w:hAnsi="宋体"/>
                <w:bCs/>
                <w:color w:val="auto"/>
                <w:sz w:val="18"/>
                <w:szCs w:val="18"/>
              </w:rPr>
              <w:t>新增</w:t>
            </w:r>
            <w:r>
              <w:rPr>
                <w:rFonts w:hAnsi="宋体"/>
                <w:bCs/>
                <w:color w:val="auto"/>
                <w:sz w:val="18"/>
                <w:szCs w:val="18"/>
              </w:rPr>
              <w:t>的动物“</w:t>
            </w:r>
            <w:r>
              <w:rPr>
                <w:rFonts w:hint="eastAsia" w:hAnsi="宋体"/>
                <w:bCs/>
                <w:color w:val="auto"/>
                <w:sz w:val="18"/>
                <w:szCs w:val="18"/>
              </w:rPr>
              <w:t>三</w:t>
            </w:r>
            <w:r>
              <w:rPr>
                <w:rFonts w:hAnsi="宋体"/>
                <w:bCs/>
                <w:color w:val="auto"/>
                <w:sz w:val="18"/>
                <w:szCs w:val="18"/>
              </w:rPr>
              <w:t>腔类”</w:t>
            </w:r>
            <w:r>
              <w:rPr>
                <w:rFonts w:hint="eastAsia" w:hAnsi="宋体"/>
                <w:bCs/>
                <w:color w:val="auto"/>
                <w:sz w:val="18"/>
                <w:szCs w:val="18"/>
              </w:rPr>
              <w:t>手术</w:t>
            </w:r>
            <w:r>
              <w:rPr>
                <w:rFonts w:hAnsi="宋体"/>
                <w:bCs/>
                <w:color w:val="auto"/>
                <w:sz w:val="18"/>
                <w:szCs w:val="18"/>
              </w:rPr>
              <w:t>服务</w:t>
            </w:r>
            <w:r>
              <w:rPr>
                <w:rFonts w:hint="eastAsia" w:hAnsi="宋体"/>
                <w:bCs/>
                <w:color w:val="auto"/>
                <w:sz w:val="18"/>
                <w:szCs w:val="18"/>
              </w:rPr>
              <w:t>活动均</w:t>
            </w:r>
            <w:r>
              <w:rPr>
                <w:rFonts w:hAnsi="宋体"/>
                <w:bCs/>
                <w:color w:val="auto"/>
                <w:sz w:val="18"/>
                <w:szCs w:val="18"/>
              </w:rPr>
              <w:t>依托现有科室、人员、医疗设施，不再新增。</w:t>
            </w:r>
          </w:p>
          <w:p>
            <w:pPr>
              <w:spacing w:line="360" w:lineRule="auto"/>
              <w:ind w:firstLine="422" w:firstLineChars="200"/>
              <w:rPr>
                <w:rFonts w:hAnsi="宋体"/>
                <w:b/>
                <w:bCs/>
                <w:color w:val="auto"/>
              </w:rPr>
            </w:pPr>
            <w:r>
              <w:rPr>
                <w:rFonts w:hAnsi="宋体"/>
                <w:b/>
                <w:bCs/>
                <w:color w:val="auto"/>
              </w:rPr>
              <w:t>5</w:t>
            </w:r>
            <w:r>
              <w:rPr>
                <w:rFonts w:hint="eastAsia" w:hAnsi="宋体"/>
                <w:b/>
                <w:bCs/>
                <w:color w:val="auto"/>
              </w:rPr>
              <w:t>、主要医疗用品使用情况</w:t>
            </w:r>
          </w:p>
          <w:p>
            <w:pPr>
              <w:jc w:val="center"/>
              <w:rPr>
                <w:rFonts w:hAnsi="宋体"/>
                <w:b/>
                <w:color w:val="auto"/>
                <w:szCs w:val="21"/>
              </w:rPr>
            </w:pPr>
            <w:r>
              <w:rPr>
                <w:rFonts w:hAnsi="宋体"/>
                <w:b/>
                <w:color w:val="auto"/>
                <w:szCs w:val="21"/>
              </w:rPr>
              <w:t>表</w:t>
            </w:r>
            <w:r>
              <w:rPr>
                <w:b/>
                <w:color w:val="auto"/>
                <w:szCs w:val="21"/>
              </w:rPr>
              <w:t xml:space="preserve">2-3  </w:t>
            </w:r>
            <w:r>
              <w:rPr>
                <w:rFonts w:hint="eastAsia"/>
                <w:b/>
                <w:color w:val="auto"/>
                <w:szCs w:val="21"/>
              </w:rPr>
              <w:t xml:space="preserve">  </w:t>
            </w:r>
            <w:r>
              <w:rPr>
                <w:rFonts w:hint="eastAsia" w:hAnsi="宋体"/>
                <w:b/>
                <w:color w:val="auto"/>
                <w:szCs w:val="21"/>
              </w:rPr>
              <w:t>主要医疗用品</w:t>
            </w:r>
            <w:r>
              <w:rPr>
                <w:rFonts w:hAnsi="宋体"/>
                <w:b/>
                <w:color w:val="auto"/>
                <w:szCs w:val="21"/>
              </w:rPr>
              <w:t>消耗一览表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38"/>
              <w:gridCol w:w="2050"/>
              <w:gridCol w:w="1171"/>
              <w:gridCol w:w="879"/>
              <w:gridCol w:w="1025"/>
              <w:gridCol w:w="1611"/>
              <w:gridCol w:w="9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AnsiTheme="majorEastAsia" w:eastAsiaTheme="majorEastAsia"/>
                      <w:color w:val="auto"/>
                      <w:sz w:val="18"/>
                      <w:szCs w:val="18"/>
                    </w:rPr>
                    <w:t>序号</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名称</w:t>
                  </w:r>
                </w:p>
              </w:tc>
              <w:tc>
                <w:tcPr>
                  <w:tcW w:w="698" w:type="pct"/>
                  <w:vAlign w:val="center"/>
                </w:tcPr>
                <w:p>
                  <w:pPr>
                    <w:jc w:val="center"/>
                    <w:rPr>
                      <w:rFonts w:eastAsiaTheme="majorEastAsia"/>
                      <w:color w:val="auto"/>
                      <w:sz w:val="18"/>
                      <w:szCs w:val="18"/>
                    </w:rPr>
                  </w:pPr>
                  <w:r>
                    <w:rPr>
                      <w:rFonts w:hAnsiTheme="majorEastAsia" w:eastAsiaTheme="majorEastAsia"/>
                      <w:color w:val="auto"/>
                      <w:sz w:val="18"/>
                      <w:szCs w:val="18"/>
                    </w:rPr>
                    <w:t>规格</w:t>
                  </w:r>
                </w:p>
              </w:tc>
              <w:tc>
                <w:tcPr>
                  <w:tcW w:w="524" w:type="pct"/>
                  <w:tcBorders>
                    <w:right w:val="single" w:color="auto" w:sz="4" w:space="0"/>
                  </w:tcBorders>
                  <w:vAlign w:val="center"/>
                </w:tcPr>
                <w:p>
                  <w:pPr>
                    <w:jc w:val="center"/>
                    <w:rPr>
                      <w:rFonts w:eastAsiaTheme="majorEastAsia"/>
                      <w:color w:val="auto"/>
                      <w:sz w:val="18"/>
                      <w:szCs w:val="18"/>
                    </w:rPr>
                  </w:pPr>
                  <w:r>
                    <w:rPr>
                      <w:rFonts w:hAnsiTheme="majorEastAsia" w:eastAsiaTheme="majorEastAsia"/>
                      <w:color w:val="auto"/>
                      <w:sz w:val="18"/>
                      <w:szCs w:val="18"/>
                    </w:rPr>
                    <w:t>年用量</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最大存储</w:t>
                  </w:r>
                  <w:r>
                    <w:rPr>
                      <w:rFonts w:eastAsiaTheme="majorEastAsia"/>
                      <w:color w:val="auto"/>
                      <w:sz w:val="18"/>
                      <w:szCs w:val="18"/>
                    </w:rPr>
                    <w:t>量</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用途</w:t>
                  </w:r>
                </w:p>
              </w:tc>
              <w:tc>
                <w:tcPr>
                  <w:tcW w:w="545" w:type="pct"/>
                  <w:vAlign w:val="center"/>
                </w:tcPr>
                <w:p>
                  <w:pPr>
                    <w:jc w:val="center"/>
                    <w:rPr>
                      <w:rFonts w:eastAsiaTheme="majorEastAsia"/>
                      <w:color w:val="auto"/>
                      <w:sz w:val="18"/>
                      <w:szCs w:val="18"/>
                    </w:rPr>
                  </w:pPr>
                  <w:r>
                    <w:rPr>
                      <w:rFonts w:hAnsiTheme="majorEastAsia" w:eastAsiaTheme="majorEastAsia"/>
                      <w:color w:val="auto"/>
                      <w:sz w:val="18"/>
                      <w:szCs w:val="18"/>
                    </w:rPr>
                    <w:t>药品储存方式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锐必威</w:t>
                  </w:r>
                </w:p>
              </w:tc>
              <w:tc>
                <w:tcPr>
                  <w:tcW w:w="698" w:type="pct"/>
                  <w:vAlign w:val="center"/>
                </w:tcPr>
                <w:p>
                  <w:pPr>
                    <w:jc w:val="center"/>
                    <w:rPr>
                      <w:rFonts w:eastAsiaTheme="majorEastAsia"/>
                      <w:color w:val="auto"/>
                      <w:sz w:val="18"/>
                      <w:szCs w:val="18"/>
                    </w:rPr>
                  </w:pPr>
                  <w:r>
                    <w:rPr>
                      <w:rFonts w:eastAsiaTheme="majorEastAsia"/>
                      <w:color w:val="auto"/>
                      <w:sz w:val="18"/>
                      <w:szCs w:val="18"/>
                    </w:rPr>
                    <w:t>1ml</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200</w:t>
                  </w:r>
                  <w:r>
                    <w:rPr>
                      <w:rFonts w:hAnsiTheme="majorEastAsia" w:eastAsiaTheme="majorEastAsia"/>
                      <w:color w:val="auto"/>
                      <w:sz w:val="18"/>
                      <w:szCs w:val="18"/>
                    </w:rPr>
                    <w:t>份</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30份</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用于预防犬猫狂犬病</w:t>
                  </w:r>
                </w:p>
              </w:tc>
              <w:tc>
                <w:tcPr>
                  <w:tcW w:w="545" w:type="pct"/>
                  <w:vMerge w:val="restart"/>
                  <w:vAlign w:val="center"/>
                </w:tcPr>
                <w:p>
                  <w:pPr>
                    <w:jc w:val="center"/>
                    <w:rPr>
                      <w:rFonts w:eastAsiaTheme="majorEastAsia"/>
                      <w:color w:val="auto"/>
                      <w:sz w:val="18"/>
                      <w:szCs w:val="18"/>
                    </w:rPr>
                  </w:pPr>
                  <w:r>
                    <w:rPr>
                      <w:rFonts w:hint="eastAsia" w:eastAsiaTheme="majorEastAsia"/>
                      <w:color w:val="auto"/>
                      <w:sz w:val="18"/>
                      <w:szCs w:val="18"/>
                    </w:rPr>
                    <w:t>手术用药为无菌保存；消毒药品常温存放；口服药根据说明要求进行保存；针剂药现用现配。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拜有利</w:t>
                  </w:r>
                </w:p>
              </w:tc>
              <w:tc>
                <w:tcPr>
                  <w:tcW w:w="698" w:type="pct"/>
                  <w:vAlign w:val="center"/>
                </w:tcPr>
                <w:p>
                  <w:pPr>
                    <w:jc w:val="center"/>
                    <w:rPr>
                      <w:rFonts w:eastAsiaTheme="majorEastAsia"/>
                      <w:color w:val="auto"/>
                      <w:sz w:val="18"/>
                      <w:szCs w:val="18"/>
                    </w:rPr>
                  </w:pPr>
                  <w:r>
                    <w:rPr>
                      <w:rFonts w:eastAsiaTheme="majorEastAsia"/>
                      <w:color w:val="auto"/>
                      <w:sz w:val="18"/>
                      <w:szCs w:val="18"/>
                    </w:rPr>
                    <w:t>15mg</w:t>
                  </w:r>
                </w:p>
                <w:p>
                  <w:pPr>
                    <w:jc w:val="center"/>
                    <w:rPr>
                      <w:rFonts w:eastAsiaTheme="majorEastAsia"/>
                      <w:color w:val="auto"/>
                      <w:sz w:val="18"/>
                      <w:szCs w:val="18"/>
                    </w:rPr>
                  </w:pPr>
                  <w:r>
                    <w:rPr>
                      <w:rFonts w:eastAsiaTheme="majorEastAsia"/>
                      <w:color w:val="auto"/>
                      <w:sz w:val="18"/>
                      <w:szCs w:val="18"/>
                    </w:rPr>
                    <w:t>50mg</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600</w:t>
                  </w:r>
                  <w:r>
                    <w:rPr>
                      <w:rFonts w:hAnsiTheme="majorEastAsia" w:eastAsiaTheme="majorEastAsia"/>
                      <w:color w:val="auto"/>
                      <w:sz w:val="18"/>
                      <w:szCs w:val="18"/>
                    </w:rPr>
                    <w:t>粒</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100粒</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用于犬猫革兰阳性与阴性细菌感染引起的感染性疾病</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3</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贝安可</w:t>
                  </w:r>
                </w:p>
              </w:tc>
              <w:tc>
                <w:tcPr>
                  <w:tcW w:w="698" w:type="pct"/>
                  <w:vAlign w:val="center"/>
                </w:tcPr>
                <w:p>
                  <w:pPr>
                    <w:jc w:val="center"/>
                    <w:rPr>
                      <w:rFonts w:eastAsiaTheme="majorEastAsia"/>
                      <w:color w:val="auto"/>
                      <w:sz w:val="18"/>
                      <w:szCs w:val="18"/>
                    </w:rPr>
                  </w:pPr>
                  <w:r>
                    <w:rPr>
                      <w:rFonts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100</w:t>
                  </w:r>
                  <w:r>
                    <w:rPr>
                      <w:rFonts w:hAnsiTheme="majorEastAsia" w:eastAsiaTheme="majorEastAsia"/>
                      <w:color w:val="auto"/>
                      <w:sz w:val="18"/>
                      <w:szCs w:val="18"/>
                    </w:rPr>
                    <w:t>粒</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50粒</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用于治疗与骨关节炎相关的炎症和疼痛</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4</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疫苗</w:t>
                  </w:r>
                </w:p>
              </w:tc>
              <w:tc>
                <w:tcPr>
                  <w:tcW w:w="698" w:type="pct"/>
                  <w:vAlign w:val="center"/>
                </w:tcPr>
                <w:p>
                  <w:pPr>
                    <w:jc w:val="center"/>
                    <w:rPr>
                      <w:rFonts w:eastAsiaTheme="majorEastAsia"/>
                      <w:color w:val="auto"/>
                      <w:sz w:val="18"/>
                      <w:szCs w:val="18"/>
                    </w:rPr>
                  </w:pPr>
                  <w:r>
                    <w:rPr>
                      <w:rFonts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500</w:t>
                  </w:r>
                  <w:r>
                    <w:rPr>
                      <w:rFonts w:hAnsiTheme="majorEastAsia" w:eastAsiaTheme="majorEastAsia"/>
                      <w:color w:val="auto"/>
                      <w:sz w:val="18"/>
                      <w:szCs w:val="18"/>
                    </w:rPr>
                    <w:t>支</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100支</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宠物免疫</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5</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拜宠爽</w:t>
                  </w:r>
                </w:p>
              </w:tc>
              <w:tc>
                <w:tcPr>
                  <w:tcW w:w="698" w:type="pct"/>
                  <w:vAlign w:val="center"/>
                </w:tcPr>
                <w:p>
                  <w:pPr>
                    <w:jc w:val="center"/>
                    <w:rPr>
                      <w:rFonts w:eastAsiaTheme="majorEastAsia"/>
                      <w:color w:val="auto"/>
                      <w:sz w:val="18"/>
                      <w:szCs w:val="18"/>
                    </w:rPr>
                  </w:pPr>
                  <w:r>
                    <w:rPr>
                      <w:rFonts w:eastAsiaTheme="majorEastAsia"/>
                      <w:color w:val="auto"/>
                      <w:sz w:val="18"/>
                      <w:szCs w:val="18"/>
                    </w:rPr>
                    <w:t>24</w:t>
                  </w:r>
                  <w:r>
                    <w:rPr>
                      <w:rFonts w:hAnsiTheme="majorEastAsia" w:eastAsiaTheme="majorEastAsia"/>
                      <w:color w:val="auto"/>
                      <w:sz w:val="18"/>
                      <w:szCs w:val="18"/>
                    </w:rPr>
                    <w:t>片</w:t>
                  </w:r>
                  <w:r>
                    <w:rPr>
                      <w:rFonts w:eastAsiaTheme="majorEastAsia"/>
                      <w:color w:val="auto"/>
                      <w:sz w:val="18"/>
                      <w:szCs w:val="18"/>
                    </w:rPr>
                    <w:t>/</w:t>
                  </w:r>
                  <w:r>
                    <w:rPr>
                      <w:rFonts w:hAnsiTheme="majorEastAsia" w:eastAsiaTheme="majorEastAsia"/>
                      <w:color w:val="auto"/>
                      <w:sz w:val="18"/>
                      <w:szCs w:val="18"/>
                    </w:rPr>
                    <w:t>盒</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100</w:t>
                  </w:r>
                  <w:r>
                    <w:rPr>
                      <w:rFonts w:hAnsiTheme="majorEastAsia" w:eastAsiaTheme="majorEastAsia"/>
                      <w:color w:val="auto"/>
                      <w:sz w:val="18"/>
                      <w:szCs w:val="18"/>
                    </w:rPr>
                    <w:t>盒</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20盒</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体外驱虫</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6</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拜宠清</w:t>
                  </w:r>
                </w:p>
              </w:tc>
              <w:tc>
                <w:tcPr>
                  <w:tcW w:w="698" w:type="pct"/>
                  <w:vAlign w:val="center"/>
                </w:tcPr>
                <w:p>
                  <w:pPr>
                    <w:jc w:val="center"/>
                    <w:rPr>
                      <w:rFonts w:eastAsiaTheme="majorEastAsia"/>
                      <w:color w:val="auto"/>
                      <w:sz w:val="18"/>
                      <w:szCs w:val="18"/>
                    </w:rPr>
                  </w:pPr>
                  <w:r>
                    <w:rPr>
                      <w:rFonts w:eastAsiaTheme="majorEastAsia"/>
                      <w:color w:val="auto"/>
                      <w:sz w:val="18"/>
                      <w:szCs w:val="18"/>
                    </w:rPr>
                    <w:t>24</w:t>
                  </w:r>
                  <w:r>
                    <w:rPr>
                      <w:rFonts w:hAnsiTheme="majorEastAsia" w:eastAsiaTheme="majorEastAsia"/>
                      <w:color w:val="auto"/>
                      <w:sz w:val="18"/>
                      <w:szCs w:val="18"/>
                    </w:rPr>
                    <w:t>片</w:t>
                  </w:r>
                  <w:r>
                    <w:rPr>
                      <w:rFonts w:eastAsiaTheme="majorEastAsia"/>
                      <w:color w:val="auto"/>
                      <w:sz w:val="18"/>
                      <w:szCs w:val="18"/>
                    </w:rPr>
                    <w:t>/</w:t>
                  </w:r>
                  <w:r>
                    <w:rPr>
                      <w:rFonts w:hAnsiTheme="majorEastAsia" w:eastAsiaTheme="majorEastAsia"/>
                      <w:color w:val="auto"/>
                      <w:sz w:val="18"/>
                      <w:szCs w:val="18"/>
                    </w:rPr>
                    <w:t>盒</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100</w:t>
                  </w:r>
                  <w:r>
                    <w:rPr>
                      <w:rFonts w:hAnsiTheme="majorEastAsia" w:eastAsiaTheme="majorEastAsia"/>
                      <w:color w:val="auto"/>
                      <w:sz w:val="18"/>
                      <w:szCs w:val="18"/>
                    </w:rPr>
                    <w:t>盒</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20盒</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体外驱虫</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7</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赛福魁</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50ml/瓶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5瓶</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1瓶</w:t>
                  </w:r>
                </w:p>
              </w:tc>
              <w:tc>
                <w:tcPr>
                  <w:tcW w:w="960"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抗生素</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8</w:t>
                  </w:r>
                </w:p>
              </w:tc>
              <w:tc>
                <w:tcPr>
                  <w:tcW w:w="1222" w:type="pct"/>
                  <w:vAlign w:val="center"/>
                </w:tcPr>
                <w:p>
                  <w:pPr>
                    <w:jc w:val="center"/>
                    <w:rPr>
                      <w:rFonts w:eastAsiaTheme="majorEastAsia"/>
                      <w:color w:val="auto"/>
                      <w:sz w:val="18"/>
                      <w:szCs w:val="18"/>
                    </w:rPr>
                  </w:pPr>
                  <w:r>
                    <w:rPr>
                      <w:rFonts w:eastAsiaTheme="majorEastAsia"/>
                      <w:color w:val="auto"/>
                      <w:sz w:val="18"/>
                      <w:szCs w:val="18"/>
                    </w:rPr>
                    <w:t>0.9%</w:t>
                  </w:r>
                  <w:r>
                    <w:rPr>
                      <w:rFonts w:hAnsiTheme="majorEastAsia" w:eastAsiaTheme="majorEastAsia"/>
                      <w:color w:val="auto"/>
                      <w:sz w:val="18"/>
                      <w:szCs w:val="18"/>
                    </w:rPr>
                    <w:t>生理盐水</w:t>
                  </w:r>
                </w:p>
              </w:tc>
              <w:tc>
                <w:tcPr>
                  <w:tcW w:w="698" w:type="pct"/>
                  <w:vAlign w:val="center"/>
                </w:tcPr>
                <w:p>
                  <w:pPr>
                    <w:jc w:val="center"/>
                    <w:rPr>
                      <w:rFonts w:eastAsiaTheme="majorEastAsia"/>
                      <w:color w:val="auto"/>
                      <w:sz w:val="18"/>
                      <w:szCs w:val="18"/>
                    </w:rPr>
                  </w:pPr>
                  <w:r>
                    <w:rPr>
                      <w:rFonts w:eastAsiaTheme="majorEastAsia"/>
                      <w:color w:val="auto"/>
                      <w:sz w:val="18"/>
                      <w:szCs w:val="18"/>
                    </w:rPr>
                    <w:t>100ml/</w:t>
                  </w:r>
                  <w:r>
                    <w:rPr>
                      <w:rFonts w:hAnsiTheme="major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tcBorders>
                    <w:bottom w:val="single" w:color="auto" w:sz="4" w:space="0"/>
                  </w:tcBorders>
                  <w:vAlign w:val="center"/>
                </w:tcPr>
                <w:p>
                  <w:pPr>
                    <w:jc w:val="center"/>
                    <w:rPr>
                      <w:rFonts w:eastAsiaTheme="majorEastAsia"/>
                      <w:color w:val="auto"/>
                      <w:sz w:val="18"/>
                      <w:szCs w:val="18"/>
                    </w:rPr>
                  </w:pPr>
                  <w:r>
                    <w:rPr>
                      <w:rFonts w:hAnsiTheme="majorEastAsia" w:eastAsiaTheme="majorEastAsia"/>
                      <w:color w:val="auto"/>
                      <w:sz w:val="18"/>
                      <w:szCs w:val="18"/>
                    </w:rPr>
                    <w:t>输液</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9</w:t>
                  </w:r>
                </w:p>
              </w:tc>
              <w:tc>
                <w:tcPr>
                  <w:tcW w:w="1222" w:type="pct"/>
                  <w:vAlign w:val="center"/>
                </w:tcPr>
                <w:p>
                  <w:pPr>
                    <w:jc w:val="center"/>
                    <w:rPr>
                      <w:rFonts w:eastAsiaTheme="majorEastAsia"/>
                      <w:color w:val="auto"/>
                      <w:sz w:val="18"/>
                      <w:szCs w:val="18"/>
                    </w:rPr>
                  </w:pPr>
                  <w:r>
                    <w:rPr>
                      <w:rFonts w:eastAsiaTheme="majorEastAsia"/>
                      <w:color w:val="auto"/>
                      <w:sz w:val="18"/>
                      <w:szCs w:val="18"/>
                    </w:rPr>
                    <w:t>5%</w:t>
                  </w:r>
                  <w:r>
                    <w:rPr>
                      <w:rFonts w:hAnsiTheme="majorEastAsia" w:eastAsiaTheme="majorEastAsia"/>
                      <w:color w:val="auto"/>
                      <w:sz w:val="18"/>
                      <w:szCs w:val="18"/>
                    </w:rPr>
                    <w:t>葡萄糖注射液</w:t>
                  </w:r>
                </w:p>
              </w:tc>
              <w:tc>
                <w:tcPr>
                  <w:tcW w:w="698" w:type="pct"/>
                  <w:vAlign w:val="center"/>
                </w:tcPr>
                <w:p>
                  <w:pPr>
                    <w:jc w:val="center"/>
                    <w:rPr>
                      <w:rFonts w:eastAsiaTheme="majorEastAsia"/>
                      <w:color w:val="auto"/>
                      <w:sz w:val="18"/>
                      <w:szCs w:val="18"/>
                    </w:rPr>
                  </w:pPr>
                  <w:r>
                    <w:rPr>
                      <w:rFonts w:eastAsiaTheme="majorEastAsia"/>
                      <w:color w:val="auto"/>
                      <w:sz w:val="18"/>
                      <w:szCs w:val="18"/>
                    </w:rPr>
                    <w:t>100ml/</w:t>
                  </w:r>
                  <w:r>
                    <w:rPr>
                      <w:rFonts w:hAnsiTheme="major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tcBorders>
                    <w:top w:val="single" w:color="auto" w:sz="4" w:space="0"/>
                  </w:tcBorders>
                  <w:vAlign w:val="center"/>
                </w:tcPr>
                <w:p>
                  <w:pPr>
                    <w:jc w:val="center"/>
                    <w:rPr>
                      <w:rFonts w:eastAsiaTheme="majorEastAsia"/>
                      <w:color w:val="auto"/>
                      <w:sz w:val="18"/>
                      <w:szCs w:val="18"/>
                    </w:rPr>
                  </w:pPr>
                  <w:r>
                    <w:rPr>
                      <w:rFonts w:hAnsiTheme="majorEastAsia" w:eastAsiaTheme="majorEastAsia"/>
                      <w:color w:val="auto"/>
                      <w:sz w:val="18"/>
                      <w:szCs w:val="18"/>
                    </w:rPr>
                    <w:t>输液</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10</w:t>
                  </w:r>
                </w:p>
              </w:tc>
              <w:tc>
                <w:tcPr>
                  <w:tcW w:w="1222" w:type="pct"/>
                  <w:vAlign w:val="center"/>
                </w:tcPr>
                <w:p>
                  <w:pPr>
                    <w:jc w:val="center"/>
                    <w:rPr>
                      <w:rFonts w:eastAsiaTheme="majorEastAsia"/>
                      <w:color w:val="auto"/>
                      <w:sz w:val="18"/>
                      <w:szCs w:val="18"/>
                    </w:rPr>
                  </w:pPr>
                  <w:r>
                    <w:rPr>
                      <w:rFonts w:eastAsiaTheme="majorEastAsia"/>
                      <w:color w:val="auto"/>
                      <w:sz w:val="18"/>
                      <w:szCs w:val="18"/>
                    </w:rPr>
                    <w:t>10%</w:t>
                  </w:r>
                  <w:r>
                    <w:rPr>
                      <w:rFonts w:hAnsiTheme="majorEastAsia" w:eastAsiaTheme="majorEastAsia"/>
                      <w:color w:val="auto"/>
                      <w:sz w:val="18"/>
                      <w:szCs w:val="18"/>
                    </w:rPr>
                    <w:t>葡萄糖注射液</w:t>
                  </w:r>
                </w:p>
              </w:tc>
              <w:tc>
                <w:tcPr>
                  <w:tcW w:w="698" w:type="pct"/>
                  <w:vAlign w:val="center"/>
                </w:tcPr>
                <w:p>
                  <w:pPr>
                    <w:jc w:val="center"/>
                    <w:rPr>
                      <w:rFonts w:eastAsiaTheme="majorEastAsia"/>
                      <w:color w:val="auto"/>
                      <w:sz w:val="18"/>
                      <w:szCs w:val="18"/>
                    </w:rPr>
                  </w:pPr>
                  <w:r>
                    <w:rPr>
                      <w:rFonts w:eastAsiaTheme="majorEastAsia"/>
                      <w:color w:val="auto"/>
                      <w:sz w:val="18"/>
                      <w:szCs w:val="18"/>
                    </w:rPr>
                    <w:t>100ml/</w:t>
                  </w:r>
                  <w:r>
                    <w:rPr>
                      <w:rFonts w:hAnsiTheme="major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输液</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11</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复方氯化钠注射液</w:t>
                  </w:r>
                </w:p>
              </w:tc>
              <w:tc>
                <w:tcPr>
                  <w:tcW w:w="698" w:type="pct"/>
                  <w:vAlign w:val="center"/>
                </w:tcPr>
                <w:p>
                  <w:pPr>
                    <w:jc w:val="center"/>
                    <w:rPr>
                      <w:rFonts w:eastAsiaTheme="majorEastAsia"/>
                      <w:color w:val="auto"/>
                      <w:sz w:val="18"/>
                      <w:szCs w:val="18"/>
                    </w:rPr>
                  </w:pPr>
                  <w:r>
                    <w:rPr>
                      <w:rFonts w:eastAsiaTheme="majorEastAsia"/>
                      <w:color w:val="auto"/>
                      <w:sz w:val="18"/>
                      <w:szCs w:val="18"/>
                    </w:rPr>
                    <w:t>100ml/</w:t>
                  </w:r>
                  <w:r>
                    <w:rPr>
                      <w:rFonts w:hAnsiTheme="major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输液</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12</w:t>
                  </w:r>
                </w:p>
              </w:tc>
              <w:tc>
                <w:tcPr>
                  <w:tcW w:w="1222" w:type="pct"/>
                  <w:vAlign w:val="center"/>
                </w:tcPr>
                <w:p>
                  <w:pPr>
                    <w:jc w:val="center"/>
                    <w:rPr>
                      <w:rFonts w:eastAsiaTheme="majorEastAsia"/>
                      <w:color w:val="auto"/>
                      <w:sz w:val="18"/>
                      <w:szCs w:val="18"/>
                    </w:rPr>
                  </w:pPr>
                  <w:r>
                    <w:rPr>
                      <w:rFonts w:hint="eastAsia" w:hAnsiTheme="majorEastAsia" w:eastAsiaTheme="majorEastAsia"/>
                      <w:color w:val="auto"/>
                      <w:sz w:val="18"/>
                      <w:szCs w:val="18"/>
                    </w:rPr>
                    <w:t>美洛昔康</w:t>
                  </w:r>
                  <w:r>
                    <w:rPr>
                      <w:rFonts w:hAnsiTheme="majorEastAsia" w:eastAsiaTheme="majorEastAsia"/>
                      <w:color w:val="auto"/>
                      <w:sz w:val="18"/>
                      <w:szCs w:val="18"/>
                    </w:rPr>
                    <w:t>注射液</w:t>
                  </w:r>
                </w:p>
              </w:tc>
              <w:tc>
                <w:tcPr>
                  <w:tcW w:w="698" w:type="pct"/>
                  <w:vAlign w:val="center"/>
                </w:tcPr>
                <w:p>
                  <w:pPr>
                    <w:jc w:val="center"/>
                    <w:rPr>
                      <w:rFonts w:eastAsiaTheme="majorEastAsia"/>
                      <w:color w:val="auto"/>
                      <w:sz w:val="18"/>
                      <w:szCs w:val="18"/>
                    </w:rPr>
                  </w:pPr>
                  <w:r>
                    <w:rPr>
                      <w:rFonts w:eastAsiaTheme="majorEastAsia"/>
                      <w:color w:val="auto"/>
                      <w:sz w:val="18"/>
                      <w:szCs w:val="18"/>
                    </w:rPr>
                    <w:t>20ml</w:t>
                  </w:r>
                  <w:r>
                    <w:rPr>
                      <w:rFonts w:hint="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2</w:t>
                  </w:r>
                  <w:r>
                    <w:rPr>
                      <w:rFonts w:hint="eastAsia" w:eastAsiaTheme="majorEastAsia"/>
                      <w:color w:val="auto"/>
                      <w:sz w:val="18"/>
                      <w:szCs w:val="18"/>
                    </w:rPr>
                    <w:t>瓶</w:t>
                  </w:r>
                </w:p>
              </w:tc>
              <w:tc>
                <w:tcPr>
                  <w:tcW w:w="611" w:type="pct"/>
                  <w:tcBorders>
                    <w:left w:val="single" w:color="auto" w:sz="4" w:space="0"/>
                  </w:tcBorders>
                  <w:vAlign w:val="center"/>
                </w:tcPr>
                <w:p>
                  <w:pPr>
                    <w:jc w:val="center"/>
                    <w:rPr>
                      <w:rFonts w:eastAsiaTheme="majorEastAsia"/>
                      <w:color w:val="auto"/>
                      <w:sz w:val="18"/>
                      <w:szCs w:val="18"/>
                    </w:rPr>
                  </w:pPr>
                  <w:r>
                    <w:rPr>
                      <w:rFonts w:eastAsiaTheme="majorEastAsia"/>
                      <w:color w:val="auto"/>
                      <w:sz w:val="18"/>
                      <w:szCs w:val="18"/>
                    </w:rPr>
                    <w:t>1</w:t>
                  </w:r>
                  <w:r>
                    <w:rPr>
                      <w:rFonts w:hint="eastAsia" w:eastAsiaTheme="majorEastAsia"/>
                      <w:color w:val="auto"/>
                      <w:sz w:val="18"/>
                      <w:szCs w:val="18"/>
                    </w:rPr>
                    <w:t>瓶</w:t>
                  </w:r>
                </w:p>
              </w:tc>
              <w:tc>
                <w:tcPr>
                  <w:tcW w:w="960" w:type="pct"/>
                  <w:vAlign w:val="center"/>
                </w:tcPr>
                <w:p>
                  <w:pPr>
                    <w:jc w:val="center"/>
                    <w:rPr>
                      <w:rFonts w:eastAsiaTheme="majorEastAsia"/>
                      <w:color w:val="auto"/>
                      <w:sz w:val="18"/>
                      <w:szCs w:val="18"/>
                    </w:rPr>
                  </w:pPr>
                  <w:r>
                    <w:rPr>
                      <w:rFonts w:hint="eastAsia" w:hAnsiTheme="majorEastAsia" w:eastAsiaTheme="majorEastAsia"/>
                      <w:color w:val="auto"/>
                      <w:sz w:val="18"/>
                      <w:szCs w:val="18"/>
                    </w:rPr>
                    <w:t>止疼</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13</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乳酸林格注射液</w:t>
                  </w:r>
                </w:p>
              </w:tc>
              <w:tc>
                <w:tcPr>
                  <w:tcW w:w="698" w:type="pct"/>
                  <w:vAlign w:val="center"/>
                </w:tcPr>
                <w:p>
                  <w:pPr>
                    <w:jc w:val="center"/>
                    <w:rPr>
                      <w:rFonts w:eastAsiaTheme="majorEastAsia"/>
                      <w:color w:val="auto"/>
                      <w:sz w:val="18"/>
                      <w:szCs w:val="18"/>
                    </w:rPr>
                  </w:pPr>
                  <w:r>
                    <w:rPr>
                      <w:rFonts w:eastAsiaTheme="majorEastAsia"/>
                      <w:color w:val="auto"/>
                      <w:sz w:val="18"/>
                      <w:szCs w:val="18"/>
                    </w:rPr>
                    <w:t>500ml/</w:t>
                  </w:r>
                  <w:r>
                    <w:rPr>
                      <w:rFonts w:hAnsiTheme="major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宠物治疗</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14</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酚磺乙胺注射液</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50盒</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10盒</w:t>
                  </w:r>
                </w:p>
              </w:tc>
              <w:tc>
                <w:tcPr>
                  <w:tcW w:w="960" w:type="pct"/>
                  <w:vAlign w:val="center"/>
                </w:tcPr>
                <w:p>
                  <w:pPr>
                    <w:jc w:val="center"/>
                    <w:rPr>
                      <w:rFonts w:eastAsiaTheme="majorEastAsia"/>
                      <w:color w:val="auto"/>
                      <w:sz w:val="18"/>
                      <w:szCs w:val="18"/>
                    </w:rPr>
                  </w:pPr>
                  <w:r>
                    <w:rPr>
                      <w:rFonts w:hAnsiTheme="majorEastAsia" w:eastAsiaTheme="majorEastAsia"/>
                      <w:color w:val="auto"/>
                      <w:sz w:val="18"/>
                      <w:szCs w:val="18"/>
                    </w:rPr>
                    <w:t>宠物治疗</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15</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多</w:t>
                  </w:r>
                  <w:r>
                    <w:rPr>
                      <w:rFonts w:hAnsiTheme="majorEastAsia" w:eastAsiaTheme="majorEastAsia"/>
                      <w:color w:val="auto"/>
                      <w:sz w:val="18"/>
                      <w:szCs w:val="18"/>
                    </w:rPr>
                    <w:t>咪静</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10ml/瓶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3瓶</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1瓶</w:t>
                  </w:r>
                </w:p>
              </w:tc>
              <w:tc>
                <w:tcPr>
                  <w:tcW w:w="960"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麻醉药</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16</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咹啶醒</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10</w:t>
                  </w:r>
                  <w:r>
                    <w:rPr>
                      <w:rFonts w:eastAsiaTheme="majorEastAsia"/>
                      <w:color w:val="auto"/>
                      <w:sz w:val="18"/>
                      <w:szCs w:val="18"/>
                    </w:rPr>
                    <w:t>ml</w:t>
                  </w:r>
                  <w:r>
                    <w:rPr>
                      <w:rFonts w:hint="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3瓶</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1瓶</w:t>
                  </w:r>
                </w:p>
              </w:tc>
              <w:tc>
                <w:tcPr>
                  <w:tcW w:w="960"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苏醒药</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17</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一次性纱布块</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100块</w:t>
                  </w:r>
                </w:p>
              </w:tc>
              <w:tc>
                <w:tcPr>
                  <w:tcW w:w="611" w:type="pct"/>
                  <w:tcBorders>
                    <w:left w:val="single" w:color="auto" w:sz="4" w:space="0"/>
                  </w:tcBorders>
                  <w:vAlign w:val="center"/>
                </w:tcPr>
                <w:p>
                  <w:pPr>
                    <w:jc w:val="center"/>
                    <w:rPr>
                      <w:rFonts w:eastAsiaTheme="majorEastAsia"/>
                      <w:color w:val="auto"/>
                      <w:sz w:val="18"/>
                      <w:szCs w:val="18"/>
                    </w:rPr>
                  </w:pPr>
                  <w:r>
                    <w:rPr>
                      <w:rFonts w:eastAsiaTheme="majorEastAsia"/>
                      <w:color w:val="auto"/>
                      <w:sz w:val="18"/>
                      <w:szCs w:val="18"/>
                    </w:rPr>
                    <w:t>40</w:t>
                  </w:r>
                  <w:r>
                    <w:rPr>
                      <w:rFonts w:hint="eastAsia" w:eastAsiaTheme="majorEastAsia"/>
                      <w:color w:val="auto"/>
                      <w:sz w:val="18"/>
                      <w:szCs w:val="18"/>
                    </w:rPr>
                    <w:t>块</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手术</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18</w:t>
                  </w:r>
                </w:p>
              </w:tc>
              <w:tc>
                <w:tcPr>
                  <w:tcW w:w="1222" w:type="pct"/>
                  <w:vAlign w:val="center"/>
                </w:tcPr>
                <w:p>
                  <w:pPr>
                    <w:jc w:val="center"/>
                    <w:rPr>
                      <w:rFonts w:eastAsiaTheme="majorEastAsia"/>
                      <w:color w:val="auto"/>
                      <w:sz w:val="18"/>
                      <w:szCs w:val="18"/>
                    </w:rPr>
                  </w:pPr>
                  <w:r>
                    <w:rPr>
                      <w:rFonts w:eastAsiaTheme="majorEastAsia"/>
                      <w:color w:val="auto"/>
                      <w:sz w:val="18"/>
                      <w:szCs w:val="18"/>
                    </w:rPr>
                    <w:t>2ml</w:t>
                  </w:r>
                  <w:r>
                    <w:rPr>
                      <w:rFonts w:hAnsiTheme="majorEastAsia" w:eastAsiaTheme="majorEastAsia"/>
                      <w:color w:val="auto"/>
                      <w:sz w:val="18"/>
                      <w:szCs w:val="18"/>
                    </w:rPr>
                    <w:t>注射器</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注射</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19</w:t>
                  </w:r>
                </w:p>
              </w:tc>
              <w:tc>
                <w:tcPr>
                  <w:tcW w:w="1222" w:type="pct"/>
                  <w:vAlign w:val="center"/>
                </w:tcPr>
                <w:p>
                  <w:pPr>
                    <w:jc w:val="center"/>
                    <w:rPr>
                      <w:rFonts w:eastAsiaTheme="majorEastAsia"/>
                      <w:color w:val="auto"/>
                      <w:sz w:val="18"/>
                      <w:szCs w:val="18"/>
                    </w:rPr>
                  </w:pPr>
                  <w:r>
                    <w:rPr>
                      <w:rFonts w:eastAsiaTheme="majorEastAsia"/>
                      <w:color w:val="auto"/>
                      <w:sz w:val="18"/>
                      <w:szCs w:val="18"/>
                    </w:rPr>
                    <w:t>5ml</w:t>
                  </w:r>
                  <w:r>
                    <w:rPr>
                      <w:rFonts w:hAnsiTheme="majorEastAsia" w:eastAsiaTheme="majorEastAsia"/>
                      <w:color w:val="auto"/>
                      <w:sz w:val="18"/>
                      <w:szCs w:val="18"/>
                    </w:rPr>
                    <w:t>注射器</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注射</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20</w:t>
                  </w:r>
                </w:p>
              </w:tc>
              <w:tc>
                <w:tcPr>
                  <w:tcW w:w="1222" w:type="pct"/>
                  <w:vAlign w:val="center"/>
                </w:tcPr>
                <w:p>
                  <w:pPr>
                    <w:jc w:val="center"/>
                    <w:rPr>
                      <w:rFonts w:eastAsiaTheme="majorEastAsia"/>
                      <w:color w:val="auto"/>
                      <w:sz w:val="18"/>
                      <w:szCs w:val="18"/>
                    </w:rPr>
                  </w:pPr>
                  <w:r>
                    <w:rPr>
                      <w:rFonts w:eastAsiaTheme="majorEastAsia"/>
                      <w:color w:val="auto"/>
                      <w:sz w:val="18"/>
                      <w:szCs w:val="18"/>
                    </w:rPr>
                    <w:t>10ml</w:t>
                  </w:r>
                  <w:r>
                    <w:rPr>
                      <w:rFonts w:hAnsiTheme="majorEastAsia" w:eastAsiaTheme="majorEastAsia"/>
                      <w:color w:val="auto"/>
                      <w:sz w:val="18"/>
                      <w:szCs w:val="18"/>
                    </w:rPr>
                    <w:t>注射器</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注射</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21</w:t>
                  </w:r>
                </w:p>
              </w:tc>
              <w:tc>
                <w:tcPr>
                  <w:tcW w:w="1222" w:type="pct"/>
                  <w:vAlign w:val="center"/>
                </w:tcPr>
                <w:p>
                  <w:pPr>
                    <w:jc w:val="center"/>
                    <w:rPr>
                      <w:rFonts w:eastAsiaTheme="majorEastAsia"/>
                      <w:color w:val="auto"/>
                      <w:sz w:val="18"/>
                      <w:szCs w:val="18"/>
                    </w:rPr>
                  </w:pPr>
                  <w:r>
                    <w:rPr>
                      <w:rFonts w:hint="eastAsia" w:eastAsiaTheme="majorEastAsia"/>
                      <w:color w:val="auto"/>
                      <w:sz w:val="18"/>
                      <w:szCs w:val="18"/>
                    </w:rPr>
                    <w:t>碘伏</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50ml/瓶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80瓶</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10瓶</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消毒</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22</w:t>
                  </w:r>
                </w:p>
              </w:tc>
              <w:tc>
                <w:tcPr>
                  <w:tcW w:w="1222" w:type="pct"/>
                  <w:vAlign w:val="center"/>
                </w:tcPr>
                <w:p>
                  <w:pPr>
                    <w:jc w:val="center"/>
                    <w:rPr>
                      <w:rFonts w:eastAsiaTheme="majorEastAsia"/>
                      <w:color w:val="auto"/>
                      <w:sz w:val="18"/>
                      <w:szCs w:val="18"/>
                    </w:rPr>
                  </w:pPr>
                  <w:r>
                    <w:rPr>
                      <w:rFonts w:hint="eastAsia" w:eastAsiaTheme="majorEastAsia"/>
                      <w:color w:val="auto"/>
                      <w:sz w:val="18"/>
                      <w:szCs w:val="18"/>
                    </w:rPr>
                    <w:t>带线</w:t>
                  </w:r>
                  <w:r>
                    <w:rPr>
                      <w:rFonts w:eastAsiaTheme="majorEastAsia"/>
                      <w:color w:val="auto"/>
                      <w:sz w:val="18"/>
                      <w:szCs w:val="18"/>
                    </w:rPr>
                    <w:t>缝合针</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支</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350</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50支</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手术</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22</w:t>
                  </w:r>
                </w:p>
              </w:tc>
              <w:tc>
                <w:tcPr>
                  <w:tcW w:w="1222" w:type="pct"/>
                  <w:vAlign w:val="center"/>
                </w:tcPr>
                <w:p>
                  <w:pPr>
                    <w:jc w:val="center"/>
                    <w:rPr>
                      <w:rFonts w:eastAsiaTheme="majorEastAsia"/>
                      <w:color w:val="auto"/>
                      <w:sz w:val="18"/>
                      <w:szCs w:val="18"/>
                    </w:rPr>
                  </w:pPr>
                  <w:r>
                    <w:rPr>
                      <w:rFonts w:hint="eastAsia" w:eastAsiaTheme="majorEastAsia"/>
                      <w:color w:val="auto"/>
                      <w:sz w:val="18"/>
                      <w:szCs w:val="18"/>
                    </w:rPr>
                    <w:t>脱脂棉</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包</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10包</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1包</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手术</w:t>
                  </w:r>
                  <w:r>
                    <w:rPr>
                      <w:rFonts w:eastAsiaTheme="majorEastAsia"/>
                      <w:color w:val="auto"/>
                      <w:sz w:val="18"/>
                      <w:szCs w:val="18"/>
                    </w:rPr>
                    <w:t>消毒</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23</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透气胶带</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250</w:t>
                  </w:r>
                  <w:r>
                    <w:rPr>
                      <w:rFonts w:hint="eastAsia" w:eastAsiaTheme="majorEastAsia"/>
                      <w:color w:val="auto"/>
                      <w:sz w:val="18"/>
                      <w:szCs w:val="18"/>
                    </w:rPr>
                    <w:t>卷</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30卷</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手术</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24</w:t>
                  </w:r>
                </w:p>
              </w:tc>
              <w:tc>
                <w:tcPr>
                  <w:tcW w:w="1222" w:type="pct"/>
                  <w:vAlign w:val="center"/>
                </w:tcPr>
                <w:p>
                  <w:pPr>
                    <w:jc w:val="center"/>
                    <w:rPr>
                      <w:rFonts w:eastAsiaTheme="majorEastAsia"/>
                      <w:color w:val="auto"/>
                      <w:sz w:val="18"/>
                      <w:szCs w:val="18"/>
                    </w:rPr>
                  </w:pPr>
                  <w:r>
                    <w:rPr>
                      <w:rFonts w:hAnsiTheme="majorEastAsia" w:eastAsiaTheme="majorEastAsia"/>
                      <w:color w:val="auto"/>
                      <w:sz w:val="18"/>
                      <w:szCs w:val="18"/>
                    </w:rPr>
                    <w:t>卷轴绷带</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250</w:t>
                  </w:r>
                  <w:r>
                    <w:rPr>
                      <w:rFonts w:hint="eastAsia" w:eastAsiaTheme="majorEastAsia"/>
                      <w:color w:val="auto"/>
                      <w:sz w:val="18"/>
                      <w:szCs w:val="18"/>
                    </w:rPr>
                    <w:t>卷</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30卷</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手术</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25</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含氯消毒片</w:t>
                  </w:r>
                  <w:r>
                    <w:rPr>
                      <w:rFonts w:hint="eastAsia" w:hAnsiTheme="majorEastAsia" w:eastAsiaTheme="majorEastAsia"/>
                      <w:color w:val="auto"/>
                      <w:sz w:val="18"/>
                      <w:szCs w:val="18"/>
                      <w:vertAlign w:val="superscript"/>
                    </w:rPr>
                    <w:t>①</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w:t>
                  </w:r>
                </w:p>
              </w:tc>
              <w:tc>
                <w:tcPr>
                  <w:tcW w:w="524" w:type="pct"/>
                  <w:tcBorders>
                    <w:right w:val="single" w:color="auto" w:sz="4" w:space="0"/>
                  </w:tcBorders>
                  <w:vAlign w:val="center"/>
                </w:tcPr>
                <w:p>
                  <w:pPr>
                    <w:jc w:val="center"/>
                    <w:rPr>
                      <w:rFonts w:eastAsiaTheme="majorEastAsia"/>
                      <w:color w:val="auto"/>
                      <w:sz w:val="18"/>
                      <w:szCs w:val="18"/>
                    </w:rPr>
                  </w:pPr>
                  <w:r>
                    <w:rPr>
                      <w:rFonts w:eastAsiaTheme="majorEastAsia"/>
                      <w:color w:val="auto"/>
                      <w:sz w:val="18"/>
                      <w:szCs w:val="18"/>
                    </w:rPr>
                    <w:t>400</w:t>
                  </w:r>
                  <w:r>
                    <w:rPr>
                      <w:rFonts w:hint="eastAsia" w:eastAsiaTheme="majorEastAsia"/>
                      <w:color w:val="auto"/>
                      <w:sz w:val="18"/>
                      <w:szCs w:val="18"/>
                    </w:rPr>
                    <w:t>片</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100片</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消毒</w:t>
                  </w:r>
                </w:p>
              </w:tc>
              <w:tc>
                <w:tcPr>
                  <w:tcW w:w="545" w:type="pct"/>
                  <w:vMerge w:val="restart"/>
                  <w:vAlign w:val="center"/>
                </w:tcPr>
                <w:p>
                  <w:pPr>
                    <w:jc w:val="center"/>
                    <w:rPr>
                      <w:rFonts w:eastAsiaTheme="majorEastAsia"/>
                      <w:color w:val="auto"/>
                      <w:sz w:val="18"/>
                      <w:szCs w:val="18"/>
                    </w:rPr>
                  </w:pPr>
                  <w:r>
                    <w:rPr>
                      <w:rFonts w:hint="eastAsia" w:eastAsiaTheme="majorEastAsia"/>
                      <w:color w:val="auto"/>
                      <w:sz w:val="18"/>
                      <w:szCs w:val="18"/>
                    </w:rPr>
                    <w:t>常温</w:t>
                  </w:r>
                </w:p>
                <w:p>
                  <w:pPr>
                    <w:jc w:val="center"/>
                    <w:rPr>
                      <w:rFonts w:eastAsiaTheme="majorEastAsia"/>
                      <w:color w:val="auto"/>
                      <w:sz w:val="18"/>
                      <w:szCs w:val="18"/>
                    </w:rPr>
                  </w:pPr>
                  <w:r>
                    <w:rPr>
                      <w:rFonts w:hint="eastAsia" w:eastAsiaTheme="majorEastAsia"/>
                      <w:color w:val="auto"/>
                      <w:sz w:val="18"/>
                      <w:szCs w:val="18"/>
                    </w:rPr>
                    <w:t>存放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26</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消石灰</w:t>
                  </w:r>
                </w:p>
              </w:tc>
              <w:tc>
                <w:tcPr>
                  <w:tcW w:w="698" w:type="pct"/>
                  <w:vAlign w:val="center"/>
                </w:tcPr>
                <w:p>
                  <w:pPr>
                    <w:jc w:val="center"/>
                    <w:rPr>
                      <w:rFonts w:eastAsiaTheme="majorEastAsia"/>
                      <w:color w:val="auto"/>
                      <w:sz w:val="18"/>
                      <w:szCs w:val="18"/>
                    </w:rPr>
                  </w:pP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20</w:t>
                  </w:r>
                  <w:r>
                    <w:rPr>
                      <w:rFonts w:eastAsiaTheme="majorEastAsia"/>
                      <w:color w:val="auto"/>
                      <w:sz w:val="18"/>
                      <w:szCs w:val="18"/>
                    </w:rPr>
                    <w:t>kg</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20kg</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消毒</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hint="eastAsia" w:eastAsiaTheme="majorEastAsia"/>
                      <w:color w:val="auto"/>
                      <w:sz w:val="18"/>
                      <w:szCs w:val="18"/>
                    </w:rPr>
                    <w:t>27</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宠物</w:t>
                  </w:r>
                  <w:r>
                    <w:rPr>
                      <w:rFonts w:hAnsiTheme="majorEastAsia" w:eastAsiaTheme="majorEastAsia"/>
                      <w:color w:val="auto"/>
                      <w:sz w:val="18"/>
                      <w:szCs w:val="18"/>
                    </w:rPr>
                    <w:t>洗浴夜</w:t>
                  </w:r>
                </w:p>
              </w:tc>
              <w:tc>
                <w:tcPr>
                  <w:tcW w:w="698" w:type="pct"/>
                  <w:vAlign w:val="center"/>
                </w:tcPr>
                <w:p>
                  <w:pPr>
                    <w:jc w:val="center"/>
                    <w:rPr>
                      <w:rFonts w:eastAsiaTheme="majorEastAsia"/>
                      <w:color w:val="auto"/>
                      <w:sz w:val="18"/>
                      <w:szCs w:val="18"/>
                    </w:rPr>
                  </w:pPr>
                  <w:r>
                    <w:rPr>
                      <w:rFonts w:eastAsiaTheme="majorEastAsia"/>
                      <w:color w:val="auto"/>
                      <w:sz w:val="18"/>
                      <w:szCs w:val="18"/>
                    </w:rPr>
                    <w:t>500ml/</w:t>
                  </w:r>
                  <w:r>
                    <w:rPr>
                      <w:rFonts w:hAnsiTheme="majorEastAsia" w:eastAsiaTheme="majorEastAsia"/>
                      <w:color w:val="auto"/>
                      <w:sz w:val="18"/>
                      <w:szCs w:val="18"/>
                    </w:rPr>
                    <w:t>瓶</w:t>
                  </w:r>
                  <w:r>
                    <w:rPr>
                      <w:rFonts w:hint="eastAsia" w:hAnsiTheme="majorEastAsia" w:eastAsiaTheme="majorEastAsia"/>
                      <w:color w:val="auto"/>
                      <w:sz w:val="18"/>
                      <w:szCs w:val="18"/>
                    </w:rPr>
                    <w:t>、1500</w:t>
                  </w:r>
                  <w:r>
                    <w:rPr>
                      <w:rFonts w:eastAsiaTheme="majorEastAsia"/>
                      <w:color w:val="auto"/>
                      <w:sz w:val="18"/>
                      <w:szCs w:val="18"/>
                    </w:rPr>
                    <w:t xml:space="preserve"> ml/</w:t>
                  </w:r>
                  <w:r>
                    <w:rPr>
                      <w:rFonts w:hAnsiTheme="major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50瓶</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4瓶</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洗浴美容</w:t>
                  </w:r>
                </w:p>
              </w:tc>
              <w:tc>
                <w:tcPr>
                  <w:tcW w:w="545" w:type="pct"/>
                  <w:vMerge w:val="continue"/>
                  <w:vAlign w:val="center"/>
                </w:tcPr>
                <w:p>
                  <w:pPr>
                    <w:jc w:val="center"/>
                    <w:rPr>
                      <w:rFonts w:eastAsiaTheme="majorEastAsia"/>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 w:hRule="atLeast"/>
              </w:trPr>
              <w:tc>
                <w:tcPr>
                  <w:tcW w:w="440" w:type="pct"/>
                  <w:vAlign w:val="center"/>
                </w:tcPr>
                <w:p>
                  <w:pPr>
                    <w:jc w:val="center"/>
                    <w:rPr>
                      <w:rFonts w:eastAsiaTheme="majorEastAsia"/>
                      <w:color w:val="auto"/>
                      <w:sz w:val="18"/>
                      <w:szCs w:val="18"/>
                    </w:rPr>
                  </w:pPr>
                  <w:r>
                    <w:rPr>
                      <w:rFonts w:eastAsiaTheme="majorEastAsia"/>
                      <w:color w:val="auto"/>
                      <w:sz w:val="18"/>
                      <w:szCs w:val="18"/>
                    </w:rPr>
                    <w:t>28</w:t>
                  </w:r>
                </w:p>
              </w:tc>
              <w:tc>
                <w:tcPr>
                  <w:tcW w:w="1222" w:type="pct"/>
                  <w:vAlign w:val="center"/>
                </w:tcPr>
                <w:p>
                  <w:pPr>
                    <w:jc w:val="center"/>
                    <w:rPr>
                      <w:rFonts w:hAnsiTheme="majorEastAsia" w:eastAsiaTheme="majorEastAsia"/>
                      <w:color w:val="auto"/>
                      <w:sz w:val="18"/>
                      <w:szCs w:val="18"/>
                    </w:rPr>
                  </w:pPr>
                  <w:r>
                    <w:rPr>
                      <w:rFonts w:hint="eastAsia" w:hAnsiTheme="majorEastAsia" w:eastAsiaTheme="majorEastAsia"/>
                      <w:color w:val="auto"/>
                      <w:sz w:val="18"/>
                      <w:szCs w:val="18"/>
                    </w:rPr>
                    <w:t>小宠</w:t>
                  </w:r>
                  <w:r>
                    <w:rPr>
                      <w:rFonts w:hAnsiTheme="majorEastAsia" w:eastAsiaTheme="majorEastAsia"/>
                      <w:color w:val="auto"/>
                      <w:sz w:val="18"/>
                      <w:szCs w:val="18"/>
                    </w:rPr>
                    <w:t>祛味消毒液</w:t>
                  </w:r>
                </w:p>
              </w:tc>
              <w:tc>
                <w:tcPr>
                  <w:tcW w:w="698" w:type="pct"/>
                  <w:vAlign w:val="center"/>
                </w:tcPr>
                <w:p>
                  <w:pPr>
                    <w:jc w:val="center"/>
                    <w:rPr>
                      <w:rFonts w:eastAsiaTheme="majorEastAsia"/>
                      <w:color w:val="auto"/>
                      <w:sz w:val="18"/>
                      <w:szCs w:val="18"/>
                    </w:rPr>
                  </w:pPr>
                  <w:r>
                    <w:rPr>
                      <w:rFonts w:hint="eastAsia" w:eastAsiaTheme="majorEastAsia"/>
                      <w:color w:val="auto"/>
                      <w:sz w:val="18"/>
                      <w:szCs w:val="18"/>
                    </w:rPr>
                    <w:t>500m</w:t>
                  </w:r>
                  <w:r>
                    <w:rPr>
                      <w:rFonts w:eastAsiaTheme="majorEastAsia"/>
                      <w:color w:val="auto"/>
                      <w:sz w:val="18"/>
                      <w:szCs w:val="18"/>
                    </w:rPr>
                    <w:t>l</w:t>
                  </w:r>
                  <w:r>
                    <w:rPr>
                      <w:rFonts w:hint="eastAsia" w:eastAsiaTheme="majorEastAsia"/>
                      <w:color w:val="auto"/>
                      <w:sz w:val="18"/>
                      <w:szCs w:val="18"/>
                    </w:rPr>
                    <w:t>/瓶</w:t>
                  </w:r>
                </w:p>
              </w:tc>
              <w:tc>
                <w:tcPr>
                  <w:tcW w:w="524" w:type="pct"/>
                  <w:tcBorders>
                    <w:righ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5瓶</w:t>
                  </w:r>
                </w:p>
              </w:tc>
              <w:tc>
                <w:tcPr>
                  <w:tcW w:w="611" w:type="pct"/>
                  <w:tcBorders>
                    <w:left w:val="single" w:color="auto" w:sz="4" w:space="0"/>
                  </w:tcBorders>
                  <w:vAlign w:val="center"/>
                </w:tcPr>
                <w:p>
                  <w:pPr>
                    <w:jc w:val="center"/>
                    <w:rPr>
                      <w:rFonts w:eastAsiaTheme="majorEastAsia"/>
                      <w:color w:val="auto"/>
                      <w:sz w:val="18"/>
                      <w:szCs w:val="18"/>
                    </w:rPr>
                  </w:pPr>
                  <w:r>
                    <w:rPr>
                      <w:rFonts w:hint="eastAsia" w:eastAsiaTheme="majorEastAsia"/>
                      <w:color w:val="auto"/>
                      <w:sz w:val="18"/>
                      <w:szCs w:val="18"/>
                    </w:rPr>
                    <w:t>1瓶</w:t>
                  </w:r>
                </w:p>
              </w:tc>
              <w:tc>
                <w:tcPr>
                  <w:tcW w:w="960" w:type="pct"/>
                  <w:vAlign w:val="center"/>
                </w:tcPr>
                <w:p>
                  <w:pPr>
                    <w:jc w:val="center"/>
                    <w:rPr>
                      <w:rFonts w:eastAsiaTheme="majorEastAsia"/>
                      <w:color w:val="auto"/>
                      <w:sz w:val="18"/>
                      <w:szCs w:val="18"/>
                    </w:rPr>
                  </w:pPr>
                  <w:r>
                    <w:rPr>
                      <w:rFonts w:hint="eastAsia" w:eastAsiaTheme="majorEastAsia"/>
                      <w:color w:val="auto"/>
                      <w:sz w:val="18"/>
                      <w:szCs w:val="18"/>
                    </w:rPr>
                    <w:t>消毒</w:t>
                  </w:r>
                </w:p>
              </w:tc>
              <w:tc>
                <w:tcPr>
                  <w:tcW w:w="545" w:type="pct"/>
                  <w:vMerge w:val="continue"/>
                  <w:vAlign w:val="center"/>
                </w:tcPr>
                <w:p>
                  <w:pPr>
                    <w:jc w:val="center"/>
                    <w:rPr>
                      <w:rFonts w:eastAsiaTheme="majorEastAsia"/>
                      <w:color w:val="auto"/>
                      <w:sz w:val="18"/>
                      <w:szCs w:val="18"/>
                    </w:rPr>
                  </w:pPr>
                </w:p>
              </w:tc>
            </w:tr>
          </w:tbl>
          <w:p>
            <w:pPr>
              <w:spacing w:line="360" w:lineRule="auto"/>
              <w:rPr>
                <w:bCs/>
                <w:color w:val="auto"/>
                <w:sz w:val="18"/>
                <w:szCs w:val="18"/>
              </w:rPr>
            </w:pPr>
            <w:r>
              <w:rPr>
                <w:rFonts w:hint="eastAsia"/>
                <w:bCs/>
                <w:color w:val="auto"/>
                <w:sz w:val="18"/>
                <w:szCs w:val="18"/>
              </w:rPr>
              <w:t>注：①</w:t>
            </w:r>
            <w:r>
              <w:rPr>
                <w:bCs/>
                <w:color w:val="auto"/>
                <w:sz w:val="18"/>
                <w:szCs w:val="18"/>
              </w:rPr>
              <w:t>含氯消毒片：</w:t>
            </w:r>
            <w:r>
              <w:rPr>
                <w:rFonts w:hint="eastAsia"/>
                <w:bCs/>
                <w:color w:val="auto"/>
                <w:sz w:val="18"/>
                <w:szCs w:val="18"/>
              </w:rPr>
              <w:t>即</w:t>
            </w:r>
            <w:r>
              <w:rPr>
                <w:bCs/>
                <w:color w:val="auto"/>
                <w:sz w:val="18"/>
                <w:szCs w:val="18"/>
              </w:rPr>
              <w:t>次氯酸消毒片，主要</w:t>
            </w:r>
            <w:r>
              <w:rPr>
                <w:rFonts w:hint="eastAsia"/>
                <w:bCs/>
                <w:color w:val="auto"/>
                <w:sz w:val="18"/>
                <w:szCs w:val="18"/>
              </w:rPr>
              <w:t>成分</w:t>
            </w:r>
            <w:r>
              <w:rPr>
                <w:bCs/>
                <w:color w:val="auto"/>
                <w:sz w:val="18"/>
                <w:szCs w:val="18"/>
              </w:rPr>
              <w:t>为次氯酸，</w:t>
            </w:r>
            <w:r>
              <w:rPr>
                <w:rFonts w:hint="eastAsia"/>
                <w:bCs/>
                <w:color w:val="auto"/>
                <w:sz w:val="18"/>
                <w:szCs w:val="18"/>
              </w:rPr>
              <w:t>溶解</w:t>
            </w:r>
            <w:r>
              <w:rPr>
                <w:bCs/>
                <w:color w:val="auto"/>
                <w:sz w:val="18"/>
                <w:szCs w:val="18"/>
              </w:rPr>
              <w:t>于水中</w:t>
            </w:r>
            <w:r>
              <w:rPr>
                <w:rFonts w:hint="eastAsia"/>
                <w:bCs/>
                <w:color w:val="auto"/>
                <w:sz w:val="18"/>
                <w:szCs w:val="18"/>
              </w:rPr>
              <w:t>即可</w:t>
            </w:r>
            <w:r>
              <w:rPr>
                <w:bCs/>
                <w:color w:val="auto"/>
                <w:sz w:val="18"/>
                <w:szCs w:val="18"/>
              </w:rPr>
              <w:t>生成次氯酸消毒液，</w:t>
            </w:r>
            <w:r>
              <w:rPr>
                <w:rFonts w:hint="eastAsia"/>
                <w:bCs/>
                <w:color w:val="auto"/>
                <w:sz w:val="18"/>
                <w:szCs w:val="18"/>
              </w:rPr>
              <w:t>即含有稳定</w:t>
            </w:r>
            <w:r>
              <w:rPr>
                <w:bCs/>
                <w:color w:val="auto"/>
                <w:sz w:val="18"/>
                <w:szCs w:val="18"/>
              </w:rPr>
              <w:t>次氯酸分子的</w:t>
            </w:r>
            <w:r>
              <w:rPr>
                <w:rFonts w:hint="eastAsia"/>
                <w:bCs/>
                <w:color w:val="auto"/>
                <w:sz w:val="18"/>
                <w:szCs w:val="18"/>
              </w:rPr>
              <w:t>水溶液，</w:t>
            </w:r>
            <w:r>
              <w:rPr>
                <w:bCs/>
                <w:color w:val="auto"/>
                <w:sz w:val="18"/>
                <w:szCs w:val="18"/>
              </w:rPr>
              <w:t>是一种</w:t>
            </w:r>
            <w:r>
              <w:rPr>
                <w:rFonts w:hint="eastAsia"/>
                <w:bCs/>
                <w:color w:val="auto"/>
                <w:sz w:val="18"/>
                <w:szCs w:val="18"/>
              </w:rPr>
              <w:t>新型</w:t>
            </w:r>
            <w:r>
              <w:rPr>
                <w:bCs/>
                <w:color w:val="auto"/>
                <w:sz w:val="18"/>
                <w:szCs w:val="18"/>
              </w:rPr>
              <w:t>高效消毒剂，</w:t>
            </w:r>
            <w:r>
              <w:rPr>
                <w:rFonts w:hint="eastAsia"/>
                <w:bCs/>
                <w:color w:val="auto"/>
                <w:sz w:val="18"/>
                <w:szCs w:val="18"/>
              </w:rPr>
              <w:t>其特点</w:t>
            </w:r>
            <w:r>
              <w:rPr>
                <w:bCs/>
                <w:color w:val="auto"/>
                <w:sz w:val="18"/>
                <w:szCs w:val="18"/>
              </w:rPr>
              <w:t>杀菌谱广、杀灭</w:t>
            </w:r>
            <w:r>
              <w:rPr>
                <w:rFonts w:hint="eastAsia"/>
                <w:bCs/>
                <w:color w:val="auto"/>
                <w:sz w:val="18"/>
                <w:szCs w:val="18"/>
              </w:rPr>
              <w:t>力强</w:t>
            </w:r>
            <w:r>
              <w:rPr>
                <w:bCs/>
                <w:color w:val="auto"/>
                <w:sz w:val="18"/>
                <w:szCs w:val="18"/>
              </w:rPr>
              <w:t>，</w:t>
            </w:r>
            <w:r>
              <w:rPr>
                <w:rFonts w:hint="eastAsia"/>
                <w:bCs/>
                <w:color w:val="auto"/>
                <w:sz w:val="18"/>
                <w:szCs w:val="18"/>
              </w:rPr>
              <w:t>环保</w:t>
            </w:r>
            <w:r>
              <w:rPr>
                <w:bCs/>
                <w:color w:val="auto"/>
                <w:sz w:val="18"/>
                <w:szCs w:val="18"/>
              </w:rPr>
              <w:t>型</w:t>
            </w:r>
            <w:r>
              <w:rPr>
                <w:rFonts w:hint="eastAsia"/>
                <w:bCs/>
                <w:color w:val="auto"/>
                <w:sz w:val="18"/>
                <w:szCs w:val="18"/>
              </w:rPr>
              <w:t>好</w:t>
            </w:r>
            <w:r>
              <w:rPr>
                <w:bCs/>
                <w:color w:val="auto"/>
                <w:sz w:val="18"/>
                <w:szCs w:val="18"/>
              </w:rPr>
              <w:t>、</w:t>
            </w:r>
            <w:r>
              <w:rPr>
                <w:rFonts w:hint="eastAsia"/>
                <w:bCs/>
                <w:color w:val="auto"/>
                <w:sz w:val="18"/>
                <w:szCs w:val="18"/>
              </w:rPr>
              <w:t>温和</w:t>
            </w:r>
            <w:r>
              <w:rPr>
                <w:bCs/>
                <w:color w:val="auto"/>
                <w:sz w:val="18"/>
                <w:szCs w:val="18"/>
              </w:rPr>
              <w:t>不刺激，广泛</w:t>
            </w:r>
            <w:r>
              <w:rPr>
                <w:rFonts w:hint="eastAsia"/>
                <w:bCs/>
                <w:color w:val="auto"/>
                <w:sz w:val="18"/>
                <w:szCs w:val="18"/>
              </w:rPr>
              <w:t>应用</w:t>
            </w:r>
            <w:r>
              <w:rPr>
                <w:bCs/>
                <w:color w:val="auto"/>
                <w:sz w:val="18"/>
                <w:szCs w:val="18"/>
              </w:rPr>
              <w:t>于污染物品、供水设施等方面。</w:t>
            </w:r>
          </w:p>
          <w:p>
            <w:pPr>
              <w:spacing w:line="360" w:lineRule="auto"/>
              <w:ind w:firstLine="422" w:firstLineChars="200"/>
              <w:rPr>
                <w:b/>
                <w:bCs/>
                <w:color w:val="auto"/>
              </w:rPr>
            </w:pPr>
            <w:r>
              <w:rPr>
                <w:b/>
                <w:bCs/>
                <w:color w:val="auto"/>
              </w:rPr>
              <w:t>6</w:t>
            </w:r>
            <w:r>
              <w:rPr>
                <w:rFonts w:hint="eastAsia"/>
                <w:b/>
                <w:bCs/>
                <w:color w:val="auto"/>
              </w:rPr>
              <w:t>、公用工程</w:t>
            </w:r>
          </w:p>
          <w:p>
            <w:pPr>
              <w:spacing w:line="360" w:lineRule="auto"/>
              <w:ind w:firstLine="420" w:firstLineChars="200"/>
              <w:rPr>
                <w:snapToGrid w:val="0"/>
                <w:color w:val="auto"/>
                <w:szCs w:val="21"/>
              </w:rPr>
            </w:pPr>
            <w:r>
              <w:rPr>
                <w:rFonts w:hAnsi="宋体"/>
                <w:snapToGrid w:val="0"/>
                <w:color w:val="auto"/>
                <w:szCs w:val="21"/>
              </w:rPr>
              <w:t>（</w:t>
            </w:r>
            <w:r>
              <w:rPr>
                <w:snapToGrid w:val="0"/>
                <w:color w:val="auto"/>
                <w:szCs w:val="21"/>
              </w:rPr>
              <w:t>1</w:t>
            </w:r>
            <w:r>
              <w:rPr>
                <w:rFonts w:hAnsi="宋体"/>
                <w:snapToGrid w:val="0"/>
                <w:color w:val="auto"/>
                <w:szCs w:val="21"/>
              </w:rPr>
              <w:t>）给水</w:t>
            </w:r>
          </w:p>
          <w:p>
            <w:pPr>
              <w:spacing w:line="360" w:lineRule="auto"/>
              <w:ind w:firstLine="420" w:firstLineChars="200"/>
              <w:rPr>
                <w:snapToGrid w:val="0"/>
                <w:color w:val="auto"/>
                <w:szCs w:val="21"/>
              </w:rPr>
            </w:pPr>
            <w:r>
              <w:rPr>
                <w:rFonts w:hint="eastAsia" w:hAnsi="宋体"/>
                <w:snapToGrid w:val="0"/>
                <w:color w:val="auto"/>
                <w:szCs w:val="21"/>
              </w:rPr>
              <w:t>本项目包括生活用水、宠物洗浴用水和医疗用水，均引自市政供水管网。</w:t>
            </w:r>
          </w:p>
          <w:p>
            <w:pPr>
              <w:spacing w:line="360" w:lineRule="auto"/>
              <w:ind w:firstLine="420" w:firstLineChars="200"/>
              <w:rPr>
                <w:rFonts w:hAnsi="宋体"/>
                <w:snapToGrid w:val="0"/>
                <w:color w:val="auto"/>
                <w:szCs w:val="21"/>
              </w:rPr>
            </w:pPr>
            <w:r>
              <w:rPr>
                <w:rFonts w:hint="eastAsia" w:hAnsi="宋体"/>
                <w:snapToGrid w:val="0"/>
                <w:color w:val="auto"/>
                <w:szCs w:val="21"/>
              </w:rPr>
              <w:t>（2）排水</w:t>
            </w:r>
          </w:p>
          <w:p>
            <w:pPr>
              <w:spacing w:line="360" w:lineRule="auto"/>
              <w:ind w:firstLine="420" w:firstLineChars="200"/>
              <w:rPr>
                <w:rFonts w:hAnsi="宋体"/>
                <w:snapToGrid w:val="0"/>
                <w:color w:val="auto"/>
                <w:szCs w:val="21"/>
              </w:rPr>
            </w:pPr>
            <w:r>
              <w:rPr>
                <w:rFonts w:hint="eastAsia" w:hAnsi="宋体"/>
                <w:snapToGrid w:val="0"/>
                <w:color w:val="auto"/>
                <w:szCs w:val="21"/>
              </w:rPr>
              <w:t>主要包括生活污水、宠物洗浴废水和医疗废水。其中，医疗废水经HB-</w:t>
            </w:r>
            <w:r>
              <w:rPr>
                <w:rFonts w:hAnsi="宋体"/>
                <w:snapToGrid w:val="0"/>
                <w:color w:val="auto"/>
                <w:szCs w:val="21"/>
              </w:rPr>
              <w:t>50</w:t>
            </w:r>
            <w:r>
              <w:rPr>
                <w:rFonts w:hint="eastAsia" w:hAnsi="宋体"/>
                <w:snapToGrid w:val="0"/>
                <w:color w:val="auto"/>
                <w:szCs w:val="21"/>
              </w:rPr>
              <w:t>废水缓释消毒器处理后，与宠物洗浴废水、职工生活污水排入丰和</w:t>
            </w:r>
            <w:r>
              <w:rPr>
                <w:rFonts w:hAnsi="宋体"/>
                <w:snapToGrid w:val="0"/>
                <w:color w:val="auto"/>
                <w:szCs w:val="21"/>
              </w:rPr>
              <w:t>坊一期</w:t>
            </w:r>
            <w:r>
              <w:rPr>
                <w:rFonts w:hint="eastAsia" w:hAnsi="宋体"/>
                <w:snapToGrid w:val="0"/>
                <w:color w:val="auto"/>
                <w:szCs w:val="21"/>
              </w:rPr>
              <w:t>15幢现有化粪池，处理后经丰禾</w:t>
            </w:r>
            <w:r>
              <w:rPr>
                <w:rFonts w:hAnsi="宋体"/>
                <w:snapToGrid w:val="0"/>
                <w:color w:val="auto"/>
                <w:szCs w:val="21"/>
              </w:rPr>
              <w:t>路</w:t>
            </w:r>
            <w:r>
              <w:rPr>
                <w:rFonts w:hint="eastAsia" w:hAnsi="宋体"/>
                <w:snapToGrid w:val="0"/>
                <w:color w:val="auto"/>
                <w:szCs w:val="21"/>
              </w:rPr>
              <w:t>市政污水管网进入邓家村污水处理厂。</w:t>
            </w:r>
          </w:p>
          <w:p>
            <w:pPr>
              <w:spacing w:line="360" w:lineRule="auto"/>
              <w:ind w:firstLine="420" w:firstLineChars="200"/>
              <w:rPr>
                <w:snapToGrid w:val="0"/>
                <w:color w:val="auto"/>
                <w:szCs w:val="21"/>
              </w:rPr>
            </w:pPr>
            <w:r>
              <w:rPr>
                <w:snapToGrid w:val="0"/>
                <w:color w:val="auto"/>
                <w:szCs w:val="21"/>
              </w:rPr>
              <w:t>①生活污水</w:t>
            </w:r>
          </w:p>
          <w:p>
            <w:pPr>
              <w:spacing w:line="360" w:lineRule="auto"/>
              <w:ind w:firstLine="420" w:firstLineChars="200"/>
              <w:rPr>
                <w:color w:val="auto"/>
              </w:rPr>
            </w:pPr>
            <w:r>
              <w:rPr>
                <w:snapToGrid w:val="0"/>
                <w:color w:val="auto"/>
                <w:szCs w:val="21"/>
              </w:rPr>
              <w:t>主要包括医护人员生活污水和带宠物进院诊治的顾客产生的生活污水，医院不设宠物寄养，无员工食堂、宿舍。</w:t>
            </w:r>
            <w:r>
              <w:rPr>
                <w:rFonts w:hint="eastAsia"/>
                <w:snapToGrid w:val="0"/>
                <w:color w:val="auto"/>
                <w:szCs w:val="21"/>
              </w:rPr>
              <w:t>参考</w:t>
            </w:r>
            <w:r>
              <w:rPr>
                <w:snapToGrid w:val="0"/>
                <w:color w:val="auto"/>
                <w:szCs w:val="21"/>
              </w:rPr>
              <w:t>陕西省《</w:t>
            </w:r>
            <w:r>
              <w:rPr>
                <w:color w:val="auto"/>
              </w:rPr>
              <w:t>行业用水定额》（DB 61/T 943-</w:t>
            </w:r>
            <w:r>
              <w:rPr>
                <w:rFonts w:hint="eastAsia"/>
                <w:color w:val="auto"/>
              </w:rPr>
              <w:t>2020</w:t>
            </w:r>
            <w:r>
              <w:rPr>
                <w:color w:val="auto"/>
              </w:rPr>
              <w:t>）</w:t>
            </w:r>
            <w:r>
              <w:rPr>
                <w:rFonts w:hint="eastAsia"/>
                <w:color w:val="auto"/>
              </w:rPr>
              <w:t>办公</w:t>
            </w:r>
            <w:r>
              <w:rPr>
                <w:color w:val="auto"/>
              </w:rPr>
              <w:t>人均生活用水</w:t>
            </w:r>
            <w:r>
              <w:rPr>
                <w:rFonts w:hint="eastAsia"/>
                <w:color w:val="auto"/>
              </w:rPr>
              <w:t>定</w:t>
            </w:r>
            <w:r>
              <w:rPr>
                <w:color w:val="auto"/>
              </w:rPr>
              <w:t>额</w:t>
            </w:r>
            <w:r>
              <w:rPr>
                <w:rFonts w:hint="eastAsia"/>
                <w:color w:val="auto"/>
              </w:rPr>
              <w:t>（27L/人</w:t>
            </w:r>
            <w:r>
              <w:rPr>
                <w:color w:val="auto"/>
              </w:rPr>
              <w:t>·</w:t>
            </w:r>
            <w:r>
              <w:rPr>
                <w:rFonts w:hint="eastAsia"/>
                <w:color w:val="auto"/>
              </w:rPr>
              <w:t>d）</w:t>
            </w:r>
            <w:r>
              <w:rPr>
                <w:color w:val="auto"/>
              </w:rPr>
              <w:t>，并结合医院运行实际情况，</w:t>
            </w:r>
            <w:r>
              <w:rPr>
                <w:rFonts w:hint="eastAsia"/>
                <w:color w:val="auto"/>
              </w:rPr>
              <w:t>确定</w:t>
            </w:r>
            <w:r>
              <w:rPr>
                <w:color w:val="auto"/>
              </w:rPr>
              <w:t>本项目医护人员用水定额为30</w:t>
            </w:r>
            <w:r>
              <w:rPr>
                <w:rFonts w:hint="eastAsia"/>
                <w:color w:val="auto"/>
              </w:rPr>
              <w:t>L/人·班</w:t>
            </w:r>
            <w:r>
              <w:rPr>
                <w:color w:val="auto"/>
              </w:rPr>
              <w:t>，顾客用水定额为15L/ d·人。</w:t>
            </w:r>
          </w:p>
          <w:p>
            <w:pPr>
              <w:spacing w:line="360" w:lineRule="auto"/>
              <w:ind w:firstLine="420" w:firstLineChars="200"/>
              <w:rPr>
                <w:color w:val="auto"/>
              </w:rPr>
            </w:pPr>
            <w:r>
              <w:rPr>
                <w:color w:val="auto"/>
              </w:rPr>
              <w:t>医院共医护人员6人，年工作时间330天，每天预计接待顾客10人次，经计算，医护人员和顾客生活用水0.33m</w:t>
            </w:r>
            <w:r>
              <w:rPr>
                <w:color w:val="auto"/>
                <w:vertAlign w:val="superscript"/>
              </w:rPr>
              <w:t>3</w:t>
            </w:r>
            <w:r>
              <w:rPr>
                <w:color w:val="auto"/>
              </w:rPr>
              <w:t>/d，108.9m</w:t>
            </w:r>
            <w:r>
              <w:rPr>
                <w:color w:val="auto"/>
                <w:vertAlign w:val="superscript"/>
              </w:rPr>
              <w:t>3</w:t>
            </w:r>
            <w:r>
              <w:rPr>
                <w:color w:val="auto"/>
              </w:rPr>
              <w:t>/a。污水产生量按用水量80%计算，则生活污水产生量为0.264m</w:t>
            </w:r>
            <w:r>
              <w:rPr>
                <w:color w:val="auto"/>
                <w:vertAlign w:val="superscript"/>
              </w:rPr>
              <w:t>3</w:t>
            </w:r>
            <w:r>
              <w:rPr>
                <w:color w:val="auto"/>
              </w:rPr>
              <w:t>/d，87.12m</w:t>
            </w:r>
            <w:r>
              <w:rPr>
                <w:color w:val="auto"/>
                <w:vertAlign w:val="superscript"/>
              </w:rPr>
              <w:t>3</w:t>
            </w:r>
            <w:r>
              <w:rPr>
                <w:color w:val="auto"/>
              </w:rPr>
              <w:t>/a。</w:t>
            </w:r>
          </w:p>
          <w:p>
            <w:pPr>
              <w:spacing w:line="360" w:lineRule="auto"/>
              <w:ind w:firstLine="420" w:firstLineChars="200"/>
              <w:rPr>
                <w:snapToGrid w:val="0"/>
                <w:color w:val="auto"/>
                <w:szCs w:val="21"/>
              </w:rPr>
            </w:pPr>
            <w:r>
              <w:rPr>
                <w:snapToGrid w:val="0"/>
                <w:color w:val="auto"/>
                <w:szCs w:val="21"/>
              </w:rPr>
              <w:t>②宠物洗浴废水</w:t>
            </w:r>
          </w:p>
          <w:p>
            <w:pPr>
              <w:spacing w:line="360" w:lineRule="auto"/>
              <w:ind w:firstLine="420" w:firstLineChars="200"/>
              <w:rPr>
                <w:color w:val="auto"/>
                <w:szCs w:val="21"/>
              </w:rPr>
            </w:pPr>
            <w:r>
              <w:rPr>
                <w:color w:val="auto"/>
                <w:szCs w:val="21"/>
              </w:rPr>
              <w:t>项目运行后预计日均美容宠物5只，</w:t>
            </w:r>
            <w:r>
              <w:rPr>
                <w:rFonts w:hint="eastAsia"/>
                <w:color w:val="auto"/>
                <w:szCs w:val="21"/>
              </w:rPr>
              <w:t>根据</w:t>
            </w:r>
            <w:r>
              <w:rPr>
                <w:color w:val="auto"/>
                <w:szCs w:val="21"/>
              </w:rPr>
              <w:t>医院实际运行情况，宠物洗浴用水量按每只宠物每天80L计，年运营330天，则宠物洗浴用水量为0.4</w:t>
            </w:r>
            <w:r>
              <w:rPr>
                <w:color w:val="auto"/>
              </w:rPr>
              <w:t>m</w:t>
            </w:r>
            <w:r>
              <w:rPr>
                <w:color w:val="auto"/>
                <w:vertAlign w:val="superscript"/>
              </w:rPr>
              <w:t>3</w:t>
            </w:r>
            <w:r>
              <w:rPr>
                <w:color w:val="auto"/>
              </w:rPr>
              <w:t>/d，132m</w:t>
            </w:r>
            <w:r>
              <w:rPr>
                <w:color w:val="auto"/>
                <w:vertAlign w:val="superscript"/>
              </w:rPr>
              <w:t>3</w:t>
            </w:r>
            <w:r>
              <w:rPr>
                <w:color w:val="auto"/>
              </w:rPr>
              <w:t>/a。</w:t>
            </w:r>
            <w:r>
              <w:rPr>
                <w:rFonts w:hint="eastAsia"/>
                <w:color w:val="auto"/>
                <w:szCs w:val="21"/>
              </w:rPr>
              <w:t>经</w:t>
            </w:r>
            <w:r>
              <w:rPr>
                <w:color w:val="auto"/>
                <w:szCs w:val="21"/>
              </w:rPr>
              <w:t>滤网过滤掉毛发，废水产生量按用水量的80%计，则项目宠物洗浴废水量为0.32</w:t>
            </w:r>
            <w:r>
              <w:rPr>
                <w:color w:val="auto"/>
              </w:rPr>
              <w:t>m</w:t>
            </w:r>
            <w:r>
              <w:rPr>
                <w:color w:val="auto"/>
                <w:vertAlign w:val="superscript"/>
              </w:rPr>
              <w:t>3</w:t>
            </w:r>
            <w:r>
              <w:rPr>
                <w:color w:val="auto"/>
              </w:rPr>
              <w:t>/d</w:t>
            </w:r>
            <w:r>
              <w:rPr>
                <w:color w:val="auto"/>
                <w:szCs w:val="21"/>
              </w:rPr>
              <w:t>（105.6</w:t>
            </w:r>
            <w:r>
              <w:rPr>
                <w:color w:val="auto"/>
              </w:rPr>
              <w:t>m</w:t>
            </w:r>
            <w:r>
              <w:rPr>
                <w:color w:val="auto"/>
                <w:vertAlign w:val="superscript"/>
              </w:rPr>
              <w:t>3</w:t>
            </w:r>
            <w:r>
              <w:rPr>
                <w:color w:val="auto"/>
              </w:rPr>
              <w:t>/a</w:t>
            </w:r>
            <w:r>
              <w:rPr>
                <w:color w:val="auto"/>
                <w:szCs w:val="21"/>
              </w:rPr>
              <w:t>）。</w:t>
            </w:r>
          </w:p>
          <w:p>
            <w:pPr>
              <w:spacing w:line="360" w:lineRule="auto"/>
              <w:ind w:firstLine="420" w:firstLineChars="200"/>
              <w:rPr>
                <w:snapToGrid w:val="0"/>
                <w:color w:val="auto"/>
                <w:szCs w:val="21"/>
              </w:rPr>
            </w:pPr>
            <w:r>
              <w:rPr>
                <w:snapToGrid w:val="0"/>
                <w:color w:val="auto"/>
                <w:szCs w:val="21"/>
              </w:rPr>
              <w:t>③医疗废水</w:t>
            </w:r>
          </w:p>
          <w:p>
            <w:pPr>
              <w:spacing w:line="360" w:lineRule="auto"/>
              <w:ind w:firstLine="420" w:firstLineChars="200"/>
              <w:rPr>
                <w:color w:val="auto"/>
              </w:rPr>
            </w:pPr>
            <w:r>
              <w:rPr>
                <w:rFonts w:hint="eastAsia"/>
                <w:color w:val="auto"/>
                <w:szCs w:val="22"/>
              </w:rPr>
              <w:t>运营期</w:t>
            </w:r>
            <w:r>
              <w:rPr>
                <w:color w:val="auto"/>
                <w:szCs w:val="22"/>
              </w:rPr>
              <w:t>每日接诊宠物3只</w:t>
            </w:r>
            <w:r>
              <w:rPr>
                <w:rFonts w:hint="eastAsia"/>
                <w:color w:val="auto"/>
                <w:szCs w:val="22"/>
              </w:rPr>
              <w:t>，</w:t>
            </w:r>
            <w:r>
              <w:rPr>
                <w:color w:val="auto"/>
                <w:szCs w:val="22"/>
              </w:rPr>
              <w:t>根据</w:t>
            </w:r>
            <w:r>
              <w:rPr>
                <w:rFonts w:hint="eastAsia"/>
                <w:color w:val="auto"/>
                <w:szCs w:val="22"/>
              </w:rPr>
              <w:t>医院</w:t>
            </w:r>
            <w:r>
              <w:rPr>
                <w:color w:val="auto"/>
                <w:szCs w:val="22"/>
              </w:rPr>
              <w:t>实际运行情况，医疗用水按12L/（病例·d），医疗用水量约为0.036</w:t>
            </w:r>
            <w:r>
              <w:rPr>
                <w:color w:val="auto"/>
              </w:rPr>
              <w:t>m</w:t>
            </w:r>
            <w:r>
              <w:rPr>
                <w:color w:val="auto"/>
                <w:vertAlign w:val="superscript"/>
              </w:rPr>
              <w:t>3</w:t>
            </w:r>
            <w:r>
              <w:rPr>
                <w:color w:val="auto"/>
              </w:rPr>
              <w:t>/</w:t>
            </w:r>
            <w:r>
              <w:rPr>
                <w:rFonts w:hint="eastAsia"/>
                <w:color w:val="auto"/>
              </w:rPr>
              <w:t>d</w:t>
            </w:r>
            <w:r>
              <w:rPr>
                <w:color w:val="auto"/>
                <w:szCs w:val="22"/>
              </w:rPr>
              <w:t>（11.88</w:t>
            </w:r>
            <w:r>
              <w:rPr>
                <w:color w:val="auto"/>
              </w:rPr>
              <w:t>m</w:t>
            </w:r>
            <w:r>
              <w:rPr>
                <w:color w:val="auto"/>
                <w:vertAlign w:val="superscript"/>
              </w:rPr>
              <w:t>3</w:t>
            </w:r>
            <w:r>
              <w:rPr>
                <w:color w:val="auto"/>
              </w:rPr>
              <w:t>/a</w:t>
            </w:r>
            <w:r>
              <w:rPr>
                <w:color w:val="auto"/>
                <w:szCs w:val="22"/>
              </w:rPr>
              <w:t>），医疗废水产生量按用水量的80%计，则医疗废水产生量约为0.0288</w:t>
            </w:r>
            <w:r>
              <w:rPr>
                <w:rFonts w:hint="eastAsia"/>
                <w:color w:val="auto"/>
                <w:szCs w:val="22"/>
              </w:rPr>
              <w:t>m</w:t>
            </w:r>
            <w:r>
              <w:rPr>
                <w:rFonts w:hint="eastAsia"/>
                <w:color w:val="auto"/>
                <w:szCs w:val="22"/>
                <w:vertAlign w:val="superscript"/>
              </w:rPr>
              <w:t>3</w:t>
            </w:r>
            <w:r>
              <w:rPr>
                <w:rFonts w:hint="eastAsia"/>
                <w:color w:val="auto"/>
                <w:szCs w:val="22"/>
              </w:rPr>
              <w:t>/d</w:t>
            </w:r>
            <w:r>
              <w:rPr>
                <w:color w:val="auto"/>
                <w:szCs w:val="22"/>
              </w:rPr>
              <w:t>（9.504</w:t>
            </w:r>
            <w:r>
              <w:rPr>
                <w:rFonts w:hint="eastAsia"/>
                <w:color w:val="auto"/>
                <w:szCs w:val="22"/>
              </w:rPr>
              <w:t>m</w:t>
            </w:r>
            <w:r>
              <w:rPr>
                <w:rFonts w:hint="eastAsia"/>
                <w:color w:val="auto"/>
                <w:szCs w:val="22"/>
                <w:vertAlign w:val="superscript"/>
              </w:rPr>
              <w:t>3</w:t>
            </w:r>
            <w:r>
              <w:rPr>
                <w:rFonts w:hint="eastAsia"/>
                <w:color w:val="auto"/>
                <w:szCs w:val="22"/>
              </w:rPr>
              <w:t>/a</w:t>
            </w:r>
            <w:r>
              <w:rPr>
                <w:color w:val="auto"/>
                <w:szCs w:val="22"/>
              </w:rPr>
              <w:t>）</w:t>
            </w:r>
            <w:r>
              <w:rPr>
                <w:color w:val="auto"/>
              </w:rPr>
              <w:t>。</w:t>
            </w:r>
            <w:r>
              <w:rPr>
                <w:rFonts w:hint="eastAsia"/>
                <w:color w:val="auto"/>
              </w:rPr>
              <w:t>这些医疗废水主要产生于手术室</w:t>
            </w:r>
            <w:r>
              <w:rPr>
                <w:color w:val="auto"/>
              </w:rPr>
              <w:t>、化验药房、诊室</w:t>
            </w:r>
            <w:r>
              <w:rPr>
                <w:rFonts w:hint="eastAsia"/>
                <w:color w:val="auto"/>
              </w:rPr>
              <w:t>、住院</w:t>
            </w:r>
            <w:r>
              <w:rPr>
                <w:color w:val="auto"/>
              </w:rPr>
              <w:t>室。</w:t>
            </w:r>
          </w:p>
          <w:p>
            <w:pPr>
              <w:jc w:val="center"/>
              <w:rPr>
                <w:rFonts w:hAnsi="宋体"/>
                <w:b/>
                <w:color w:val="auto"/>
                <w:szCs w:val="21"/>
              </w:rPr>
            </w:pPr>
            <w:r>
              <w:rPr>
                <w:rFonts w:hint="eastAsia" w:hAnsi="宋体"/>
                <w:b/>
                <w:color w:val="auto"/>
                <w:szCs w:val="21"/>
              </w:rPr>
              <w:t>表2-</w:t>
            </w:r>
            <w:r>
              <w:rPr>
                <w:rFonts w:hAnsi="宋体"/>
                <w:b/>
                <w:color w:val="auto"/>
                <w:szCs w:val="21"/>
              </w:rPr>
              <w:t>4</w:t>
            </w:r>
            <w:r>
              <w:rPr>
                <w:rFonts w:hint="eastAsia" w:hAnsi="宋体"/>
                <w:b/>
                <w:color w:val="auto"/>
                <w:szCs w:val="21"/>
              </w:rPr>
              <w:t xml:space="preserve">    运营期给排水一览表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27"/>
              <w:gridCol w:w="1508"/>
              <w:gridCol w:w="1314"/>
              <w:gridCol w:w="1314"/>
              <w:gridCol w:w="1314"/>
              <w:gridCol w:w="13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970" w:type="pct"/>
                  <w:vAlign w:val="center"/>
                </w:tcPr>
                <w:p>
                  <w:pPr>
                    <w:widowControl/>
                    <w:jc w:val="center"/>
                    <w:rPr>
                      <w:color w:val="auto"/>
                      <w:sz w:val="18"/>
                      <w:szCs w:val="18"/>
                    </w:rPr>
                  </w:pPr>
                  <w:r>
                    <w:rPr>
                      <w:color w:val="auto"/>
                      <w:sz w:val="18"/>
                      <w:szCs w:val="18"/>
                    </w:rPr>
                    <w:t>类型</w:t>
                  </w:r>
                </w:p>
              </w:tc>
              <w:tc>
                <w:tcPr>
                  <w:tcW w:w="898" w:type="pct"/>
                  <w:vAlign w:val="center"/>
                </w:tcPr>
                <w:p>
                  <w:pPr>
                    <w:widowControl/>
                    <w:jc w:val="center"/>
                    <w:rPr>
                      <w:color w:val="auto"/>
                      <w:sz w:val="18"/>
                      <w:szCs w:val="18"/>
                    </w:rPr>
                  </w:pPr>
                  <w:r>
                    <w:rPr>
                      <w:color w:val="auto"/>
                      <w:sz w:val="18"/>
                      <w:szCs w:val="18"/>
                    </w:rPr>
                    <w:t>用水标准</w:t>
                  </w:r>
                </w:p>
              </w:tc>
              <w:tc>
                <w:tcPr>
                  <w:tcW w:w="783" w:type="pct"/>
                  <w:vAlign w:val="center"/>
                </w:tcPr>
                <w:p>
                  <w:pPr>
                    <w:widowControl/>
                    <w:jc w:val="center"/>
                    <w:rPr>
                      <w:color w:val="auto"/>
                      <w:sz w:val="18"/>
                      <w:szCs w:val="18"/>
                    </w:rPr>
                  </w:pPr>
                  <w:r>
                    <w:rPr>
                      <w:rFonts w:hint="eastAsia"/>
                      <w:color w:val="auto"/>
                      <w:sz w:val="18"/>
                      <w:szCs w:val="18"/>
                    </w:rPr>
                    <w:t>用水量</w:t>
                  </w:r>
                </w:p>
                <w:p>
                  <w:pPr>
                    <w:widowControl/>
                    <w:jc w:val="center"/>
                    <w:rPr>
                      <w:color w:val="auto"/>
                      <w:sz w:val="18"/>
                      <w:szCs w:val="18"/>
                    </w:rPr>
                  </w:pPr>
                  <w:r>
                    <w:rPr>
                      <w:color w:val="auto"/>
                      <w:sz w:val="18"/>
                      <w:szCs w:val="18"/>
                    </w:rPr>
                    <w:t>m</w:t>
                  </w:r>
                  <w:r>
                    <w:rPr>
                      <w:color w:val="auto"/>
                      <w:sz w:val="18"/>
                      <w:szCs w:val="18"/>
                      <w:vertAlign w:val="superscript"/>
                    </w:rPr>
                    <w:t>3</w:t>
                  </w:r>
                  <w:r>
                    <w:rPr>
                      <w:color w:val="auto"/>
                      <w:sz w:val="18"/>
                      <w:szCs w:val="18"/>
                    </w:rPr>
                    <w:t>/d</w:t>
                  </w:r>
                </w:p>
              </w:tc>
              <w:tc>
                <w:tcPr>
                  <w:tcW w:w="783" w:type="pct"/>
                  <w:vAlign w:val="center"/>
                </w:tcPr>
                <w:p>
                  <w:pPr>
                    <w:widowControl/>
                    <w:jc w:val="center"/>
                    <w:rPr>
                      <w:color w:val="auto"/>
                      <w:sz w:val="18"/>
                      <w:szCs w:val="18"/>
                    </w:rPr>
                  </w:pPr>
                  <w:r>
                    <w:rPr>
                      <w:rFonts w:hint="eastAsia"/>
                      <w:color w:val="auto"/>
                      <w:sz w:val="18"/>
                      <w:szCs w:val="18"/>
                    </w:rPr>
                    <w:t>用水量</w:t>
                  </w:r>
                </w:p>
                <w:p>
                  <w:pPr>
                    <w:widowControl/>
                    <w:jc w:val="center"/>
                    <w:rPr>
                      <w:color w:val="auto"/>
                      <w:sz w:val="18"/>
                      <w:szCs w:val="18"/>
                    </w:rPr>
                  </w:pPr>
                  <w:r>
                    <w:rPr>
                      <w:color w:val="auto"/>
                      <w:sz w:val="18"/>
                      <w:szCs w:val="18"/>
                    </w:rPr>
                    <w:t>m</w:t>
                  </w:r>
                  <w:r>
                    <w:rPr>
                      <w:color w:val="auto"/>
                      <w:sz w:val="18"/>
                      <w:szCs w:val="18"/>
                      <w:vertAlign w:val="superscript"/>
                    </w:rPr>
                    <w:t>3</w:t>
                  </w:r>
                  <w:r>
                    <w:rPr>
                      <w:color w:val="auto"/>
                      <w:sz w:val="18"/>
                      <w:szCs w:val="18"/>
                    </w:rPr>
                    <w:t>/a</w:t>
                  </w:r>
                </w:p>
              </w:tc>
              <w:tc>
                <w:tcPr>
                  <w:tcW w:w="783" w:type="pct"/>
                  <w:vAlign w:val="center"/>
                </w:tcPr>
                <w:p>
                  <w:pPr>
                    <w:widowControl/>
                    <w:jc w:val="center"/>
                    <w:rPr>
                      <w:color w:val="auto"/>
                      <w:sz w:val="18"/>
                      <w:szCs w:val="18"/>
                    </w:rPr>
                  </w:pPr>
                  <w:r>
                    <w:rPr>
                      <w:color w:val="auto"/>
                      <w:sz w:val="18"/>
                      <w:szCs w:val="18"/>
                    </w:rPr>
                    <w:t>排水量</w:t>
                  </w:r>
                </w:p>
                <w:p>
                  <w:pPr>
                    <w:widowControl/>
                    <w:jc w:val="center"/>
                    <w:rPr>
                      <w:color w:val="auto"/>
                      <w:sz w:val="18"/>
                      <w:szCs w:val="18"/>
                    </w:rPr>
                  </w:pPr>
                  <w:r>
                    <w:rPr>
                      <w:color w:val="auto"/>
                      <w:sz w:val="18"/>
                      <w:szCs w:val="18"/>
                    </w:rPr>
                    <w:t>m</w:t>
                  </w:r>
                  <w:r>
                    <w:rPr>
                      <w:color w:val="auto"/>
                      <w:sz w:val="18"/>
                      <w:szCs w:val="18"/>
                      <w:vertAlign w:val="superscript"/>
                    </w:rPr>
                    <w:t>3</w:t>
                  </w:r>
                  <w:r>
                    <w:rPr>
                      <w:color w:val="auto"/>
                      <w:sz w:val="18"/>
                      <w:szCs w:val="18"/>
                    </w:rPr>
                    <w:t>/d</w:t>
                  </w:r>
                </w:p>
              </w:tc>
              <w:tc>
                <w:tcPr>
                  <w:tcW w:w="783" w:type="pct"/>
                  <w:vAlign w:val="center"/>
                </w:tcPr>
                <w:p>
                  <w:pPr>
                    <w:widowControl/>
                    <w:jc w:val="center"/>
                    <w:rPr>
                      <w:color w:val="auto"/>
                      <w:sz w:val="18"/>
                      <w:szCs w:val="18"/>
                    </w:rPr>
                  </w:pPr>
                  <w:r>
                    <w:rPr>
                      <w:color w:val="auto"/>
                      <w:sz w:val="18"/>
                      <w:szCs w:val="18"/>
                    </w:rPr>
                    <w:t>排水量</w:t>
                  </w:r>
                </w:p>
                <w:p>
                  <w:pPr>
                    <w:widowControl/>
                    <w:jc w:val="center"/>
                    <w:rPr>
                      <w:color w:val="auto"/>
                      <w:sz w:val="18"/>
                      <w:szCs w:val="18"/>
                    </w:rPr>
                  </w:pPr>
                  <w:r>
                    <w:rPr>
                      <w:color w:val="auto"/>
                      <w:sz w:val="18"/>
                      <w:szCs w:val="18"/>
                    </w:rPr>
                    <w:t>m</w:t>
                  </w:r>
                  <w:r>
                    <w:rPr>
                      <w:color w:val="auto"/>
                      <w:sz w:val="18"/>
                      <w:szCs w:val="18"/>
                      <w:vertAlign w:val="superscript"/>
                    </w:rPr>
                    <w:t>3</w:t>
                  </w:r>
                  <w:r>
                    <w:rPr>
                      <w:color w:val="auto"/>
                      <w:sz w:val="18"/>
                      <w:szCs w:val="18"/>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970" w:type="pct"/>
                  <w:vAlign w:val="center"/>
                </w:tcPr>
                <w:p>
                  <w:pPr>
                    <w:widowControl/>
                    <w:jc w:val="center"/>
                    <w:rPr>
                      <w:color w:val="auto"/>
                      <w:sz w:val="18"/>
                      <w:szCs w:val="18"/>
                    </w:rPr>
                  </w:pPr>
                  <w:r>
                    <w:rPr>
                      <w:rFonts w:hint="eastAsia"/>
                      <w:color w:val="auto"/>
                      <w:sz w:val="18"/>
                      <w:szCs w:val="18"/>
                    </w:rPr>
                    <w:t>医务人员用水</w:t>
                  </w:r>
                </w:p>
              </w:tc>
              <w:tc>
                <w:tcPr>
                  <w:tcW w:w="898" w:type="pct"/>
                  <w:vAlign w:val="center"/>
                </w:tcPr>
                <w:p>
                  <w:pPr>
                    <w:widowControl/>
                    <w:jc w:val="center"/>
                    <w:rPr>
                      <w:color w:val="auto"/>
                      <w:sz w:val="18"/>
                      <w:szCs w:val="18"/>
                    </w:rPr>
                  </w:pPr>
                  <w:r>
                    <w:rPr>
                      <w:color w:val="auto"/>
                      <w:sz w:val="18"/>
                      <w:szCs w:val="18"/>
                    </w:rPr>
                    <w:t>30</w:t>
                  </w:r>
                  <w:r>
                    <w:rPr>
                      <w:rFonts w:hint="eastAsia"/>
                      <w:color w:val="auto"/>
                      <w:sz w:val="18"/>
                      <w:szCs w:val="18"/>
                    </w:rPr>
                    <w:t>L/人·班</w:t>
                  </w:r>
                </w:p>
              </w:tc>
              <w:tc>
                <w:tcPr>
                  <w:tcW w:w="783" w:type="pct"/>
                  <w:vAlign w:val="center"/>
                </w:tcPr>
                <w:p>
                  <w:pPr>
                    <w:widowControl/>
                    <w:jc w:val="center"/>
                    <w:rPr>
                      <w:color w:val="auto"/>
                      <w:sz w:val="18"/>
                      <w:szCs w:val="18"/>
                    </w:rPr>
                  </w:pPr>
                  <w:r>
                    <w:rPr>
                      <w:color w:val="auto"/>
                      <w:sz w:val="18"/>
                      <w:szCs w:val="18"/>
                    </w:rPr>
                    <w:t>0.1800</w:t>
                  </w:r>
                </w:p>
              </w:tc>
              <w:tc>
                <w:tcPr>
                  <w:tcW w:w="783" w:type="pct"/>
                  <w:vAlign w:val="center"/>
                </w:tcPr>
                <w:p>
                  <w:pPr>
                    <w:widowControl/>
                    <w:jc w:val="center"/>
                    <w:rPr>
                      <w:color w:val="auto"/>
                      <w:sz w:val="18"/>
                      <w:szCs w:val="18"/>
                    </w:rPr>
                  </w:pPr>
                  <w:r>
                    <w:rPr>
                      <w:color w:val="auto"/>
                      <w:sz w:val="18"/>
                      <w:szCs w:val="18"/>
                    </w:rPr>
                    <w:t>59.4000</w:t>
                  </w:r>
                </w:p>
              </w:tc>
              <w:tc>
                <w:tcPr>
                  <w:tcW w:w="783" w:type="pct"/>
                  <w:vAlign w:val="center"/>
                </w:tcPr>
                <w:p>
                  <w:pPr>
                    <w:widowControl/>
                    <w:jc w:val="center"/>
                    <w:rPr>
                      <w:color w:val="auto"/>
                      <w:sz w:val="18"/>
                      <w:szCs w:val="18"/>
                    </w:rPr>
                  </w:pPr>
                  <w:r>
                    <w:rPr>
                      <w:color w:val="auto"/>
                      <w:sz w:val="18"/>
                      <w:szCs w:val="18"/>
                    </w:rPr>
                    <w:t>0.1440</w:t>
                  </w:r>
                </w:p>
              </w:tc>
              <w:tc>
                <w:tcPr>
                  <w:tcW w:w="783" w:type="pct"/>
                  <w:vAlign w:val="center"/>
                </w:tcPr>
                <w:p>
                  <w:pPr>
                    <w:widowControl/>
                    <w:jc w:val="center"/>
                    <w:rPr>
                      <w:color w:val="auto"/>
                      <w:sz w:val="18"/>
                      <w:szCs w:val="18"/>
                    </w:rPr>
                  </w:pPr>
                  <w:r>
                    <w:rPr>
                      <w:color w:val="auto"/>
                      <w:sz w:val="18"/>
                      <w:szCs w:val="18"/>
                    </w:rPr>
                    <w:t>47.5200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970" w:type="pct"/>
                  <w:vAlign w:val="center"/>
                </w:tcPr>
                <w:p>
                  <w:pPr>
                    <w:widowControl/>
                    <w:jc w:val="center"/>
                    <w:rPr>
                      <w:color w:val="auto"/>
                      <w:sz w:val="18"/>
                      <w:szCs w:val="18"/>
                    </w:rPr>
                  </w:pPr>
                  <w:r>
                    <w:rPr>
                      <w:rFonts w:hint="eastAsia"/>
                      <w:color w:val="auto"/>
                      <w:sz w:val="18"/>
                      <w:szCs w:val="18"/>
                    </w:rPr>
                    <w:t>顾客用水</w:t>
                  </w:r>
                </w:p>
              </w:tc>
              <w:tc>
                <w:tcPr>
                  <w:tcW w:w="898" w:type="pct"/>
                  <w:vAlign w:val="center"/>
                </w:tcPr>
                <w:p>
                  <w:pPr>
                    <w:widowControl/>
                    <w:jc w:val="center"/>
                    <w:rPr>
                      <w:color w:val="auto"/>
                      <w:sz w:val="18"/>
                      <w:szCs w:val="18"/>
                    </w:rPr>
                  </w:pPr>
                  <w:r>
                    <w:rPr>
                      <w:color w:val="auto"/>
                      <w:sz w:val="18"/>
                      <w:szCs w:val="18"/>
                    </w:rPr>
                    <w:t>15L/ d·人</w:t>
                  </w:r>
                </w:p>
              </w:tc>
              <w:tc>
                <w:tcPr>
                  <w:tcW w:w="783" w:type="pct"/>
                  <w:vAlign w:val="center"/>
                </w:tcPr>
                <w:p>
                  <w:pPr>
                    <w:widowControl/>
                    <w:jc w:val="center"/>
                    <w:rPr>
                      <w:color w:val="auto"/>
                      <w:sz w:val="18"/>
                      <w:szCs w:val="18"/>
                    </w:rPr>
                  </w:pPr>
                  <w:r>
                    <w:rPr>
                      <w:color w:val="auto"/>
                      <w:sz w:val="18"/>
                      <w:szCs w:val="18"/>
                    </w:rPr>
                    <w:t>0.1500</w:t>
                  </w:r>
                </w:p>
              </w:tc>
              <w:tc>
                <w:tcPr>
                  <w:tcW w:w="783" w:type="pct"/>
                  <w:vAlign w:val="center"/>
                </w:tcPr>
                <w:p>
                  <w:pPr>
                    <w:widowControl/>
                    <w:jc w:val="center"/>
                    <w:rPr>
                      <w:color w:val="auto"/>
                      <w:sz w:val="18"/>
                      <w:szCs w:val="18"/>
                    </w:rPr>
                  </w:pPr>
                  <w:r>
                    <w:rPr>
                      <w:rFonts w:hint="eastAsia"/>
                      <w:color w:val="auto"/>
                      <w:sz w:val="18"/>
                      <w:szCs w:val="18"/>
                    </w:rPr>
                    <w:t>49.5</w:t>
                  </w:r>
                  <w:r>
                    <w:rPr>
                      <w:color w:val="auto"/>
                      <w:sz w:val="18"/>
                      <w:szCs w:val="18"/>
                    </w:rPr>
                    <w:t>000</w:t>
                  </w:r>
                </w:p>
              </w:tc>
              <w:tc>
                <w:tcPr>
                  <w:tcW w:w="783" w:type="pct"/>
                  <w:vAlign w:val="center"/>
                </w:tcPr>
                <w:p>
                  <w:pPr>
                    <w:widowControl/>
                    <w:jc w:val="center"/>
                    <w:rPr>
                      <w:color w:val="auto"/>
                      <w:sz w:val="18"/>
                      <w:szCs w:val="18"/>
                    </w:rPr>
                  </w:pPr>
                  <w:r>
                    <w:rPr>
                      <w:color w:val="auto"/>
                      <w:sz w:val="18"/>
                      <w:szCs w:val="18"/>
                    </w:rPr>
                    <w:t>0.1200</w:t>
                  </w:r>
                </w:p>
              </w:tc>
              <w:tc>
                <w:tcPr>
                  <w:tcW w:w="783" w:type="pct"/>
                  <w:vAlign w:val="center"/>
                </w:tcPr>
                <w:p>
                  <w:pPr>
                    <w:widowControl/>
                    <w:jc w:val="center"/>
                    <w:rPr>
                      <w:color w:val="auto"/>
                      <w:sz w:val="18"/>
                      <w:szCs w:val="18"/>
                    </w:rPr>
                  </w:pPr>
                  <w:r>
                    <w:rPr>
                      <w:color w:val="auto"/>
                      <w:sz w:val="18"/>
                      <w:szCs w:val="18"/>
                    </w:rPr>
                    <w:t>39.6000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970" w:type="pct"/>
                  <w:vAlign w:val="center"/>
                </w:tcPr>
                <w:p>
                  <w:pPr>
                    <w:widowControl/>
                    <w:jc w:val="center"/>
                    <w:rPr>
                      <w:color w:val="auto"/>
                      <w:sz w:val="18"/>
                      <w:szCs w:val="18"/>
                    </w:rPr>
                  </w:pPr>
                  <w:r>
                    <w:rPr>
                      <w:rFonts w:hint="eastAsia"/>
                      <w:color w:val="auto"/>
                      <w:sz w:val="18"/>
                      <w:szCs w:val="18"/>
                    </w:rPr>
                    <w:t>宠物洗浴用水</w:t>
                  </w:r>
                </w:p>
              </w:tc>
              <w:tc>
                <w:tcPr>
                  <w:tcW w:w="898" w:type="pct"/>
                  <w:vAlign w:val="center"/>
                </w:tcPr>
                <w:p>
                  <w:pPr>
                    <w:widowControl/>
                    <w:jc w:val="center"/>
                    <w:rPr>
                      <w:color w:val="auto"/>
                      <w:sz w:val="18"/>
                      <w:szCs w:val="18"/>
                    </w:rPr>
                  </w:pPr>
                  <w:r>
                    <w:rPr>
                      <w:rFonts w:hint="eastAsia"/>
                      <w:color w:val="auto"/>
                      <w:sz w:val="18"/>
                      <w:szCs w:val="18"/>
                    </w:rPr>
                    <w:t>80L/只</w:t>
                  </w:r>
                </w:p>
              </w:tc>
              <w:tc>
                <w:tcPr>
                  <w:tcW w:w="783" w:type="pct"/>
                  <w:vAlign w:val="center"/>
                </w:tcPr>
                <w:p>
                  <w:pPr>
                    <w:widowControl/>
                    <w:jc w:val="center"/>
                    <w:rPr>
                      <w:color w:val="auto"/>
                      <w:sz w:val="18"/>
                      <w:szCs w:val="18"/>
                    </w:rPr>
                  </w:pPr>
                  <w:r>
                    <w:rPr>
                      <w:rFonts w:hint="eastAsia"/>
                      <w:color w:val="auto"/>
                      <w:sz w:val="18"/>
                      <w:szCs w:val="18"/>
                    </w:rPr>
                    <w:t>0.4</w:t>
                  </w:r>
                  <w:r>
                    <w:rPr>
                      <w:color w:val="auto"/>
                      <w:sz w:val="18"/>
                      <w:szCs w:val="18"/>
                    </w:rPr>
                    <w:t>000</w:t>
                  </w:r>
                </w:p>
              </w:tc>
              <w:tc>
                <w:tcPr>
                  <w:tcW w:w="783" w:type="pct"/>
                  <w:vAlign w:val="center"/>
                </w:tcPr>
                <w:p>
                  <w:pPr>
                    <w:widowControl/>
                    <w:jc w:val="center"/>
                    <w:rPr>
                      <w:color w:val="auto"/>
                      <w:sz w:val="18"/>
                      <w:szCs w:val="18"/>
                    </w:rPr>
                  </w:pPr>
                  <w:r>
                    <w:rPr>
                      <w:color w:val="auto"/>
                      <w:sz w:val="18"/>
                      <w:szCs w:val="18"/>
                    </w:rPr>
                    <w:t>132.0000</w:t>
                  </w:r>
                </w:p>
              </w:tc>
              <w:tc>
                <w:tcPr>
                  <w:tcW w:w="783" w:type="pct"/>
                  <w:vAlign w:val="center"/>
                </w:tcPr>
                <w:p>
                  <w:pPr>
                    <w:widowControl/>
                    <w:jc w:val="center"/>
                    <w:rPr>
                      <w:color w:val="auto"/>
                      <w:sz w:val="18"/>
                      <w:szCs w:val="18"/>
                    </w:rPr>
                  </w:pPr>
                  <w:r>
                    <w:rPr>
                      <w:rFonts w:hint="eastAsia"/>
                      <w:color w:val="auto"/>
                      <w:sz w:val="18"/>
                      <w:szCs w:val="18"/>
                    </w:rPr>
                    <w:t>0.32</w:t>
                  </w:r>
                  <w:r>
                    <w:rPr>
                      <w:color w:val="auto"/>
                      <w:sz w:val="18"/>
                      <w:szCs w:val="18"/>
                    </w:rPr>
                    <w:t>00</w:t>
                  </w:r>
                </w:p>
              </w:tc>
              <w:tc>
                <w:tcPr>
                  <w:tcW w:w="783" w:type="pct"/>
                  <w:vAlign w:val="center"/>
                </w:tcPr>
                <w:p>
                  <w:pPr>
                    <w:widowControl/>
                    <w:jc w:val="center"/>
                    <w:rPr>
                      <w:color w:val="auto"/>
                      <w:sz w:val="18"/>
                      <w:szCs w:val="18"/>
                    </w:rPr>
                  </w:pPr>
                  <w:r>
                    <w:rPr>
                      <w:rFonts w:hint="eastAsia"/>
                      <w:color w:val="auto"/>
                      <w:sz w:val="18"/>
                      <w:szCs w:val="18"/>
                    </w:rPr>
                    <w:t>105.6</w:t>
                  </w:r>
                  <w:r>
                    <w:rPr>
                      <w:color w:val="auto"/>
                      <w:sz w:val="18"/>
                      <w:szCs w:val="18"/>
                    </w:rPr>
                    <w:t>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970" w:type="pct"/>
                  <w:vAlign w:val="center"/>
                </w:tcPr>
                <w:p>
                  <w:pPr>
                    <w:widowControl/>
                    <w:jc w:val="center"/>
                    <w:rPr>
                      <w:color w:val="auto"/>
                      <w:sz w:val="18"/>
                      <w:szCs w:val="18"/>
                    </w:rPr>
                  </w:pPr>
                  <w:r>
                    <w:rPr>
                      <w:rFonts w:hint="eastAsia"/>
                      <w:color w:val="auto"/>
                      <w:sz w:val="18"/>
                      <w:szCs w:val="18"/>
                    </w:rPr>
                    <w:t>医疗用水</w:t>
                  </w:r>
                </w:p>
              </w:tc>
              <w:tc>
                <w:tcPr>
                  <w:tcW w:w="898" w:type="pct"/>
                  <w:vAlign w:val="center"/>
                </w:tcPr>
                <w:p>
                  <w:pPr>
                    <w:widowControl/>
                    <w:jc w:val="center"/>
                    <w:rPr>
                      <w:color w:val="auto"/>
                      <w:sz w:val="18"/>
                      <w:szCs w:val="18"/>
                    </w:rPr>
                  </w:pPr>
                  <w:r>
                    <w:rPr>
                      <w:color w:val="auto"/>
                      <w:sz w:val="18"/>
                      <w:szCs w:val="18"/>
                    </w:rPr>
                    <w:t>12L/（病例·d）</w:t>
                  </w:r>
                </w:p>
              </w:tc>
              <w:tc>
                <w:tcPr>
                  <w:tcW w:w="783" w:type="pct"/>
                  <w:vAlign w:val="center"/>
                </w:tcPr>
                <w:p>
                  <w:pPr>
                    <w:widowControl/>
                    <w:jc w:val="center"/>
                    <w:rPr>
                      <w:color w:val="auto"/>
                      <w:sz w:val="18"/>
                      <w:szCs w:val="18"/>
                    </w:rPr>
                  </w:pPr>
                  <w:r>
                    <w:rPr>
                      <w:rFonts w:hint="eastAsia"/>
                      <w:color w:val="auto"/>
                      <w:sz w:val="18"/>
                      <w:szCs w:val="18"/>
                    </w:rPr>
                    <w:t>0.036</w:t>
                  </w:r>
                  <w:r>
                    <w:rPr>
                      <w:color w:val="auto"/>
                      <w:sz w:val="18"/>
                      <w:szCs w:val="18"/>
                    </w:rPr>
                    <w:t>0</w:t>
                  </w:r>
                </w:p>
              </w:tc>
              <w:tc>
                <w:tcPr>
                  <w:tcW w:w="783" w:type="pct"/>
                  <w:vAlign w:val="center"/>
                </w:tcPr>
                <w:p>
                  <w:pPr>
                    <w:widowControl/>
                    <w:jc w:val="center"/>
                    <w:rPr>
                      <w:color w:val="auto"/>
                      <w:sz w:val="18"/>
                      <w:szCs w:val="18"/>
                    </w:rPr>
                  </w:pPr>
                  <w:r>
                    <w:rPr>
                      <w:color w:val="auto"/>
                      <w:sz w:val="18"/>
                      <w:szCs w:val="18"/>
                    </w:rPr>
                    <w:t>11.8800</w:t>
                  </w:r>
                </w:p>
              </w:tc>
              <w:tc>
                <w:tcPr>
                  <w:tcW w:w="783" w:type="pct"/>
                  <w:vAlign w:val="center"/>
                </w:tcPr>
                <w:p>
                  <w:pPr>
                    <w:widowControl/>
                    <w:jc w:val="center"/>
                    <w:rPr>
                      <w:color w:val="auto"/>
                      <w:sz w:val="18"/>
                      <w:szCs w:val="18"/>
                    </w:rPr>
                  </w:pPr>
                  <w:r>
                    <w:rPr>
                      <w:color w:val="auto"/>
                      <w:sz w:val="18"/>
                      <w:szCs w:val="18"/>
                    </w:rPr>
                    <w:t>0.0288</w:t>
                  </w:r>
                </w:p>
              </w:tc>
              <w:tc>
                <w:tcPr>
                  <w:tcW w:w="783" w:type="pct"/>
                  <w:vAlign w:val="center"/>
                </w:tcPr>
                <w:p>
                  <w:pPr>
                    <w:widowControl/>
                    <w:jc w:val="center"/>
                    <w:rPr>
                      <w:color w:val="auto"/>
                      <w:sz w:val="18"/>
                      <w:szCs w:val="18"/>
                    </w:rPr>
                  </w:pPr>
                  <w:r>
                    <w:rPr>
                      <w:color w:val="auto"/>
                      <w:sz w:val="18"/>
                      <w:szCs w:val="18"/>
                    </w:rPr>
                    <w:t>9.5040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1869" w:type="pct"/>
                  <w:gridSpan w:val="2"/>
                  <w:vAlign w:val="center"/>
                </w:tcPr>
                <w:p>
                  <w:pPr>
                    <w:widowControl/>
                    <w:jc w:val="center"/>
                    <w:rPr>
                      <w:color w:val="auto"/>
                      <w:sz w:val="18"/>
                      <w:szCs w:val="18"/>
                    </w:rPr>
                  </w:pPr>
                  <w:r>
                    <w:rPr>
                      <w:rFonts w:hint="eastAsia"/>
                      <w:color w:val="auto"/>
                      <w:sz w:val="18"/>
                      <w:szCs w:val="18"/>
                    </w:rPr>
                    <w:t>合计</w:t>
                  </w:r>
                </w:p>
              </w:tc>
              <w:tc>
                <w:tcPr>
                  <w:tcW w:w="783" w:type="pct"/>
                  <w:vAlign w:val="center"/>
                </w:tcPr>
                <w:p>
                  <w:pPr>
                    <w:widowControl/>
                    <w:jc w:val="center"/>
                    <w:rPr>
                      <w:color w:val="auto"/>
                      <w:sz w:val="18"/>
                      <w:szCs w:val="18"/>
                    </w:rPr>
                  </w:pPr>
                  <w:r>
                    <w:rPr>
                      <w:color w:val="auto"/>
                      <w:sz w:val="18"/>
                      <w:szCs w:val="18"/>
                    </w:rPr>
                    <w:t>0.7660</w:t>
                  </w:r>
                </w:p>
              </w:tc>
              <w:tc>
                <w:tcPr>
                  <w:tcW w:w="783" w:type="pct"/>
                  <w:vAlign w:val="center"/>
                </w:tcPr>
                <w:p>
                  <w:pPr>
                    <w:widowControl/>
                    <w:jc w:val="center"/>
                    <w:rPr>
                      <w:color w:val="auto"/>
                      <w:sz w:val="18"/>
                      <w:szCs w:val="18"/>
                    </w:rPr>
                  </w:pPr>
                  <w:r>
                    <w:rPr>
                      <w:color w:val="auto"/>
                      <w:sz w:val="18"/>
                      <w:szCs w:val="18"/>
                    </w:rPr>
                    <w:t>252.7800</w:t>
                  </w:r>
                </w:p>
              </w:tc>
              <w:tc>
                <w:tcPr>
                  <w:tcW w:w="783" w:type="pct"/>
                  <w:vAlign w:val="center"/>
                </w:tcPr>
                <w:p>
                  <w:pPr>
                    <w:widowControl/>
                    <w:jc w:val="center"/>
                    <w:rPr>
                      <w:color w:val="auto"/>
                      <w:sz w:val="18"/>
                      <w:szCs w:val="18"/>
                    </w:rPr>
                  </w:pPr>
                  <w:r>
                    <w:rPr>
                      <w:color w:val="auto"/>
                      <w:sz w:val="18"/>
                      <w:szCs w:val="18"/>
                    </w:rPr>
                    <w:t>0.6128</w:t>
                  </w:r>
                </w:p>
              </w:tc>
              <w:tc>
                <w:tcPr>
                  <w:tcW w:w="783" w:type="pct"/>
                  <w:vAlign w:val="center"/>
                </w:tcPr>
                <w:p>
                  <w:pPr>
                    <w:widowControl/>
                    <w:jc w:val="center"/>
                    <w:rPr>
                      <w:color w:val="auto"/>
                      <w:sz w:val="18"/>
                      <w:szCs w:val="18"/>
                    </w:rPr>
                  </w:pPr>
                  <w:r>
                    <w:rPr>
                      <w:color w:val="auto"/>
                      <w:sz w:val="18"/>
                      <w:szCs w:val="18"/>
                    </w:rPr>
                    <w:t>202.224</w:t>
                  </w:r>
                </w:p>
              </w:tc>
            </w:tr>
          </w:tbl>
          <w:p>
            <w:pPr>
              <w:spacing w:line="360" w:lineRule="auto"/>
              <w:ind w:firstLine="12" w:firstLineChars="6"/>
              <w:jc w:val="center"/>
              <w:rPr>
                <w:rFonts w:hAnsi="宋体"/>
                <w:snapToGrid w:val="0"/>
                <w:color w:val="auto"/>
                <w:szCs w:val="21"/>
              </w:rPr>
            </w:pPr>
            <w:r>
              <w:rPr>
                <w:rFonts w:asciiTheme="minorHAnsi" w:hAnsiTheme="minorHAnsi" w:cstheme="minorBidi"/>
                <w:color w:val="auto"/>
                <w:szCs w:val="22"/>
              </w:rPr>
              <w:pict>
                <v:group id="_x0000_s1215" o:spid="_x0000_s1215" o:spt="203" style="height:247.2pt;width:417pt;" coordorigin="2706,1038" coordsize="7231,4284" editas="canvas">
                  <o:lock v:ext="edit"/>
                  <v:shape id="_x0000_s1216" o:spid="_x0000_s1216" o:spt="75" type="#_x0000_t75" style="position:absolute;left:2706;top:1038;height:4284;width:7231;" filled="f" o:preferrelative="f" stroked="f" coordsize="21600,21600">
                    <v:path/>
                    <v:fill on="f" focussize="0,0"/>
                    <v:stroke on="f" joinstyle="miter"/>
                    <v:imagedata o:title=""/>
                    <o:lock v:ext="edit" text="t" aspectratio="t"/>
                  </v:shape>
                  <v:rect id="_x0000_s1217" o:spid="_x0000_s1217" o:spt="1" style="position:absolute;left:4130;top:3713;height:442;width:1553;" coordsize="21600,21600">
                    <v:path/>
                    <v:fill focussize="0,0"/>
                    <v:stroke/>
                    <v:imagedata o:title=""/>
                    <o:lock v:ext="edit"/>
                    <v:textbox>
                      <w:txbxContent>
                        <w:p>
                          <w:pPr>
                            <w:jc w:val="center"/>
                          </w:pPr>
                          <w:r>
                            <w:rPr>
                              <w:rFonts w:hint="eastAsia"/>
                            </w:rPr>
                            <w:t>宠物洗浴用水</w:t>
                          </w:r>
                        </w:p>
                      </w:txbxContent>
                    </v:textbox>
                  </v:rect>
                  <v:shape id="_x0000_s1218" o:spid="_x0000_s1218" o:spt="32" type="#_x0000_t32" style="position:absolute;left:3687;top:3947;height:1;width:443;" o:connectortype="straight" filled="f" coordsize="21600,21600">
                    <v:path arrowok="t"/>
                    <v:fill on="f" focussize="0,0"/>
                    <v:stroke endarrow="block"/>
                    <v:imagedata o:title=""/>
                    <o:lock v:ext="edit"/>
                  </v:shape>
                  <v:rect id="_x0000_s1219" o:spid="_x0000_s1219" o:spt="1" style="position:absolute;left:4130;top:4661;height:442;width:1553;" coordsize="21600,21600">
                    <v:path/>
                    <v:fill focussize="0,0"/>
                    <v:stroke/>
                    <v:imagedata o:title=""/>
                    <o:lock v:ext="edit"/>
                    <v:textbox>
                      <w:txbxContent>
                        <w:p>
                          <w:pPr>
                            <w:jc w:val="center"/>
                          </w:pPr>
                          <w:r>
                            <w:rPr>
                              <w:rFonts w:hint="eastAsia"/>
                            </w:rPr>
                            <w:t>医疗用水</w:t>
                          </w:r>
                        </w:p>
                      </w:txbxContent>
                    </v:textbox>
                  </v:rect>
                  <v:shape id="_x0000_s1220" o:spid="_x0000_s1220" o:spt="32" type="#_x0000_t32" style="position:absolute;left:3687;top:4869;height:1;width:443;" o:connectortype="straight" filled="f" coordsize="21600,21600">
                    <v:path arrowok="t"/>
                    <v:fill on="f" focussize="0,0"/>
                    <v:stroke endarrow="block"/>
                    <v:imagedata o:title=""/>
                    <o:lock v:ext="edit"/>
                  </v:shape>
                  <v:rect id="_x0000_s1221" o:spid="_x0000_s1221" o:spt="1" style="position:absolute;left:2706;top:3564;height:442;width:1080;" filled="f" stroked="f" coordsize="21600,21600">
                    <v:path/>
                    <v:fill on="f" focussize="0,0"/>
                    <v:stroke on="f"/>
                    <v:imagedata o:title=""/>
                    <o:lock v:ext="edit"/>
                    <v:textbox>
                      <w:txbxContent>
                        <w:p>
                          <w:pPr>
                            <w:jc w:val="center"/>
                          </w:pPr>
                          <w:r>
                            <w:rPr>
                              <w:rFonts w:hint="eastAsia"/>
                            </w:rPr>
                            <w:t>新鲜水</w:t>
                          </w:r>
                        </w:p>
                      </w:txbxContent>
                    </v:textbox>
                  </v:rect>
                  <v:shape id="_x0000_s1222" o:spid="_x0000_s1222" o:spt="32" type="#_x0000_t32" style="position:absolute;left:4907;top:4271;flip:y;height:390;width:399;" o:connectortype="straight" filled="f" coordsize="21600,21600">
                    <v:path arrowok="t"/>
                    <v:fill on="f" focussize="0,0"/>
                    <v:stroke dashstyle="dash" endarrow="block"/>
                    <v:imagedata o:title=""/>
                    <o:lock v:ext="edit"/>
                  </v:shape>
                  <v:shape id="_x0000_s1223" o:spid="_x0000_s1223" o:spt="13" type="#_x0000_t13" style="position:absolute;left:2894;top:3429;height:181;width:793;" coordsize="21600,21600">
                    <v:path/>
                    <v:fill focussize="0,0"/>
                    <v:stroke joinstyle="miter"/>
                    <v:imagedata o:title=""/>
                    <o:lock v:ext="edit"/>
                  </v:shape>
                  <v:rect id="_x0000_s1224" o:spid="_x0000_s1224" o:spt="1" style="position:absolute;left:5438;top:3195;height:415;width:1340;" filled="f" stroked="f" coordsize="21600,21600">
                    <v:path/>
                    <v:fill on="f" focussize="0,0"/>
                    <v:stroke on="f"/>
                    <v:imagedata o:title=""/>
                    <o:lock v:ext="edit"/>
                    <v:textbox>
                      <w:txbxContent>
                        <w:p>
                          <w:r>
                            <w:rPr>
                              <w:rFonts w:hint="eastAsia"/>
                            </w:rPr>
                            <w:t>损耗0.08</w:t>
                          </w:r>
                          <w:r>
                            <w:t>00</w:t>
                          </w:r>
                        </w:p>
                      </w:txbxContent>
                    </v:textbox>
                  </v:rect>
                  <v:rect id="_x0000_s1225" o:spid="_x0000_s1225" o:spt="1" style="position:absolute;left:3423;top:3654;height:415;width:768;" filled="f" stroked="f" coordsize="21600,21600">
                    <v:path/>
                    <v:fill on="f" focussize="0,0"/>
                    <v:stroke on="f"/>
                    <v:imagedata o:title=""/>
                    <o:lock v:ext="edit"/>
                    <v:textbox>
                      <w:txbxContent>
                        <w:p>
                          <w:r>
                            <w:rPr>
                              <w:rFonts w:hint="eastAsia"/>
                            </w:rPr>
                            <w:t>0.4</w:t>
                          </w:r>
                          <w:r>
                            <w:t>000</w:t>
                          </w:r>
                        </w:p>
                      </w:txbxContent>
                    </v:textbox>
                  </v:rect>
                  <v:rect id="_x0000_s1226" o:spid="_x0000_s1226" o:spt="1" style="position:absolute;left:3476;top:4546;height:415;width:757;" filled="f" stroked="f" coordsize="21600,21600">
                    <v:path/>
                    <v:fill on="f" focussize="0,0"/>
                    <v:stroke on="f"/>
                    <v:imagedata o:title=""/>
                    <o:lock v:ext="edit"/>
                    <v:textbox>
                      <w:txbxContent>
                        <w:p>
                          <w:r>
                            <w:rPr>
                              <w:rFonts w:hint="eastAsia"/>
                            </w:rPr>
                            <w:t>0.036</w:t>
                          </w:r>
                          <w:r>
                            <w:t>0</w:t>
                          </w:r>
                        </w:p>
                      </w:txbxContent>
                    </v:textbox>
                  </v:rect>
                  <v:rect id="_x0000_s1227" o:spid="_x0000_s1227" o:spt="1" style="position:absolute;left:5190;top:4155;height:414;width:1160;" filled="f" stroked="f" coordsize="21600,21600">
                    <v:path/>
                    <v:fill on="f" focussize="0,0"/>
                    <v:stroke on="f"/>
                    <v:imagedata o:title=""/>
                    <o:lock v:ext="edit"/>
                    <v:textbox>
                      <w:txbxContent>
                        <w:p>
                          <w:r>
                            <w:rPr>
                              <w:rFonts w:hint="eastAsia"/>
                            </w:rPr>
                            <w:t>损耗</w:t>
                          </w:r>
                          <w:r>
                            <w:t>0.0072</w:t>
                          </w:r>
                        </w:p>
                      </w:txbxContent>
                    </v:textbox>
                  </v:rect>
                  <v:shape id="_x0000_s1228" o:spid="_x0000_s1228" o:spt="32" type="#_x0000_t32" style="position:absolute;left:5691;top:3946;height:1;width:1900;" o:connectortype="straight" filled="f" coordsize="21600,21600">
                    <v:path arrowok="t"/>
                    <v:fill on="f" focussize="0,0"/>
                    <v:stroke endarrow="block"/>
                    <v:imagedata o:title=""/>
                    <o:lock v:ext="edit"/>
                  </v:shape>
                  <v:rect id="_x0000_s1229" o:spid="_x0000_s1229" o:spt="1" style="position:absolute;left:2779;top:3081;height:443;width:968;" filled="f" stroked="f" coordsize="21600,21600">
                    <v:path/>
                    <v:fill on="f" focussize="0,0"/>
                    <v:stroke on="f"/>
                    <v:imagedata o:title=""/>
                    <o:lock v:ext="edit"/>
                    <v:textbox>
                      <w:txbxContent>
                        <w:p>
                          <w:pPr>
                            <w:jc w:val="center"/>
                          </w:pPr>
                          <w:r>
                            <w:t>0.7660</w:t>
                          </w:r>
                        </w:p>
                      </w:txbxContent>
                    </v:textbox>
                  </v:rect>
                  <v:rect id="_x0000_s1230" o:spid="_x0000_s1230" o:spt="1" style="position:absolute;left:4138;top:2753;height:442;width:1553;" coordsize="21600,21600">
                    <v:path/>
                    <v:fill focussize="0,0"/>
                    <v:stroke/>
                    <v:imagedata o:title=""/>
                    <o:lock v:ext="edit"/>
                    <v:textbox>
                      <w:txbxContent>
                        <w:p>
                          <w:pPr>
                            <w:jc w:val="center"/>
                          </w:pPr>
                          <w:r>
                            <w:rPr>
                              <w:rFonts w:hint="eastAsia"/>
                            </w:rPr>
                            <w:t>顾客用水</w:t>
                          </w:r>
                        </w:p>
                      </w:txbxContent>
                    </v:textbox>
                  </v:rect>
                  <v:shape id="_x0000_s1231" o:spid="_x0000_s1231" o:spt="32" type="#_x0000_t32" style="position:absolute;left:3695;top:2972;height:1;width:443;" o:connectortype="straight" filled="f" coordsize="21600,21600">
                    <v:path arrowok="t"/>
                    <v:fill on="f" focussize="0,0"/>
                    <v:stroke endarrow="block"/>
                    <v:imagedata o:title=""/>
                    <o:lock v:ext="edit"/>
                  </v:shape>
                  <v:rect id="_x0000_s1232" o:spid="_x0000_s1232" o:spt="1" style="position:absolute;left:4419;top:2118;height:415;width:1413;" filled="f" stroked="f" coordsize="21600,21600">
                    <v:path/>
                    <v:fill on="f" focussize="0,0"/>
                    <v:stroke on="f"/>
                    <v:imagedata o:title=""/>
                    <o:lock v:ext="edit"/>
                    <v:textbox>
                      <w:txbxContent>
                        <w:p>
                          <w:r>
                            <w:rPr>
                              <w:rFonts w:hint="eastAsia"/>
                            </w:rPr>
                            <w:t>损耗0.03</w:t>
                          </w:r>
                          <w:r>
                            <w:t>00</w:t>
                          </w:r>
                        </w:p>
                      </w:txbxContent>
                    </v:textbox>
                  </v:rect>
                  <v:shape id="_x0000_s1233" o:spid="_x0000_s1233" o:spt="32" type="#_x0000_t32" style="position:absolute;left:4343;top:2442;flip:y;height:299;width:354;" o:connectortype="straight" filled="f" coordsize="21600,21600">
                    <v:path arrowok="t"/>
                    <v:fill on="f" focussize="0,0"/>
                    <v:stroke dashstyle="dash" endarrow="block"/>
                    <v:imagedata o:title=""/>
                    <o:lock v:ext="edit"/>
                  </v:shape>
                  <v:rect id="_x0000_s1234" o:spid="_x0000_s1234" o:spt="1" style="position:absolute;left:3423;top:2624;height:416;width:856;" filled="f" stroked="f" coordsize="21600,21600">
                    <v:path/>
                    <v:fill on="f" focussize="0,0"/>
                    <v:stroke on="f"/>
                    <v:imagedata o:title=""/>
                    <o:lock v:ext="edit"/>
                    <v:textbox>
                      <w:txbxContent>
                        <w:p>
                          <w:r>
                            <w:rPr>
                              <w:rFonts w:hint="eastAsia"/>
                            </w:rPr>
                            <w:t>0.15</w:t>
                          </w:r>
                          <w:r>
                            <w:t>00</w:t>
                          </w:r>
                        </w:p>
                      </w:txbxContent>
                    </v:textbox>
                  </v:rect>
                  <v:shape id="_x0000_s1235" o:spid="_x0000_s1235" o:spt="32" type="#_x0000_t32" style="position:absolute;left:5115;top:3323;flip:y;height:390;width:399;" o:connectortype="straight" filled="f" coordsize="21600,21600">
                    <v:path arrowok="t"/>
                    <v:fill on="f" focussize="0,0"/>
                    <v:stroke dashstyle="dash" endarrow="block"/>
                    <v:imagedata o:title=""/>
                    <o:lock v:ext="edit"/>
                  </v:shape>
                  <v:rect id="_x0000_s1236" o:spid="_x0000_s1236" o:spt="1" style="position:absolute;left:4112;top:1766;height:443;width:1553;" coordsize="21600,21600">
                    <v:path/>
                    <v:fill focussize="0,0"/>
                    <v:stroke/>
                    <v:imagedata o:title=""/>
                    <o:lock v:ext="edit"/>
                    <v:textbox>
                      <w:txbxContent>
                        <w:p>
                          <w:pPr>
                            <w:jc w:val="center"/>
                          </w:pPr>
                          <w:r>
                            <w:rPr>
                              <w:rFonts w:hint="eastAsia"/>
                            </w:rPr>
                            <w:t>医务人员用水</w:t>
                          </w:r>
                        </w:p>
                      </w:txbxContent>
                    </v:textbox>
                  </v:rect>
                  <v:shape id="_x0000_s1237" o:spid="_x0000_s1237" o:spt="32" type="#_x0000_t32" style="position:absolute;left:3669;top:1985;height:1;width:443;" o:connectortype="straight" filled="f" coordsize="21600,21600">
                    <v:path arrowok="t"/>
                    <v:fill on="f" focussize="0,0"/>
                    <v:stroke endarrow="block"/>
                    <v:imagedata o:title=""/>
                    <o:lock v:ext="edit"/>
                  </v:shape>
                  <v:rect id="_x0000_s1238" o:spid="_x0000_s1238" o:spt="1" style="position:absolute;left:3423;top:1635;height:416;width:863;" filled="f" stroked="f" coordsize="21600,21600">
                    <v:path/>
                    <v:fill on="f" focussize="0,0"/>
                    <v:stroke on="f"/>
                    <v:imagedata o:title=""/>
                    <o:lock v:ext="edit"/>
                    <v:textbox>
                      <w:txbxContent>
                        <w:p>
                          <w:r>
                            <w:t>0.1800</w:t>
                          </w:r>
                        </w:p>
                      </w:txbxContent>
                    </v:textbox>
                  </v:rect>
                  <v:shape id="_x0000_s1239" o:spid="_x0000_s1239" o:spt="32" type="#_x0000_t32" style="position:absolute;left:4419;top:1376;flip:y;height:390;width:399;" o:connectortype="straight" filled="f" coordsize="21600,21600">
                    <v:path arrowok="t"/>
                    <v:fill on="f" focussize="0,0"/>
                    <v:stroke dashstyle="dash" endarrow="block"/>
                    <v:imagedata o:title=""/>
                    <o:lock v:ext="edit"/>
                  </v:shape>
                  <v:rect id="_x0000_s1240" o:spid="_x0000_s1240" o:spt="1" style="position:absolute;left:4286;top:1051;height:418;width:1264;" filled="f" stroked="f" coordsize="21600,21600">
                    <v:path/>
                    <v:fill on="f" focussize="0,0"/>
                    <v:stroke on="f"/>
                    <v:imagedata o:title=""/>
                    <o:lock v:ext="edit"/>
                    <v:textbox>
                      <w:txbxContent>
                        <w:p>
                          <w:r>
                            <w:rPr>
                              <w:rFonts w:hint="eastAsia"/>
                            </w:rPr>
                            <w:t>损耗</w:t>
                          </w:r>
                          <w:r>
                            <w:t>0.0360</w:t>
                          </w:r>
                        </w:p>
                      </w:txbxContent>
                    </v:textbox>
                  </v:rect>
                  <v:shape id="_x0000_s1241" o:spid="_x0000_s1241" o:spt="32" type="#_x0000_t32" style="position:absolute;left:3695;top:1985;height:2885;width:0;" o:connectortype="straight" filled="f" coordsize="21600,21600">
                    <v:path arrowok="t"/>
                    <v:fill on="f" focussize="0,0"/>
                    <v:stroke/>
                    <v:imagedata o:title=""/>
                    <o:lock v:ext="edit"/>
                  </v:shape>
                  <v:rect id="_x0000_s1242" o:spid="_x0000_s1242" o:spt="1" style="position:absolute;left:6003;top:4661;height:442;width:1169;" coordsize="21600,21600">
                    <v:path/>
                    <v:fill focussize="0,0"/>
                    <v:stroke/>
                    <v:imagedata o:title=""/>
                    <o:lock v:ext="edit"/>
                    <v:textbox>
                      <w:txbxContent>
                        <w:p>
                          <w:pPr>
                            <w:jc w:val="center"/>
                          </w:pPr>
                          <w:r>
                            <w:t>HB-50消毒</w:t>
                          </w:r>
                        </w:p>
                      </w:txbxContent>
                    </v:textbox>
                  </v:rect>
                  <v:shape id="_x0000_s1243" o:spid="_x0000_s1243" o:spt="32" type="#_x0000_t32" style="position:absolute;left:5665;top:4870;height:1;width:338;" o:connectortype="straight" filled="f" coordsize="21600,21600">
                    <v:path arrowok="t"/>
                    <v:fill on="f" focussize="0,0"/>
                    <v:stroke endarrow="block"/>
                    <v:imagedata o:title=""/>
                    <o:lock v:ext="edit"/>
                  </v:shape>
                  <v:shape id="_x0000_s1244" o:spid="_x0000_s1244" o:spt="32" type="#_x0000_t32" style="position:absolute;left:5683;top:2973;height:1;width:1900;" o:connectortype="straight" filled="f" coordsize="21600,21600">
                    <v:path arrowok="t"/>
                    <v:fill on="f" focussize="0,0"/>
                    <v:stroke endarrow="block"/>
                    <v:imagedata o:title=""/>
                    <o:lock v:ext="edit"/>
                  </v:shape>
                  <v:shape id="_x0000_s1245" o:spid="_x0000_s1245" o:spt="32" type="#_x0000_t32" style="position:absolute;left:5695;top:1987;height:2;width:1899;" o:connectortype="straight" filled="f" coordsize="21600,21600">
                    <v:path arrowok="t"/>
                    <v:fill on="f" focussize="0,0"/>
                    <v:stroke endarrow="block"/>
                    <v:imagedata o:title=""/>
                    <o:lock v:ext="edit"/>
                  </v:shape>
                  <v:shape id="_x0000_s1246" o:spid="_x0000_s1246" o:spt="32" type="#_x0000_t32" style="position:absolute;left:7194;top:4867;height:1;width:397;" o:connectortype="straight" filled="f" coordsize="21600,21600">
                    <v:path arrowok="t"/>
                    <v:fill on="f" focussize="0,0"/>
                    <v:stroke endarrow="block"/>
                    <v:imagedata o:title=""/>
                    <o:lock v:ext="edit"/>
                  </v:shape>
                  <v:shape id="_x0000_s1247" o:spid="_x0000_s1247" o:spt="32" type="#_x0000_t32" style="position:absolute;left:7591;top:1985;height:2886;width:3;" o:connectortype="straight" filled="f" coordsize="21600,21600">
                    <v:path arrowok="t"/>
                    <v:fill on="f" focussize="0,0"/>
                    <v:stroke/>
                    <v:imagedata o:title=""/>
                    <o:lock v:ext="edit"/>
                  </v:shape>
                  <v:shape id="_x0000_s1248" o:spid="_x0000_s1248" o:spt="32" type="#_x0000_t32" style="position:absolute;left:7583;top:3379;height:1;width:718;" o:connectortype="straight" filled="f" coordsize="21600,21600">
                    <v:path arrowok="t"/>
                    <v:fill on="f" focussize="0,0"/>
                    <v:stroke endarrow="block"/>
                    <v:imagedata o:title=""/>
                    <o:lock v:ext="edit"/>
                  </v:shape>
                  <v:rect id="_x0000_s1249" o:spid="_x0000_s1249" o:spt="1" style="position:absolute;left:6350;top:1635;height:416;width:797;" filled="f" stroked="f" coordsize="21600,21600">
                    <v:path/>
                    <v:fill on="f" focussize="0,0"/>
                    <v:stroke on="f"/>
                    <v:imagedata o:title=""/>
                    <o:lock v:ext="edit"/>
                    <v:textbox>
                      <w:txbxContent>
                        <w:p>
                          <w:r>
                            <w:t>0.1440</w:t>
                          </w:r>
                        </w:p>
                      </w:txbxContent>
                    </v:textbox>
                  </v:rect>
                  <v:rect id="_x0000_s1250" o:spid="_x0000_s1250" o:spt="1" style="position:absolute;left:6350;top:2624;height:416;width:754;" filled="f" stroked="f" coordsize="21600,21600">
                    <v:path/>
                    <v:fill on="f" focussize="0,0"/>
                    <v:stroke on="f"/>
                    <v:imagedata o:title=""/>
                    <o:lock v:ext="edit"/>
                    <v:textbox>
                      <w:txbxContent>
                        <w:p>
                          <w:r>
                            <w:rPr>
                              <w:rFonts w:hint="eastAsia"/>
                            </w:rPr>
                            <w:t>0.12</w:t>
                          </w:r>
                          <w:r>
                            <w:t>00</w:t>
                          </w:r>
                        </w:p>
                      </w:txbxContent>
                    </v:textbox>
                  </v:rect>
                  <v:rect id="_x0000_s1251" o:spid="_x0000_s1251" o:spt="1" style="position:absolute;left:6350;top:3610;height:416;width:810;" filled="f" stroked="f" coordsize="21600,21600">
                    <v:path/>
                    <v:fill on="f" focussize="0,0"/>
                    <v:stroke on="f"/>
                    <v:imagedata o:title=""/>
                    <o:lock v:ext="edit"/>
                    <v:textbox>
                      <w:txbxContent>
                        <w:p>
                          <w:r>
                            <w:rPr>
                              <w:rFonts w:hint="eastAsia"/>
                            </w:rPr>
                            <w:t>0.32</w:t>
                          </w:r>
                          <w:r>
                            <w:t>00</w:t>
                          </w:r>
                        </w:p>
                      </w:txbxContent>
                    </v:textbox>
                  </v:rect>
                  <v:rect id="_x0000_s1252" o:spid="_x0000_s1252" o:spt="1" style="position:absolute;left:7136;top:4545;height:416;width:781;" filled="f" stroked="f" coordsize="21600,21600">
                    <v:path/>
                    <v:fill on="f" focussize="0,0"/>
                    <v:stroke on="f"/>
                    <v:imagedata o:title=""/>
                    <o:lock v:ext="edit"/>
                    <v:textbox>
                      <w:txbxContent>
                        <w:p>
                          <w:r>
                            <w:rPr>
                              <w:rFonts w:hint="eastAsia"/>
                            </w:rPr>
                            <w:t>0</w:t>
                          </w:r>
                          <w:r>
                            <w:t>.0288</w:t>
                          </w:r>
                        </w:p>
                      </w:txbxContent>
                    </v:textbox>
                  </v:rect>
                  <v:rect id="_x0000_s1253" o:spid="_x0000_s1253" o:spt="1" style="position:absolute;left:7583;top:3040;height:416;width:761;" filled="f" stroked="f" coordsize="21600,21600">
                    <v:path/>
                    <v:fill on="f" focussize="0,0"/>
                    <v:stroke on="f"/>
                    <v:imagedata o:title=""/>
                    <o:lock v:ext="edit"/>
                    <v:textbox>
                      <w:txbxContent>
                        <w:p>
                          <w:r>
                            <w:t>0.6128</w:t>
                          </w:r>
                        </w:p>
                      </w:txbxContent>
                    </v:textbox>
                  </v:rect>
                  <v:rect id="_x0000_s1254" o:spid="_x0000_s1254" o:spt="1" style="position:absolute;left:8222;top:2533;height:1839;width:1402;" filled="f" stroked="f" coordsize="21600,21600">
                    <v:path/>
                    <v:fill on="f" focussize="0,0"/>
                    <v:stroke on="f"/>
                    <v:imagedata o:title=""/>
                    <o:lock v:ext="edit"/>
                    <v:textbox>
                      <w:txbxContent>
                        <w:p>
                          <w:pPr>
                            <w:jc w:val="center"/>
                          </w:pPr>
                          <w:r>
                            <w:t>进入丰和坊一期15幢公用化粪池后经丰禾路市政污水管网排入邓家村污水处理厂</w:t>
                          </w:r>
                        </w:p>
                      </w:txbxContent>
                    </v:textbox>
                  </v:rect>
                  <w10:wrap type="none"/>
                  <w10:anchorlock/>
                </v:group>
              </w:pict>
            </w:r>
          </w:p>
          <w:p>
            <w:pPr>
              <w:spacing w:line="360" w:lineRule="auto"/>
              <w:jc w:val="center"/>
              <w:rPr>
                <w:rFonts w:hAnsi="宋体"/>
                <w:b/>
                <w:snapToGrid w:val="0"/>
                <w:color w:val="auto"/>
                <w:szCs w:val="21"/>
              </w:rPr>
            </w:pPr>
            <w:r>
              <w:rPr>
                <w:rFonts w:hint="eastAsia" w:hAnsi="宋体"/>
                <w:b/>
                <w:snapToGrid w:val="0"/>
                <w:color w:val="auto"/>
                <w:szCs w:val="21"/>
              </w:rPr>
              <w:t>图1    运营期水平衡（单位：m</w:t>
            </w:r>
            <w:r>
              <w:rPr>
                <w:rFonts w:hint="eastAsia" w:hAnsi="宋体"/>
                <w:b/>
                <w:snapToGrid w:val="0"/>
                <w:color w:val="auto"/>
                <w:szCs w:val="21"/>
                <w:vertAlign w:val="superscript"/>
              </w:rPr>
              <w:t>3</w:t>
            </w:r>
            <w:r>
              <w:rPr>
                <w:rFonts w:hint="eastAsia" w:hAnsi="宋体"/>
                <w:b/>
                <w:snapToGrid w:val="0"/>
                <w:color w:val="auto"/>
                <w:szCs w:val="21"/>
              </w:rPr>
              <w:t>/d）</w:t>
            </w:r>
          </w:p>
          <w:p>
            <w:pPr>
              <w:spacing w:line="360" w:lineRule="auto"/>
              <w:ind w:firstLine="420" w:firstLineChars="200"/>
              <w:rPr>
                <w:rFonts w:hAnsi="宋体"/>
                <w:snapToGrid w:val="0"/>
                <w:color w:val="auto"/>
                <w:szCs w:val="21"/>
              </w:rPr>
            </w:pPr>
            <w:r>
              <w:rPr>
                <w:rFonts w:hint="eastAsia" w:hAnsi="宋体"/>
                <w:snapToGrid w:val="0"/>
                <w:color w:val="auto"/>
                <w:szCs w:val="21"/>
              </w:rPr>
              <w:t>（3）供电</w:t>
            </w:r>
          </w:p>
          <w:p>
            <w:pPr>
              <w:spacing w:line="360" w:lineRule="auto"/>
              <w:ind w:firstLine="420" w:firstLineChars="200"/>
              <w:rPr>
                <w:rFonts w:hAnsi="宋体"/>
                <w:snapToGrid w:val="0"/>
                <w:color w:val="auto"/>
                <w:szCs w:val="21"/>
              </w:rPr>
            </w:pPr>
            <w:r>
              <w:rPr>
                <w:rFonts w:hint="eastAsia" w:hAnsi="宋体"/>
                <w:snapToGrid w:val="0"/>
                <w:color w:val="auto"/>
                <w:szCs w:val="21"/>
              </w:rPr>
              <w:t>本项目用地由市政电网供给。</w:t>
            </w:r>
          </w:p>
          <w:p>
            <w:pPr>
              <w:spacing w:line="360" w:lineRule="auto"/>
              <w:ind w:firstLine="420" w:firstLineChars="200"/>
              <w:rPr>
                <w:rFonts w:hAnsi="宋体"/>
                <w:snapToGrid w:val="0"/>
                <w:color w:val="auto"/>
                <w:szCs w:val="21"/>
              </w:rPr>
            </w:pPr>
            <w:r>
              <w:rPr>
                <w:rFonts w:hint="eastAsia" w:hAnsi="宋体"/>
                <w:snapToGrid w:val="0"/>
                <w:color w:val="auto"/>
                <w:szCs w:val="21"/>
              </w:rPr>
              <w:t>（4）供暖及制冷</w:t>
            </w:r>
          </w:p>
          <w:p>
            <w:pPr>
              <w:spacing w:line="360" w:lineRule="auto"/>
              <w:ind w:firstLine="420" w:firstLineChars="200"/>
              <w:rPr>
                <w:rFonts w:hAnsi="宋体"/>
                <w:snapToGrid w:val="0"/>
                <w:color w:val="auto"/>
                <w:szCs w:val="21"/>
              </w:rPr>
            </w:pPr>
            <w:r>
              <w:rPr>
                <w:rFonts w:hint="eastAsia" w:hAnsi="宋体"/>
                <w:snapToGrid w:val="0"/>
                <w:color w:val="auto"/>
                <w:szCs w:val="21"/>
              </w:rPr>
              <w:t>本项目夏季制冷和冬季采暖均采用中央空调，</w:t>
            </w:r>
            <w:r>
              <w:rPr>
                <w:rFonts w:hAnsi="宋体"/>
                <w:snapToGrid w:val="0"/>
                <w:color w:val="auto"/>
                <w:szCs w:val="21"/>
              </w:rPr>
              <w:t>使用</w:t>
            </w:r>
            <w:r>
              <w:rPr>
                <w:rFonts w:hint="eastAsia" w:hAnsi="宋体"/>
                <w:snapToGrid w:val="0"/>
                <w:color w:val="auto"/>
                <w:szCs w:val="21"/>
              </w:rPr>
              <w:t>能源</w:t>
            </w:r>
            <w:r>
              <w:rPr>
                <w:rFonts w:hAnsi="宋体"/>
                <w:snapToGrid w:val="0"/>
                <w:color w:val="auto"/>
                <w:szCs w:val="21"/>
              </w:rPr>
              <w:t>为电能</w:t>
            </w:r>
            <w:r>
              <w:rPr>
                <w:rFonts w:hint="eastAsia" w:hAnsi="宋体"/>
                <w:snapToGrid w:val="0"/>
                <w:color w:val="auto"/>
                <w:szCs w:val="21"/>
              </w:rPr>
              <w:t>。</w:t>
            </w:r>
          </w:p>
          <w:p>
            <w:pPr>
              <w:spacing w:line="360" w:lineRule="auto"/>
              <w:ind w:firstLine="420" w:firstLineChars="200"/>
              <w:rPr>
                <w:rFonts w:hAnsi="宋体"/>
                <w:snapToGrid w:val="0"/>
                <w:color w:val="auto"/>
                <w:szCs w:val="21"/>
              </w:rPr>
            </w:pPr>
            <w:r>
              <w:rPr>
                <w:rFonts w:hint="eastAsia" w:hAnsi="宋体"/>
                <w:snapToGrid w:val="0"/>
                <w:color w:val="auto"/>
                <w:szCs w:val="21"/>
              </w:rPr>
              <w:t>（5）消防</w:t>
            </w:r>
          </w:p>
          <w:p>
            <w:pPr>
              <w:spacing w:line="360" w:lineRule="auto"/>
              <w:ind w:firstLine="420" w:firstLineChars="200"/>
              <w:rPr>
                <w:rFonts w:hAnsi="宋体"/>
                <w:snapToGrid w:val="0"/>
                <w:color w:val="auto"/>
                <w:szCs w:val="21"/>
              </w:rPr>
            </w:pPr>
            <w:r>
              <w:rPr>
                <w:rFonts w:hint="eastAsia" w:hAnsi="宋体"/>
                <w:snapToGrid w:val="0"/>
                <w:color w:val="auto"/>
                <w:szCs w:val="21"/>
              </w:rPr>
              <w:t>按照消防有关规定设置消防通道及灭火设施。</w:t>
            </w:r>
          </w:p>
          <w:p>
            <w:pPr>
              <w:spacing w:line="360" w:lineRule="auto"/>
              <w:ind w:firstLine="422" w:firstLineChars="200"/>
              <w:rPr>
                <w:b/>
                <w:bCs/>
                <w:color w:val="auto"/>
              </w:rPr>
            </w:pPr>
            <w:r>
              <w:rPr>
                <w:b/>
                <w:bCs/>
                <w:color w:val="auto"/>
              </w:rPr>
              <w:t>7</w:t>
            </w:r>
            <w:r>
              <w:rPr>
                <w:rFonts w:hAnsi="宋体"/>
                <w:b/>
                <w:bCs/>
                <w:color w:val="auto"/>
              </w:rPr>
              <w:t>、劳动定员及工作制度</w:t>
            </w:r>
          </w:p>
          <w:p>
            <w:pPr>
              <w:spacing w:line="360" w:lineRule="auto"/>
              <w:ind w:firstLine="420" w:firstLineChars="200"/>
              <w:rPr>
                <w:rFonts w:hAnsi="宋体"/>
                <w:bCs/>
                <w:color w:val="auto"/>
              </w:rPr>
            </w:pPr>
            <w:r>
              <w:rPr>
                <w:rFonts w:hAnsi="宋体"/>
                <w:bCs/>
                <w:color w:val="auto"/>
              </w:rPr>
              <w:t>本项目劳动定员</w:t>
            </w:r>
            <w:r>
              <w:rPr>
                <w:rFonts w:hint="eastAsia"/>
                <w:bCs/>
                <w:color w:val="auto"/>
              </w:rPr>
              <w:t>6</w:t>
            </w:r>
            <w:r>
              <w:rPr>
                <w:rFonts w:hAnsi="宋体"/>
                <w:bCs/>
                <w:color w:val="auto"/>
              </w:rPr>
              <w:t>人，</w:t>
            </w:r>
            <w:r>
              <w:rPr>
                <w:rFonts w:hint="eastAsia" w:hAnsi="宋体"/>
                <w:bCs/>
                <w:color w:val="auto"/>
              </w:rPr>
              <w:t>实行一班工作制，</w:t>
            </w:r>
            <w:r>
              <w:rPr>
                <w:rFonts w:hAnsi="宋体"/>
                <w:bCs/>
                <w:color w:val="auto"/>
              </w:rPr>
              <w:t>年工作</w:t>
            </w:r>
            <w:r>
              <w:rPr>
                <w:rFonts w:hint="eastAsia" w:hAnsi="宋体"/>
                <w:bCs/>
                <w:color w:val="auto"/>
              </w:rPr>
              <w:t>时间</w:t>
            </w:r>
            <w:r>
              <w:rPr>
                <w:rFonts w:hint="eastAsia"/>
                <w:bCs/>
                <w:color w:val="auto"/>
              </w:rPr>
              <w:t>330</w:t>
            </w:r>
            <w:r>
              <w:rPr>
                <w:rFonts w:hAnsi="宋体"/>
                <w:bCs/>
                <w:color w:val="auto"/>
              </w:rPr>
              <w:t>天</w:t>
            </w:r>
            <w:r>
              <w:rPr>
                <w:rFonts w:hint="eastAsia" w:hAnsi="宋体"/>
                <w:bCs/>
                <w:color w:val="auto"/>
              </w:rPr>
              <w:t>。医院每天营业时间为9:30-17:30，夜间不营业，医院内不设职工食宿</w:t>
            </w:r>
            <w:r>
              <w:rPr>
                <w:rFonts w:hAnsi="宋体"/>
                <w:bCs/>
                <w:color w:val="auto"/>
              </w:rPr>
              <w:t>。</w:t>
            </w:r>
          </w:p>
          <w:p>
            <w:pPr>
              <w:spacing w:line="360" w:lineRule="auto"/>
              <w:ind w:firstLine="422" w:firstLineChars="200"/>
              <w:rPr>
                <w:b/>
                <w:bCs/>
                <w:color w:val="auto"/>
              </w:rPr>
            </w:pPr>
            <w:r>
              <w:rPr>
                <w:b/>
                <w:bCs/>
                <w:color w:val="auto"/>
              </w:rPr>
              <w:t>8</w:t>
            </w:r>
            <w:r>
              <w:rPr>
                <w:rFonts w:hAnsi="宋体"/>
                <w:b/>
                <w:bCs/>
                <w:color w:val="auto"/>
              </w:rPr>
              <w:t>、平面布置</w:t>
            </w:r>
          </w:p>
          <w:p>
            <w:pPr>
              <w:spacing w:line="360" w:lineRule="auto"/>
              <w:ind w:firstLine="420" w:firstLineChars="200"/>
              <w:rPr>
                <w:rFonts w:hAnsiTheme="majorEastAsia" w:eastAsiaTheme="majorEastAsia"/>
                <w:bCs/>
                <w:color w:val="auto"/>
                <w:szCs w:val="21"/>
              </w:rPr>
            </w:pPr>
            <w:r>
              <w:rPr>
                <w:rFonts w:hint="eastAsia" w:hAnsiTheme="majorEastAsia" w:eastAsiaTheme="majorEastAsia"/>
                <w:bCs/>
                <w:color w:val="auto"/>
                <w:szCs w:val="21"/>
              </w:rPr>
              <w:t>根据</w:t>
            </w:r>
            <w:r>
              <w:rPr>
                <w:rFonts w:hAnsiTheme="majorEastAsia" w:eastAsiaTheme="majorEastAsia"/>
                <w:bCs/>
                <w:color w:val="auto"/>
                <w:szCs w:val="21"/>
              </w:rPr>
              <w:t>建设单位提供的</w:t>
            </w:r>
            <w:r>
              <w:rPr>
                <w:rFonts w:hint="eastAsia" w:hAnsiTheme="majorEastAsia" w:eastAsiaTheme="majorEastAsia"/>
                <w:bCs/>
                <w:color w:val="auto"/>
                <w:szCs w:val="21"/>
              </w:rPr>
              <w:t>平面</w:t>
            </w:r>
            <w:r>
              <w:rPr>
                <w:rFonts w:hAnsiTheme="majorEastAsia" w:eastAsiaTheme="majorEastAsia"/>
                <w:bCs/>
                <w:color w:val="auto"/>
                <w:szCs w:val="21"/>
              </w:rPr>
              <w:t>布置图，</w:t>
            </w:r>
            <w:r>
              <w:rPr>
                <w:rFonts w:hint="eastAsia" w:hAnsiTheme="majorEastAsia" w:eastAsiaTheme="majorEastAsia"/>
                <w:bCs/>
                <w:color w:val="auto"/>
                <w:szCs w:val="21"/>
              </w:rPr>
              <w:t>医院面积107.8m</w:t>
            </w:r>
            <w:r>
              <w:rPr>
                <w:rFonts w:hint="eastAsia" w:hAnsiTheme="majorEastAsia" w:eastAsiaTheme="majorEastAsia"/>
                <w:bCs/>
                <w:color w:val="auto"/>
                <w:szCs w:val="21"/>
                <w:vertAlign w:val="superscript"/>
              </w:rPr>
              <w:t>2</w:t>
            </w:r>
            <w:r>
              <w:rPr>
                <w:rFonts w:hint="eastAsia" w:hAnsiTheme="majorEastAsia" w:eastAsiaTheme="majorEastAsia"/>
                <w:bCs/>
                <w:color w:val="auto"/>
                <w:szCs w:val="21"/>
              </w:rPr>
              <w:t>，设</w:t>
            </w:r>
            <w:r>
              <w:rPr>
                <w:rFonts w:hAnsiTheme="majorEastAsia" w:eastAsiaTheme="majorEastAsia"/>
                <w:bCs/>
                <w:color w:val="auto"/>
                <w:szCs w:val="21"/>
              </w:rPr>
              <w:t>一个出入口，为</w:t>
            </w:r>
            <w:r>
              <w:rPr>
                <w:rFonts w:hint="eastAsia" w:hAnsiTheme="majorEastAsia" w:eastAsiaTheme="majorEastAsia"/>
                <w:bCs/>
                <w:color w:val="auto"/>
                <w:szCs w:val="21"/>
              </w:rPr>
              <w:t>南侧临街</w:t>
            </w:r>
            <w:r>
              <w:rPr>
                <w:rFonts w:hAnsiTheme="majorEastAsia" w:eastAsiaTheme="majorEastAsia"/>
                <w:bCs/>
                <w:color w:val="auto"/>
                <w:szCs w:val="21"/>
              </w:rPr>
              <w:t>商铺大门。</w:t>
            </w:r>
            <w:r>
              <w:rPr>
                <w:rFonts w:hint="eastAsia" w:hAnsiTheme="majorEastAsia" w:eastAsiaTheme="majorEastAsia"/>
                <w:bCs/>
                <w:color w:val="auto"/>
                <w:szCs w:val="21"/>
              </w:rPr>
              <w:t>院区共</w:t>
            </w:r>
            <w:r>
              <w:rPr>
                <w:rFonts w:hAnsiTheme="majorEastAsia" w:eastAsiaTheme="majorEastAsia"/>
                <w:bCs/>
                <w:color w:val="auto"/>
                <w:szCs w:val="21"/>
              </w:rPr>
              <w:t>分为南北两部分，其中</w:t>
            </w:r>
            <w:r>
              <w:rPr>
                <w:rFonts w:hint="eastAsia" w:hAnsiTheme="majorEastAsia" w:eastAsiaTheme="majorEastAsia"/>
                <w:bCs/>
                <w:color w:val="auto"/>
                <w:szCs w:val="21"/>
              </w:rPr>
              <w:t>南区</w:t>
            </w:r>
            <w:r>
              <w:rPr>
                <w:rFonts w:hAnsiTheme="majorEastAsia" w:eastAsiaTheme="majorEastAsia"/>
                <w:bCs/>
                <w:color w:val="auto"/>
                <w:szCs w:val="21"/>
              </w:rPr>
              <w:t>面积约</w:t>
            </w:r>
            <w:r>
              <w:rPr>
                <w:rFonts w:hint="eastAsia" w:hAnsiTheme="majorEastAsia" w:eastAsiaTheme="majorEastAsia"/>
                <w:bCs/>
                <w:color w:val="auto"/>
                <w:szCs w:val="21"/>
              </w:rPr>
              <w:t>33m</w:t>
            </w:r>
            <w:r>
              <w:rPr>
                <w:rFonts w:hint="eastAsia" w:hAnsiTheme="majorEastAsia" w:eastAsiaTheme="majorEastAsia"/>
                <w:bCs/>
                <w:color w:val="auto"/>
                <w:szCs w:val="21"/>
                <w:vertAlign w:val="superscript"/>
              </w:rPr>
              <w:t>2</w:t>
            </w:r>
            <w:r>
              <w:rPr>
                <w:rFonts w:hint="eastAsia" w:hAnsiTheme="majorEastAsia" w:eastAsiaTheme="majorEastAsia"/>
                <w:bCs/>
                <w:color w:val="auto"/>
                <w:szCs w:val="21"/>
              </w:rPr>
              <w:t>，主要</w:t>
            </w:r>
            <w:r>
              <w:rPr>
                <w:rFonts w:hAnsiTheme="majorEastAsia" w:eastAsiaTheme="majorEastAsia"/>
                <w:bCs/>
                <w:color w:val="auto"/>
                <w:szCs w:val="21"/>
              </w:rPr>
              <w:t>从事宠物洗浴美容及宠物用品零售</w:t>
            </w:r>
            <w:r>
              <w:rPr>
                <w:rFonts w:hint="eastAsia" w:hAnsiTheme="majorEastAsia" w:eastAsiaTheme="majorEastAsia"/>
                <w:bCs/>
                <w:color w:val="auto"/>
                <w:szCs w:val="21"/>
              </w:rPr>
              <w:t>活动</w:t>
            </w:r>
            <w:r>
              <w:rPr>
                <w:rFonts w:hAnsiTheme="majorEastAsia" w:eastAsiaTheme="majorEastAsia"/>
                <w:bCs/>
                <w:color w:val="auto"/>
                <w:szCs w:val="21"/>
              </w:rPr>
              <w:t>，设接待台、顾客休息</w:t>
            </w:r>
            <w:r>
              <w:rPr>
                <w:rFonts w:hint="eastAsia" w:hAnsiTheme="majorEastAsia" w:eastAsiaTheme="majorEastAsia"/>
                <w:bCs/>
                <w:color w:val="auto"/>
                <w:szCs w:val="21"/>
              </w:rPr>
              <w:t>区</w:t>
            </w:r>
            <w:r>
              <w:rPr>
                <w:rFonts w:hAnsiTheme="majorEastAsia" w:eastAsiaTheme="majorEastAsia"/>
                <w:bCs/>
                <w:color w:val="auto"/>
                <w:szCs w:val="21"/>
              </w:rPr>
              <w:t>、商品区、洗浴室、美容室；</w:t>
            </w:r>
            <w:r>
              <w:rPr>
                <w:rFonts w:hint="eastAsia" w:hAnsiTheme="majorEastAsia" w:eastAsiaTheme="majorEastAsia"/>
                <w:bCs/>
                <w:color w:val="auto"/>
                <w:szCs w:val="21"/>
              </w:rPr>
              <w:t>北</w:t>
            </w:r>
            <w:r>
              <w:rPr>
                <w:rFonts w:hAnsiTheme="majorEastAsia" w:eastAsiaTheme="majorEastAsia"/>
                <w:bCs/>
                <w:color w:val="auto"/>
                <w:szCs w:val="21"/>
              </w:rPr>
              <w:t>区面积</w:t>
            </w:r>
            <w:r>
              <w:rPr>
                <w:rFonts w:hint="eastAsia" w:hAnsiTheme="majorEastAsia" w:eastAsiaTheme="majorEastAsia"/>
                <w:bCs/>
                <w:color w:val="auto"/>
                <w:szCs w:val="21"/>
              </w:rPr>
              <w:t>75m</w:t>
            </w:r>
            <w:r>
              <w:rPr>
                <w:rFonts w:hint="eastAsia" w:hAnsiTheme="majorEastAsia" w:eastAsiaTheme="majorEastAsia"/>
                <w:bCs/>
                <w:color w:val="auto"/>
                <w:szCs w:val="21"/>
                <w:vertAlign w:val="superscript"/>
              </w:rPr>
              <w:t>2</w:t>
            </w:r>
            <w:r>
              <w:rPr>
                <w:rFonts w:hint="eastAsia" w:hAnsiTheme="majorEastAsia" w:eastAsiaTheme="majorEastAsia"/>
                <w:bCs/>
                <w:color w:val="auto"/>
                <w:szCs w:val="21"/>
              </w:rPr>
              <w:t>，</w:t>
            </w:r>
            <w:r>
              <w:rPr>
                <w:rFonts w:hAnsiTheme="majorEastAsia" w:eastAsiaTheme="majorEastAsia"/>
                <w:bCs/>
                <w:color w:val="auto"/>
                <w:szCs w:val="21"/>
              </w:rPr>
              <w:t>主要</w:t>
            </w:r>
            <w:r>
              <w:rPr>
                <w:rFonts w:hint="eastAsia" w:hAnsiTheme="majorEastAsia" w:eastAsiaTheme="majorEastAsia"/>
                <w:bCs/>
                <w:color w:val="auto"/>
                <w:szCs w:val="21"/>
              </w:rPr>
              <w:t>从事</w:t>
            </w:r>
            <w:r>
              <w:rPr>
                <w:rFonts w:hAnsiTheme="majorEastAsia" w:eastAsiaTheme="majorEastAsia"/>
                <w:bCs/>
                <w:color w:val="auto"/>
                <w:szCs w:val="21"/>
              </w:rPr>
              <w:t>宠物诊疗</w:t>
            </w:r>
            <w:r>
              <w:rPr>
                <w:rFonts w:hint="eastAsia" w:hAnsiTheme="majorEastAsia" w:eastAsiaTheme="majorEastAsia"/>
                <w:bCs/>
                <w:color w:val="auto"/>
                <w:szCs w:val="21"/>
              </w:rPr>
              <w:t>活动</w:t>
            </w:r>
            <w:r>
              <w:rPr>
                <w:rFonts w:hAnsiTheme="majorEastAsia" w:eastAsiaTheme="majorEastAsia"/>
                <w:bCs/>
                <w:color w:val="auto"/>
                <w:szCs w:val="21"/>
              </w:rPr>
              <w:t>，内</w:t>
            </w:r>
            <w:r>
              <w:rPr>
                <w:rFonts w:hint="eastAsia" w:hAnsiTheme="majorEastAsia" w:eastAsiaTheme="majorEastAsia"/>
                <w:bCs/>
                <w:color w:val="auto"/>
                <w:szCs w:val="21"/>
              </w:rPr>
              <w:t>设</w:t>
            </w:r>
            <w:r>
              <w:rPr>
                <w:rFonts w:hAnsiTheme="majorEastAsia" w:eastAsiaTheme="majorEastAsia"/>
                <w:bCs/>
                <w:color w:val="auto"/>
                <w:szCs w:val="21"/>
              </w:rPr>
              <w:t>诊室</w:t>
            </w:r>
            <w:r>
              <w:rPr>
                <w:rFonts w:hint="eastAsia" w:hAnsiTheme="majorEastAsia" w:eastAsiaTheme="majorEastAsia"/>
                <w:bCs/>
                <w:color w:val="auto"/>
                <w:szCs w:val="21"/>
              </w:rPr>
              <w:t>2间</w:t>
            </w:r>
            <w:r>
              <w:rPr>
                <w:rFonts w:hAnsiTheme="majorEastAsia" w:eastAsiaTheme="majorEastAsia"/>
                <w:bCs/>
                <w:color w:val="auto"/>
                <w:szCs w:val="21"/>
              </w:rPr>
              <w:t>、</w:t>
            </w:r>
            <w:r>
              <w:rPr>
                <w:rFonts w:hint="eastAsia" w:hAnsiTheme="majorEastAsia" w:eastAsiaTheme="majorEastAsia"/>
                <w:bCs/>
                <w:color w:val="auto"/>
                <w:szCs w:val="21"/>
              </w:rPr>
              <w:t>手术室</w:t>
            </w:r>
            <w:r>
              <w:rPr>
                <w:rFonts w:hAnsiTheme="majorEastAsia" w:eastAsiaTheme="majorEastAsia"/>
                <w:bCs/>
                <w:color w:val="auto"/>
                <w:szCs w:val="21"/>
              </w:rPr>
              <w:t>、</w:t>
            </w:r>
            <w:r>
              <w:rPr>
                <w:rFonts w:hint="eastAsia" w:hAnsiTheme="majorEastAsia" w:eastAsiaTheme="majorEastAsia"/>
                <w:bCs/>
                <w:color w:val="auto"/>
                <w:szCs w:val="21"/>
              </w:rPr>
              <w:t>化验</w:t>
            </w:r>
            <w:r>
              <w:rPr>
                <w:rFonts w:hAnsiTheme="majorEastAsia" w:eastAsiaTheme="majorEastAsia"/>
                <w:bCs/>
                <w:color w:val="auto"/>
                <w:szCs w:val="21"/>
              </w:rPr>
              <w:t>药房、</w:t>
            </w:r>
            <w:r>
              <w:rPr>
                <w:rFonts w:hint="eastAsia" w:hAnsiTheme="majorEastAsia" w:eastAsiaTheme="majorEastAsia"/>
                <w:bCs/>
                <w:color w:val="auto"/>
                <w:szCs w:val="21"/>
              </w:rPr>
              <w:t>猫住院</w:t>
            </w:r>
            <w:r>
              <w:rPr>
                <w:rFonts w:hAnsiTheme="majorEastAsia" w:eastAsiaTheme="majorEastAsia"/>
                <w:bCs/>
                <w:color w:val="auto"/>
                <w:szCs w:val="21"/>
              </w:rPr>
              <w:t>室、中央处置室、</w:t>
            </w:r>
            <w:r>
              <w:rPr>
                <w:rFonts w:hint="eastAsia" w:hAnsiTheme="majorEastAsia" w:eastAsiaTheme="majorEastAsia"/>
                <w:bCs/>
                <w:color w:val="auto"/>
                <w:szCs w:val="21"/>
              </w:rPr>
              <w:t>影像</w:t>
            </w:r>
            <w:r>
              <w:rPr>
                <w:rFonts w:hAnsiTheme="majorEastAsia" w:eastAsiaTheme="majorEastAsia"/>
                <w:bCs/>
                <w:color w:val="auto"/>
                <w:szCs w:val="21"/>
              </w:rPr>
              <w:t>室、</w:t>
            </w:r>
            <w:r>
              <w:rPr>
                <w:rFonts w:hint="eastAsia" w:hAnsiTheme="majorEastAsia" w:eastAsiaTheme="majorEastAsia"/>
                <w:bCs/>
                <w:color w:val="auto"/>
                <w:szCs w:val="21"/>
              </w:rPr>
              <w:t>医废</w:t>
            </w:r>
            <w:r>
              <w:rPr>
                <w:rFonts w:hAnsiTheme="majorEastAsia" w:eastAsiaTheme="majorEastAsia"/>
                <w:bCs/>
                <w:color w:val="auto"/>
                <w:szCs w:val="21"/>
              </w:rPr>
              <w:t>间等。项目区总体布置比较整齐，功能分区明确，诊疗、办公、辅助设施较为齐全。</w:t>
            </w:r>
          </w:p>
          <w:p>
            <w:pPr>
              <w:spacing w:line="360" w:lineRule="auto"/>
              <w:ind w:firstLine="420" w:firstLineChars="200"/>
              <w:rPr>
                <w:rFonts w:eastAsiaTheme="majorEastAsia"/>
                <w:bCs/>
                <w:color w:val="auto"/>
                <w:szCs w:val="21"/>
              </w:rPr>
            </w:pPr>
            <w:r>
              <w:rPr>
                <w:rFonts w:hAnsiTheme="majorEastAsia" w:eastAsiaTheme="majorEastAsia"/>
                <w:color w:val="auto"/>
                <w:szCs w:val="21"/>
              </w:rPr>
              <w:t>综上，项目按照诊疗流程合理布置，就诊、治疗、手术、住院分区明确，平面布置合理。项目平面布置及功能区布置情况见附图。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4" w:hRule="atLeast"/>
          <w:jc w:val="center"/>
        </w:trPr>
        <w:tc>
          <w:tcPr>
            <w:tcW w:w="828" w:type="dxa"/>
            <w:vAlign w:val="center"/>
          </w:tcPr>
          <w:p>
            <w:pPr>
              <w:pStyle w:val="18"/>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工艺流程和产排污环节</w:t>
            </w:r>
          </w:p>
        </w:tc>
        <w:tc>
          <w:tcPr>
            <w:tcW w:w="8211" w:type="dxa"/>
          </w:tcPr>
          <w:p>
            <w:pPr>
              <w:autoSpaceDE w:val="0"/>
              <w:autoSpaceDN w:val="0"/>
              <w:adjustRightInd w:val="0"/>
              <w:spacing w:line="360" w:lineRule="auto"/>
              <w:ind w:firstLine="422" w:firstLineChars="200"/>
              <w:jc w:val="left"/>
              <w:rPr>
                <w:b/>
                <w:color w:val="auto"/>
              </w:rPr>
            </w:pPr>
            <w:r>
              <w:rPr>
                <w:b/>
                <w:color w:val="auto"/>
              </w:rPr>
              <w:t>1</w:t>
            </w:r>
            <w:r>
              <w:rPr>
                <w:rFonts w:hAnsi="宋体"/>
                <w:b/>
                <w:color w:val="auto"/>
              </w:rPr>
              <w:t>、施工期</w:t>
            </w:r>
          </w:p>
          <w:p>
            <w:pPr>
              <w:autoSpaceDE w:val="0"/>
              <w:autoSpaceDN w:val="0"/>
              <w:adjustRightInd w:val="0"/>
              <w:spacing w:line="360" w:lineRule="auto"/>
              <w:ind w:firstLine="420" w:firstLineChars="200"/>
              <w:jc w:val="left"/>
              <w:rPr>
                <w:color w:val="auto"/>
              </w:rPr>
            </w:pPr>
            <w:r>
              <w:rPr>
                <w:rFonts w:hint="eastAsia"/>
                <w:color w:val="auto"/>
              </w:rPr>
              <w:t>本项目租用西</w:t>
            </w:r>
            <w:r>
              <w:rPr>
                <w:color w:val="auto"/>
              </w:rPr>
              <w:t>安市莲湖区丰和坊一期</w:t>
            </w:r>
            <w:r>
              <w:rPr>
                <w:rFonts w:hint="eastAsia"/>
                <w:color w:val="auto"/>
              </w:rPr>
              <w:t>15幢</w:t>
            </w:r>
            <w:r>
              <w:rPr>
                <w:color w:val="auto"/>
              </w:rPr>
              <w:t>底商</w:t>
            </w:r>
            <w:r>
              <w:rPr>
                <w:rFonts w:hint="eastAsia"/>
                <w:color w:val="auto"/>
              </w:rPr>
              <w:t>1101室进行</w:t>
            </w:r>
            <w:r>
              <w:rPr>
                <w:color w:val="auto"/>
              </w:rPr>
              <w:t>经营，经调查，</w:t>
            </w:r>
            <w:r>
              <w:rPr>
                <w:rFonts w:hint="eastAsia"/>
                <w:color w:val="auto"/>
              </w:rPr>
              <w:t>建设</w:t>
            </w:r>
            <w:r>
              <w:rPr>
                <w:color w:val="auto"/>
              </w:rPr>
              <w:t>单位已于</w:t>
            </w:r>
            <w:r>
              <w:rPr>
                <w:rFonts w:hint="eastAsia"/>
                <w:color w:val="auto"/>
              </w:rPr>
              <w:t>2021年</w:t>
            </w:r>
            <w:r>
              <w:rPr>
                <w:color w:val="auto"/>
              </w:rPr>
              <w:t>分别取得了营业执照和诊疗许可证（</w:t>
            </w:r>
            <w:r>
              <w:rPr>
                <w:rFonts w:hint="eastAsia"/>
                <w:color w:val="auto"/>
              </w:rPr>
              <w:t>不含动物</w:t>
            </w:r>
            <w:r>
              <w:rPr>
                <w:color w:val="auto"/>
              </w:rPr>
              <w:t>颅腔、腹腔、胸腔三腔类手术）</w:t>
            </w:r>
            <w:r>
              <w:rPr>
                <w:rFonts w:hint="eastAsia"/>
                <w:color w:val="auto"/>
              </w:rPr>
              <w:t>，</w:t>
            </w:r>
            <w:r>
              <w:rPr>
                <w:color w:val="auto"/>
              </w:rPr>
              <w:t>医院目前已建成运行。</w:t>
            </w:r>
            <w:r>
              <w:rPr>
                <w:rFonts w:hint="eastAsia"/>
                <w:color w:val="auto"/>
              </w:rPr>
              <w:t>本次</w:t>
            </w:r>
            <w:r>
              <w:rPr>
                <w:color w:val="auto"/>
              </w:rPr>
              <w:t>环评在不增加科室、人员、设备的基础上，</w:t>
            </w:r>
            <w:r>
              <w:rPr>
                <w:rFonts w:hint="eastAsia"/>
                <w:color w:val="auto"/>
              </w:rPr>
              <w:t>仅</w:t>
            </w:r>
            <w:r>
              <w:rPr>
                <w:color w:val="auto"/>
              </w:rPr>
              <w:t>依托现有手术室增加开展动物三腔类手术服务活动，本项目</w:t>
            </w:r>
            <w:r>
              <w:rPr>
                <w:rFonts w:hint="eastAsia"/>
                <w:color w:val="auto"/>
              </w:rPr>
              <w:t>施工期</w:t>
            </w:r>
            <w:r>
              <w:rPr>
                <w:color w:val="auto"/>
              </w:rPr>
              <w:t>已结束。</w:t>
            </w:r>
          </w:p>
          <w:p>
            <w:pPr>
              <w:autoSpaceDE w:val="0"/>
              <w:autoSpaceDN w:val="0"/>
              <w:adjustRightInd w:val="0"/>
              <w:spacing w:line="360" w:lineRule="auto"/>
              <w:ind w:firstLine="422" w:firstLineChars="200"/>
              <w:jc w:val="left"/>
              <w:rPr>
                <w:b/>
                <w:color w:val="auto"/>
              </w:rPr>
            </w:pPr>
            <w:r>
              <w:rPr>
                <w:b/>
                <w:color w:val="auto"/>
              </w:rPr>
              <w:t>2</w:t>
            </w:r>
            <w:r>
              <w:rPr>
                <w:rFonts w:hAnsi="宋体"/>
                <w:b/>
                <w:color w:val="auto"/>
              </w:rPr>
              <w:t>、运营期</w:t>
            </w:r>
          </w:p>
          <w:p>
            <w:pPr>
              <w:autoSpaceDE w:val="0"/>
              <w:autoSpaceDN w:val="0"/>
              <w:adjustRightInd w:val="0"/>
              <w:spacing w:line="360" w:lineRule="auto"/>
              <w:ind w:firstLine="420" w:firstLineChars="200"/>
              <w:jc w:val="left"/>
              <w:rPr>
                <w:rFonts w:hAnsi="宋体"/>
                <w:color w:val="auto"/>
              </w:rPr>
            </w:pPr>
            <w:r>
              <w:rPr>
                <w:rFonts w:hint="eastAsia" w:hAnsi="宋体"/>
                <w:color w:val="auto"/>
              </w:rPr>
              <w:t>本项目为宠物医院经营，主要为宠物疾病预防、诊疗、治疗和手术，不留宿宠物过夜，无寄养服务。医院工作流程及产污环节见图2。</w:t>
            </w:r>
          </w:p>
          <w:p>
            <w:pPr>
              <w:autoSpaceDE w:val="0"/>
              <w:autoSpaceDN w:val="0"/>
              <w:adjustRightInd w:val="0"/>
              <w:spacing w:line="360" w:lineRule="auto"/>
              <w:ind w:firstLine="16" w:firstLineChars="8"/>
              <w:jc w:val="left"/>
              <w:rPr>
                <w:rFonts w:hAnsi="宋体"/>
                <w:color w:val="auto"/>
              </w:rPr>
            </w:pPr>
            <w:r>
              <w:rPr>
                <w:color w:val="auto"/>
              </w:rPr>
              <w:drawing>
                <wp:inline distT="0" distB="0" distL="0" distR="0">
                  <wp:extent cx="5353050" cy="36099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353050" cy="3609975"/>
                          </a:xfrm>
                          <a:prstGeom prst="rect">
                            <a:avLst/>
                          </a:prstGeom>
                        </pic:spPr>
                      </pic:pic>
                    </a:graphicData>
                  </a:graphic>
                </wp:inline>
              </w:drawing>
            </w:r>
          </w:p>
          <w:p>
            <w:pPr>
              <w:autoSpaceDE w:val="0"/>
              <w:autoSpaceDN w:val="0"/>
              <w:adjustRightInd w:val="0"/>
              <w:spacing w:line="360" w:lineRule="auto"/>
              <w:jc w:val="center"/>
              <w:rPr>
                <w:rFonts w:hAnsi="宋体"/>
                <w:b/>
                <w:color w:val="auto"/>
              </w:rPr>
            </w:pPr>
            <w:r>
              <w:rPr>
                <w:rFonts w:hint="eastAsia" w:hAnsi="宋体"/>
                <w:b/>
                <w:color w:val="auto"/>
              </w:rPr>
              <w:t>图2    工作流程及产污环节</w:t>
            </w:r>
          </w:p>
          <w:p>
            <w:pPr>
              <w:autoSpaceDE w:val="0"/>
              <w:autoSpaceDN w:val="0"/>
              <w:adjustRightInd w:val="0"/>
              <w:spacing w:line="360" w:lineRule="auto"/>
              <w:ind w:firstLine="422" w:firstLineChars="200"/>
              <w:jc w:val="left"/>
              <w:rPr>
                <w:rFonts w:hAnsi="宋体"/>
                <w:b/>
                <w:color w:val="auto"/>
              </w:rPr>
            </w:pPr>
            <w:r>
              <w:rPr>
                <w:rFonts w:hint="eastAsia" w:hAnsi="宋体"/>
                <w:b/>
                <w:color w:val="auto"/>
              </w:rPr>
              <w:t>宠物诊疗流程简述：</w:t>
            </w:r>
          </w:p>
          <w:p>
            <w:pPr>
              <w:autoSpaceDE w:val="0"/>
              <w:autoSpaceDN w:val="0"/>
              <w:adjustRightInd w:val="0"/>
              <w:spacing w:line="360" w:lineRule="auto"/>
              <w:ind w:firstLine="420" w:firstLineChars="200"/>
              <w:jc w:val="left"/>
              <w:rPr>
                <w:color w:val="auto"/>
                <w:szCs w:val="21"/>
              </w:rPr>
            </w:pPr>
            <w:r>
              <w:rPr>
                <w:color w:val="auto"/>
                <w:szCs w:val="21"/>
              </w:rPr>
              <w:t>（1）挂号、初检</w:t>
            </w:r>
          </w:p>
          <w:p>
            <w:pPr>
              <w:spacing w:line="360" w:lineRule="auto"/>
              <w:ind w:firstLine="420" w:firstLineChars="200"/>
              <w:rPr>
                <w:color w:val="auto"/>
                <w:szCs w:val="21"/>
              </w:rPr>
            </w:pPr>
            <w:r>
              <w:rPr>
                <w:color w:val="auto"/>
                <w:szCs w:val="21"/>
              </w:rPr>
              <w:t>顾客携带患病动物先到前台挂号并进行初检，如发现患病动物染疫或者疑似染疫，按照国家规定立即向西安市动物卫生监督管理局报告，并采取留观等控制措施，防止动物疫情扩散，不得擅自进行治疗。</w:t>
            </w:r>
          </w:p>
          <w:p>
            <w:pPr>
              <w:spacing w:line="360" w:lineRule="auto"/>
              <w:ind w:firstLine="420" w:firstLineChars="200"/>
              <w:rPr>
                <w:color w:val="auto"/>
                <w:szCs w:val="21"/>
              </w:rPr>
            </w:pPr>
            <w:r>
              <w:rPr>
                <w:color w:val="auto"/>
                <w:szCs w:val="21"/>
              </w:rPr>
              <w:t>（2）就诊（候诊）</w:t>
            </w:r>
          </w:p>
          <w:p>
            <w:pPr>
              <w:autoSpaceDE w:val="0"/>
              <w:autoSpaceDN w:val="0"/>
              <w:adjustRightInd w:val="0"/>
              <w:spacing w:line="360" w:lineRule="auto"/>
              <w:ind w:firstLine="420" w:firstLineChars="200"/>
              <w:jc w:val="left"/>
              <w:rPr>
                <w:color w:val="auto"/>
                <w:szCs w:val="21"/>
              </w:rPr>
            </w:pPr>
            <w:r>
              <w:rPr>
                <w:color w:val="auto"/>
                <w:szCs w:val="21"/>
              </w:rPr>
              <w:t>挂号、初检完成后，符合治疗条件的患病动物由导诊（或顾客）带至诊室就诊，如诊室已有患病动物在诊，候诊患病动物需在候诊区排队等候。顾客向执业医师主诉患病动物的病情，执业医师对患病动物进行临床检查，告知顾客可能患有的疾病，需要做哪些化验检查，并打印化验通知单，告知顾客到前台缴费。</w:t>
            </w:r>
          </w:p>
          <w:p>
            <w:pPr>
              <w:autoSpaceDE w:val="0"/>
              <w:autoSpaceDN w:val="0"/>
              <w:adjustRightInd w:val="0"/>
              <w:spacing w:line="360" w:lineRule="auto"/>
              <w:ind w:firstLine="420" w:firstLineChars="200"/>
              <w:jc w:val="left"/>
              <w:rPr>
                <w:rFonts w:hAnsi="宋体"/>
                <w:color w:val="auto"/>
              </w:rPr>
            </w:pPr>
            <w:r>
              <w:rPr>
                <w:rFonts w:hint="eastAsia" w:hAnsi="宋体"/>
                <w:color w:val="auto"/>
              </w:rPr>
              <w:t>（3）化验</w:t>
            </w:r>
          </w:p>
          <w:p>
            <w:pPr>
              <w:spacing w:line="360" w:lineRule="auto"/>
              <w:ind w:firstLine="420" w:firstLineChars="200"/>
              <w:rPr>
                <w:color w:val="auto"/>
                <w:szCs w:val="21"/>
              </w:rPr>
            </w:pPr>
            <w:r>
              <w:rPr>
                <w:color w:val="auto"/>
                <w:szCs w:val="21"/>
              </w:rPr>
              <w:t>导诊（或顾客）持缴费后的化验通知单携带患病动物到化验室进行常规化验，包括血、便等常规检查、内脏检查及B超检查。化验完成后，检验报告单送到诊室。</w:t>
            </w:r>
          </w:p>
          <w:p>
            <w:pPr>
              <w:autoSpaceDE w:val="0"/>
              <w:autoSpaceDN w:val="0"/>
              <w:adjustRightInd w:val="0"/>
              <w:spacing w:line="360" w:lineRule="auto"/>
              <w:ind w:firstLine="420" w:firstLineChars="200"/>
              <w:jc w:val="left"/>
              <w:rPr>
                <w:color w:val="auto"/>
                <w:szCs w:val="21"/>
              </w:rPr>
            </w:pPr>
            <w:r>
              <w:rPr>
                <w:color w:val="auto"/>
                <w:szCs w:val="21"/>
              </w:rPr>
              <w:t>（4）诊断</w:t>
            </w:r>
          </w:p>
          <w:p>
            <w:pPr>
              <w:spacing w:line="360" w:lineRule="auto"/>
              <w:ind w:firstLine="420" w:firstLineChars="200"/>
              <w:rPr>
                <w:color w:val="auto"/>
                <w:szCs w:val="21"/>
              </w:rPr>
            </w:pPr>
            <w:r>
              <w:rPr>
                <w:color w:val="auto"/>
                <w:szCs w:val="21"/>
              </w:rPr>
              <w:t>执业医师根据化验数据做出诊断结果，根据患病动物的病情，建议患者选择离开或治疗。需要治疗的患病动物，提前打印处方到前台。本项目不接受传染性动物的诊治。</w:t>
            </w:r>
          </w:p>
          <w:p>
            <w:pPr>
              <w:autoSpaceDE w:val="0"/>
              <w:autoSpaceDN w:val="0"/>
              <w:adjustRightInd w:val="0"/>
              <w:spacing w:line="360" w:lineRule="auto"/>
              <w:ind w:firstLine="420" w:firstLineChars="200"/>
              <w:jc w:val="left"/>
              <w:rPr>
                <w:color w:val="auto"/>
                <w:szCs w:val="21"/>
              </w:rPr>
            </w:pPr>
            <w:r>
              <w:rPr>
                <w:color w:val="auto"/>
                <w:szCs w:val="21"/>
              </w:rPr>
              <w:t>（5）门诊治疗</w:t>
            </w:r>
          </w:p>
          <w:p>
            <w:pPr>
              <w:spacing w:line="360" w:lineRule="auto"/>
              <w:ind w:firstLine="420" w:firstLineChars="200"/>
              <w:rPr>
                <w:color w:val="auto"/>
                <w:szCs w:val="21"/>
              </w:rPr>
            </w:pPr>
            <w:r>
              <w:rPr>
                <w:color w:val="auto"/>
                <w:szCs w:val="21"/>
              </w:rPr>
              <w:t>根据处方需要门诊治疗的，导诊（或顾客）到药房取药，输液治疗完成后，返回诊室。执业医师交待顾客回家注意事项，送其离开，治疗结束。</w:t>
            </w:r>
          </w:p>
          <w:p>
            <w:pPr>
              <w:autoSpaceDE w:val="0"/>
              <w:autoSpaceDN w:val="0"/>
              <w:adjustRightInd w:val="0"/>
              <w:spacing w:line="360" w:lineRule="auto"/>
              <w:ind w:firstLine="420" w:firstLineChars="200"/>
              <w:jc w:val="left"/>
              <w:rPr>
                <w:rFonts w:hAnsi="宋体"/>
                <w:color w:val="auto"/>
              </w:rPr>
            </w:pPr>
            <w:r>
              <w:rPr>
                <w:rFonts w:hint="eastAsia" w:hAnsi="宋体"/>
                <w:color w:val="auto"/>
              </w:rPr>
              <w:t>（6）手术</w:t>
            </w:r>
          </w:p>
          <w:p>
            <w:pPr>
              <w:spacing w:line="360" w:lineRule="auto"/>
              <w:ind w:firstLine="420" w:firstLineChars="200"/>
              <w:rPr>
                <w:color w:val="auto"/>
                <w:szCs w:val="21"/>
              </w:rPr>
            </w:pPr>
            <w:r>
              <w:rPr>
                <w:rFonts w:hint="eastAsia"/>
                <w:color w:val="auto"/>
                <w:szCs w:val="21"/>
              </w:rPr>
              <w:t>导诊根据处方需要手术的，交押金，打印处方到前台，在处方上标注押金。顾客到前台缴费后，进行手术治疗。手术</w:t>
            </w:r>
            <w:r>
              <w:rPr>
                <w:color w:val="auto"/>
                <w:szCs w:val="21"/>
              </w:rPr>
              <w:t>会产生医疗废物、</w:t>
            </w:r>
            <w:r>
              <w:rPr>
                <w:rFonts w:hint="eastAsia"/>
                <w:color w:val="auto"/>
                <w:szCs w:val="21"/>
              </w:rPr>
              <w:t>医疗</w:t>
            </w:r>
            <w:r>
              <w:rPr>
                <w:color w:val="auto"/>
                <w:szCs w:val="21"/>
              </w:rPr>
              <w:t>废水等。</w:t>
            </w:r>
          </w:p>
          <w:p>
            <w:pPr>
              <w:autoSpaceDE w:val="0"/>
              <w:autoSpaceDN w:val="0"/>
              <w:adjustRightInd w:val="0"/>
              <w:spacing w:line="360" w:lineRule="auto"/>
              <w:ind w:firstLine="420" w:firstLineChars="200"/>
              <w:jc w:val="left"/>
              <w:rPr>
                <w:rFonts w:hAnsi="宋体"/>
                <w:color w:val="auto"/>
              </w:rPr>
            </w:pPr>
            <w:r>
              <w:rPr>
                <w:rFonts w:hint="eastAsia" w:hAnsi="宋体"/>
                <w:color w:val="auto"/>
              </w:rPr>
              <w:t>（7）留观</w:t>
            </w:r>
          </w:p>
          <w:p>
            <w:pPr>
              <w:autoSpaceDE w:val="0"/>
              <w:autoSpaceDN w:val="0"/>
              <w:adjustRightInd w:val="0"/>
              <w:spacing w:line="360" w:lineRule="auto"/>
              <w:ind w:firstLine="420" w:firstLineChars="200"/>
              <w:jc w:val="left"/>
              <w:rPr>
                <w:rFonts w:hAnsi="宋体"/>
                <w:color w:val="auto"/>
              </w:rPr>
            </w:pPr>
            <w:r>
              <w:rPr>
                <w:rFonts w:hint="eastAsia" w:hAnsi="宋体"/>
                <w:color w:val="auto"/>
              </w:rPr>
              <w:t>手术</w:t>
            </w:r>
            <w:r>
              <w:rPr>
                <w:rFonts w:hAnsi="宋体"/>
                <w:color w:val="auto"/>
              </w:rPr>
              <w:t>结束后，</w:t>
            </w:r>
            <w:r>
              <w:rPr>
                <w:rFonts w:hint="eastAsia" w:hAnsi="宋体"/>
                <w:color w:val="auto"/>
              </w:rPr>
              <w:t>宠物</w:t>
            </w:r>
            <w:r>
              <w:rPr>
                <w:rFonts w:hAnsi="宋体"/>
                <w:color w:val="auto"/>
              </w:rPr>
              <w:t>进入</w:t>
            </w:r>
            <w:r>
              <w:rPr>
                <w:rFonts w:hint="eastAsia" w:hAnsi="宋体"/>
                <w:color w:val="auto"/>
              </w:rPr>
              <w:t>猫</w:t>
            </w:r>
            <w:r>
              <w:rPr>
                <w:rFonts w:hAnsi="宋体"/>
                <w:color w:val="auto"/>
              </w:rPr>
              <w:t>住院室或中央处置室</w:t>
            </w:r>
            <w:r>
              <w:rPr>
                <w:rFonts w:hint="eastAsia" w:hAnsi="宋体"/>
                <w:color w:val="auto"/>
              </w:rPr>
              <w:t>继续</w:t>
            </w:r>
            <w:r>
              <w:rPr>
                <w:rFonts w:hAnsi="宋体"/>
                <w:color w:val="auto"/>
              </w:rPr>
              <w:t>观察治疗，</w:t>
            </w:r>
            <w:r>
              <w:rPr>
                <w:rFonts w:hint="eastAsia" w:hAnsi="宋体"/>
                <w:color w:val="auto"/>
              </w:rPr>
              <w:t>待</w:t>
            </w:r>
            <w:r>
              <w:rPr>
                <w:rFonts w:hAnsi="宋体"/>
                <w:color w:val="auto"/>
              </w:rPr>
              <w:t>其</w:t>
            </w:r>
            <w:r>
              <w:rPr>
                <w:rFonts w:hint="eastAsia" w:hAnsi="宋体"/>
                <w:color w:val="auto"/>
              </w:rPr>
              <w:t>康复</w:t>
            </w:r>
            <w:r>
              <w:rPr>
                <w:rFonts w:hAnsi="宋体"/>
                <w:color w:val="auto"/>
              </w:rPr>
              <w:t>后，</w:t>
            </w:r>
            <w:r>
              <w:rPr>
                <w:rFonts w:hint="eastAsia" w:hAnsi="宋体"/>
                <w:color w:val="auto"/>
              </w:rPr>
              <w:t>出院</w:t>
            </w:r>
            <w:r>
              <w:rPr>
                <w:rFonts w:hAnsi="宋体"/>
                <w:color w:val="auto"/>
              </w:rPr>
              <w:t>离开。</w:t>
            </w:r>
          </w:p>
          <w:p>
            <w:pPr>
              <w:autoSpaceDE w:val="0"/>
              <w:autoSpaceDN w:val="0"/>
              <w:adjustRightInd w:val="0"/>
              <w:spacing w:line="360" w:lineRule="auto"/>
              <w:ind w:firstLine="422" w:firstLineChars="200"/>
              <w:jc w:val="left"/>
              <w:rPr>
                <w:rFonts w:hAnsi="宋体"/>
                <w:b/>
                <w:color w:val="auto"/>
              </w:rPr>
            </w:pPr>
            <w:r>
              <w:rPr>
                <w:rFonts w:hint="eastAsia" w:hAnsi="宋体"/>
                <w:b/>
                <w:color w:val="auto"/>
              </w:rPr>
              <w:t>宠物</w:t>
            </w:r>
            <w:r>
              <w:rPr>
                <w:rFonts w:hAnsi="宋体"/>
                <w:b/>
                <w:color w:val="auto"/>
              </w:rPr>
              <w:t>美容</w:t>
            </w:r>
            <w:r>
              <w:rPr>
                <w:rFonts w:hint="eastAsia" w:hAnsi="宋体"/>
                <w:b/>
                <w:color w:val="auto"/>
              </w:rPr>
              <w:t>流程</w:t>
            </w:r>
            <w:r>
              <w:rPr>
                <w:rFonts w:hAnsi="宋体"/>
                <w:b/>
                <w:color w:val="auto"/>
              </w:rPr>
              <w:t>简述</w:t>
            </w:r>
            <w:r>
              <w:rPr>
                <w:rFonts w:hint="eastAsia" w:hAnsi="宋体"/>
                <w:b/>
                <w:color w:val="auto"/>
              </w:rPr>
              <w:t>：</w:t>
            </w:r>
          </w:p>
          <w:p>
            <w:pPr>
              <w:autoSpaceDE w:val="0"/>
              <w:autoSpaceDN w:val="0"/>
              <w:adjustRightInd w:val="0"/>
              <w:spacing w:line="360" w:lineRule="auto"/>
              <w:ind w:firstLine="420" w:firstLineChars="200"/>
              <w:jc w:val="left"/>
              <w:rPr>
                <w:color w:val="auto"/>
              </w:rPr>
            </w:pPr>
            <w:r>
              <w:rPr>
                <w:color w:val="auto"/>
              </w:rPr>
              <w:t>顾客带宠物到前台登记，</w:t>
            </w:r>
            <w:r>
              <w:rPr>
                <w:rFonts w:hint="eastAsia"/>
                <w:color w:val="auto"/>
              </w:rPr>
              <w:t>根据</w:t>
            </w:r>
            <w:r>
              <w:rPr>
                <w:color w:val="auto"/>
              </w:rPr>
              <w:t>顾客需求进行宠物</w:t>
            </w:r>
            <w:r>
              <w:rPr>
                <w:rFonts w:hint="eastAsia"/>
                <w:color w:val="auto"/>
              </w:rPr>
              <w:t>修毛</w:t>
            </w:r>
            <w:r>
              <w:rPr>
                <w:color w:val="auto"/>
              </w:rPr>
              <w:t>、洗浴、剪指甲、洁牙等</w:t>
            </w:r>
            <w:r>
              <w:rPr>
                <w:rFonts w:hint="eastAsia"/>
                <w:color w:val="auto"/>
              </w:rPr>
              <w:t>宠物</w:t>
            </w:r>
            <w:r>
              <w:rPr>
                <w:color w:val="auto"/>
              </w:rPr>
              <w:t>美容。</w:t>
            </w:r>
            <w:r>
              <w:rPr>
                <w:rFonts w:hint="eastAsia"/>
                <w:color w:val="auto"/>
              </w:rPr>
              <w:t>洗浴</w:t>
            </w:r>
            <w:r>
              <w:rPr>
                <w:color w:val="auto"/>
              </w:rPr>
              <w:t>热水采用电</w:t>
            </w:r>
            <w:r>
              <w:rPr>
                <w:rFonts w:hint="eastAsia"/>
                <w:color w:val="auto"/>
              </w:rPr>
              <w:t>热水器</w:t>
            </w:r>
            <w:r>
              <w:rPr>
                <w:color w:val="auto"/>
              </w:rPr>
              <w:t>。</w:t>
            </w:r>
          </w:p>
          <w:p>
            <w:pPr>
              <w:autoSpaceDE w:val="0"/>
              <w:autoSpaceDN w:val="0"/>
              <w:adjustRightInd w:val="0"/>
              <w:spacing w:line="360" w:lineRule="auto"/>
              <w:ind w:firstLine="422" w:firstLineChars="200"/>
              <w:jc w:val="left"/>
              <w:rPr>
                <w:rFonts w:hAnsi="宋体"/>
                <w:b/>
                <w:color w:val="auto"/>
              </w:rPr>
            </w:pPr>
            <w:r>
              <w:rPr>
                <w:rFonts w:hint="eastAsia" w:hAnsi="宋体"/>
                <w:b/>
                <w:color w:val="auto"/>
              </w:rPr>
              <w:t>3、产污环节分析</w:t>
            </w:r>
          </w:p>
          <w:p>
            <w:pPr>
              <w:spacing w:line="360" w:lineRule="auto"/>
              <w:ind w:firstLine="420" w:firstLineChars="200"/>
              <w:rPr>
                <w:color w:val="auto"/>
                <w:szCs w:val="21"/>
              </w:rPr>
            </w:pPr>
            <w:r>
              <w:rPr>
                <w:color w:val="auto"/>
                <w:szCs w:val="21"/>
              </w:rPr>
              <w:t>（1）项目手术前后均需将宠物置于</w:t>
            </w:r>
            <w:r>
              <w:rPr>
                <w:rFonts w:hint="eastAsia"/>
                <w:color w:val="auto"/>
                <w:szCs w:val="21"/>
              </w:rPr>
              <w:t>诊室</w:t>
            </w:r>
            <w:r>
              <w:rPr>
                <w:color w:val="auto"/>
                <w:szCs w:val="21"/>
              </w:rPr>
              <w:t>内，进行术前准备及观察等，此期间产生的宠物粪便作为医疗废物委托处置。</w:t>
            </w:r>
          </w:p>
          <w:p>
            <w:pPr>
              <w:spacing w:line="360" w:lineRule="auto"/>
              <w:ind w:firstLine="420" w:firstLineChars="200"/>
              <w:rPr>
                <w:color w:val="auto"/>
                <w:szCs w:val="21"/>
              </w:rPr>
            </w:pPr>
            <w:r>
              <w:rPr>
                <w:color w:val="auto"/>
                <w:szCs w:val="21"/>
              </w:rPr>
              <w:t>（2）产生医疗废水的环节：化验、门诊治疗、手术。</w:t>
            </w:r>
          </w:p>
          <w:p>
            <w:pPr>
              <w:spacing w:line="360" w:lineRule="auto"/>
              <w:ind w:firstLine="420" w:firstLineChars="200"/>
              <w:rPr>
                <w:color w:val="auto"/>
                <w:szCs w:val="21"/>
              </w:rPr>
            </w:pPr>
            <w:r>
              <w:rPr>
                <w:color w:val="auto"/>
                <w:szCs w:val="21"/>
              </w:rPr>
              <w:t>（3）产生医疗废物的环节：化验、门诊治疗、手术。</w:t>
            </w:r>
          </w:p>
          <w:p>
            <w:pPr>
              <w:spacing w:line="360" w:lineRule="auto"/>
              <w:ind w:firstLine="420" w:firstLineChars="200"/>
              <w:rPr>
                <w:color w:val="auto"/>
                <w:szCs w:val="21"/>
              </w:rPr>
            </w:pPr>
            <w:r>
              <w:rPr>
                <w:color w:val="auto"/>
                <w:szCs w:val="21"/>
              </w:rPr>
              <w:t>（4）产生噪声的环节：主要为宠物叫声</w:t>
            </w:r>
            <w:r>
              <w:rPr>
                <w:rFonts w:hint="eastAsia"/>
                <w:color w:val="auto"/>
                <w:szCs w:val="21"/>
              </w:rPr>
              <w:t>、</w:t>
            </w:r>
            <w:r>
              <w:rPr>
                <w:color w:val="auto"/>
                <w:szCs w:val="21"/>
              </w:rPr>
              <w:t>空调机组设备噪声。</w:t>
            </w:r>
          </w:p>
          <w:p>
            <w:pPr>
              <w:spacing w:line="360" w:lineRule="auto"/>
              <w:ind w:firstLine="420" w:firstLineChars="200"/>
              <w:rPr>
                <w:color w:val="auto"/>
                <w:szCs w:val="21"/>
              </w:rPr>
            </w:pPr>
            <w:r>
              <w:rPr>
                <w:color w:val="auto"/>
                <w:szCs w:val="21"/>
              </w:rPr>
              <w:t>（5）项目化验主要为宠物血、尿、粪便常规检验，项目所使用的检验试剂为常规的一次性检验药剂盒，使用后按医疗垃圾回收处理，医疗废水中不含重强酸、强碱、重金属、剧毒物质。</w:t>
            </w:r>
          </w:p>
          <w:p>
            <w:pPr>
              <w:spacing w:line="360" w:lineRule="auto"/>
              <w:ind w:firstLine="420" w:firstLineChars="200"/>
              <w:rPr>
                <w:color w:val="auto"/>
                <w:szCs w:val="21"/>
              </w:rPr>
            </w:pPr>
            <w:r>
              <w:rPr>
                <w:color w:val="auto"/>
                <w:szCs w:val="21"/>
              </w:rPr>
              <w:t>（6）</w:t>
            </w:r>
            <w:r>
              <w:rPr>
                <w:rFonts w:hint="eastAsia"/>
                <w:color w:val="auto"/>
                <w:szCs w:val="21"/>
              </w:rPr>
              <w:t>根据建设单位提供的设备清单，影像室内无放射性设备，若将来需要购置放射性设备则</w:t>
            </w:r>
            <w:r>
              <w:rPr>
                <w:color w:val="auto"/>
                <w:szCs w:val="21"/>
              </w:rPr>
              <w:t>需另行申报环评手续，不在此次评价范围内。</w:t>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28" w:type="dxa"/>
            <w:vAlign w:val="center"/>
          </w:tcPr>
          <w:p>
            <w:pPr>
              <w:pStyle w:val="18"/>
              <w:adjustRightInd w:val="0"/>
              <w:snapToGrid w:val="0"/>
              <w:spacing w:before="0" w:beforeAutospacing="0" w:after="0" w:afterAutospacing="0"/>
              <w:jc w:val="center"/>
              <w:rPr>
                <w:rFonts w:cs="宋体"/>
                <w:color w:val="auto"/>
                <w:sz w:val="21"/>
                <w:szCs w:val="21"/>
              </w:rPr>
            </w:pPr>
            <w:r>
              <w:rPr>
                <w:rFonts w:hint="eastAsia" w:cs="宋体"/>
                <w:bCs/>
                <w:color w:val="auto"/>
                <w:kern w:val="2"/>
                <w:sz w:val="21"/>
                <w:szCs w:val="21"/>
              </w:rPr>
              <w:t>与项目有关的原有环境污染问题</w:t>
            </w:r>
          </w:p>
        </w:tc>
        <w:tc>
          <w:tcPr>
            <w:tcW w:w="8211" w:type="dxa"/>
          </w:tcPr>
          <w:p>
            <w:pPr>
              <w:pStyle w:val="11"/>
              <w:spacing w:line="360" w:lineRule="auto"/>
              <w:ind w:firstLine="422" w:firstLineChars="200"/>
              <w:rPr>
                <w:rFonts w:ascii="Times New Roman" w:hAnsi="Times New Roman"/>
                <w:b/>
                <w:color w:val="auto"/>
                <w:szCs w:val="21"/>
              </w:rPr>
            </w:pPr>
            <w:r>
              <w:rPr>
                <w:rFonts w:hint="eastAsia" w:ascii="Times New Roman" w:hAnsi="Times New Roman"/>
                <w:b/>
                <w:color w:val="auto"/>
                <w:szCs w:val="21"/>
              </w:rPr>
              <w:t>1、</w:t>
            </w:r>
            <w:r>
              <w:rPr>
                <w:rFonts w:ascii="Times New Roman" w:hAnsi="Times New Roman"/>
                <w:b/>
                <w:color w:val="auto"/>
                <w:szCs w:val="21"/>
              </w:rPr>
              <w:t>依托</w:t>
            </w:r>
            <w:r>
              <w:rPr>
                <w:rFonts w:hint="eastAsia" w:ascii="Times New Roman" w:hAnsi="Times New Roman"/>
                <w:b/>
                <w:color w:val="auto"/>
                <w:szCs w:val="21"/>
              </w:rPr>
              <w:t>项目</w:t>
            </w:r>
            <w:r>
              <w:rPr>
                <w:rFonts w:ascii="Times New Roman" w:hAnsi="Times New Roman"/>
                <w:b/>
                <w:color w:val="auto"/>
                <w:szCs w:val="21"/>
              </w:rPr>
              <w:t>概况及环保手续情况</w:t>
            </w:r>
          </w:p>
          <w:p>
            <w:pPr>
              <w:spacing w:line="360" w:lineRule="auto"/>
              <w:ind w:firstLine="420" w:firstLineChars="200"/>
              <w:rPr>
                <w:color w:val="auto"/>
              </w:rPr>
            </w:pPr>
            <w:r>
              <w:rPr>
                <w:rFonts w:hint="eastAsia"/>
                <w:color w:val="auto"/>
              </w:rPr>
              <w:t>西安市瑞鹏</w:t>
            </w:r>
            <w:r>
              <w:rPr>
                <w:color w:val="auto"/>
              </w:rPr>
              <w:t>宠物有限公司太奥分</w:t>
            </w:r>
            <w:r>
              <w:rPr>
                <w:rFonts w:hint="eastAsia"/>
                <w:color w:val="auto"/>
              </w:rPr>
              <w:t>公司</w:t>
            </w:r>
            <w:r>
              <w:rPr>
                <w:color w:val="auto"/>
              </w:rPr>
              <w:t>成立于</w:t>
            </w:r>
            <w:r>
              <w:rPr>
                <w:rFonts w:hint="eastAsia"/>
                <w:color w:val="auto"/>
              </w:rPr>
              <w:t>2021年7月</w:t>
            </w:r>
            <w:r>
              <w:rPr>
                <w:color w:val="auto"/>
              </w:rPr>
              <w:t>，</w:t>
            </w:r>
            <w:r>
              <w:rPr>
                <w:rFonts w:hint="eastAsia"/>
                <w:color w:val="auto"/>
              </w:rPr>
              <w:t>租赁</w:t>
            </w:r>
            <w:r>
              <w:rPr>
                <w:color w:val="auto"/>
              </w:rPr>
              <w:t>西安市莲湖区</w:t>
            </w:r>
            <w:r>
              <w:rPr>
                <w:rFonts w:hint="eastAsia"/>
                <w:color w:val="auto"/>
              </w:rPr>
              <w:t>杏园路186号丰</w:t>
            </w:r>
            <w:r>
              <w:rPr>
                <w:color w:val="auto"/>
              </w:rPr>
              <w:t>和坊一期</w:t>
            </w:r>
            <w:r>
              <w:rPr>
                <w:rFonts w:hint="eastAsia"/>
                <w:color w:val="auto"/>
              </w:rPr>
              <w:t>15幢1011室，主要</w:t>
            </w:r>
            <w:r>
              <w:rPr>
                <w:color w:val="auto"/>
              </w:rPr>
              <w:t>从事动物</w:t>
            </w:r>
            <w:r>
              <w:rPr>
                <w:rFonts w:hint="eastAsia"/>
                <w:color w:val="auto"/>
              </w:rPr>
              <w:t>诊疗</w:t>
            </w:r>
            <w:r>
              <w:rPr>
                <w:color w:val="auto"/>
              </w:rPr>
              <w:t>、宠物美容及</w:t>
            </w:r>
            <w:r>
              <w:rPr>
                <w:rFonts w:hint="eastAsia"/>
                <w:color w:val="auto"/>
              </w:rPr>
              <w:t>饲料</w:t>
            </w:r>
            <w:r>
              <w:rPr>
                <w:color w:val="auto"/>
              </w:rPr>
              <w:t>、宠物用品零售等</w:t>
            </w:r>
            <w:r>
              <w:rPr>
                <w:rFonts w:hint="eastAsia"/>
                <w:color w:val="auto"/>
              </w:rPr>
              <w:t>服务</w:t>
            </w:r>
            <w:r>
              <w:rPr>
                <w:color w:val="auto"/>
              </w:rPr>
              <w:t>。</w:t>
            </w:r>
            <w:r>
              <w:rPr>
                <w:rFonts w:hint="eastAsia"/>
                <w:color w:val="auto"/>
              </w:rPr>
              <w:t>公司2021年8月19日</w:t>
            </w:r>
            <w:r>
              <w:rPr>
                <w:color w:val="auto"/>
              </w:rPr>
              <w:t>取得营业执照（</w:t>
            </w:r>
            <w:r>
              <w:rPr>
                <w:rFonts w:hint="eastAsia"/>
                <w:color w:val="auto"/>
              </w:rPr>
              <w:t>统一</w:t>
            </w:r>
            <w:r>
              <w:rPr>
                <w:color w:val="auto"/>
              </w:rPr>
              <w:t>社会信用代码</w:t>
            </w:r>
            <w:r>
              <w:rPr>
                <w:rFonts w:hint="eastAsia"/>
                <w:color w:val="auto"/>
              </w:rPr>
              <w:t>91610104</w:t>
            </w:r>
            <w:r>
              <w:rPr>
                <w:color w:val="auto"/>
              </w:rPr>
              <w:t>MAB0Y0U89U）</w:t>
            </w:r>
            <w:r>
              <w:rPr>
                <w:rFonts w:hint="eastAsia"/>
                <w:color w:val="auto"/>
              </w:rPr>
              <w:t>，2021年11月22日</w:t>
            </w:r>
            <w:r>
              <w:rPr>
                <w:color w:val="auto"/>
              </w:rPr>
              <w:t>取得</w:t>
            </w:r>
            <w:r>
              <w:rPr>
                <w:rFonts w:hint="eastAsia"/>
                <w:color w:val="auto"/>
              </w:rPr>
              <w:t>动物</w:t>
            </w:r>
            <w:r>
              <w:rPr>
                <w:color w:val="auto"/>
              </w:rPr>
              <w:t>诊疗许可证</w:t>
            </w:r>
            <w:r>
              <w:rPr>
                <w:rFonts w:hint="eastAsia"/>
                <w:color w:val="auto"/>
              </w:rPr>
              <w:t>（陕西莲动</w:t>
            </w:r>
            <w:r>
              <w:rPr>
                <w:color w:val="auto"/>
              </w:rPr>
              <w:t>诊</w:t>
            </w:r>
            <w:r>
              <w:rPr>
                <w:rFonts w:hint="eastAsia"/>
                <w:color w:val="auto"/>
              </w:rPr>
              <w:t>证【2021】第005号）。主要</w:t>
            </w:r>
            <w:r>
              <w:rPr>
                <w:color w:val="auto"/>
              </w:rPr>
              <w:t>建设有诊室、手术室、化验药房、影像室、住院部、美容、洗浴室等，进行动物疾病预防、诊断、治疗和绝育手术（不含颅腔、胸腔和腹腔手术）等。</w:t>
            </w:r>
          </w:p>
          <w:p>
            <w:pPr>
              <w:spacing w:line="360" w:lineRule="auto"/>
              <w:ind w:firstLine="420" w:firstLineChars="200"/>
              <w:rPr>
                <w:rFonts w:hAnsi="宋体"/>
                <w:color w:val="auto"/>
              </w:rPr>
            </w:pPr>
            <w:r>
              <w:rPr>
                <w:rFonts w:hint="eastAsia" w:hAnsi="宋体"/>
                <w:color w:val="auto"/>
              </w:rPr>
              <w:t>根据《生态</w:t>
            </w:r>
            <w:r>
              <w:rPr>
                <w:rFonts w:hAnsi="宋体"/>
                <w:color w:val="auto"/>
              </w:rPr>
              <w:t>环境部办公厅关于宠物医院服务项目环境影响评价类别有关问题的</w:t>
            </w:r>
            <w:r>
              <w:rPr>
                <w:rFonts w:hint="eastAsia" w:hAnsi="宋体"/>
                <w:color w:val="auto"/>
              </w:rPr>
              <w:t>复函》（环办</w:t>
            </w:r>
            <w:r>
              <w:rPr>
                <w:rFonts w:hAnsi="宋体"/>
                <w:color w:val="auto"/>
              </w:rPr>
              <w:t>环评函【</w:t>
            </w:r>
            <w:r>
              <w:rPr>
                <w:rFonts w:hint="eastAsia" w:hAnsi="宋体"/>
                <w:color w:val="auto"/>
              </w:rPr>
              <w:t>2019</w:t>
            </w:r>
            <w:r>
              <w:rPr>
                <w:rFonts w:hAnsi="宋体"/>
                <w:color w:val="auto"/>
              </w:rPr>
              <w:t>】</w:t>
            </w:r>
            <w:r>
              <w:rPr>
                <w:rFonts w:hint="eastAsia" w:hAnsi="宋体"/>
                <w:color w:val="auto"/>
              </w:rPr>
              <w:t>168号）中</w:t>
            </w:r>
            <w:r>
              <w:rPr>
                <w:rFonts w:hAnsi="宋体"/>
                <w:color w:val="auto"/>
              </w:rPr>
              <w:t>明确“</w:t>
            </w:r>
            <w:r>
              <w:rPr>
                <w:rFonts w:hint="eastAsia" w:hAnsi="宋体"/>
                <w:color w:val="auto"/>
              </w:rPr>
              <w:t>不具备</w:t>
            </w:r>
            <w:r>
              <w:rPr>
                <w:rFonts w:hAnsi="宋体"/>
                <w:color w:val="auto"/>
              </w:rPr>
              <w:t>从事动物颅腔、胸腔和腹腔</w:t>
            </w:r>
            <w:r>
              <w:rPr>
                <w:rFonts w:hint="eastAsia" w:hAnsi="宋体"/>
                <w:color w:val="auto"/>
              </w:rPr>
              <w:t>手术</w:t>
            </w:r>
            <w:r>
              <w:rPr>
                <w:rFonts w:hAnsi="宋体"/>
                <w:color w:val="auto"/>
              </w:rPr>
              <w:t>能力的动物诊疗机构建设项目，不纳入建设项目环境影响评价管理”</w:t>
            </w:r>
            <w:r>
              <w:rPr>
                <w:rFonts w:hint="eastAsia" w:hAnsi="宋体"/>
                <w:color w:val="auto"/>
              </w:rPr>
              <w:t>。《西</w:t>
            </w:r>
            <w:r>
              <w:rPr>
                <w:rFonts w:hAnsi="宋体"/>
                <w:color w:val="auto"/>
              </w:rPr>
              <w:t>安市</w:t>
            </w:r>
            <w:r>
              <w:rPr>
                <w:rFonts w:hint="eastAsia" w:hAnsi="宋体"/>
                <w:color w:val="auto"/>
              </w:rPr>
              <w:t>畜牧兽医</w:t>
            </w:r>
            <w:r>
              <w:rPr>
                <w:rFonts w:hAnsi="宋体"/>
                <w:color w:val="auto"/>
              </w:rPr>
              <w:t>局关于动物诊疗机构环保手续有关的通知</w:t>
            </w:r>
            <w:r>
              <w:rPr>
                <w:rFonts w:hint="eastAsia" w:hAnsi="宋体"/>
                <w:color w:val="auto"/>
              </w:rPr>
              <w:t>》（市</w:t>
            </w:r>
            <w:r>
              <w:rPr>
                <w:rFonts w:hAnsi="宋体"/>
                <w:color w:val="auto"/>
              </w:rPr>
              <w:t>畜发【</w:t>
            </w:r>
            <w:r>
              <w:rPr>
                <w:rFonts w:hint="eastAsia" w:hAnsi="宋体"/>
                <w:color w:val="auto"/>
              </w:rPr>
              <w:t>2018</w:t>
            </w:r>
            <w:r>
              <w:rPr>
                <w:rFonts w:hAnsi="宋体"/>
                <w:color w:val="auto"/>
              </w:rPr>
              <w:t>】</w:t>
            </w:r>
            <w:r>
              <w:rPr>
                <w:rFonts w:hint="eastAsia" w:hAnsi="宋体"/>
                <w:color w:val="auto"/>
              </w:rPr>
              <w:t>57号）中</w:t>
            </w:r>
            <w:r>
              <w:rPr>
                <w:rFonts w:hAnsi="宋体"/>
                <w:color w:val="auto"/>
              </w:rPr>
              <w:t>明确“</w:t>
            </w:r>
            <w:r>
              <w:rPr>
                <w:rFonts w:hint="eastAsia" w:hAnsi="宋体"/>
                <w:color w:val="auto"/>
              </w:rPr>
              <w:t>不含动物</w:t>
            </w:r>
            <w:r>
              <w:rPr>
                <w:rFonts w:hAnsi="宋体"/>
                <w:color w:val="auto"/>
              </w:rPr>
              <w:t>颅腔、胸腔和腹腔手术的动物诊所机构目前不需进行环境影响评价”</w:t>
            </w:r>
            <w:r>
              <w:rPr>
                <w:rFonts w:hint="eastAsia" w:hAnsi="宋体"/>
                <w:color w:val="auto"/>
              </w:rPr>
              <w:t>。故西</w:t>
            </w:r>
            <w:r>
              <w:rPr>
                <w:rFonts w:hAnsi="宋体"/>
                <w:color w:val="auto"/>
              </w:rPr>
              <w:t>安瑞鹏宠物</w:t>
            </w:r>
            <w:r>
              <w:rPr>
                <w:rFonts w:hint="eastAsia" w:hAnsi="宋体"/>
                <w:color w:val="auto"/>
              </w:rPr>
              <w:t>游戏</w:t>
            </w:r>
            <w:r>
              <w:rPr>
                <w:rFonts w:hAnsi="宋体"/>
                <w:color w:val="auto"/>
              </w:rPr>
              <w:t>公司太奥分公司不需开展环境影响评价工作。</w:t>
            </w:r>
          </w:p>
          <w:p>
            <w:pPr>
              <w:spacing w:line="360" w:lineRule="auto"/>
              <w:ind w:firstLine="420" w:firstLineChars="200"/>
              <w:rPr>
                <w:color w:val="auto"/>
              </w:rPr>
            </w:pPr>
            <w:r>
              <w:rPr>
                <w:rFonts w:hint="eastAsia"/>
                <w:color w:val="auto"/>
              </w:rPr>
              <w:t>后</w:t>
            </w:r>
            <w:r>
              <w:rPr>
                <w:color w:val="auto"/>
              </w:rPr>
              <w:t>由于市场需要</w:t>
            </w:r>
            <w:r>
              <w:rPr>
                <w:rFonts w:hint="eastAsia"/>
                <w:color w:val="auto"/>
              </w:rPr>
              <w:t>，</w:t>
            </w:r>
            <w:r>
              <w:rPr>
                <w:color w:val="auto"/>
              </w:rPr>
              <w:t>建设单位</w:t>
            </w:r>
            <w:r>
              <w:rPr>
                <w:rFonts w:hint="eastAsia"/>
                <w:color w:val="auto"/>
              </w:rPr>
              <w:t>（西</w:t>
            </w:r>
            <w:r>
              <w:rPr>
                <w:color w:val="auto"/>
              </w:rPr>
              <w:t>安</w:t>
            </w:r>
            <w:r>
              <w:rPr>
                <w:rFonts w:hint="eastAsia"/>
                <w:color w:val="auto"/>
              </w:rPr>
              <w:t>市</w:t>
            </w:r>
            <w:r>
              <w:rPr>
                <w:color w:val="auto"/>
              </w:rPr>
              <w:t>瑞鹏宠物医院</w:t>
            </w:r>
            <w:r>
              <w:rPr>
                <w:rFonts w:hint="eastAsia"/>
                <w:color w:val="auto"/>
              </w:rPr>
              <w:t>有限</w:t>
            </w:r>
            <w:r>
              <w:rPr>
                <w:color w:val="auto"/>
              </w:rPr>
              <w:t>公司太奥分公司</w:t>
            </w:r>
            <w:r>
              <w:rPr>
                <w:rFonts w:hint="eastAsia"/>
                <w:color w:val="auto"/>
              </w:rPr>
              <w:t>）拟</w:t>
            </w:r>
            <w:r>
              <w:rPr>
                <w:color w:val="auto"/>
              </w:rPr>
              <w:t>在</w:t>
            </w:r>
            <w:r>
              <w:rPr>
                <w:rFonts w:hint="eastAsia"/>
                <w:color w:val="auto"/>
              </w:rPr>
              <w:t>现有</w:t>
            </w:r>
            <w:r>
              <w:rPr>
                <w:color w:val="auto"/>
              </w:rPr>
              <w:t>院区基础上（</w:t>
            </w:r>
            <w:r>
              <w:rPr>
                <w:rFonts w:hint="eastAsia"/>
                <w:color w:val="auto"/>
              </w:rPr>
              <w:t>不增加</w:t>
            </w:r>
            <w:r>
              <w:rPr>
                <w:color w:val="auto"/>
              </w:rPr>
              <w:t>科室、人员、设备）</w:t>
            </w:r>
            <w:r>
              <w:rPr>
                <w:rFonts w:hint="eastAsia"/>
                <w:color w:val="auto"/>
              </w:rPr>
              <w:t>增设“动物颅腔</w:t>
            </w:r>
            <w:r>
              <w:rPr>
                <w:color w:val="auto"/>
              </w:rPr>
              <w:t>、</w:t>
            </w:r>
            <w:r>
              <w:rPr>
                <w:rFonts w:hint="eastAsia"/>
                <w:color w:val="auto"/>
              </w:rPr>
              <w:t>胸腔</w:t>
            </w:r>
            <w:r>
              <w:rPr>
                <w:color w:val="auto"/>
              </w:rPr>
              <w:t>和腹腔</w:t>
            </w:r>
            <w:r>
              <w:rPr>
                <w:rFonts w:hint="eastAsia"/>
                <w:color w:val="auto"/>
              </w:rPr>
              <w:t>手术”服务</w:t>
            </w:r>
            <w:r>
              <w:rPr>
                <w:color w:val="auto"/>
              </w:rPr>
              <w:t>内容</w:t>
            </w:r>
            <w:r>
              <w:rPr>
                <w:rFonts w:hint="eastAsia"/>
                <w:color w:val="auto"/>
              </w:rPr>
              <w:t>。根据《建设</w:t>
            </w:r>
            <w:r>
              <w:rPr>
                <w:color w:val="auto"/>
              </w:rPr>
              <w:t>项目环境影响评价分类管理名录</w:t>
            </w:r>
            <w:r>
              <w:rPr>
                <w:rFonts w:hint="eastAsia"/>
                <w:color w:val="auto"/>
              </w:rPr>
              <w:t>》相关</w:t>
            </w:r>
            <w:r>
              <w:rPr>
                <w:color w:val="auto"/>
              </w:rPr>
              <w:t>要求</w:t>
            </w:r>
            <w:r>
              <w:rPr>
                <w:rFonts w:hint="eastAsia"/>
                <w:color w:val="auto"/>
              </w:rPr>
              <w:t>，</w:t>
            </w:r>
            <w:r>
              <w:rPr>
                <w:color w:val="auto"/>
              </w:rPr>
              <w:t>需开展环境影响评价。</w:t>
            </w:r>
          </w:p>
          <w:p>
            <w:pPr>
              <w:pStyle w:val="11"/>
              <w:spacing w:line="360" w:lineRule="auto"/>
              <w:ind w:firstLine="422" w:firstLineChars="200"/>
              <w:rPr>
                <w:rFonts w:ascii="Times New Roman" w:hAnsi="Times New Roman"/>
                <w:b/>
                <w:color w:val="auto"/>
                <w:szCs w:val="21"/>
              </w:rPr>
            </w:pPr>
            <w:r>
              <w:rPr>
                <w:rFonts w:hint="eastAsia" w:ascii="Times New Roman" w:hAnsi="Times New Roman"/>
                <w:b/>
                <w:color w:val="auto"/>
                <w:szCs w:val="21"/>
              </w:rPr>
              <w:t>2、依托</w:t>
            </w:r>
            <w:r>
              <w:rPr>
                <w:rFonts w:ascii="Times New Roman" w:hAnsi="Times New Roman"/>
                <w:b/>
                <w:color w:val="auto"/>
                <w:szCs w:val="21"/>
              </w:rPr>
              <w:t>项目实际污染物排放情况</w:t>
            </w:r>
          </w:p>
          <w:p>
            <w:pPr>
              <w:pStyle w:val="11"/>
              <w:spacing w:line="360" w:lineRule="auto"/>
              <w:ind w:firstLine="420" w:firstLineChars="200"/>
              <w:rPr>
                <w:rFonts w:ascii="Times New Roman" w:hAnsi="Times New Roman"/>
                <w:color w:val="auto"/>
              </w:rPr>
            </w:pPr>
            <w:r>
              <w:rPr>
                <w:rFonts w:ascii="Times New Roman" w:hAnsi="Times New Roman"/>
                <w:color w:val="auto"/>
              </w:rPr>
              <w:t>西安市瑞鹏宠物有限公司太奥分公司目前运行正常，医院目前开展宠物美容洗浴、宠物用品及饲料零售、动物疾病预防、诊断、治疗和绝育手术（不含颅腔、胸腔和腹腔手术）。日均美容宠物5只，接诊动物约2例。增开动物宠物“三腔类”手术服务后，预估日均开展宠物“三腔”类手术一例。新增开的“三腔类”手术在现有的手术室内进行，依托现有科室、人员、器械、环保设施等，不再新增。</w:t>
            </w:r>
          </w:p>
          <w:p>
            <w:pPr>
              <w:pStyle w:val="11"/>
              <w:spacing w:line="360" w:lineRule="auto"/>
              <w:ind w:firstLine="420" w:firstLineChars="200"/>
              <w:rPr>
                <w:rFonts w:ascii="Times New Roman" w:hAnsi="Times New Roman"/>
                <w:color w:val="auto"/>
                <w:szCs w:val="21"/>
                <w:highlight w:val="yellow"/>
              </w:rPr>
            </w:pPr>
            <w:r>
              <w:rPr>
                <w:rFonts w:ascii="Times New Roman" w:hAnsi="Times New Roman"/>
                <w:color w:val="auto"/>
              </w:rPr>
              <w:t>经调查，医院现有污染物处置措施及排放情况见表2-5。</w:t>
            </w:r>
          </w:p>
          <w:p>
            <w:pPr>
              <w:jc w:val="center"/>
              <w:rPr>
                <w:b/>
                <w:bCs/>
                <w:color w:val="auto"/>
                <w:szCs w:val="21"/>
              </w:rPr>
            </w:pPr>
            <w:r>
              <w:rPr>
                <w:rFonts w:hint="eastAsia"/>
                <w:b/>
                <w:bCs/>
                <w:color w:val="auto"/>
                <w:szCs w:val="21"/>
              </w:rPr>
              <w:t>表2</w:t>
            </w:r>
            <w:r>
              <w:rPr>
                <w:b/>
                <w:bCs/>
                <w:color w:val="auto"/>
                <w:szCs w:val="21"/>
              </w:rPr>
              <w:t xml:space="preserve">-5    </w:t>
            </w:r>
            <w:r>
              <w:rPr>
                <w:rFonts w:hint="eastAsia"/>
                <w:b/>
                <w:bCs/>
                <w:color w:val="auto"/>
                <w:szCs w:val="21"/>
              </w:rPr>
              <w:t>依托</w:t>
            </w:r>
            <w:r>
              <w:rPr>
                <w:b/>
                <w:bCs/>
                <w:color w:val="auto"/>
                <w:szCs w:val="21"/>
              </w:rPr>
              <w:t>项目污染物排放情况统计表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8"/>
              <w:gridCol w:w="1366"/>
              <w:gridCol w:w="1757"/>
              <w:gridCol w:w="369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35" w:type="pct"/>
                  <w:vAlign w:val="center"/>
                </w:tcPr>
                <w:p>
                  <w:pPr>
                    <w:jc w:val="center"/>
                    <w:rPr>
                      <w:color w:val="auto"/>
                      <w:sz w:val="18"/>
                      <w:szCs w:val="18"/>
                    </w:rPr>
                  </w:pPr>
                  <w:r>
                    <w:rPr>
                      <w:rFonts w:hint="eastAsia"/>
                      <w:color w:val="auto"/>
                      <w:sz w:val="18"/>
                      <w:szCs w:val="18"/>
                    </w:rPr>
                    <w:t>分类</w:t>
                  </w:r>
                </w:p>
              </w:tc>
              <w:tc>
                <w:tcPr>
                  <w:tcW w:w="814" w:type="pct"/>
                  <w:vAlign w:val="center"/>
                </w:tcPr>
                <w:p>
                  <w:pPr>
                    <w:jc w:val="center"/>
                    <w:rPr>
                      <w:color w:val="auto"/>
                      <w:sz w:val="18"/>
                      <w:szCs w:val="18"/>
                    </w:rPr>
                  </w:pPr>
                  <w:r>
                    <w:rPr>
                      <w:rFonts w:hint="eastAsia"/>
                      <w:color w:val="auto"/>
                      <w:sz w:val="18"/>
                      <w:szCs w:val="18"/>
                    </w:rPr>
                    <w:t>污染源</w:t>
                  </w:r>
                </w:p>
              </w:tc>
              <w:tc>
                <w:tcPr>
                  <w:tcW w:w="1047" w:type="pct"/>
                  <w:tcBorders>
                    <w:right w:val="single" w:color="auto" w:sz="4" w:space="0"/>
                  </w:tcBorders>
                  <w:vAlign w:val="center"/>
                </w:tcPr>
                <w:p>
                  <w:pPr>
                    <w:jc w:val="center"/>
                    <w:rPr>
                      <w:color w:val="auto"/>
                      <w:sz w:val="18"/>
                      <w:szCs w:val="18"/>
                    </w:rPr>
                  </w:pPr>
                  <w:r>
                    <w:rPr>
                      <w:rFonts w:hint="eastAsia"/>
                      <w:color w:val="auto"/>
                      <w:sz w:val="18"/>
                      <w:szCs w:val="18"/>
                    </w:rPr>
                    <w:t>污染物</w:t>
                  </w:r>
                </w:p>
              </w:tc>
              <w:tc>
                <w:tcPr>
                  <w:tcW w:w="2204" w:type="pct"/>
                  <w:vAlign w:val="center"/>
                </w:tcPr>
                <w:p>
                  <w:pPr>
                    <w:jc w:val="center"/>
                    <w:rPr>
                      <w:color w:val="auto"/>
                      <w:sz w:val="18"/>
                      <w:szCs w:val="18"/>
                    </w:rPr>
                  </w:pPr>
                  <w:r>
                    <w:rPr>
                      <w:rFonts w:hint="eastAsia"/>
                      <w:color w:val="auto"/>
                      <w:sz w:val="18"/>
                      <w:szCs w:val="18"/>
                    </w:rPr>
                    <w:t>排放</w:t>
                  </w:r>
                  <w:r>
                    <w:rPr>
                      <w:color w:val="auto"/>
                      <w:sz w:val="18"/>
                      <w:szCs w:val="18"/>
                    </w:rPr>
                    <w:t>去向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35" w:type="pct"/>
                  <w:vMerge w:val="restart"/>
                  <w:vAlign w:val="center"/>
                </w:tcPr>
                <w:p>
                  <w:pPr>
                    <w:jc w:val="center"/>
                    <w:rPr>
                      <w:color w:val="auto"/>
                      <w:sz w:val="18"/>
                      <w:szCs w:val="18"/>
                    </w:rPr>
                  </w:pPr>
                  <w:r>
                    <w:rPr>
                      <w:rFonts w:hint="eastAsia"/>
                      <w:color w:val="auto"/>
                      <w:sz w:val="18"/>
                      <w:szCs w:val="18"/>
                    </w:rPr>
                    <w:t>废水</w:t>
                  </w:r>
                </w:p>
              </w:tc>
              <w:tc>
                <w:tcPr>
                  <w:tcW w:w="814" w:type="pct"/>
                  <w:vAlign w:val="center"/>
                </w:tcPr>
                <w:p>
                  <w:pPr>
                    <w:jc w:val="center"/>
                    <w:rPr>
                      <w:color w:val="auto"/>
                      <w:sz w:val="18"/>
                      <w:szCs w:val="18"/>
                    </w:rPr>
                  </w:pPr>
                  <w:r>
                    <w:rPr>
                      <w:rFonts w:hint="eastAsia"/>
                      <w:color w:val="auto"/>
                      <w:sz w:val="18"/>
                      <w:szCs w:val="18"/>
                    </w:rPr>
                    <w:t>医疗</w:t>
                  </w:r>
                  <w:r>
                    <w:rPr>
                      <w:color w:val="auto"/>
                      <w:sz w:val="18"/>
                      <w:szCs w:val="18"/>
                    </w:rPr>
                    <w:t>废水</w:t>
                  </w:r>
                </w:p>
              </w:tc>
              <w:tc>
                <w:tcPr>
                  <w:tcW w:w="1047" w:type="pct"/>
                  <w:tcBorders>
                    <w:right w:val="single" w:color="auto" w:sz="4" w:space="0"/>
                  </w:tcBorders>
                  <w:vAlign w:val="center"/>
                </w:tcPr>
                <w:p>
                  <w:pPr>
                    <w:jc w:val="center"/>
                    <w:rPr>
                      <w:color w:val="auto"/>
                      <w:sz w:val="18"/>
                      <w:szCs w:val="18"/>
                    </w:rPr>
                  </w:pPr>
                  <w:r>
                    <w:rPr>
                      <w:rFonts w:hint="eastAsia"/>
                      <w:color w:val="auto"/>
                      <w:sz w:val="18"/>
                      <w:szCs w:val="18"/>
                    </w:rPr>
                    <w:t>COD、SS、</w:t>
                  </w:r>
                  <w:r>
                    <w:rPr>
                      <w:color w:val="auto"/>
                      <w:sz w:val="18"/>
                      <w:szCs w:val="18"/>
                    </w:rPr>
                    <w:t>总余氯、粪大肠菌群</w:t>
                  </w:r>
                </w:p>
              </w:tc>
              <w:tc>
                <w:tcPr>
                  <w:tcW w:w="2204" w:type="pct"/>
                  <w:vAlign w:val="center"/>
                </w:tcPr>
                <w:p>
                  <w:pPr>
                    <w:jc w:val="center"/>
                    <w:rPr>
                      <w:color w:val="auto"/>
                      <w:sz w:val="18"/>
                      <w:szCs w:val="18"/>
                    </w:rPr>
                  </w:pPr>
                  <w:r>
                    <w:rPr>
                      <w:rFonts w:hint="eastAsia"/>
                      <w:color w:val="auto"/>
                      <w:sz w:val="18"/>
                      <w:szCs w:val="18"/>
                    </w:rPr>
                    <w:t>经</w:t>
                  </w:r>
                  <w:r>
                    <w:rPr>
                      <w:rFonts w:hint="eastAsia"/>
                      <w:color w:val="auto"/>
                      <w:kern w:val="0"/>
                      <w:sz w:val="18"/>
                      <w:szCs w:val="18"/>
                    </w:rPr>
                    <w:t>HB-</w:t>
                  </w:r>
                  <w:r>
                    <w:rPr>
                      <w:color w:val="auto"/>
                      <w:kern w:val="0"/>
                      <w:sz w:val="18"/>
                      <w:szCs w:val="18"/>
                    </w:rPr>
                    <w:t>50</w:t>
                  </w:r>
                  <w:r>
                    <w:rPr>
                      <w:rFonts w:hint="eastAsia"/>
                      <w:color w:val="auto"/>
                      <w:kern w:val="0"/>
                      <w:sz w:val="18"/>
                      <w:szCs w:val="18"/>
                    </w:rPr>
                    <w:t>废水缓释消毒器消毒处理后，与生活污水</w:t>
                  </w:r>
                  <w:r>
                    <w:rPr>
                      <w:color w:val="auto"/>
                      <w:kern w:val="0"/>
                      <w:sz w:val="18"/>
                      <w:szCs w:val="18"/>
                    </w:rPr>
                    <w:t>一同进入</w:t>
                  </w:r>
                  <w:r>
                    <w:rPr>
                      <w:rFonts w:hint="eastAsia"/>
                      <w:color w:val="auto"/>
                      <w:kern w:val="0"/>
                      <w:sz w:val="18"/>
                      <w:szCs w:val="18"/>
                    </w:rPr>
                    <w:t>丰和</w:t>
                  </w:r>
                  <w:r>
                    <w:rPr>
                      <w:color w:val="auto"/>
                      <w:kern w:val="0"/>
                      <w:sz w:val="18"/>
                      <w:szCs w:val="18"/>
                    </w:rPr>
                    <w:t>坊一期</w:t>
                  </w:r>
                  <w:r>
                    <w:rPr>
                      <w:rFonts w:hint="eastAsia"/>
                      <w:color w:val="auto"/>
                      <w:kern w:val="0"/>
                      <w:sz w:val="18"/>
                      <w:szCs w:val="18"/>
                    </w:rPr>
                    <w:t>15幢</w:t>
                  </w:r>
                  <w:r>
                    <w:rPr>
                      <w:color w:val="auto"/>
                      <w:kern w:val="0"/>
                      <w:sz w:val="18"/>
                      <w:szCs w:val="18"/>
                    </w:rPr>
                    <w:t>公用化粪池，后排入</w:t>
                  </w:r>
                  <w:r>
                    <w:rPr>
                      <w:rFonts w:hint="eastAsia"/>
                      <w:color w:val="auto"/>
                      <w:kern w:val="0"/>
                      <w:sz w:val="18"/>
                      <w:szCs w:val="18"/>
                    </w:rPr>
                    <w:t>丰禾</w:t>
                  </w:r>
                  <w:r>
                    <w:rPr>
                      <w:color w:val="auto"/>
                      <w:kern w:val="0"/>
                      <w:sz w:val="18"/>
                      <w:szCs w:val="18"/>
                    </w:rPr>
                    <w:t>路市政污水管网</w:t>
                  </w:r>
                  <w:r>
                    <w:rPr>
                      <w:rFonts w:hint="eastAsia"/>
                      <w:color w:val="auto"/>
                      <w:kern w:val="0"/>
                      <w:sz w:val="18"/>
                      <w:szCs w:val="18"/>
                    </w:rPr>
                    <w:t>，</w:t>
                  </w:r>
                  <w:r>
                    <w:rPr>
                      <w:color w:val="auto"/>
                      <w:kern w:val="0"/>
                      <w:sz w:val="18"/>
                      <w:szCs w:val="18"/>
                    </w:rPr>
                    <w:t>进入邓家村污水处理厂。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35" w:type="pct"/>
                  <w:vMerge w:val="continue"/>
                  <w:vAlign w:val="center"/>
                </w:tcPr>
                <w:p>
                  <w:pPr>
                    <w:jc w:val="center"/>
                    <w:rPr>
                      <w:color w:val="auto"/>
                      <w:sz w:val="18"/>
                      <w:szCs w:val="18"/>
                    </w:rPr>
                  </w:pPr>
                </w:p>
              </w:tc>
              <w:tc>
                <w:tcPr>
                  <w:tcW w:w="814" w:type="pct"/>
                  <w:vAlign w:val="center"/>
                </w:tcPr>
                <w:p>
                  <w:pPr>
                    <w:jc w:val="center"/>
                    <w:rPr>
                      <w:color w:val="auto"/>
                      <w:sz w:val="18"/>
                      <w:szCs w:val="18"/>
                    </w:rPr>
                  </w:pPr>
                  <w:r>
                    <w:rPr>
                      <w:rFonts w:hint="eastAsia"/>
                      <w:color w:val="auto"/>
                      <w:sz w:val="18"/>
                      <w:szCs w:val="18"/>
                    </w:rPr>
                    <w:t>生活</w:t>
                  </w:r>
                  <w:r>
                    <w:rPr>
                      <w:color w:val="auto"/>
                      <w:sz w:val="18"/>
                      <w:szCs w:val="18"/>
                    </w:rPr>
                    <w:t>污水</w:t>
                  </w:r>
                </w:p>
              </w:tc>
              <w:tc>
                <w:tcPr>
                  <w:tcW w:w="1047" w:type="pct"/>
                  <w:tcBorders>
                    <w:right w:val="single" w:color="auto" w:sz="4" w:space="0"/>
                  </w:tcBorders>
                  <w:vAlign w:val="center"/>
                </w:tcPr>
                <w:p>
                  <w:pPr>
                    <w:jc w:val="center"/>
                    <w:rPr>
                      <w:color w:val="auto"/>
                      <w:sz w:val="18"/>
                      <w:szCs w:val="18"/>
                    </w:rPr>
                  </w:pPr>
                  <w:r>
                    <w:rPr>
                      <w:rFonts w:hint="eastAsia"/>
                      <w:color w:val="auto"/>
                      <w:sz w:val="18"/>
                      <w:szCs w:val="18"/>
                    </w:rPr>
                    <w:t>COD、BOD</w:t>
                  </w:r>
                  <w:r>
                    <w:rPr>
                      <w:rFonts w:hint="eastAsia"/>
                      <w:color w:val="auto"/>
                      <w:sz w:val="18"/>
                      <w:szCs w:val="18"/>
                      <w:vertAlign w:val="subscript"/>
                    </w:rPr>
                    <w:t>5</w:t>
                  </w:r>
                  <w:r>
                    <w:rPr>
                      <w:rFonts w:hint="eastAsia"/>
                      <w:color w:val="auto"/>
                      <w:sz w:val="18"/>
                      <w:szCs w:val="18"/>
                    </w:rPr>
                    <w:t>、氨氮</w:t>
                  </w:r>
                  <w:r>
                    <w:rPr>
                      <w:color w:val="auto"/>
                      <w:sz w:val="18"/>
                      <w:szCs w:val="18"/>
                    </w:rPr>
                    <w:t>、</w:t>
                  </w:r>
                  <w:r>
                    <w:rPr>
                      <w:rFonts w:hint="eastAsia"/>
                      <w:color w:val="auto"/>
                      <w:sz w:val="18"/>
                      <w:szCs w:val="18"/>
                    </w:rPr>
                    <w:t>SS、</w:t>
                  </w:r>
                  <w:r>
                    <w:rPr>
                      <w:color w:val="auto"/>
                      <w:sz w:val="18"/>
                      <w:szCs w:val="18"/>
                    </w:rPr>
                    <w:t>总磷、总氮</w:t>
                  </w:r>
                </w:p>
              </w:tc>
              <w:tc>
                <w:tcPr>
                  <w:tcW w:w="2204" w:type="pct"/>
                  <w:vAlign w:val="center"/>
                </w:tcPr>
                <w:p>
                  <w:pPr>
                    <w:jc w:val="center"/>
                    <w:rPr>
                      <w:color w:val="auto"/>
                      <w:sz w:val="18"/>
                      <w:szCs w:val="18"/>
                    </w:rPr>
                  </w:pPr>
                  <w:r>
                    <w:rPr>
                      <w:rFonts w:hint="eastAsia"/>
                      <w:color w:val="auto"/>
                      <w:sz w:val="18"/>
                      <w:szCs w:val="18"/>
                    </w:rPr>
                    <w:t>宠物</w:t>
                  </w:r>
                  <w:r>
                    <w:rPr>
                      <w:color w:val="auto"/>
                      <w:sz w:val="18"/>
                      <w:szCs w:val="18"/>
                    </w:rPr>
                    <w:t>洗浴废水（</w:t>
                  </w:r>
                  <w:r>
                    <w:rPr>
                      <w:rFonts w:hint="eastAsia"/>
                      <w:color w:val="auto"/>
                      <w:sz w:val="18"/>
                      <w:szCs w:val="18"/>
                    </w:rPr>
                    <w:t>滤网过滤</w:t>
                  </w:r>
                  <w:r>
                    <w:rPr>
                      <w:color w:val="auto"/>
                      <w:sz w:val="18"/>
                      <w:szCs w:val="18"/>
                    </w:rPr>
                    <w:t>毛发）</w:t>
                  </w:r>
                  <w:r>
                    <w:rPr>
                      <w:rFonts w:hint="eastAsia"/>
                      <w:color w:val="auto"/>
                      <w:sz w:val="18"/>
                      <w:szCs w:val="18"/>
                    </w:rPr>
                    <w:t>、</w:t>
                  </w:r>
                  <w:r>
                    <w:rPr>
                      <w:color w:val="auto"/>
                      <w:sz w:val="18"/>
                      <w:szCs w:val="18"/>
                    </w:rPr>
                    <w:t>生活污水</w:t>
                  </w:r>
                  <w:r>
                    <w:rPr>
                      <w:rFonts w:hint="eastAsia"/>
                      <w:color w:val="auto"/>
                      <w:sz w:val="18"/>
                      <w:szCs w:val="18"/>
                    </w:rPr>
                    <w:t>经丰</w:t>
                  </w:r>
                  <w:r>
                    <w:rPr>
                      <w:color w:val="auto"/>
                      <w:sz w:val="18"/>
                      <w:szCs w:val="18"/>
                    </w:rPr>
                    <w:t>和坊一期</w:t>
                  </w:r>
                  <w:r>
                    <w:rPr>
                      <w:rFonts w:hint="eastAsia"/>
                      <w:color w:val="auto"/>
                      <w:sz w:val="18"/>
                      <w:szCs w:val="18"/>
                    </w:rPr>
                    <w:t>15幢</w:t>
                  </w:r>
                  <w:r>
                    <w:rPr>
                      <w:color w:val="auto"/>
                      <w:sz w:val="18"/>
                      <w:szCs w:val="18"/>
                    </w:rPr>
                    <w:t>化粪池后排入</w:t>
                  </w:r>
                  <w:r>
                    <w:rPr>
                      <w:rFonts w:hint="eastAsia"/>
                      <w:color w:val="auto"/>
                      <w:sz w:val="18"/>
                      <w:szCs w:val="18"/>
                    </w:rPr>
                    <w:t>丰</w:t>
                  </w:r>
                  <w:r>
                    <w:rPr>
                      <w:color w:val="auto"/>
                      <w:sz w:val="18"/>
                      <w:szCs w:val="18"/>
                    </w:rPr>
                    <w:t>禾路市政污水管网</w:t>
                  </w:r>
                  <w:r>
                    <w:rPr>
                      <w:rFonts w:hint="eastAsia"/>
                      <w:color w:val="auto"/>
                      <w:sz w:val="18"/>
                      <w:szCs w:val="18"/>
                    </w:rPr>
                    <w:t>，</w:t>
                  </w:r>
                  <w:r>
                    <w:rPr>
                      <w:color w:val="auto"/>
                      <w:sz w:val="18"/>
                      <w:szCs w:val="18"/>
                    </w:rPr>
                    <w:t>进入</w:t>
                  </w:r>
                  <w:r>
                    <w:rPr>
                      <w:rFonts w:hint="eastAsia"/>
                      <w:color w:val="auto"/>
                      <w:sz w:val="18"/>
                      <w:szCs w:val="18"/>
                    </w:rPr>
                    <w:t>邓家村</w:t>
                  </w:r>
                  <w:r>
                    <w:rPr>
                      <w:color w:val="auto"/>
                      <w:sz w:val="18"/>
                      <w:szCs w:val="18"/>
                    </w:rPr>
                    <w:t>处理厂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35" w:type="pct"/>
                  <w:vMerge w:val="restart"/>
                  <w:vAlign w:val="center"/>
                </w:tcPr>
                <w:p>
                  <w:pPr>
                    <w:jc w:val="center"/>
                    <w:rPr>
                      <w:color w:val="auto"/>
                      <w:sz w:val="18"/>
                      <w:szCs w:val="18"/>
                    </w:rPr>
                  </w:pPr>
                  <w:r>
                    <w:rPr>
                      <w:rFonts w:hint="eastAsia"/>
                      <w:color w:val="auto"/>
                      <w:sz w:val="18"/>
                      <w:szCs w:val="18"/>
                    </w:rPr>
                    <w:t>固体废物</w:t>
                  </w:r>
                </w:p>
              </w:tc>
              <w:tc>
                <w:tcPr>
                  <w:tcW w:w="814" w:type="pct"/>
                  <w:vAlign w:val="center"/>
                </w:tcPr>
                <w:p>
                  <w:pPr>
                    <w:jc w:val="center"/>
                    <w:rPr>
                      <w:color w:val="auto"/>
                      <w:sz w:val="18"/>
                      <w:szCs w:val="18"/>
                    </w:rPr>
                  </w:pPr>
                  <w:r>
                    <w:rPr>
                      <w:rFonts w:hint="eastAsia"/>
                      <w:color w:val="auto"/>
                      <w:sz w:val="18"/>
                      <w:szCs w:val="18"/>
                    </w:rPr>
                    <w:t>生活</w:t>
                  </w:r>
                  <w:r>
                    <w:rPr>
                      <w:color w:val="auto"/>
                      <w:sz w:val="18"/>
                      <w:szCs w:val="18"/>
                    </w:rPr>
                    <w:t>垃圾</w:t>
                  </w:r>
                </w:p>
              </w:tc>
              <w:tc>
                <w:tcPr>
                  <w:tcW w:w="1047" w:type="pct"/>
                  <w:tcBorders>
                    <w:right w:val="single" w:color="auto" w:sz="4" w:space="0"/>
                  </w:tcBorders>
                  <w:vAlign w:val="center"/>
                </w:tcPr>
                <w:p>
                  <w:pPr>
                    <w:jc w:val="center"/>
                    <w:rPr>
                      <w:color w:val="auto"/>
                      <w:sz w:val="18"/>
                      <w:szCs w:val="18"/>
                    </w:rPr>
                  </w:pPr>
                  <w:r>
                    <w:rPr>
                      <w:rFonts w:hint="eastAsia"/>
                      <w:color w:val="auto"/>
                      <w:sz w:val="18"/>
                      <w:szCs w:val="18"/>
                    </w:rPr>
                    <w:t>果皮</w:t>
                  </w:r>
                  <w:r>
                    <w:rPr>
                      <w:color w:val="auto"/>
                      <w:sz w:val="18"/>
                      <w:szCs w:val="18"/>
                    </w:rPr>
                    <w:t>纸屑、塑料袋等</w:t>
                  </w:r>
                </w:p>
              </w:tc>
              <w:tc>
                <w:tcPr>
                  <w:tcW w:w="2204" w:type="pct"/>
                  <w:vAlign w:val="center"/>
                </w:tcPr>
                <w:p>
                  <w:pPr>
                    <w:jc w:val="center"/>
                    <w:rPr>
                      <w:color w:val="auto"/>
                      <w:sz w:val="18"/>
                      <w:szCs w:val="18"/>
                    </w:rPr>
                  </w:pPr>
                  <w:r>
                    <w:rPr>
                      <w:rFonts w:hint="eastAsia"/>
                      <w:color w:val="auto"/>
                      <w:sz w:val="18"/>
                      <w:szCs w:val="18"/>
                    </w:rPr>
                    <w:t>有</w:t>
                  </w:r>
                  <w:r>
                    <w:rPr>
                      <w:color w:val="auto"/>
                      <w:sz w:val="18"/>
                      <w:szCs w:val="18"/>
                    </w:rPr>
                    <w:t>盖</w:t>
                  </w:r>
                  <w:r>
                    <w:rPr>
                      <w:rFonts w:hint="eastAsia"/>
                      <w:color w:val="auto"/>
                      <w:sz w:val="18"/>
                      <w:szCs w:val="18"/>
                    </w:rPr>
                    <w:t>垃圾箱</w:t>
                  </w:r>
                  <w:r>
                    <w:rPr>
                      <w:color w:val="auto"/>
                      <w:sz w:val="18"/>
                      <w:szCs w:val="18"/>
                    </w:rPr>
                    <w:t>收集，定期交</w:t>
                  </w:r>
                  <w:r>
                    <w:rPr>
                      <w:rFonts w:hint="eastAsia"/>
                      <w:color w:val="auto"/>
                      <w:sz w:val="18"/>
                      <w:szCs w:val="18"/>
                    </w:rPr>
                    <w:t>当地</w:t>
                  </w:r>
                  <w:r>
                    <w:rPr>
                      <w:color w:val="auto"/>
                      <w:sz w:val="18"/>
                      <w:szCs w:val="18"/>
                    </w:rPr>
                    <w:t>环卫部门处置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35" w:type="pct"/>
                  <w:vMerge w:val="continue"/>
                  <w:vAlign w:val="center"/>
                </w:tcPr>
                <w:p>
                  <w:pPr>
                    <w:jc w:val="center"/>
                    <w:rPr>
                      <w:color w:val="auto"/>
                      <w:sz w:val="18"/>
                      <w:szCs w:val="18"/>
                    </w:rPr>
                  </w:pPr>
                </w:p>
              </w:tc>
              <w:tc>
                <w:tcPr>
                  <w:tcW w:w="814" w:type="pct"/>
                  <w:vAlign w:val="center"/>
                </w:tcPr>
                <w:p>
                  <w:pPr>
                    <w:jc w:val="center"/>
                    <w:rPr>
                      <w:color w:val="auto"/>
                      <w:sz w:val="18"/>
                      <w:szCs w:val="18"/>
                    </w:rPr>
                  </w:pPr>
                  <w:r>
                    <w:rPr>
                      <w:rFonts w:hint="eastAsia"/>
                      <w:color w:val="auto"/>
                      <w:sz w:val="18"/>
                      <w:szCs w:val="18"/>
                    </w:rPr>
                    <w:t>宠物粪便</w:t>
                  </w:r>
                </w:p>
              </w:tc>
              <w:tc>
                <w:tcPr>
                  <w:tcW w:w="1047" w:type="pct"/>
                  <w:tcBorders>
                    <w:right w:val="single" w:color="auto" w:sz="4" w:space="0"/>
                  </w:tcBorders>
                  <w:vAlign w:val="center"/>
                </w:tcPr>
                <w:p>
                  <w:pPr>
                    <w:jc w:val="center"/>
                    <w:rPr>
                      <w:color w:val="auto"/>
                      <w:sz w:val="18"/>
                      <w:szCs w:val="18"/>
                    </w:rPr>
                  </w:pPr>
                  <w:r>
                    <w:rPr>
                      <w:rFonts w:hint="eastAsia"/>
                      <w:color w:val="auto"/>
                      <w:sz w:val="18"/>
                      <w:szCs w:val="18"/>
                    </w:rPr>
                    <w:t>宠物</w:t>
                  </w:r>
                  <w:r>
                    <w:rPr>
                      <w:color w:val="auto"/>
                      <w:sz w:val="18"/>
                      <w:szCs w:val="18"/>
                    </w:rPr>
                    <w:t>排泄物</w:t>
                  </w:r>
                </w:p>
              </w:tc>
              <w:tc>
                <w:tcPr>
                  <w:tcW w:w="2204" w:type="pct"/>
                  <w:vAlign w:val="center"/>
                </w:tcPr>
                <w:p>
                  <w:pPr>
                    <w:jc w:val="center"/>
                    <w:rPr>
                      <w:color w:val="auto"/>
                      <w:sz w:val="18"/>
                      <w:szCs w:val="18"/>
                    </w:rPr>
                  </w:pPr>
                  <w:r>
                    <w:rPr>
                      <w:rFonts w:hint="eastAsia"/>
                      <w:color w:val="auto"/>
                      <w:sz w:val="18"/>
                      <w:szCs w:val="18"/>
                    </w:rPr>
                    <w:t>用</w:t>
                  </w:r>
                  <w:r>
                    <w:rPr>
                      <w:color w:val="auto"/>
                      <w:sz w:val="18"/>
                      <w:szCs w:val="18"/>
                    </w:rPr>
                    <w:t>猫砂托盘收集，并经消石灰拌和后及时装入专用密封袋中密封，交由环卫部门清运。对留观期间的染疫或者疑似染疫宠物产生的动物粪便，严格按照医疗废物进行管理和处置</w:t>
                  </w:r>
                  <w:r>
                    <w:rPr>
                      <w:rFonts w:hint="eastAsia"/>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35" w:type="pct"/>
                  <w:vMerge w:val="continue"/>
                  <w:vAlign w:val="center"/>
                </w:tcPr>
                <w:p>
                  <w:pPr>
                    <w:jc w:val="center"/>
                    <w:rPr>
                      <w:color w:val="auto"/>
                      <w:sz w:val="18"/>
                      <w:szCs w:val="18"/>
                    </w:rPr>
                  </w:pPr>
                </w:p>
              </w:tc>
              <w:tc>
                <w:tcPr>
                  <w:tcW w:w="814" w:type="pct"/>
                  <w:vAlign w:val="center"/>
                </w:tcPr>
                <w:p>
                  <w:pPr>
                    <w:jc w:val="center"/>
                    <w:rPr>
                      <w:color w:val="auto"/>
                      <w:sz w:val="18"/>
                      <w:szCs w:val="18"/>
                    </w:rPr>
                  </w:pPr>
                  <w:r>
                    <w:rPr>
                      <w:rFonts w:hint="eastAsia"/>
                      <w:color w:val="auto"/>
                      <w:sz w:val="18"/>
                      <w:szCs w:val="18"/>
                    </w:rPr>
                    <w:t>医疗</w:t>
                  </w:r>
                  <w:r>
                    <w:rPr>
                      <w:color w:val="auto"/>
                      <w:sz w:val="18"/>
                      <w:szCs w:val="18"/>
                    </w:rPr>
                    <w:t>废物</w:t>
                  </w:r>
                </w:p>
              </w:tc>
              <w:tc>
                <w:tcPr>
                  <w:tcW w:w="1047" w:type="pct"/>
                  <w:tcBorders>
                    <w:right w:val="single" w:color="auto" w:sz="4" w:space="0"/>
                  </w:tcBorders>
                  <w:vAlign w:val="center"/>
                </w:tcPr>
                <w:p>
                  <w:pPr>
                    <w:jc w:val="center"/>
                    <w:rPr>
                      <w:color w:val="auto"/>
                      <w:sz w:val="18"/>
                      <w:szCs w:val="18"/>
                    </w:rPr>
                  </w:pPr>
                  <w:r>
                    <w:rPr>
                      <w:rFonts w:hint="eastAsia"/>
                      <w:color w:val="auto"/>
                      <w:sz w:val="18"/>
                      <w:szCs w:val="18"/>
                    </w:rPr>
                    <w:t>废针头</w:t>
                  </w:r>
                  <w:r>
                    <w:rPr>
                      <w:color w:val="auto"/>
                      <w:sz w:val="18"/>
                      <w:szCs w:val="18"/>
                    </w:rPr>
                    <w:t>、废针管、废</w:t>
                  </w:r>
                  <w:r>
                    <w:rPr>
                      <w:rFonts w:hint="eastAsia"/>
                      <w:color w:val="auto"/>
                      <w:sz w:val="18"/>
                      <w:szCs w:val="18"/>
                    </w:rPr>
                    <w:t>棉签</w:t>
                  </w:r>
                  <w:r>
                    <w:rPr>
                      <w:color w:val="auto"/>
                      <w:sz w:val="18"/>
                      <w:szCs w:val="18"/>
                    </w:rPr>
                    <w:t>等</w:t>
                  </w:r>
                </w:p>
              </w:tc>
              <w:tc>
                <w:tcPr>
                  <w:tcW w:w="2204" w:type="pct"/>
                  <w:vAlign w:val="center"/>
                </w:tcPr>
                <w:p>
                  <w:pPr>
                    <w:jc w:val="center"/>
                    <w:rPr>
                      <w:color w:val="auto"/>
                      <w:sz w:val="18"/>
                      <w:szCs w:val="18"/>
                    </w:rPr>
                  </w:pPr>
                  <w:r>
                    <w:rPr>
                      <w:color w:val="auto"/>
                      <w:sz w:val="18"/>
                      <w:szCs w:val="18"/>
                    </w:rPr>
                    <w:t>医疗废物先经消毒后，再放入带盖的医疗垃圾收集桶</w:t>
                  </w:r>
                  <w:r>
                    <w:rPr>
                      <w:rFonts w:hint="eastAsia"/>
                      <w:color w:val="auto"/>
                      <w:sz w:val="18"/>
                      <w:szCs w:val="18"/>
                    </w:rPr>
                    <w:t>，暂存于医废间内，定期</w:t>
                  </w:r>
                  <w:r>
                    <w:rPr>
                      <w:color w:val="auto"/>
                      <w:sz w:val="18"/>
                      <w:szCs w:val="18"/>
                    </w:rPr>
                    <w:t>委托</w:t>
                  </w:r>
                  <w:r>
                    <w:rPr>
                      <w:rFonts w:hint="eastAsia"/>
                      <w:color w:val="auto"/>
                      <w:sz w:val="18"/>
                      <w:szCs w:val="18"/>
                    </w:rPr>
                    <w:t>西</w:t>
                  </w:r>
                  <w:r>
                    <w:rPr>
                      <w:color w:val="auto"/>
                      <w:sz w:val="18"/>
                      <w:szCs w:val="18"/>
                    </w:rPr>
                    <w:t>安卫达实业发展有限公司进行处理。</w:t>
                  </w:r>
                </w:p>
              </w:tc>
            </w:tr>
          </w:tbl>
          <w:p>
            <w:pPr>
              <w:pStyle w:val="11"/>
              <w:spacing w:line="360" w:lineRule="auto"/>
              <w:ind w:firstLine="422" w:firstLineChars="200"/>
              <w:rPr>
                <w:rFonts w:ascii="Times New Roman" w:hAnsi="Times New Roman"/>
                <w:b/>
                <w:color w:val="auto"/>
                <w:szCs w:val="21"/>
              </w:rPr>
            </w:pPr>
            <w:r>
              <w:rPr>
                <w:rFonts w:hint="eastAsia" w:ascii="Times New Roman" w:hAnsi="Times New Roman"/>
                <w:b/>
                <w:color w:val="auto"/>
                <w:szCs w:val="21"/>
              </w:rPr>
              <w:t>3、</w:t>
            </w:r>
            <w:r>
              <w:rPr>
                <w:rFonts w:ascii="Times New Roman" w:hAnsi="Times New Roman"/>
                <w:b/>
                <w:color w:val="auto"/>
                <w:szCs w:val="21"/>
              </w:rPr>
              <w:t>与项目有关的主要环境问题</w:t>
            </w:r>
          </w:p>
          <w:p>
            <w:pPr>
              <w:pStyle w:val="11"/>
              <w:spacing w:line="360" w:lineRule="auto"/>
              <w:ind w:firstLine="420" w:firstLineChars="200"/>
              <w:rPr>
                <w:rFonts w:ascii="Times New Roman" w:hAnsi="Times New Roman"/>
                <w:color w:val="auto"/>
                <w:szCs w:val="21"/>
              </w:rPr>
            </w:pPr>
            <w:r>
              <w:rPr>
                <w:rFonts w:hint="eastAsia" w:ascii="Times New Roman" w:hAnsi="Times New Roman"/>
                <w:color w:val="auto"/>
                <w:szCs w:val="21"/>
              </w:rPr>
              <w:t>经</w:t>
            </w:r>
            <w:r>
              <w:rPr>
                <w:rFonts w:ascii="Times New Roman" w:hAnsi="Times New Roman"/>
                <w:color w:val="auto"/>
                <w:szCs w:val="21"/>
              </w:rPr>
              <w:t>与房东</w:t>
            </w:r>
            <w:r>
              <w:rPr>
                <w:rFonts w:hint="eastAsia" w:ascii="Times New Roman" w:hAnsi="Times New Roman"/>
                <w:color w:val="auto"/>
                <w:szCs w:val="21"/>
              </w:rPr>
              <w:t>（魏</w:t>
            </w:r>
            <w:r>
              <w:rPr>
                <w:rFonts w:ascii="Times New Roman" w:hAnsi="Times New Roman"/>
                <w:color w:val="auto"/>
                <w:szCs w:val="21"/>
              </w:rPr>
              <w:t>航</w:t>
            </w:r>
            <w:r>
              <w:rPr>
                <w:rFonts w:hint="eastAsia" w:ascii="Times New Roman" w:hAnsi="Times New Roman"/>
                <w:color w:val="auto"/>
                <w:szCs w:val="21"/>
              </w:rPr>
              <w:t>）</w:t>
            </w:r>
            <w:r>
              <w:rPr>
                <w:rFonts w:ascii="Times New Roman" w:hAnsi="Times New Roman"/>
                <w:color w:val="auto"/>
                <w:szCs w:val="21"/>
              </w:rPr>
              <w:t>沟通及</w:t>
            </w:r>
            <w:r>
              <w:rPr>
                <w:rFonts w:hint="eastAsia" w:ascii="Times New Roman" w:hAnsi="Times New Roman"/>
                <w:color w:val="auto"/>
                <w:szCs w:val="21"/>
              </w:rPr>
              <w:t>走访</w:t>
            </w:r>
            <w:r>
              <w:rPr>
                <w:rFonts w:ascii="Times New Roman" w:hAnsi="Times New Roman"/>
                <w:color w:val="auto"/>
                <w:szCs w:val="21"/>
              </w:rPr>
              <w:t>周边商铺得知，</w:t>
            </w:r>
            <w:r>
              <w:rPr>
                <w:rFonts w:hint="eastAsia" w:ascii="Times New Roman" w:hAnsi="Times New Roman"/>
                <w:color w:val="auto"/>
                <w:szCs w:val="21"/>
              </w:rPr>
              <w:t>西</w:t>
            </w:r>
            <w:r>
              <w:rPr>
                <w:rFonts w:ascii="Times New Roman" w:hAnsi="Times New Roman"/>
                <w:color w:val="auto"/>
                <w:szCs w:val="21"/>
              </w:rPr>
              <w:t>安瑞鹏宠物</w:t>
            </w:r>
            <w:r>
              <w:rPr>
                <w:rFonts w:hint="eastAsia" w:ascii="Times New Roman" w:hAnsi="Times New Roman"/>
                <w:color w:val="auto"/>
                <w:szCs w:val="21"/>
              </w:rPr>
              <w:t>有限</w:t>
            </w:r>
            <w:r>
              <w:rPr>
                <w:rFonts w:ascii="Times New Roman" w:hAnsi="Times New Roman"/>
                <w:color w:val="auto"/>
                <w:szCs w:val="21"/>
              </w:rPr>
              <w:t>公司太奥分公司</w:t>
            </w:r>
            <w:r>
              <w:rPr>
                <w:rFonts w:hint="eastAsia" w:ascii="Times New Roman" w:hAnsi="Times New Roman"/>
                <w:color w:val="auto"/>
                <w:szCs w:val="21"/>
              </w:rPr>
              <w:t>入驻前所</w:t>
            </w:r>
            <w:r>
              <w:rPr>
                <w:rFonts w:ascii="Times New Roman" w:hAnsi="Times New Roman"/>
                <w:color w:val="auto"/>
                <w:szCs w:val="21"/>
              </w:rPr>
              <w:t>租赁商铺为</w:t>
            </w:r>
            <w:r>
              <w:rPr>
                <w:rFonts w:hint="eastAsia" w:ascii="Times New Roman" w:hAnsi="Times New Roman"/>
                <w:color w:val="auto"/>
                <w:szCs w:val="21"/>
              </w:rPr>
              <w:t>空置</w:t>
            </w:r>
            <w:r>
              <w:rPr>
                <w:rFonts w:ascii="Times New Roman" w:hAnsi="Times New Roman"/>
                <w:color w:val="auto"/>
                <w:szCs w:val="21"/>
              </w:rPr>
              <w:t>，不存在原有污染及环境问题</w:t>
            </w:r>
            <w:r>
              <w:rPr>
                <w:rFonts w:hint="eastAsia" w:ascii="Times New Roman" w:hAnsi="Times New Roman"/>
                <w:color w:val="auto"/>
                <w:szCs w:val="21"/>
              </w:rPr>
              <w:t>。公司运营</w:t>
            </w:r>
            <w:r>
              <w:rPr>
                <w:rFonts w:ascii="Times New Roman" w:hAnsi="Times New Roman"/>
                <w:color w:val="auto"/>
                <w:szCs w:val="21"/>
              </w:rPr>
              <w:t>以来，未发生环保方面的投诉。</w:t>
            </w: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ind w:firstLine="420" w:firstLineChars="200"/>
              <w:rPr>
                <w:rFonts w:ascii="Times New Roman" w:hAnsi="Times New Roman"/>
                <w:color w:val="auto"/>
                <w:szCs w:val="21"/>
              </w:rPr>
            </w:pPr>
          </w:p>
          <w:p>
            <w:pPr>
              <w:pStyle w:val="11"/>
              <w:spacing w:line="360" w:lineRule="auto"/>
              <w:rPr>
                <w:rFonts w:ascii="Times New Roman" w:hAnsi="Times New Roman"/>
                <w:color w:val="auto"/>
                <w:szCs w:val="21"/>
              </w:rPr>
            </w:pPr>
          </w:p>
        </w:tc>
      </w:tr>
    </w:tbl>
    <w:p>
      <w:pPr>
        <w:rPr>
          <w:color w:val="auto"/>
        </w:rPr>
        <w:sectPr>
          <w:pgSz w:w="11906" w:h="16838"/>
          <w:pgMar w:top="1701" w:right="1531" w:bottom="1418" w:left="1531" w:header="1134" w:footer="1134" w:gutter="0"/>
          <w:cols w:space="720" w:num="1"/>
          <w:docGrid w:linePitch="312" w:charSpace="0"/>
        </w:sectPr>
      </w:pPr>
    </w:p>
    <w:p>
      <w:pPr>
        <w:pStyle w:val="18"/>
        <w:adjustRightInd w:val="0"/>
        <w:snapToGrid w:val="0"/>
        <w:spacing w:before="0" w:beforeAutospacing="0" w:after="0" w:afterAutospacing="0" w:line="14" w:lineRule="auto"/>
        <w:jc w:val="center"/>
        <w:outlineLvl w:val="0"/>
        <w:rPr>
          <w:rFonts w:ascii="黑体" w:hAnsi="黑体" w:eastAsia="黑体"/>
          <w:snapToGrid w:val="0"/>
          <w:color w:val="auto"/>
          <w:sz w:val="30"/>
          <w:szCs w:val="30"/>
        </w:rPr>
      </w:pPr>
    </w:p>
    <w:p>
      <w:pPr>
        <w:pStyle w:val="18"/>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三、区域环境质量现状、环境保护目标及评价标准</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84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80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8190" w:type="dxa"/>
            <w:vAlign w:val="center"/>
          </w:tcPr>
          <w:p>
            <w:pPr>
              <w:spacing w:line="360" w:lineRule="auto"/>
              <w:ind w:firstLine="422" w:firstLineChars="200"/>
              <w:rPr>
                <w:rFonts w:ascii="宋体" w:hAnsi="宋体" w:cs="宋体"/>
                <w:b/>
                <w:color w:val="auto"/>
              </w:rPr>
            </w:pPr>
            <w:r>
              <w:rPr>
                <w:rFonts w:hint="eastAsia" w:ascii="宋体" w:hAnsi="宋体" w:cs="宋体"/>
                <w:b/>
                <w:color w:val="auto"/>
              </w:rPr>
              <w:t>1、大气环境质量现状</w:t>
            </w:r>
          </w:p>
          <w:p>
            <w:pPr>
              <w:spacing w:line="360" w:lineRule="auto"/>
              <w:ind w:firstLine="420" w:firstLineChars="200"/>
              <w:rPr>
                <w:color w:val="auto"/>
                <w:szCs w:val="21"/>
              </w:rPr>
            </w:pPr>
            <w:r>
              <w:rPr>
                <w:color w:val="auto"/>
                <w:szCs w:val="21"/>
              </w:rPr>
              <w:t>本项目位于西安市</w:t>
            </w:r>
            <w:r>
              <w:rPr>
                <w:rFonts w:hint="eastAsia"/>
                <w:color w:val="auto"/>
                <w:szCs w:val="21"/>
              </w:rPr>
              <w:t>莲湖区</w:t>
            </w:r>
            <w:r>
              <w:rPr>
                <w:color w:val="auto"/>
                <w:szCs w:val="21"/>
              </w:rPr>
              <w:t>，据大气功能区划，本项目所在地为二类功能区，环境空气质量标准执行《环境空气质量标准》（GB3095-2012）二级标准要求。为了解</w:t>
            </w:r>
            <w:r>
              <w:rPr>
                <w:rFonts w:hint="eastAsia"/>
                <w:color w:val="auto"/>
                <w:szCs w:val="21"/>
              </w:rPr>
              <w:t>项目所在</w:t>
            </w:r>
            <w:r>
              <w:rPr>
                <w:color w:val="auto"/>
                <w:szCs w:val="21"/>
              </w:rPr>
              <w:t>区域的环境空气质量现状，常规污染物本次环评引用陕西省环境保护厅办公室2022年1月13日发布的《环保快报》</w:t>
            </w:r>
            <w:r>
              <w:rPr>
                <w:rFonts w:hint="eastAsia"/>
                <w:color w:val="auto"/>
                <w:szCs w:val="21"/>
              </w:rPr>
              <w:t>，</w:t>
            </w:r>
            <w:r>
              <w:rPr>
                <w:color w:val="auto"/>
                <w:szCs w:val="21"/>
              </w:rPr>
              <w:t>统计结果见表3-1。</w:t>
            </w:r>
          </w:p>
          <w:p>
            <w:pPr>
              <w:jc w:val="center"/>
              <w:rPr>
                <w:b/>
                <w:bCs/>
                <w:color w:val="auto"/>
                <w:szCs w:val="21"/>
              </w:rPr>
            </w:pPr>
            <w:r>
              <w:rPr>
                <w:b/>
                <w:bCs/>
                <w:color w:val="auto"/>
                <w:szCs w:val="21"/>
              </w:rPr>
              <w:t>表3-1    西安市</w:t>
            </w:r>
            <w:r>
              <w:rPr>
                <w:rFonts w:hint="eastAsia"/>
                <w:b/>
                <w:bCs/>
                <w:color w:val="auto"/>
                <w:szCs w:val="21"/>
              </w:rPr>
              <w:t>莲湖区</w:t>
            </w:r>
            <w:r>
              <w:rPr>
                <w:b/>
                <w:bCs/>
                <w:color w:val="auto"/>
                <w:szCs w:val="21"/>
              </w:rPr>
              <w:t>20</w:t>
            </w:r>
            <w:r>
              <w:rPr>
                <w:rFonts w:hint="eastAsia"/>
                <w:b/>
                <w:bCs/>
                <w:color w:val="auto"/>
                <w:szCs w:val="21"/>
              </w:rPr>
              <w:t>2</w:t>
            </w:r>
            <w:r>
              <w:rPr>
                <w:b/>
                <w:bCs/>
                <w:color w:val="auto"/>
                <w:szCs w:val="21"/>
              </w:rPr>
              <w:t>1年1-12月环境质量状况数据统计结果表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82"/>
              <w:gridCol w:w="2698"/>
              <w:gridCol w:w="1173"/>
              <w:gridCol w:w="1473"/>
              <w:gridCol w:w="1077"/>
              <w:gridCol w:w="9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bCs/>
                      <w:color w:val="auto"/>
                      <w:sz w:val="18"/>
                      <w:szCs w:val="18"/>
                    </w:rPr>
                  </w:pPr>
                  <w:r>
                    <w:rPr>
                      <w:bCs/>
                      <w:color w:val="auto"/>
                      <w:sz w:val="18"/>
                      <w:szCs w:val="18"/>
                    </w:rPr>
                    <w:t>污染物</w:t>
                  </w:r>
                </w:p>
              </w:tc>
              <w:tc>
                <w:tcPr>
                  <w:tcW w:w="1649" w:type="pct"/>
                  <w:vAlign w:val="center"/>
                </w:tcPr>
                <w:p>
                  <w:pPr>
                    <w:jc w:val="center"/>
                    <w:rPr>
                      <w:bCs/>
                      <w:color w:val="auto"/>
                      <w:sz w:val="18"/>
                      <w:szCs w:val="18"/>
                    </w:rPr>
                  </w:pPr>
                  <w:r>
                    <w:rPr>
                      <w:bCs/>
                      <w:color w:val="auto"/>
                      <w:sz w:val="18"/>
                      <w:szCs w:val="18"/>
                    </w:rPr>
                    <w:t>年评价指标</w:t>
                  </w:r>
                </w:p>
              </w:tc>
              <w:tc>
                <w:tcPr>
                  <w:tcW w:w="717" w:type="pct"/>
                  <w:vAlign w:val="center"/>
                </w:tcPr>
                <w:p>
                  <w:pPr>
                    <w:jc w:val="center"/>
                    <w:rPr>
                      <w:bCs/>
                      <w:color w:val="auto"/>
                      <w:sz w:val="18"/>
                      <w:szCs w:val="18"/>
                    </w:rPr>
                  </w:pPr>
                  <w:r>
                    <w:rPr>
                      <w:bCs/>
                      <w:color w:val="auto"/>
                      <w:sz w:val="18"/>
                      <w:szCs w:val="18"/>
                    </w:rPr>
                    <w:t>现状浓度µg/m</w:t>
                  </w:r>
                  <w:r>
                    <w:rPr>
                      <w:bCs/>
                      <w:color w:val="auto"/>
                      <w:sz w:val="18"/>
                      <w:szCs w:val="18"/>
                      <w:vertAlign w:val="superscript"/>
                    </w:rPr>
                    <w:t>3</w:t>
                  </w:r>
                </w:p>
              </w:tc>
              <w:tc>
                <w:tcPr>
                  <w:tcW w:w="900" w:type="pct"/>
                  <w:vAlign w:val="center"/>
                </w:tcPr>
                <w:p>
                  <w:pPr>
                    <w:jc w:val="center"/>
                    <w:rPr>
                      <w:bCs/>
                      <w:color w:val="auto"/>
                      <w:sz w:val="18"/>
                      <w:szCs w:val="18"/>
                    </w:rPr>
                  </w:pPr>
                  <w:r>
                    <w:rPr>
                      <w:bCs/>
                      <w:color w:val="auto"/>
                      <w:sz w:val="18"/>
                      <w:szCs w:val="18"/>
                    </w:rPr>
                    <w:t>标准值</w:t>
                  </w:r>
                </w:p>
                <w:p>
                  <w:pPr>
                    <w:jc w:val="center"/>
                    <w:rPr>
                      <w:bCs/>
                      <w:color w:val="auto"/>
                      <w:sz w:val="18"/>
                      <w:szCs w:val="18"/>
                    </w:rPr>
                  </w:pPr>
                  <w:r>
                    <w:rPr>
                      <w:bCs/>
                      <w:color w:val="auto"/>
                      <w:sz w:val="18"/>
                      <w:szCs w:val="18"/>
                    </w:rPr>
                    <w:t>µg/m</w:t>
                  </w:r>
                  <w:r>
                    <w:rPr>
                      <w:bCs/>
                      <w:color w:val="auto"/>
                      <w:sz w:val="18"/>
                      <w:szCs w:val="18"/>
                      <w:vertAlign w:val="superscript"/>
                    </w:rPr>
                    <w:t>3</w:t>
                  </w:r>
                </w:p>
              </w:tc>
              <w:tc>
                <w:tcPr>
                  <w:tcW w:w="658" w:type="pct"/>
                  <w:vAlign w:val="center"/>
                </w:tcPr>
                <w:p>
                  <w:pPr>
                    <w:jc w:val="center"/>
                    <w:rPr>
                      <w:bCs/>
                      <w:color w:val="auto"/>
                      <w:sz w:val="18"/>
                      <w:szCs w:val="18"/>
                    </w:rPr>
                  </w:pPr>
                  <w:r>
                    <w:rPr>
                      <w:bCs/>
                      <w:color w:val="auto"/>
                      <w:sz w:val="18"/>
                      <w:szCs w:val="18"/>
                    </w:rPr>
                    <w:t>占标率%</w:t>
                  </w:r>
                </w:p>
              </w:tc>
              <w:tc>
                <w:tcPr>
                  <w:tcW w:w="597" w:type="pct"/>
                  <w:vAlign w:val="center"/>
                </w:tcPr>
                <w:p>
                  <w:pPr>
                    <w:jc w:val="center"/>
                    <w:rPr>
                      <w:bCs/>
                      <w:color w:val="auto"/>
                      <w:sz w:val="18"/>
                      <w:szCs w:val="18"/>
                    </w:rPr>
                  </w:pPr>
                  <w:r>
                    <w:rPr>
                      <w:bCs/>
                      <w:color w:val="auto"/>
                      <w:sz w:val="18"/>
                      <w:szCs w:val="18"/>
                    </w:rPr>
                    <w:t>达标</w:t>
                  </w:r>
                </w:p>
                <w:p>
                  <w:pPr>
                    <w:jc w:val="center"/>
                    <w:rPr>
                      <w:bCs/>
                      <w:color w:val="auto"/>
                      <w:sz w:val="18"/>
                      <w:szCs w:val="18"/>
                    </w:rPr>
                  </w:pPr>
                  <w:r>
                    <w:rPr>
                      <w:bCs/>
                      <w:color w:val="auto"/>
                      <w:sz w:val="18"/>
                      <w:szCs w:val="18"/>
                    </w:rPr>
                    <w:t>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color w:val="auto"/>
                      <w:sz w:val="18"/>
                      <w:szCs w:val="18"/>
                    </w:rPr>
                  </w:pPr>
                  <w:r>
                    <w:rPr>
                      <w:color w:val="auto"/>
                      <w:sz w:val="18"/>
                      <w:szCs w:val="18"/>
                    </w:rPr>
                    <w:t>PM</w:t>
                  </w:r>
                  <w:r>
                    <w:rPr>
                      <w:color w:val="auto"/>
                      <w:sz w:val="18"/>
                      <w:szCs w:val="18"/>
                      <w:vertAlign w:val="subscript"/>
                    </w:rPr>
                    <w:t>10</w:t>
                  </w:r>
                </w:p>
              </w:tc>
              <w:tc>
                <w:tcPr>
                  <w:tcW w:w="1649" w:type="pct"/>
                  <w:vAlign w:val="center"/>
                </w:tcPr>
                <w:p>
                  <w:pPr>
                    <w:jc w:val="center"/>
                    <w:rPr>
                      <w:color w:val="auto"/>
                      <w:sz w:val="18"/>
                      <w:szCs w:val="18"/>
                    </w:rPr>
                  </w:pPr>
                  <w:r>
                    <w:rPr>
                      <w:color w:val="auto"/>
                      <w:sz w:val="18"/>
                      <w:szCs w:val="18"/>
                    </w:rPr>
                    <w:t>年平均质量浓度</w:t>
                  </w:r>
                </w:p>
              </w:tc>
              <w:tc>
                <w:tcPr>
                  <w:tcW w:w="717" w:type="pct"/>
                  <w:vAlign w:val="center"/>
                </w:tcPr>
                <w:p>
                  <w:pPr>
                    <w:jc w:val="center"/>
                    <w:rPr>
                      <w:color w:val="auto"/>
                      <w:sz w:val="18"/>
                      <w:szCs w:val="18"/>
                    </w:rPr>
                  </w:pPr>
                  <w:r>
                    <w:rPr>
                      <w:color w:val="auto"/>
                      <w:sz w:val="18"/>
                      <w:szCs w:val="18"/>
                    </w:rPr>
                    <w:t>82</w:t>
                  </w:r>
                </w:p>
              </w:tc>
              <w:tc>
                <w:tcPr>
                  <w:tcW w:w="900" w:type="pct"/>
                  <w:vAlign w:val="center"/>
                </w:tcPr>
                <w:p>
                  <w:pPr>
                    <w:jc w:val="center"/>
                    <w:rPr>
                      <w:color w:val="auto"/>
                      <w:sz w:val="18"/>
                      <w:szCs w:val="18"/>
                    </w:rPr>
                  </w:pPr>
                  <w:r>
                    <w:rPr>
                      <w:color w:val="auto"/>
                      <w:sz w:val="18"/>
                      <w:szCs w:val="18"/>
                    </w:rPr>
                    <w:t>70</w:t>
                  </w:r>
                </w:p>
              </w:tc>
              <w:tc>
                <w:tcPr>
                  <w:tcW w:w="658" w:type="pct"/>
                  <w:vAlign w:val="center"/>
                </w:tcPr>
                <w:p>
                  <w:pPr>
                    <w:jc w:val="center"/>
                    <w:rPr>
                      <w:color w:val="auto"/>
                      <w:sz w:val="18"/>
                      <w:szCs w:val="18"/>
                    </w:rPr>
                  </w:pPr>
                  <w:r>
                    <w:rPr>
                      <w:color w:val="auto"/>
                      <w:sz w:val="18"/>
                      <w:szCs w:val="18"/>
                    </w:rPr>
                    <w:t>117.14</w:t>
                  </w:r>
                </w:p>
              </w:tc>
              <w:tc>
                <w:tcPr>
                  <w:tcW w:w="597" w:type="pct"/>
                  <w:vAlign w:val="center"/>
                </w:tcPr>
                <w:p>
                  <w:pPr>
                    <w:jc w:val="center"/>
                    <w:rPr>
                      <w:color w:val="auto"/>
                      <w:sz w:val="18"/>
                      <w:szCs w:val="18"/>
                    </w:rPr>
                  </w:pPr>
                  <w:r>
                    <w:rPr>
                      <w:color w:val="auto"/>
                      <w:sz w:val="18"/>
                      <w:szCs w:val="18"/>
                    </w:rPr>
                    <w:t>不达标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color w:val="auto"/>
                      <w:sz w:val="18"/>
                      <w:szCs w:val="18"/>
                    </w:rPr>
                  </w:pPr>
                  <w:r>
                    <w:rPr>
                      <w:color w:val="auto"/>
                      <w:sz w:val="18"/>
                      <w:szCs w:val="18"/>
                    </w:rPr>
                    <w:t>PM</w:t>
                  </w:r>
                  <w:r>
                    <w:rPr>
                      <w:color w:val="auto"/>
                      <w:sz w:val="18"/>
                      <w:szCs w:val="18"/>
                      <w:vertAlign w:val="subscript"/>
                    </w:rPr>
                    <w:t>2.5</w:t>
                  </w:r>
                </w:p>
              </w:tc>
              <w:tc>
                <w:tcPr>
                  <w:tcW w:w="1649" w:type="pct"/>
                  <w:vAlign w:val="center"/>
                </w:tcPr>
                <w:p>
                  <w:pPr>
                    <w:jc w:val="center"/>
                    <w:rPr>
                      <w:color w:val="auto"/>
                      <w:sz w:val="18"/>
                      <w:szCs w:val="18"/>
                    </w:rPr>
                  </w:pPr>
                  <w:r>
                    <w:rPr>
                      <w:color w:val="auto"/>
                      <w:sz w:val="18"/>
                      <w:szCs w:val="18"/>
                    </w:rPr>
                    <w:t>年平均质量浓度</w:t>
                  </w:r>
                </w:p>
              </w:tc>
              <w:tc>
                <w:tcPr>
                  <w:tcW w:w="717" w:type="pct"/>
                  <w:vAlign w:val="center"/>
                </w:tcPr>
                <w:p>
                  <w:pPr>
                    <w:jc w:val="center"/>
                    <w:rPr>
                      <w:color w:val="auto"/>
                      <w:sz w:val="18"/>
                      <w:szCs w:val="18"/>
                    </w:rPr>
                  </w:pPr>
                  <w:r>
                    <w:rPr>
                      <w:color w:val="auto"/>
                      <w:sz w:val="18"/>
                      <w:szCs w:val="18"/>
                    </w:rPr>
                    <w:t>41</w:t>
                  </w:r>
                </w:p>
              </w:tc>
              <w:tc>
                <w:tcPr>
                  <w:tcW w:w="900" w:type="pct"/>
                  <w:vAlign w:val="center"/>
                </w:tcPr>
                <w:p>
                  <w:pPr>
                    <w:jc w:val="center"/>
                    <w:rPr>
                      <w:color w:val="auto"/>
                      <w:sz w:val="18"/>
                      <w:szCs w:val="18"/>
                    </w:rPr>
                  </w:pPr>
                  <w:r>
                    <w:rPr>
                      <w:color w:val="auto"/>
                      <w:sz w:val="18"/>
                      <w:szCs w:val="18"/>
                    </w:rPr>
                    <w:t>35</w:t>
                  </w:r>
                </w:p>
              </w:tc>
              <w:tc>
                <w:tcPr>
                  <w:tcW w:w="658" w:type="pct"/>
                  <w:vAlign w:val="center"/>
                </w:tcPr>
                <w:p>
                  <w:pPr>
                    <w:jc w:val="center"/>
                    <w:rPr>
                      <w:color w:val="auto"/>
                      <w:sz w:val="18"/>
                      <w:szCs w:val="18"/>
                    </w:rPr>
                  </w:pPr>
                  <w:r>
                    <w:rPr>
                      <w:rFonts w:hint="eastAsia"/>
                      <w:color w:val="auto"/>
                      <w:sz w:val="18"/>
                      <w:szCs w:val="18"/>
                    </w:rPr>
                    <w:t>117.14</w:t>
                  </w:r>
                </w:p>
              </w:tc>
              <w:tc>
                <w:tcPr>
                  <w:tcW w:w="597" w:type="pct"/>
                  <w:vAlign w:val="center"/>
                </w:tcPr>
                <w:p>
                  <w:pPr>
                    <w:jc w:val="center"/>
                    <w:rPr>
                      <w:color w:val="auto"/>
                      <w:sz w:val="18"/>
                      <w:szCs w:val="18"/>
                    </w:rPr>
                  </w:pPr>
                  <w:r>
                    <w:rPr>
                      <w:color w:val="auto"/>
                      <w:sz w:val="18"/>
                      <w:szCs w:val="18"/>
                    </w:rPr>
                    <w:t>不达标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color w:val="auto"/>
                      <w:sz w:val="18"/>
                      <w:szCs w:val="18"/>
                    </w:rPr>
                  </w:pPr>
                  <w:r>
                    <w:rPr>
                      <w:color w:val="auto"/>
                      <w:sz w:val="18"/>
                      <w:szCs w:val="18"/>
                    </w:rPr>
                    <w:t>SO</w:t>
                  </w:r>
                  <w:r>
                    <w:rPr>
                      <w:color w:val="auto"/>
                      <w:sz w:val="18"/>
                      <w:szCs w:val="18"/>
                      <w:vertAlign w:val="subscript"/>
                    </w:rPr>
                    <w:t>2</w:t>
                  </w:r>
                </w:p>
              </w:tc>
              <w:tc>
                <w:tcPr>
                  <w:tcW w:w="1649" w:type="pct"/>
                  <w:vAlign w:val="center"/>
                </w:tcPr>
                <w:p>
                  <w:pPr>
                    <w:jc w:val="center"/>
                    <w:rPr>
                      <w:color w:val="auto"/>
                      <w:sz w:val="18"/>
                      <w:szCs w:val="18"/>
                    </w:rPr>
                  </w:pPr>
                  <w:r>
                    <w:rPr>
                      <w:color w:val="auto"/>
                      <w:sz w:val="18"/>
                      <w:szCs w:val="18"/>
                    </w:rPr>
                    <w:t>年平均质量浓度</w:t>
                  </w:r>
                </w:p>
              </w:tc>
              <w:tc>
                <w:tcPr>
                  <w:tcW w:w="717" w:type="pct"/>
                  <w:vAlign w:val="center"/>
                </w:tcPr>
                <w:p>
                  <w:pPr>
                    <w:jc w:val="center"/>
                    <w:rPr>
                      <w:color w:val="auto"/>
                      <w:sz w:val="18"/>
                      <w:szCs w:val="18"/>
                    </w:rPr>
                  </w:pPr>
                  <w:r>
                    <w:rPr>
                      <w:color w:val="auto"/>
                      <w:sz w:val="18"/>
                      <w:szCs w:val="18"/>
                    </w:rPr>
                    <w:t>9</w:t>
                  </w:r>
                </w:p>
              </w:tc>
              <w:tc>
                <w:tcPr>
                  <w:tcW w:w="900" w:type="pct"/>
                  <w:vAlign w:val="center"/>
                </w:tcPr>
                <w:p>
                  <w:pPr>
                    <w:jc w:val="center"/>
                    <w:rPr>
                      <w:color w:val="auto"/>
                      <w:sz w:val="18"/>
                      <w:szCs w:val="18"/>
                    </w:rPr>
                  </w:pPr>
                  <w:r>
                    <w:rPr>
                      <w:color w:val="auto"/>
                      <w:sz w:val="18"/>
                      <w:szCs w:val="18"/>
                    </w:rPr>
                    <w:t>60</w:t>
                  </w:r>
                </w:p>
              </w:tc>
              <w:tc>
                <w:tcPr>
                  <w:tcW w:w="658" w:type="pct"/>
                  <w:vAlign w:val="center"/>
                </w:tcPr>
                <w:p>
                  <w:pPr>
                    <w:jc w:val="center"/>
                    <w:rPr>
                      <w:color w:val="auto"/>
                      <w:sz w:val="18"/>
                      <w:szCs w:val="18"/>
                    </w:rPr>
                  </w:pPr>
                  <w:r>
                    <w:rPr>
                      <w:rFonts w:hint="eastAsia"/>
                      <w:color w:val="auto"/>
                      <w:sz w:val="18"/>
                      <w:szCs w:val="18"/>
                    </w:rPr>
                    <w:t>15.00</w:t>
                  </w:r>
                </w:p>
              </w:tc>
              <w:tc>
                <w:tcPr>
                  <w:tcW w:w="597" w:type="pct"/>
                  <w:vAlign w:val="center"/>
                </w:tcPr>
                <w:p>
                  <w:pPr>
                    <w:jc w:val="center"/>
                    <w:rPr>
                      <w:color w:val="auto"/>
                      <w:sz w:val="18"/>
                      <w:szCs w:val="18"/>
                    </w:rPr>
                  </w:pPr>
                  <w:r>
                    <w:rPr>
                      <w:color w:val="auto"/>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color w:val="auto"/>
                      <w:sz w:val="18"/>
                      <w:szCs w:val="18"/>
                    </w:rPr>
                  </w:pPr>
                  <w:r>
                    <w:rPr>
                      <w:color w:val="auto"/>
                      <w:sz w:val="18"/>
                      <w:szCs w:val="18"/>
                    </w:rPr>
                    <w:t>NO</w:t>
                  </w:r>
                  <w:r>
                    <w:rPr>
                      <w:color w:val="auto"/>
                      <w:sz w:val="18"/>
                      <w:szCs w:val="18"/>
                      <w:vertAlign w:val="subscript"/>
                    </w:rPr>
                    <w:t>2</w:t>
                  </w:r>
                </w:p>
              </w:tc>
              <w:tc>
                <w:tcPr>
                  <w:tcW w:w="1649" w:type="pct"/>
                  <w:vAlign w:val="center"/>
                </w:tcPr>
                <w:p>
                  <w:pPr>
                    <w:jc w:val="center"/>
                    <w:rPr>
                      <w:color w:val="auto"/>
                      <w:sz w:val="18"/>
                      <w:szCs w:val="18"/>
                    </w:rPr>
                  </w:pPr>
                  <w:r>
                    <w:rPr>
                      <w:color w:val="auto"/>
                      <w:sz w:val="18"/>
                      <w:szCs w:val="18"/>
                    </w:rPr>
                    <w:t>年平均质量浓度</w:t>
                  </w:r>
                </w:p>
              </w:tc>
              <w:tc>
                <w:tcPr>
                  <w:tcW w:w="717" w:type="pct"/>
                  <w:vAlign w:val="center"/>
                </w:tcPr>
                <w:p>
                  <w:pPr>
                    <w:jc w:val="center"/>
                    <w:rPr>
                      <w:color w:val="auto"/>
                      <w:sz w:val="18"/>
                      <w:szCs w:val="18"/>
                    </w:rPr>
                  </w:pPr>
                  <w:r>
                    <w:rPr>
                      <w:color w:val="auto"/>
                      <w:sz w:val="18"/>
                      <w:szCs w:val="18"/>
                    </w:rPr>
                    <w:t>43</w:t>
                  </w:r>
                </w:p>
              </w:tc>
              <w:tc>
                <w:tcPr>
                  <w:tcW w:w="900" w:type="pct"/>
                  <w:vAlign w:val="center"/>
                </w:tcPr>
                <w:p>
                  <w:pPr>
                    <w:jc w:val="center"/>
                    <w:rPr>
                      <w:color w:val="auto"/>
                      <w:sz w:val="18"/>
                      <w:szCs w:val="18"/>
                    </w:rPr>
                  </w:pPr>
                  <w:r>
                    <w:rPr>
                      <w:rFonts w:hint="eastAsia"/>
                      <w:color w:val="auto"/>
                      <w:sz w:val="18"/>
                      <w:szCs w:val="18"/>
                    </w:rPr>
                    <w:t>40</w:t>
                  </w:r>
                </w:p>
              </w:tc>
              <w:tc>
                <w:tcPr>
                  <w:tcW w:w="658" w:type="pct"/>
                  <w:vAlign w:val="center"/>
                </w:tcPr>
                <w:p>
                  <w:pPr>
                    <w:jc w:val="center"/>
                    <w:rPr>
                      <w:color w:val="auto"/>
                      <w:sz w:val="18"/>
                      <w:szCs w:val="18"/>
                    </w:rPr>
                  </w:pPr>
                  <w:r>
                    <w:rPr>
                      <w:rFonts w:hint="eastAsia"/>
                      <w:color w:val="auto"/>
                      <w:sz w:val="18"/>
                      <w:szCs w:val="18"/>
                    </w:rPr>
                    <w:t>107.50</w:t>
                  </w:r>
                </w:p>
              </w:tc>
              <w:tc>
                <w:tcPr>
                  <w:tcW w:w="597" w:type="pct"/>
                  <w:vAlign w:val="center"/>
                </w:tcPr>
                <w:p>
                  <w:pPr>
                    <w:jc w:val="center"/>
                    <w:rPr>
                      <w:color w:val="auto"/>
                      <w:sz w:val="18"/>
                      <w:szCs w:val="18"/>
                    </w:rPr>
                  </w:pPr>
                  <w:r>
                    <w:rPr>
                      <w:rFonts w:hint="eastAsia"/>
                      <w:color w:val="auto"/>
                      <w:sz w:val="18"/>
                      <w:szCs w:val="18"/>
                    </w:rPr>
                    <w:t>不</w:t>
                  </w:r>
                  <w:r>
                    <w:rPr>
                      <w:color w:val="auto"/>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color w:val="auto"/>
                      <w:sz w:val="18"/>
                      <w:szCs w:val="18"/>
                    </w:rPr>
                  </w:pPr>
                  <w:r>
                    <w:rPr>
                      <w:color w:val="auto"/>
                      <w:sz w:val="18"/>
                      <w:szCs w:val="18"/>
                    </w:rPr>
                    <w:t>CO</w:t>
                  </w:r>
                </w:p>
              </w:tc>
              <w:tc>
                <w:tcPr>
                  <w:tcW w:w="1649" w:type="pct"/>
                  <w:vAlign w:val="center"/>
                </w:tcPr>
                <w:p>
                  <w:pPr>
                    <w:jc w:val="center"/>
                    <w:rPr>
                      <w:color w:val="auto"/>
                      <w:sz w:val="18"/>
                      <w:szCs w:val="18"/>
                    </w:rPr>
                  </w:pPr>
                  <w:r>
                    <w:rPr>
                      <w:color w:val="auto"/>
                      <w:sz w:val="18"/>
                      <w:szCs w:val="18"/>
                    </w:rPr>
                    <w:t>95%顺位24小时平均浓度</w:t>
                  </w:r>
                </w:p>
              </w:tc>
              <w:tc>
                <w:tcPr>
                  <w:tcW w:w="717" w:type="pct"/>
                  <w:vAlign w:val="center"/>
                </w:tcPr>
                <w:p>
                  <w:pPr>
                    <w:jc w:val="center"/>
                    <w:rPr>
                      <w:color w:val="auto"/>
                      <w:sz w:val="18"/>
                      <w:szCs w:val="18"/>
                    </w:rPr>
                  </w:pPr>
                  <w:r>
                    <w:rPr>
                      <w:color w:val="auto"/>
                      <w:sz w:val="18"/>
                      <w:szCs w:val="18"/>
                    </w:rPr>
                    <w:t>1600</w:t>
                  </w:r>
                </w:p>
              </w:tc>
              <w:tc>
                <w:tcPr>
                  <w:tcW w:w="900" w:type="pct"/>
                  <w:vAlign w:val="center"/>
                </w:tcPr>
                <w:p>
                  <w:pPr>
                    <w:jc w:val="center"/>
                    <w:rPr>
                      <w:color w:val="auto"/>
                      <w:sz w:val="18"/>
                      <w:szCs w:val="18"/>
                    </w:rPr>
                  </w:pPr>
                  <w:r>
                    <w:rPr>
                      <w:color w:val="auto"/>
                      <w:sz w:val="18"/>
                      <w:szCs w:val="18"/>
                    </w:rPr>
                    <w:t>4000</w:t>
                  </w:r>
                </w:p>
              </w:tc>
              <w:tc>
                <w:tcPr>
                  <w:tcW w:w="658" w:type="pct"/>
                  <w:vAlign w:val="center"/>
                </w:tcPr>
                <w:p>
                  <w:pPr>
                    <w:jc w:val="center"/>
                    <w:rPr>
                      <w:color w:val="auto"/>
                      <w:sz w:val="18"/>
                      <w:szCs w:val="18"/>
                    </w:rPr>
                  </w:pPr>
                  <w:r>
                    <w:rPr>
                      <w:rFonts w:hint="eastAsia"/>
                      <w:color w:val="auto"/>
                      <w:sz w:val="18"/>
                      <w:szCs w:val="18"/>
                    </w:rPr>
                    <w:t>40.00</w:t>
                  </w:r>
                </w:p>
              </w:tc>
              <w:tc>
                <w:tcPr>
                  <w:tcW w:w="597" w:type="pct"/>
                  <w:vAlign w:val="center"/>
                </w:tcPr>
                <w:p>
                  <w:pPr>
                    <w:jc w:val="center"/>
                    <w:rPr>
                      <w:color w:val="auto"/>
                      <w:sz w:val="18"/>
                      <w:szCs w:val="18"/>
                    </w:rPr>
                  </w:pPr>
                  <w:r>
                    <w:rPr>
                      <w:color w:val="auto"/>
                      <w:sz w:val="18"/>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78" w:type="pct"/>
                  <w:vAlign w:val="center"/>
                </w:tcPr>
                <w:p>
                  <w:pPr>
                    <w:jc w:val="center"/>
                    <w:rPr>
                      <w:color w:val="auto"/>
                      <w:sz w:val="18"/>
                      <w:szCs w:val="18"/>
                    </w:rPr>
                  </w:pPr>
                  <w:r>
                    <w:rPr>
                      <w:color w:val="auto"/>
                      <w:sz w:val="18"/>
                      <w:szCs w:val="18"/>
                    </w:rPr>
                    <w:t>O</w:t>
                  </w:r>
                  <w:r>
                    <w:rPr>
                      <w:color w:val="auto"/>
                      <w:sz w:val="18"/>
                      <w:szCs w:val="18"/>
                      <w:vertAlign w:val="subscript"/>
                    </w:rPr>
                    <w:t>3</w:t>
                  </w:r>
                </w:p>
              </w:tc>
              <w:tc>
                <w:tcPr>
                  <w:tcW w:w="1649" w:type="pct"/>
                  <w:vAlign w:val="center"/>
                </w:tcPr>
                <w:p>
                  <w:pPr>
                    <w:jc w:val="center"/>
                    <w:rPr>
                      <w:color w:val="auto"/>
                      <w:sz w:val="18"/>
                      <w:szCs w:val="18"/>
                    </w:rPr>
                  </w:pPr>
                  <w:r>
                    <w:rPr>
                      <w:color w:val="auto"/>
                      <w:sz w:val="18"/>
                      <w:szCs w:val="18"/>
                    </w:rPr>
                    <w:t>90%顺位8小时平均浓度</w:t>
                  </w:r>
                </w:p>
              </w:tc>
              <w:tc>
                <w:tcPr>
                  <w:tcW w:w="717" w:type="pct"/>
                  <w:vAlign w:val="center"/>
                </w:tcPr>
                <w:p>
                  <w:pPr>
                    <w:jc w:val="center"/>
                    <w:rPr>
                      <w:color w:val="auto"/>
                      <w:sz w:val="18"/>
                      <w:szCs w:val="18"/>
                    </w:rPr>
                  </w:pPr>
                  <w:r>
                    <w:rPr>
                      <w:color w:val="auto"/>
                      <w:sz w:val="18"/>
                      <w:szCs w:val="18"/>
                    </w:rPr>
                    <w:t>159</w:t>
                  </w:r>
                </w:p>
              </w:tc>
              <w:tc>
                <w:tcPr>
                  <w:tcW w:w="900" w:type="pct"/>
                  <w:vAlign w:val="center"/>
                </w:tcPr>
                <w:p>
                  <w:pPr>
                    <w:jc w:val="center"/>
                    <w:rPr>
                      <w:color w:val="auto"/>
                      <w:sz w:val="18"/>
                      <w:szCs w:val="18"/>
                    </w:rPr>
                  </w:pPr>
                  <w:r>
                    <w:rPr>
                      <w:color w:val="auto"/>
                      <w:sz w:val="18"/>
                      <w:szCs w:val="18"/>
                    </w:rPr>
                    <w:t>160</w:t>
                  </w:r>
                </w:p>
              </w:tc>
              <w:tc>
                <w:tcPr>
                  <w:tcW w:w="658" w:type="pct"/>
                  <w:vAlign w:val="center"/>
                </w:tcPr>
                <w:p>
                  <w:pPr>
                    <w:jc w:val="center"/>
                    <w:rPr>
                      <w:color w:val="auto"/>
                      <w:sz w:val="18"/>
                      <w:szCs w:val="18"/>
                    </w:rPr>
                  </w:pPr>
                  <w:r>
                    <w:rPr>
                      <w:rFonts w:hint="eastAsia"/>
                      <w:color w:val="auto"/>
                      <w:sz w:val="18"/>
                      <w:szCs w:val="18"/>
                    </w:rPr>
                    <w:t>99.38</w:t>
                  </w:r>
                </w:p>
              </w:tc>
              <w:tc>
                <w:tcPr>
                  <w:tcW w:w="597" w:type="pct"/>
                  <w:vAlign w:val="center"/>
                </w:tcPr>
                <w:p>
                  <w:pPr>
                    <w:jc w:val="center"/>
                    <w:rPr>
                      <w:color w:val="auto"/>
                      <w:sz w:val="18"/>
                      <w:szCs w:val="18"/>
                    </w:rPr>
                  </w:pPr>
                  <w:r>
                    <w:rPr>
                      <w:color w:val="auto"/>
                      <w:sz w:val="18"/>
                      <w:szCs w:val="18"/>
                    </w:rPr>
                    <w:t>达标</w:t>
                  </w:r>
                </w:p>
              </w:tc>
            </w:tr>
          </w:tbl>
          <w:p>
            <w:pPr>
              <w:snapToGrid w:val="0"/>
              <w:spacing w:line="360" w:lineRule="auto"/>
              <w:ind w:firstLine="420" w:firstLineChars="200"/>
              <w:rPr>
                <w:color w:val="auto"/>
                <w:szCs w:val="21"/>
              </w:rPr>
            </w:pPr>
            <w:r>
              <w:rPr>
                <w:color w:val="auto"/>
                <w:szCs w:val="21"/>
              </w:rPr>
              <w:t>根据统计结果可以看出，项目所在地环境空气基本污染物监测项目中</w:t>
            </w:r>
            <w:r>
              <w:rPr>
                <w:rFonts w:hint="eastAsia"/>
                <w:color w:val="auto"/>
                <w:szCs w:val="21"/>
              </w:rPr>
              <w:t>，SO</w:t>
            </w:r>
            <w:r>
              <w:rPr>
                <w:rFonts w:hint="eastAsia"/>
                <w:color w:val="auto"/>
                <w:szCs w:val="21"/>
                <w:vertAlign w:val="subscript"/>
              </w:rPr>
              <w:t>2</w:t>
            </w:r>
            <w:r>
              <w:rPr>
                <w:color w:val="auto"/>
                <w:szCs w:val="21"/>
              </w:rPr>
              <w:t>年平均质量浓度</w:t>
            </w:r>
            <w:r>
              <w:rPr>
                <w:rFonts w:hint="eastAsia"/>
                <w:color w:val="auto"/>
                <w:szCs w:val="21"/>
              </w:rPr>
              <w:t>、CO</w:t>
            </w:r>
            <w:r>
              <w:rPr>
                <w:color w:val="auto"/>
                <w:szCs w:val="21"/>
              </w:rPr>
              <w:t>日均第95百分位数浓度</w:t>
            </w:r>
            <w:r>
              <w:rPr>
                <w:rFonts w:hint="eastAsia"/>
                <w:color w:val="auto"/>
                <w:szCs w:val="21"/>
              </w:rPr>
              <w:t>、</w:t>
            </w:r>
            <w:r>
              <w:rPr>
                <w:color w:val="auto"/>
                <w:szCs w:val="21"/>
              </w:rPr>
              <w:t>O</w:t>
            </w:r>
            <w:r>
              <w:rPr>
                <w:color w:val="auto"/>
                <w:szCs w:val="21"/>
                <w:vertAlign w:val="subscript"/>
              </w:rPr>
              <w:t>3</w:t>
            </w:r>
            <w:r>
              <w:rPr>
                <w:color w:val="auto"/>
                <w:szCs w:val="21"/>
              </w:rPr>
              <w:t>日均第90百分位数浓度满足《环境空气质量标准》（GB3095-2012）中的二级标准，PM</w:t>
            </w:r>
            <w:r>
              <w:rPr>
                <w:color w:val="auto"/>
                <w:szCs w:val="21"/>
                <w:vertAlign w:val="subscript"/>
              </w:rPr>
              <w:t>10</w:t>
            </w:r>
            <w:r>
              <w:rPr>
                <w:color w:val="auto"/>
                <w:szCs w:val="21"/>
              </w:rPr>
              <w:t>年平均质量浓度、PM</w:t>
            </w:r>
            <w:r>
              <w:rPr>
                <w:color w:val="auto"/>
                <w:szCs w:val="21"/>
                <w:vertAlign w:val="subscript"/>
              </w:rPr>
              <w:t>2.5</w:t>
            </w:r>
            <w:r>
              <w:rPr>
                <w:color w:val="auto"/>
                <w:szCs w:val="21"/>
              </w:rPr>
              <w:t>年平均质量浓度及NO</w:t>
            </w:r>
            <w:r>
              <w:rPr>
                <w:color w:val="auto"/>
                <w:szCs w:val="21"/>
                <w:vertAlign w:val="subscript"/>
              </w:rPr>
              <w:t>2</w:t>
            </w:r>
            <w:r>
              <w:rPr>
                <w:rFonts w:hint="eastAsia"/>
                <w:color w:val="auto"/>
                <w:szCs w:val="21"/>
              </w:rPr>
              <w:t>年</w:t>
            </w:r>
            <w:r>
              <w:rPr>
                <w:color w:val="auto"/>
                <w:szCs w:val="21"/>
              </w:rPr>
              <w:t>平均质量浓度不满足《环境空气质量标准》（GB3095-2012）中的二级标准。综上所述，本项目所在区域环境空气质量为不达标区。</w:t>
            </w:r>
          </w:p>
          <w:p>
            <w:pPr>
              <w:spacing w:line="360" w:lineRule="auto"/>
              <w:ind w:firstLine="422" w:firstLineChars="200"/>
              <w:rPr>
                <w:b/>
                <w:color w:val="auto"/>
                <w:szCs w:val="21"/>
              </w:rPr>
            </w:pPr>
            <w:r>
              <w:rPr>
                <w:b/>
                <w:color w:val="auto"/>
                <w:szCs w:val="21"/>
              </w:rPr>
              <w:t>2</w:t>
            </w:r>
            <w:r>
              <w:rPr>
                <w:rFonts w:hAnsi="宋体"/>
                <w:b/>
                <w:color w:val="auto"/>
                <w:szCs w:val="21"/>
              </w:rPr>
              <w:t>、声环境质量现状</w:t>
            </w:r>
          </w:p>
          <w:p>
            <w:pPr>
              <w:spacing w:line="360" w:lineRule="auto"/>
              <w:ind w:firstLine="420" w:firstLineChars="200"/>
              <w:rPr>
                <w:color w:val="auto"/>
                <w:szCs w:val="21"/>
              </w:rPr>
            </w:pPr>
            <w:r>
              <w:rPr>
                <w:color w:val="auto"/>
                <w:szCs w:val="21"/>
              </w:rPr>
              <w:t>根据《西安市人民政府办公厅关于印发声环境功能区划方案的通知》（市政办函【2019】107号）本项目所在地属于2类声环境功能区。</w:t>
            </w:r>
          </w:p>
          <w:p>
            <w:pPr>
              <w:spacing w:line="360" w:lineRule="auto"/>
              <w:ind w:firstLine="420" w:firstLineChars="200"/>
              <w:rPr>
                <w:rFonts w:hAnsi="宋体"/>
                <w:color w:val="auto"/>
                <w:szCs w:val="21"/>
              </w:rPr>
            </w:pPr>
            <w:r>
              <w:rPr>
                <w:rFonts w:hAnsi="宋体"/>
                <w:color w:val="auto"/>
                <w:szCs w:val="21"/>
              </w:rPr>
              <w:t>本次声环境质量监测委托</w:t>
            </w:r>
            <w:r>
              <w:rPr>
                <w:rFonts w:hint="eastAsia" w:hAnsi="宋体"/>
                <w:color w:val="auto"/>
                <w:szCs w:val="21"/>
              </w:rPr>
              <w:t>西安盾</w:t>
            </w:r>
            <w:r>
              <w:rPr>
                <w:rFonts w:hAnsi="宋体"/>
                <w:color w:val="auto"/>
                <w:szCs w:val="21"/>
              </w:rPr>
              <w:t>源</w:t>
            </w:r>
            <w:r>
              <w:rPr>
                <w:rFonts w:hint="eastAsia" w:hAnsi="宋体"/>
                <w:color w:val="auto"/>
                <w:szCs w:val="21"/>
              </w:rPr>
              <w:t>检测</w:t>
            </w:r>
            <w:r>
              <w:rPr>
                <w:rFonts w:hAnsi="宋体"/>
                <w:color w:val="auto"/>
                <w:szCs w:val="21"/>
              </w:rPr>
              <w:t>技术</w:t>
            </w:r>
            <w:r>
              <w:rPr>
                <w:rFonts w:hint="eastAsia" w:hAnsi="宋体"/>
                <w:color w:val="auto"/>
                <w:szCs w:val="21"/>
              </w:rPr>
              <w:t>有限公司</w:t>
            </w:r>
            <w:r>
              <w:rPr>
                <w:rFonts w:hAnsi="宋体"/>
                <w:color w:val="auto"/>
                <w:szCs w:val="21"/>
              </w:rPr>
              <w:t>进行。</w:t>
            </w:r>
            <w:r>
              <w:rPr>
                <w:color w:val="auto"/>
                <w:szCs w:val="21"/>
              </w:rPr>
              <w:t>监测时间：2022年8月20日-8月21日</w:t>
            </w:r>
            <w:r>
              <w:rPr>
                <w:rFonts w:hint="eastAsia"/>
                <w:color w:val="auto"/>
                <w:szCs w:val="21"/>
              </w:rPr>
              <w:t>；</w:t>
            </w:r>
            <w:r>
              <w:rPr>
                <w:color w:val="auto"/>
                <w:szCs w:val="21"/>
              </w:rPr>
              <w:t>监测项目：等效连续A声级</w:t>
            </w:r>
            <w:r>
              <w:rPr>
                <w:rFonts w:hint="eastAsia"/>
                <w:color w:val="auto"/>
                <w:szCs w:val="21"/>
              </w:rPr>
              <w:t>；</w:t>
            </w:r>
            <w:r>
              <w:rPr>
                <w:rFonts w:hAnsi="宋体"/>
                <w:color w:val="auto"/>
                <w:szCs w:val="21"/>
              </w:rPr>
              <w:t>监测点位：共布设</w:t>
            </w:r>
            <w:r>
              <w:rPr>
                <w:rFonts w:hint="eastAsia"/>
                <w:color w:val="auto"/>
                <w:szCs w:val="21"/>
              </w:rPr>
              <w:t>2</w:t>
            </w:r>
            <w:r>
              <w:rPr>
                <w:rFonts w:hAnsi="宋体"/>
                <w:color w:val="auto"/>
                <w:szCs w:val="21"/>
              </w:rPr>
              <w:t>个监测点位，</w:t>
            </w:r>
            <w:r>
              <w:rPr>
                <w:rFonts w:hint="eastAsia" w:hAnsi="宋体"/>
                <w:color w:val="auto"/>
                <w:szCs w:val="21"/>
              </w:rPr>
              <w:t>分别位于项目所在地</w:t>
            </w:r>
            <w:r>
              <w:rPr>
                <w:rFonts w:hAnsi="宋体"/>
                <w:color w:val="auto"/>
                <w:szCs w:val="21"/>
              </w:rPr>
              <w:t>丰和坊一期</w:t>
            </w:r>
            <w:r>
              <w:rPr>
                <w:rFonts w:hint="eastAsia" w:hAnsi="宋体"/>
                <w:color w:val="auto"/>
                <w:szCs w:val="21"/>
              </w:rPr>
              <w:t>15幢</w:t>
            </w:r>
            <w:r>
              <w:rPr>
                <w:rFonts w:hAnsi="宋体"/>
                <w:color w:val="auto"/>
                <w:szCs w:val="21"/>
              </w:rPr>
              <w:t>南侧及北侧楼外。监测结果见表</w:t>
            </w:r>
            <w:r>
              <w:rPr>
                <w:color w:val="auto"/>
                <w:szCs w:val="21"/>
              </w:rPr>
              <w:t>3-</w:t>
            </w:r>
            <w:r>
              <w:rPr>
                <w:rFonts w:hint="eastAsia"/>
                <w:color w:val="auto"/>
                <w:szCs w:val="21"/>
              </w:rPr>
              <w:t>2</w:t>
            </w:r>
            <w:r>
              <w:rPr>
                <w:rFonts w:hAnsi="宋体"/>
                <w:color w:val="auto"/>
                <w:szCs w:val="21"/>
              </w:rPr>
              <w:t>。</w:t>
            </w:r>
          </w:p>
          <w:p>
            <w:pPr>
              <w:jc w:val="center"/>
              <w:rPr>
                <w:b/>
                <w:bCs/>
                <w:color w:val="auto"/>
              </w:rPr>
            </w:pPr>
            <w:r>
              <w:rPr>
                <w:rFonts w:hAnsi="宋体"/>
                <w:b/>
                <w:bCs/>
                <w:color w:val="auto"/>
              </w:rPr>
              <w:t>表</w:t>
            </w:r>
            <w:r>
              <w:rPr>
                <w:b/>
                <w:bCs/>
                <w:color w:val="auto"/>
              </w:rPr>
              <w:t>3-</w:t>
            </w:r>
            <w:r>
              <w:rPr>
                <w:rFonts w:hint="eastAsia"/>
                <w:b/>
                <w:bCs/>
                <w:color w:val="auto"/>
              </w:rPr>
              <w:t>2</w:t>
            </w:r>
            <w:r>
              <w:rPr>
                <w:b/>
                <w:bCs/>
                <w:color w:val="auto"/>
              </w:rPr>
              <w:t xml:space="preserve">    </w:t>
            </w:r>
            <w:r>
              <w:rPr>
                <w:rFonts w:hAnsi="宋体"/>
                <w:b/>
                <w:bCs/>
                <w:color w:val="auto"/>
              </w:rPr>
              <w:t>环境噪声现状监测结果表</w:t>
            </w:r>
            <w:r>
              <w:rPr>
                <w:b/>
                <w:bCs/>
                <w:color w:val="auto"/>
              </w:rPr>
              <w:t xml:space="preserve">  </w:t>
            </w:r>
            <w:r>
              <w:rPr>
                <w:rFonts w:hAnsi="宋体"/>
                <w:b/>
                <w:bCs/>
                <w:color w:val="auto"/>
              </w:rPr>
              <w:t>单位</w:t>
            </w:r>
            <w:r>
              <w:rPr>
                <w:b/>
                <w:bCs/>
                <w:color w:val="auto"/>
              </w:rPr>
              <w:t>dB(A)</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764"/>
              <w:gridCol w:w="1103"/>
              <w:gridCol w:w="1104"/>
              <w:gridCol w:w="1103"/>
              <w:gridCol w:w="11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1" w:hRule="atLeast"/>
                <w:jc w:val="center"/>
              </w:trPr>
              <w:tc>
                <w:tcPr>
                  <w:tcW w:w="2301" w:type="pct"/>
                  <w:vMerge w:val="restart"/>
                  <w:vAlign w:val="center"/>
                </w:tcPr>
                <w:p>
                  <w:pPr>
                    <w:spacing w:line="320" w:lineRule="exact"/>
                    <w:jc w:val="center"/>
                    <w:rPr>
                      <w:color w:val="auto"/>
                      <w:sz w:val="18"/>
                      <w:szCs w:val="18"/>
                    </w:rPr>
                  </w:pPr>
                  <w:r>
                    <w:rPr>
                      <w:color w:val="auto"/>
                      <w:sz w:val="18"/>
                      <w:szCs w:val="18"/>
                    </w:rPr>
                    <w:t>监测地点</w:t>
                  </w:r>
                </w:p>
              </w:tc>
              <w:tc>
                <w:tcPr>
                  <w:tcW w:w="1349" w:type="pct"/>
                  <w:gridSpan w:val="2"/>
                  <w:vAlign w:val="center"/>
                </w:tcPr>
                <w:p>
                  <w:pPr>
                    <w:spacing w:line="320" w:lineRule="exact"/>
                    <w:jc w:val="center"/>
                    <w:rPr>
                      <w:color w:val="auto"/>
                      <w:sz w:val="18"/>
                      <w:szCs w:val="18"/>
                    </w:rPr>
                  </w:pPr>
                  <w:r>
                    <w:rPr>
                      <w:color w:val="auto"/>
                      <w:sz w:val="18"/>
                      <w:szCs w:val="18"/>
                    </w:rPr>
                    <w:t>2022.8.20</w:t>
                  </w:r>
                </w:p>
              </w:tc>
              <w:tc>
                <w:tcPr>
                  <w:tcW w:w="1350" w:type="pct"/>
                  <w:gridSpan w:val="2"/>
                  <w:vAlign w:val="center"/>
                </w:tcPr>
                <w:p>
                  <w:pPr>
                    <w:spacing w:line="320" w:lineRule="exact"/>
                    <w:jc w:val="center"/>
                    <w:rPr>
                      <w:color w:val="auto"/>
                      <w:sz w:val="18"/>
                      <w:szCs w:val="18"/>
                    </w:rPr>
                  </w:pPr>
                  <w:r>
                    <w:rPr>
                      <w:color w:val="auto"/>
                      <w:sz w:val="18"/>
                      <w:szCs w:val="18"/>
                    </w:rPr>
                    <w:t>2022.8.21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301" w:type="pct"/>
                  <w:vMerge w:val="continue"/>
                  <w:vAlign w:val="center"/>
                </w:tcPr>
                <w:p>
                  <w:pPr>
                    <w:spacing w:line="320" w:lineRule="exact"/>
                    <w:jc w:val="center"/>
                    <w:rPr>
                      <w:color w:val="auto"/>
                      <w:sz w:val="18"/>
                      <w:szCs w:val="18"/>
                      <w:highlight w:val="yellow"/>
                    </w:rPr>
                  </w:pPr>
                </w:p>
              </w:tc>
              <w:tc>
                <w:tcPr>
                  <w:tcW w:w="674" w:type="pct"/>
                  <w:vAlign w:val="center"/>
                </w:tcPr>
                <w:p>
                  <w:pPr>
                    <w:spacing w:line="320" w:lineRule="exact"/>
                    <w:jc w:val="center"/>
                    <w:rPr>
                      <w:color w:val="auto"/>
                      <w:sz w:val="18"/>
                      <w:szCs w:val="18"/>
                    </w:rPr>
                  </w:pPr>
                  <w:r>
                    <w:rPr>
                      <w:rFonts w:hint="eastAsia"/>
                      <w:color w:val="auto"/>
                      <w:sz w:val="18"/>
                      <w:szCs w:val="18"/>
                    </w:rPr>
                    <w:t>昼间</w:t>
                  </w:r>
                </w:p>
              </w:tc>
              <w:tc>
                <w:tcPr>
                  <w:tcW w:w="675" w:type="pct"/>
                  <w:vAlign w:val="center"/>
                </w:tcPr>
                <w:p>
                  <w:pPr>
                    <w:spacing w:line="320" w:lineRule="exact"/>
                    <w:jc w:val="center"/>
                    <w:rPr>
                      <w:color w:val="auto"/>
                      <w:sz w:val="18"/>
                      <w:szCs w:val="18"/>
                    </w:rPr>
                  </w:pPr>
                  <w:r>
                    <w:rPr>
                      <w:rFonts w:hint="eastAsia"/>
                      <w:color w:val="auto"/>
                      <w:sz w:val="18"/>
                      <w:szCs w:val="18"/>
                    </w:rPr>
                    <w:t>夜间</w:t>
                  </w:r>
                </w:p>
              </w:tc>
              <w:tc>
                <w:tcPr>
                  <w:tcW w:w="674" w:type="pct"/>
                  <w:vAlign w:val="center"/>
                </w:tcPr>
                <w:p>
                  <w:pPr>
                    <w:spacing w:line="320" w:lineRule="exact"/>
                    <w:jc w:val="center"/>
                    <w:rPr>
                      <w:color w:val="auto"/>
                      <w:sz w:val="18"/>
                      <w:szCs w:val="18"/>
                    </w:rPr>
                  </w:pPr>
                  <w:r>
                    <w:rPr>
                      <w:rFonts w:hint="eastAsia"/>
                      <w:color w:val="auto"/>
                      <w:sz w:val="18"/>
                      <w:szCs w:val="18"/>
                    </w:rPr>
                    <w:t>昼间</w:t>
                  </w:r>
                </w:p>
              </w:tc>
              <w:tc>
                <w:tcPr>
                  <w:tcW w:w="676" w:type="pct"/>
                  <w:vAlign w:val="center"/>
                </w:tcPr>
                <w:p>
                  <w:pPr>
                    <w:spacing w:line="320" w:lineRule="exact"/>
                    <w:jc w:val="center"/>
                    <w:rPr>
                      <w:color w:val="auto"/>
                      <w:sz w:val="18"/>
                      <w:szCs w:val="18"/>
                    </w:rPr>
                  </w:pPr>
                  <w:r>
                    <w:rPr>
                      <w:rFonts w:hint="eastAsia"/>
                      <w:color w:val="auto"/>
                      <w:sz w:val="18"/>
                      <w:szCs w:val="18"/>
                    </w:rPr>
                    <w:t>夜间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301" w:type="pct"/>
                </w:tcPr>
                <w:p>
                  <w:pPr>
                    <w:spacing w:line="320" w:lineRule="exact"/>
                    <w:jc w:val="center"/>
                    <w:rPr>
                      <w:color w:val="auto"/>
                      <w:sz w:val="18"/>
                      <w:szCs w:val="18"/>
                    </w:rPr>
                  </w:pPr>
                  <w:r>
                    <w:rPr>
                      <w:color w:val="auto"/>
                      <w:sz w:val="18"/>
                      <w:szCs w:val="18"/>
                    </w:rPr>
                    <w:t>1#丰和坊一期</w:t>
                  </w:r>
                  <w:r>
                    <w:rPr>
                      <w:rFonts w:hint="eastAsia"/>
                      <w:color w:val="auto"/>
                      <w:sz w:val="18"/>
                      <w:szCs w:val="18"/>
                    </w:rPr>
                    <w:t>15幢南侧</w:t>
                  </w:r>
                  <w:r>
                    <w:rPr>
                      <w:color w:val="auto"/>
                      <w:sz w:val="18"/>
                      <w:szCs w:val="18"/>
                    </w:rPr>
                    <w:t>楼外</w:t>
                  </w:r>
                  <w:r>
                    <w:rPr>
                      <w:rFonts w:hint="eastAsia"/>
                      <w:color w:val="auto"/>
                      <w:sz w:val="18"/>
                      <w:szCs w:val="18"/>
                    </w:rPr>
                    <w:t>1</w:t>
                  </w:r>
                  <w:r>
                    <w:rPr>
                      <w:color w:val="auto"/>
                      <w:sz w:val="18"/>
                      <w:szCs w:val="18"/>
                    </w:rPr>
                    <w:t>m</w:t>
                  </w:r>
                </w:p>
              </w:tc>
              <w:tc>
                <w:tcPr>
                  <w:tcW w:w="674" w:type="pct"/>
                  <w:vAlign w:val="center"/>
                </w:tcPr>
                <w:p>
                  <w:pPr>
                    <w:spacing w:line="320" w:lineRule="exact"/>
                    <w:jc w:val="center"/>
                    <w:rPr>
                      <w:color w:val="auto"/>
                      <w:sz w:val="18"/>
                      <w:szCs w:val="18"/>
                    </w:rPr>
                  </w:pPr>
                  <w:r>
                    <w:rPr>
                      <w:color w:val="auto"/>
                      <w:sz w:val="18"/>
                      <w:szCs w:val="18"/>
                    </w:rPr>
                    <w:t>53</w:t>
                  </w:r>
                </w:p>
              </w:tc>
              <w:tc>
                <w:tcPr>
                  <w:tcW w:w="675" w:type="pct"/>
                  <w:vAlign w:val="center"/>
                </w:tcPr>
                <w:p>
                  <w:pPr>
                    <w:spacing w:line="320" w:lineRule="exact"/>
                    <w:jc w:val="center"/>
                    <w:rPr>
                      <w:color w:val="auto"/>
                      <w:sz w:val="18"/>
                      <w:szCs w:val="18"/>
                    </w:rPr>
                  </w:pPr>
                  <w:r>
                    <w:rPr>
                      <w:color w:val="auto"/>
                      <w:sz w:val="18"/>
                      <w:szCs w:val="18"/>
                    </w:rPr>
                    <w:t>43</w:t>
                  </w:r>
                </w:p>
              </w:tc>
              <w:tc>
                <w:tcPr>
                  <w:tcW w:w="674" w:type="pct"/>
                  <w:vAlign w:val="center"/>
                </w:tcPr>
                <w:p>
                  <w:pPr>
                    <w:spacing w:line="320" w:lineRule="exact"/>
                    <w:jc w:val="center"/>
                    <w:rPr>
                      <w:color w:val="auto"/>
                      <w:sz w:val="18"/>
                      <w:szCs w:val="18"/>
                    </w:rPr>
                  </w:pPr>
                  <w:r>
                    <w:rPr>
                      <w:color w:val="auto"/>
                      <w:sz w:val="18"/>
                      <w:szCs w:val="18"/>
                    </w:rPr>
                    <w:t>53</w:t>
                  </w:r>
                </w:p>
              </w:tc>
              <w:tc>
                <w:tcPr>
                  <w:tcW w:w="676" w:type="pct"/>
                  <w:vAlign w:val="center"/>
                </w:tcPr>
                <w:p>
                  <w:pPr>
                    <w:spacing w:line="320" w:lineRule="exact"/>
                    <w:jc w:val="center"/>
                    <w:rPr>
                      <w:color w:val="auto"/>
                      <w:sz w:val="18"/>
                      <w:szCs w:val="18"/>
                    </w:rPr>
                  </w:pPr>
                  <w:r>
                    <w:rPr>
                      <w:color w:val="auto"/>
                      <w:sz w:val="18"/>
                      <w:szCs w:val="18"/>
                    </w:rPr>
                    <w:t>43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301" w:type="pct"/>
                  <w:vAlign w:val="center"/>
                </w:tcPr>
                <w:p>
                  <w:pPr>
                    <w:spacing w:line="320" w:lineRule="exact"/>
                    <w:jc w:val="center"/>
                    <w:rPr>
                      <w:color w:val="auto"/>
                      <w:sz w:val="18"/>
                      <w:szCs w:val="18"/>
                    </w:rPr>
                  </w:pPr>
                  <w:r>
                    <w:rPr>
                      <w:color w:val="auto"/>
                      <w:sz w:val="18"/>
                      <w:szCs w:val="18"/>
                    </w:rPr>
                    <w:t>2</w:t>
                  </w:r>
                  <w:r>
                    <w:rPr>
                      <w:rFonts w:hint="eastAsia"/>
                      <w:color w:val="auto"/>
                      <w:sz w:val="18"/>
                      <w:szCs w:val="18"/>
                    </w:rPr>
                    <w:t>#丰和</w:t>
                  </w:r>
                  <w:r>
                    <w:rPr>
                      <w:color w:val="auto"/>
                      <w:sz w:val="18"/>
                      <w:szCs w:val="18"/>
                    </w:rPr>
                    <w:t>坊一期</w:t>
                  </w:r>
                  <w:r>
                    <w:rPr>
                      <w:rFonts w:hint="eastAsia"/>
                      <w:color w:val="auto"/>
                      <w:sz w:val="18"/>
                      <w:szCs w:val="18"/>
                    </w:rPr>
                    <w:t>15幢</w:t>
                  </w:r>
                  <w:r>
                    <w:rPr>
                      <w:color w:val="auto"/>
                      <w:sz w:val="18"/>
                      <w:szCs w:val="18"/>
                    </w:rPr>
                    <w:t>北侧楼外</w:t>
                  </w:r>
                  <w:r>
                    <w:rPr>
                      <w:rFonts w:hint="eastAsia"/>
                      <w:color w:val="auto"/>
                      <w:sz w:val="18"/>
                      <w:szCs w:val="18"/>
                    </w:rPr>
                    <w:t>1m</w:t>
                  </w:r>
                  <w:r>
                    <w:rPr>
                      <w:color w:val="auto"/>
                      <w:sz w:val="18"/>
                      <w:szCs w:val="18"/>
                    </w:rPr>
                    <w:t xml:space="preserve"> </w:t>
                  </w:r>
                </w:p>
              </w:tc>
              <w:tc>
                <w:tcPr>
                  <w:tcW w:w="674" w:type="pct"/>
                  <w:vAlign w:val="center"/>
                </w:tcPr>
                <w:p>
                  <w:pPr>
                    <w:spacing w:line="320" w:lineRule="exact"/>
                    <w:jc w:val="center"/>
                    <w:rPr>
                      <w:color w:val="auto"/>
                      <w:sz w:val="18"/>
                      <w:szCs w:val="18"/>
                    </w:rPr>
                  </w:pPr>
                  <w:r>
                    <w:rPr>
                      <w:color w:val="auto"/>
                      <w:sz w:val="18"/>
                      <w:szCs w:val="18"/>
                    </w:rPr>
                    <w:t>53</w:t>
                  </w:r>
                </w:p>
              </w:tc>
              <w:tc>
                <w:tcPr>
                  <w:tcW w:w="675" w:type="pct"/>
                  <w:vAlign w:val="center"/>
                </w:tcPr>
                <w:p>
                  <w:pPr>
                    <w:spacing w:line="320" w:lineRule="exact"/>
                    <w:jc w:val="center"/>
                    <w:rPr>
                      <w:color w:val="auto"/>
                      <w:sz w:val="18"/>
                      <w:szCs w:val="18"/>
                    </w:rPr>
                  </w:pPr>
                  <w:r>
                    <w:rPr>
                      <w:color w:val="auto"/>
                      <w:sz w:val="18"/>
                      <w:szCs w:val="18"/>
                    </w:rPr>
                    <w:t>46</w:t>
                  </w:r>
                </w:p>
              </w:tc>
              <w:tc>
                <w:tcPr>
                  <w:tcW w:w="674" w:type="pct"/>
                  <w:vAlign w:val="center"/>
                </w:tcPr>
                <w:p>
                  <w:pPr>
                    <w:spacing w:line="320" w:lineRule="exact"/>
                    <w:jc w:val="center"/>
                    <w:rPr>
                      <w:color w:val="auto"/>
                      <w:sz w:val="18"/>
                      <w:szCs w:val="18"/>
                    </w:rPr>
                  </w:pPr>
                  <w:r>
                    <w:rPr>
                      <w:color w:val="auto"/>
                      <w:sz w:val="18"/>
                      <w:szCs w:val="18"/>
                    </w:rPr>
                    <w:t>52</w:t>
                  </w:r>
                </w:p>
              </w:tc>
              <w:tc>
                <w:tcPr>
                  <w:tcW w:w="676" w:type="pct"/>
                  <w:vAlign w:val="center"/>
                </w:tcPr>
                <w:p>
                  <w:pPr>
                    <w:spacing w:line="320" w:lineRule="exact"/>
                    <w:jc w:val="center"/>
                    <w:rPr>
                      <w:color w:val="auto"/>
                      <w:sz w:val="18"/>
                      <w:szCs w:val="18"/>
                    </w:rPr>
                  </w:pPr>
                  <w:r>
                    <w:rPr>
                      <w:color w:val="auto"/>
                      <w:sz w:val="18"/>
                      <w:szCs w:val="18"/>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301" w:type="pct"/>
                </w:tcPr>
                <w:p>
                  <w:pPr>
                    <w:spacing w:line="320" w:lineRule="exact"/>
                    <w:jc w:val="center"/>
                    <w:rPr>
                      <w:color w:val="auto"/>
                      <w:sz w:val="18"/>
                      <w:szCs w:val="18"/>
                    </w:rPr>
                  </w:pPr>
                  <w:r>
                    <w:rPr>
                      <w:rFonts w:hint="eastAsia"/>
                      <w:color w:val="auto"/>
                      <w:sz w:val="18"/>
                      <w:szCs w:val="18"/>
                    </w:rPr>
                    <w:t>GB3096-2008</w:t>
                  </w:r>
                  <w:r>
                    <w:rPr>
                      <w:color w:val="auto"/>
                      <w:sz w:val="18"/>
                      <w:szCs w:val="18"/>
                    </w:rPr>
                    <w:t>《声环境质量标准》</w:t>
                  </w:r>
                  <w:r>
                    <w:rPr>
                      <w:rFonts w:hint="eastAsia"/>
                      <w:color w:val="auto"/>
                      <w:sz w:val="18"/>
                      <w:szCs w:val="18"/>
                    </w:rPr>
                    <w:t>2类</w:t>
                  </w:r>
                </w:p>
              </w:tc>
              <w:tc>
                <w:tcPr>
                  <w:tcW w:w="674" w:type="pct"/>
                  <w:vAlign w:val="center"/>
                </w:tcPr>
                <w:p>
                  <w:pPr>
                    <w:spacing w:line="320" w:lineRule="exact"/>
                    <w:jc w:val="center"/>
                    <w:rPr>
                      <w:color w:val="auto"/>
                      <w:sz w:val="18"/>
                      <w:szCs w:val="18"/>
                    </w:rPr>
                  </w:pPr>
                  <w:r>
                    <w:rPr>
                      <w:rFonts w:hint="eastAsia"/>
                      <w:color w:val="auto"/>
                      <w:sz w:val="18"/>
                      <w:szCs w:val="18"/>
                    </w:rPr>
                    <w:t>60</w:t>
                  </w:r>
                </w:p>
              </w:tc>
              <w:tc>
                <w:tcPr>
                  <w:tcW w:w="675" w:type="pct"/>
                  <w:vAlign w:val="center"/>
                </w:tcPr>
                <w:p>
                  <w:pPr>
                    <w:spacing w:line="320" w:lineRule="exact"/>
                    <w:jc w:val="center"/>
                    <w:rPr>
                      <w:color w:val="auto"/>
                      <w:sz w:val="18"/>
                      <w:szCs w:val="18"/>
                    </w:rPr>
                  </w:pPr>
                  <w:r>
                    <w:rPr>
                      <w:rFonts w:hint="eastAsia"/>
                      <w:color w:val="auto"/>
                      <w:sz w:val="18"/>
                      <w:szCs w:val="18"/>
                    </w:rPr>
                    <w:t>50</w:t>
                  </w:r>
                </w:p>
              </w:tc>
              <w:tc>
                <w:tcPr>
                  <w:tcW w:w="674" w:type="pct"/>
                  <w:vAlign w:val="center"/>
                </w:tcPr>
                <w:p>
                  <w:pPr>
                    <w:spacing w:line="320" w:lineRule="exact"/>
                    <w:jc w:val="center"/>
                    <w:rPr>
                      <w:color w:val="auto"/>
                      <w:sz w:val="18"/>
                      <w:szCs w:val="18"/>
                    </w:rPr>
                  </w:pPr>
                  <w:r>
                    <w:rPr>
                      <w:rFonts w:hint="eastAsia"/>
                      <w:color w:val="auto"/>
                      <w:sz w:val="18"/>
                      <w:szCs w:val="18"/>
                    </w:rPr>
                    <w:t>60</w:t>
                  </w:r>
                </w:p>
              </w:tc>
              <w:tc>
                <w:tcPr>
                  <w:tcW w:w="676" w:type="pct"/>
                  <w:vAlign w:val="center"/>
                </w:tcPr>
                <w:p>
                  <w:pPr>
                    <w:spacing w:line="320" w:lineRule="exact"/>
                    <w:jc w:val="center"/>
                    <w:rPr>
                      <w:color w:val="auto"/>
                      <w:sz w:val="18"/>
                      <w:szCs w:val="18"/>
                    </w:rPr>
                  </w:pPr>
                  <w:r>
                    <w:rPr>
                      <w:rFonts w:hint="eastAsia"/>
                      <w:color w:val="auto"/>
                      <w:sz w:val="18"/>
                      <w:szCs w:val="18"/>
                    </w:rPr>
                    <w:t>50</w:t>
                  </w:r>
                </w:p>
              </w:tc>
            </w:tr>
          </w:tbl>
          <w:p>
            <w:pPr>
              <w:pStyle w:val="2"/>
              <w:spacing w:line="360" w:lineRule="auto"/>
              <w:ind w:firstLine="420" w:firstLineChars="200"/>
              <w:rPr>
                <w:rFonts w:ascii="Times New Roman" w:cs="Times New Roman"/>
                <w:color w:val="auto"/>
                <w:sz w:val="21"/>
                <w:szCs w:val="21"/>
              </w:rPr>
            </w:pPr>
            <w:r>
              <w:rPr>
                <w:rFonts w:ascii="Times New Roman" w:hAnsi="宋体" w:cs="Times New Roman"/>
                <w:color w:val="auto"/>
                <w:kern w:val="2"/>
                <w:sz w:val="21"/>
                <w:szCs w:val="21"/>
              </w:rPr>
              <w:t>由监测结果可知，项目</w:t>
            </w:r>
            <w:r>
              <w:rPr>
                <w:rFonts w:hint="eastAsia" w:ascii="Times New Roman" w:hAnsi="宋体" w:cs="Times New Roman"/>
                <w:color w:val="auto"/>
                <w:kern w:val="2"/>
                <w:sz w:val="21"/>
                <w:szCs w:val="21"/>
              </w:rPr>
              <w:t>所在地及最近</w:t>
            </w:r>
            <w:r>
              <w:rPr>
                <w:rFonts w:ascii="Times New Roman" w:hAnsi="宋体" w:cs="Times New Roman"/>
                <w:color w:val="auto"/>
                <w:kern w:val="2"/>
                <w:sz w:val="21"/>
                <w:szCs w:val="21"/>
              </w:rPr>
              <w:t>敏感点昼间、夜间噪声监测值均能满足《声环境质量标准》（</w:t>
            </w:r>
            <w:r>
              <w:rPr>
                <w:rFonts w:ascii="Times New Roman" w:cs="Times New Roman"/>
                <w:color w:val="auto"/>
                <w:kern w:val="2"/>
                <w:sz w:val="21"/>
                <w:szCs w:val="21"/>
              </w:rPr>
              <w:t>GB3096-2008</w:t>
            </w:r>
            <w:r>
              <w:rPr>
                <w:rFonts w:ascii="Times New Roman" w:hAnsi="宋体" w:cs="Times New Roman"/>
                <w:color w:val="auto"/>
                <w:kern w:val="2"/>
                <w:sz w:val="21"/>
                <w:szCs w:val="21"/>
              </w:rPr>
              <w:t>）</w:t>
            </w:r>
            <w:r>
              <w:rPr>
                <w:rFonts w:ascii="Times New Roman" w:cs="Times New Roman"/>
                <w:color w:val="auto"/>
                <w:kern w:val="2"/>
                <w:sz w:val="21"/>
                <w:szCs w:val="21"/>
              </w:rPr>
              <w:t>2</w:t>
            </w:r>
            <w:r>
              <w:rPr>
                <w:rFonts w:ascii="Times New Roman" w:hAnsi="宋体" w:cs="Times New Roman"/>
                <w:color w:val="auto"/>
                <w:kern w:val="2"/>
                <w:sz w:val="21"/>
                <w:szCs w:val="21"/>
              </w:rPr>
              <w:t>类标准限值要求，项目所在地声环境质量良好</w:t>
            </w:r>
            <w:r>
              <w:rPr>
                <w:rFonts w:ascii="Times New Roman" w:hAnsi="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80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8190" w:type="dxa"/>
            <w:vAlign w:val="center"/>
          </w:tcPr>
          <w:p>
            <w:pPr>
              <w:spacing w:line="360" w:lineRule="auto"/>
              <w:ind w:firstLine="422" w:firstLineChars="200"/>
              <w:rPr>
                <w:b/>
                <w:color w:val="auto"/>
              </w:rPr>
            </w:pPr>
            <w:r>
              <w:rPr>
                <w:b/>
                <w:color w:val="auto"/>
              </w:rPr>
              <w:t>1</w:t>
            </w:r>
            <w:r>
              <w:rPr>
                <w:rFonts w:hAnsi="宋体"/>
                <w:b/>
                <w:color w:val="auto"/>
              </w:rPr>
              <w:t>、大气环境</w:t>
            </w:r>
          </w:p>
          <w:p>
            <w:pPr>
              <w:spacing w:line="360" w:lineRule="auto"/>
              <w:ind w:firstLine="420" w:firstLineChars="200"/>
              <w:rPr>
                <w:color w:val="auto"/>
              </w:rPr>
            </w:pPr>
            <w:r>
              <w:rPr>
                <w:color w:val="auto"/>
              </w:rPr>
              <w:t>经调查，项目周边500m内无需特殊保护的自然保护区、风景名胜区，未发现文物古迹，</w:t>
            </w:r>
            <w:r>
              <w:rPr>
                <w:rFonts w:hint="eastAsia"/>
                <w:color w:val="auto"/>
              </w:rPr>
              <w:t>主要</w:t>
            </w:r>
            <w:r>
              <w:rPr>
                <w:color w:val="auto"/>
              </w:rPr>
              <w:t>大气环境保护目标见表3-</w:t>
            </w:r>
            <w:r>
              <w:rPr>
                <w:rFonts w:hint="eastAsia"/>
                <w:color w:val="auto"/>
              </w:rPr>
              <w:t>3，声环境保护目标见表3-4。</w:t>
            </w:r>
          </w:p>
          <w:p>
            <w:pPr>
              <w:pStyle w:val="2"/>
              <w:jc w:val="center"/>
              <w:rPr>
                <w:rFonts w:ascii="Times New Roman" w:hAnsi="宋体" w:cs="Times New Roman"/>
                <w:b/>
                <w:color w:val="auto"/>
                <w:sz w:val="21"/>
                <w:szCs w:val="21"/>
              </w:rPr>
            </w:pPr>
            <w:r>
              <w:rPr>
                <w:rFonts w:ascii="Times New Roman" w:hAnsi="宋体" w:cs="Times New Roman"/>
                <w:b/>
                <w:color w:val="auto"/>
                <w:sz w:val="21"/>
                <w:szCs w:val="21"/>
              </w:rPr>
              <w:t>表</w:t>
            </w:r>
            <w:r>
              <w:rPr>
                <w:rFonts w:ascii="Times New Roman" w:cs="Times New Roman"/>
                <w:b/>
                <w:color w:val="auto"/>
                <w:sz w:val="21"/>
                <w:szCs w:val="21"/>
              </w:rPr>
              <w:t>3-</w:t>
            </w:r>
            <w:r>
              <w:rPr>
                <w:rFonts w:hint="eastAsia" w:ascii="Times New Roman" w:cs="Times New Roman"/>
                <w:b/>
                <w:color w:val="auto"/>
                <w:sz w:val="21"/>
                <w:szCs w:val="21"/>
              </w:rPr>
              <w:t>3</w:t>
            </w:r>
            <w:r>
              <w:rPr>
                <w:rFonts w:ascii="Times New Roman" w:cs="Times New Roman"/>
                <w:b/>
                <w:color w:val="auto"/>
                <w:sz w:val="21"/>
                <w:szCs w:val="21"/>
              </w:rPr>
              <w:t xml:space="preserve">    </w:t>
            </w:r>
            <w:r>
              <w:rPr>
                <w:rFonts w:hint="eastAsia" w:ascii="Times New Roman" w:cs="Times New Roman"/>
                <w:b/>
                <w:color w:val="auto"/>
                <w:sz w:val="21"/>
                <w:szCs w:val="21"/>
              </w:rPr>
              <w:t>主要</w:t>
            </w:r>
            <w:r>
              <w:rPr>
                <w:rFonts w:ascii="Times New Roman" w:hAnsi="宋体" w:cs="Times New Roman"/>
                <w:b/>
                <w:color w:val="auto"/>
                <w:sz w:val="21"/>
                <w:szCs w:val="21"/>
              </w:rPr>
              <w:t>大气环境保护目标</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22"/>
              <w:gridCol w:w="1224"/>
              <w:gridCol w:w="1215"/>
              <w:gridCol w:w="1215"/>
              <w:gridCol w:w="647"/>
              <w:gridCol w:w="544"/>
              <w:gridCol w:w="544"/>
              <w:gridCol w:w="576"/>
              <w:gridCol w:w="708"/>
              <w:gridCol w:w="8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restart"/>
                  <w:vAlign w:val="center"/>
                </w:tcPr>
                <w:p>
                  <w:pPr>
                    <w:spacing w:line="240" w:lineRule="exact"/>
                    <w:jc w:val="center"/>
                    <w:rPr>
                      <w:color w:val="auto"/>
                      <w:sz w:val="18"/>
                      <w:szCs w:val="18"/>
                    </w:rPr>
                  </w:pPr>
                  <w:r>
                    <w:rPr>
                      <w:rFonts w:hint="eastAsia"/>
                      <w:color w:val="auto"/>
                      <w:sz w:val="18"/>
                      <w:szCs w:val="18"/>
                    </w:rPr>
                    <w:t>环境</w:t>
                  </w:r>
                </w:p>
                <w:p>
                  <w:pPr>
                    <w:spacing w:line="240" w:lineRule="exact"/>
                    <w:jc w:val="center"/>
                    <w:rPr>
                      <w:color w:val="auto"/>
                      <w:sz w:val="18"/>
                      <w:szCs w:val="18"/>
                    </w:rPr>
                  </w:pPr>
                  <w:r>
                    <w:rPr>
                      <w:rFonts w:hint="eastAsia"/>
                      <w:color w:val="auto"/>
                      <w:sz w:val="18"/>
                      <w:szCs w:val="18"/>
                    </w:rPr>
                    <w:t>要素</w:t>
                  </w:r>
                </w:p>
              </w:tc>
              <w:tc>
                <w:tcPr>
                  <w:tcW w:w="749" w:type="pct"/>
                  <w:vMerge w:val="restart"/>
                  <w:vAlign w:val="center"/>
                </w:tcPr>
                <w:p>
                  <w:pPr>
                    <w:spacing w:line="240" w:lineRule="exact"/>
                    <w:jc w:val="center"/>
                    <w:rPr>
                      <w:color w:val="auto"/>
                      <w:sz w:val="18"/>
                      <w:szCs w:val="18"/>
                    </w:rPr>
                  </w:pPr>
                  <w:r>
                    <w:rPr>
                      <w:rFonts w:hint="eastAsia"/>
                      <w:color w:val="auto"/>
                      <w:sz w:val="18"/>
                      <w:szCs w:val="18"/>
                    </w:rPr>
                    <w:t>名称</w:t>
                  </w:r>
                </w:p>
              </w:tc>
              <w:tc>
                <w:tcPr>
                  <w:tcW w:w="1486" w:type="pct"/>
                  <w:gridSpan w:val="2"/>
                  <w:vAlign w:val="center"/>
                </w:tcPr>
                <w:p>
                  <w:pPr>
                    <w:spacing w:line="240" w:lineRule="exact"/>
                    <w:jc w:val="center"/>
                    <w:rPr>
                      <w:color w:val="auto"/>
                      <w:sz w:val="18"/>
                      <w:szCs w:val="18"/>
                    </w:rPr>
                  </w:pPr>
                  <w:r>
                    <w:rPr>
                      <w:rFonts w:hint="eastAsia"/>
                      <w:color w:val="auto"/>
                      <w:sz w:val="18"/>
                      <w:szCs w:val="18"/>
                    </w:rPr>
                    <w:t>坐标</w:t>
                  </w:r>
                </w:p>
              </w:tc>
              <w:tc>
                <w:tcPr>
                  <w:tcW w:w="396" w:type="pct"/>
                  <w:vMerge w:val="restart"/>
                  <w:vAlign w:val="center"/>
                </w:tcPr>
                <w:p>
                  <w:pPr>
                    <w:spacing w:line="240" w:lineRule="exact"/>
                    <w:jc w:val="center"/>
                    <w:rPr>
                      <w:color w:val="auto"/>
                      <w:sz w:val="18"/>
                      <w:szCs w:val="18"/>
                    </w:rPr>
                  </w:pPr>
                  <w:r>
                    <w:rPr>
                      <w:rFonts w:hint="eastAsia"/>
                      <w:color w:val="auto"/>
                      <w:sz w:val="18"/>
                      <w:szCs w:val="18"/>
                    </w:rPr>
                    <w:t>保护</w:t>
                  </w:r>
                </w:p>
                <w:p>
                  <w:pPr>
                    <w:spacing w:line="240" w:lineRule="exact"/>
                    <w:jc w:val="center"/>
                    <w:rPr>
                      <w:color w:val="auto"/>
                      <w:sz w:val="18"/>
                      <w:szCs w:val="18"/>
                    </w:rPr>
                  </w:pPr>
                  <w:r>
                    <w:rPr>
                      <w:rFonts w:hint="eastAsia"/>
                      <w:color w:val="auto"/>
                      <w:sz w:val="18"/>
                      <w:szCs w:val="18"/>
                    </w:rPr>
                    <w:t>对象</w:t>
                  </w:r>
                </w:p>
              </w:tc>
              <w:tc>
                <w:tcPr>
                  <w:tcW w:w="333" w:type="pct"/>
                  <w:vMerge w:val="restart"/>
                  <w:vAlign w:val="center"/>
                </w:tcPr>
                <w:p>
                  <w:pPr>
                    <w:spacing w:line="240" w:lineRule="exact"/>
                    <w:jc w:val="center"/>
                    <w:rPr>
                      <w:color w:val="auto"/>
                      <w:sz w:val="18"/>
                      <w:szCs w:val="18"/>
                    </w:rPr>
                  </w:pPr>
                  <w:r>
                    <w:rPr>
                      <w:rFonts w:hint="eastAsia"/>
                      <w:color w:val="auto"/>
                      <w:sz w:val="18"/>
                      <w:szCs w:val="18"/>
                    </w:rPr>
                    <w:t>保护</w:t>
                  </w:r>
                </w:p>
                <w:p>
                  <w:pPr>
                    <w:spacing w:line="240" w:lineRule="exact"/>
                    <w:jc w:val="center"/>
                    <w:rPr>
                      <w:color w:val="auto"/>
                      <w:sz w:val="18"/>
                      <w:szCs w:val="18"/>
                    </w:rPr>
                  </w:pPr>
                  <w:r>
                    <w:rPr>
                      <w:rFonts w:hint="eastAsia"/>
                      <w:color w:val="auto"/>
                      <w:sz w:val="18"/>
                      <w:szCs w:val="18"/>
                    </w:rPr>
                    <w:t>内容</w:t>
                  </w:r>
                </w:p>
              </w:tc>
              <w:tc>
                <w:tcPr>
                  <w:tcW w:w="333" w:type="pct"/>
                  <w:vMerge w:val="restart"/>
                  <w:vAlign w:val="center"/>
                </w:tcPr>
                <w:p>
                  <w:pPr>
                    <w:spacing w:line="240" w:lineRule="exact"/>
                    <w:jc w:val="center"/>
                    <w:rPr>
                      <w:color w:val="auto"/>
                      <w:sz w:val="18"/>
                      <w:szCs w:val="18"/>
                    </w:rPr>
                  </w:pPr>
                  <w:r>
                    <w:rPr>
                      <w:rFonts w:hint="eastAsia"/>
                      <w:color w:val="auto"/>
                      <w:sz w:val="18"/>
                      <w:szCs w:val="18"/>
                    </w:rPr>
                    <w:t>功能区</w:t>
                  </w:r>
                </w:p>
              </w:tc>
              <w:tc>
                <w:tcPr>
                  <w:tcW w:w="348" w:type="pct"/>
                  <w:vMerge w:val="restart"/>
                  <w:vAlign w:val="center"/>
                </w:tcPr>
                <w:p>
                  <w:pPr>
                    <w:spacing w:line="240" w:lineRule="exact"/>
                    <w:jc w:val="center"/>
                    <w:rPr>
                      <w:color w:val="auto"/>
                      <w:sz w:val="18"/>
                      <w:szCs w:val="18"/>
                    </w:rPr>
                  </w:pPr>
                  <w:r>
                    <w:rPr>
                      <w:rFonts w:hint="eastAsia"/>
                      <w:color w:val="auto"/>
                      <w:sz w:val="18"/>
                      <w:szCs w:val="18"/>
                    </w:rPr>
                    <w:t>人数</w:t>
                  </w:r>
                </w:p>
              </w:tc>
              <w:tc>
                <w:tcPr>
                  <w:tcW w:w="433" w:type="pct"/>
                  <w:vMerge w:val="restart"/>
                  <w:vAlign w:val="center"/>
                </w:tcPr>
                <w:p>
                  <w:pPr>
                    <w:spacing w:line="240" w:lineRule="exact"/>
                    <w:jc w:val="center"/>
                    <w:rPr>
                      <w:color w:val="auto"/>
                      <w:sz w:val="18"/>
                      <w:szCs w:val="18"/>
                    </w:rPr>
                  </w:pPr>
                  <w:r>
                    <w:rPr>
                      <w:rFonts w:hint="eastAsia"/>
                      <w:color w:val="auto"/>
                      <w:sz w:val="18"/>
                      <w:szCs w:val="18"/>
                    </w:rPr>
                    <w:t>相对</w:t>
                  </w:r>
                </w:p>
                <w:p>
                  <w:pPr>
                    <w:spacing w:line="240" w:lineRule="exact"/>
                    <w:jc w:val="center"/>
                    <w:rPr>
                      <w:color w:val="auto"/>
                      <w:sz w:val="18"/>
                      <w:szCs w:val="18"/>
                    </w:rPr>
                  </w:pPr>
                  <w:r>
                    <w:rPr>
                      <w:rFonts w:hint="eastAsia"/>
                      <w:color w:val="auto"/>
                      <w:sz w:val="18"/>
                      <w:szCs w:val="18"/>
                    </w:rPr>
                    <w:t>方位</w:t>
                  </w:r>
                </w:p>
              </w:tc>
              <w:tc>
                <w:tcPr>
                  <w:tcW w:w="541" w:type="pct"/>
                  <w:vMerge w:val="restart"/>
                  <w:vAlign w:val="center"/>
                </w:tcPr>
                <w:p>
                  <w:pPr>
                    <w:spacing w:line="240" w:lineRule="exact"/>
                    <w:jc w:val="center"/>
                    <w:rPr>
                      <w:color w:val="auto"/>
                      <w:sz w:val="18"/>
                      <w:szCs w:val="18"/>
                    </w:rPr>
                  </w:pPr>
                  <w:r>
                    <w:rPr>
                      <w:rFonts w:hint="eastAsia"/>
                      <w:color w:val="auto"/>
                      <w:sz w:val="18"/>
                      <w:szCs w:val="18"/>
                    </w:rPr>
                    <w:t>与项目最近距离</w:t>
                  </w:r>
                  <w:r>
                    <w:rPr>
                      <w:color w:val="auto"/>
                      <w:sz w:val="18"/>
                      <w:szCs w:val="18"/>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left"/>
                    <w:rPr>
                      <w:color w:val="auto"/>
                      <w:sz w:val="18"/>
                      <w:szCs w:val="18"/>
                    </w:rPr>
                  </w:pPr>
                </w:p>
              </w:tc>
              <w:tc>
                <w:tcPr>
                  <w:tcW w:w="749" w:type="pct"/>
                  <w:vMerge w:val="continue"/>
                  <w:vAlign w:val="center"/>
                </w:tcPr>
                <w:p>
                  <w:pPr>
                    <w:widowControl/>
                    <w:jc w:val="left"/>
                    <w:rPr>
                      <w:color w:val="auto"/>
                      <w:sz w:val="18"/>
                      <w:szCs w:val="18"/>
                    </w:rPr>
                  </w:pPr>
                </w:p>
              </w:tc>
              <w:tc>
                <w:tcPr>
                  <w:tcW w:w="743" w:type="pct"/>
                  <w:vAlign w:val="center"/>
                </w:tcPr>
                <w:p>
                  <w:pPr>
                    <w:spacing w:line="240" w:lineRule="exact"/>
                    <w:jc w:val="center"/>
                    <w:rPr>
                      <w:color w:val="auto"/>
                      <w:sz w:val="18"/>
                      <w:szCs w:val="18"/>
                    </w:rPr>
                  </w:pPr>
                  <w:r>
                    <w:rPr>
                      <w:color w:val="auto"/>
                      <w:sz w:val="18"/>
                      <w:szCs w:val="18"/>
                    </w:rPr>
                    <w:t>N</w:t>
                  </w:r>
                </w:p>
              </w:tc>
              <w:tc>
                <w:tcPr>
                  <w:tcW w:w="743" w:type="pct"/>
                  <w:vAlign w:val="center"/>
                </w:tcPr>
                <w:p>
                  <w:pPr>
                    <w:spacing w:line="240" w:lineRule="exact"/>
                    <w:jc w:val="center"/>
                    <w:rPr>
                      <w:color w:val="auto"/>
                      <w:sz w:val="18"/>
                      <w:szCs w:val="18"/>
                    </w:rPr>
                  </w:pPr>
                  <w:r>
                    <w:rPr>
                      <w:color w:val="auto"/>
                      <w:sz w:val="18"/>
                      <w:szCs w:val="18"/>
                    </w:rPr>
                    <w:t>E</w:t>
                  </w:r>
                </w:p>
              </w:tc>
              <w:tc>
                <w:tcPr>
                  <w:tcW w:w="396" w:type="pct"/>
                  <w:vMerge w:val="continue"/>
                  <w:vAlign w:val="center"/>
                </w:tcPr>
                <w:p>
                  <w:pPr>
                    <w:widowControl/>
                    <w:jc w:val="left"/>
                    <w:rPr>
                      <w:color w:val="auto"/>
                      <w:sz w:val="18"/>
                      <w:szCs w:val="18"/>
                    </w:rPr>
                  </w:pPr>
                </w:p>
              </w:tc>
              <w:tc>
                <w:tcPr>
                  <w:tcW w:w="333" w:type="pct"/>
                  <w:vMerge w:val="continue"/>
                  <w:vAlign w:val="center"/>
                </w:tcPr>
                <w:p>
                  <w:pPr>
                    <w:widowControl/>
                    <w:jc w:val="left"/>
                    <w:rPr>
                      <w:color w:val="auto"/>
                      <w:sz w:val="18"/>
                      <w:szCs w:val="18"/>
                    </w:rPr>
                  </w:pPr>
                </w:p>
              </w:tc>
              <w:tc>
                <w:tcPr>
                  <w:tcW w:w="333" w:type="pct"/>
                  <w:vMerge w:val="continue"/>
                  <w:vAlign w:val="center"/>
                </w:tcPr>
                <w:p>
                  <w:pPr>
                    <w:widowControl/>
                    <w:jc w:val="left"/>
                    <w:rPr>
                      <w:color w:val="auto"/>
                      <w:sz w:val="18"/>
                      <w:szCs w:val="18"/>
                    </w:rPr>
                  </w:pPr>
                </w:p>
              </w:tc>
              <w:tc>
                <w:tcPr>
                  <w:tcW w:w="348" w:type="pct"/>
                  <w:vMerge w:val="continue"/>
                  <w:vAlign w:val="center"/>
                </w:tcPr>
                <w:p>
                  <w:pPr>
                    <w:widowControl/>
                    <w:jc w:val="left"/>
                    <w:rPr>
                      <w:color w:val="auto"/>
                      <w:sz w:val="18"/>
                      <w:szCs w:val="18"/>
                    </w:rPr>
                  </w:pPr>
                </w:p>
              </w:tc>
              <w:tc>
                <w:tcPr>
                  <w:tcW w:w="433" w:type="pct"/>
                  <w:vMerge w:val="continue"/>
                  <w:vAlign w:val="center"/>
                </w:tcPr>
                <w:p>
                  <w:pPr>
                    <w:widowControl/>
                    <w:jc w:val="left"/>
                    <w:rPr>
                      <w:color w:val="auto"/>
                      <w:sz w:val="18"/>
                      <w:szCs w:val="18"/>
                    </w:rPr>
                  </w:pPr>
                </w:p>
              </w:tc>
              <w:tc>
                <w:tcPr>
                  <w:tcW w:w="541" w:type="pct"/>
                  <w:vMerge w:val="continue"/>
                  <w:vAlign w:val="center"/>
                </w:tcPr>
                <w:p>
                  <w:pPr>
                    <w:widowControl/>
                    <w:jc w:val="left"/>
                    <w:rPr>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restart"/>
                  <w:vAlign w:val="center"/>
                </w:tcPr>
                <w:p>
                  <w:pPr>
                    <w:widowControl/>
                    <w:jc w:val="center"/>
                    <w:rPr>
                      <w:color w:val="auto"/>
                      <w:sz w:val="18"/>
                      <w:szCs w:val="18"/>
                    </w:rPr>
                  </w:pPr>
                  <w:r>
                    <w:rPr>
                      <w:rFonts w:hint="eastAsia"/>
                      <w:color w:val="auto"/>
                      <w:sz w:val="18"/>
                      <w:szCs w:val="18"/>
                    </w:rPr>
                    <w:t>环境</w:t>
                  </w:r>
                  <w:r>
                    <w:rPr>
                      <w:color w:val="auto"/>
                      <w:sz w:val="18"/>
                      <w:szCs w:val="18"/>
                    </w:rPr>
                    <w:t>空气</w:t>
                  </w:r>
                </w:p>
              </w:tc>
              <w:tc>
                <w:tcPr>
                  <w:tcW w:w="749" w:type="pct"/>
                  <w:vAlign w:val="center"/>
                </w:tcPr>
                <w:p>
                  <w:pPr>
                    <w:widowControl/>
                    <w:jc w:val="center"/>
                    <w:rPr>
                      <w:color w:val="auto"/>
                      <w:sz w:val="18"/>
                      <w:szCs w:val="18"/>
                    </w:rPr>
                  </w:pPr>
                  <w:r>
                    <w:rPr>
                      <w:rFonts w:hint="eastAsia"/>
                      <w:color w:val="auto"/>
                      <w:sz w:val="18"/>
                      <w:szCs w:val="18"/>
                    </w:rPr>
                    <w:t>丰和</w:t>
                  </w:r>
                  <w:r>
                    <w:rPr>
                      <w:color w:val="auto"/>
                      <w:sz w:val="18"/>
                      <w:szCs w:val="18"/>
                    </w:rPr>
                    <w:t>坊一期</w:t>
                  </w:r>
                  <w:r>
                    <w:rPr>
                      <w:rFonts w:hint="eastAsia"/>
                      <w:color w:val="auto"/>
                      <w:sz w:val="18"/>
                      <w:szCs w:val="18"/>
                    </w:rPr>
                    <w:t>15幢</w:t>
                  </w:r>
                </w:p>
              </w:tc>
              <w:tc>
                <w:tcPr>
                  <w:tcW w:w="743" w:type="pct"/>
                  <w:vAlign w:val="center"/>
                </w:tcPr>
                <w:p>
                  <w:pPr>
                    <w:spacing w:line="240" w:lineRule="exact"/>
                    <w:jc w:val="center"/>
                    <w:rPr>
                      <w:color w:val="auto"/>
                      <w:sz w:val="18"/>
                      <w:szCs w:val="18"/>
                    </w:rPr>
                  </w:pPr>
                  <w:r>
                    <w:rPr>
                      <w:color w:val="auto"/>
                      <w:sz w:val="18"/>
                      <w:szCs w:val="18"/>
                    </w:rPr>
                    <w:t>34.281391</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896728</w:t>
                  </w:r>
                </w:p>
              </w:tc>
              <w:tc>
                <w:tcPr>
                  <w:tcW w:w="396" w:type="pct"/>
                  <w:vMerge w:val="restart"/>
                  <w:vAlign w:val="center"/>
                </w:tcPr>
                <w:p>
                  <w:pPr>
                    <w:widowControl/>
                    <w:jc w:val="center"/>
                    <w:rPr>
                      <w:color w:val="auto"/>
                      <w:sz w:val="18"/>
                      <w:szCs w:val="18"/>
                    </w:rPr>
                  </w:pPr>
                  <w:r>
                    <w:rPr>
                      <w:rFonts w:hint="eastAsia"/>
                      <w:color w:val="auto"/>
                      <w:sz w:val="18"/>
                      <w:szCs w:val="18"/>
                    </w:rPr>
                    <w:t>居民</w:t>
                  </w:r>
                  <w:r>
                    <w:rPr>
                      <w:color w:val="auto"/>
                      <w:sz w:val="18"/>
                      <w:szCs w:val="18"/>
                    </w:rPr>
                    <w:t>住宅</w:t>
                  </w:r>
                </w:p>
              </w:tc>
              <w:tc>
                <w:tcPr>
                  <w:tcW w:w="333" w:type="pct"/>
                  <w:vMerge w:val="restart"/>
                  <w:vAlign w:val="center"/>
                </w:tcPr>
                <w:p>
                  <w:pPr>
                    <w:widowControl/>
                    <w:jc w:val="center"/>
                    <w:rPr>
                      <w:color w:val="auto"/>
                      <w:sz w:val="18"/>
                      <w:szCs w:val="18"/>
                    </w:rPr>
                  </w:pPr>
                  <w:r>
                    <w:rPr>
                      <w:rFonts w:hint="eastAsia"/>
                      <w:color w:val="auto"/>
                      <w:sz w:val="18"/>
                      <w:szCs w:val="18"/>
                    </w:rPr>
                    <w:t>人群</w:t>
                  </w:r>
                  <w:r>
                    <w:rPr>
                      <w:color w:val="auto"/>
                      <w:sz w:val="18"/>
                      <w:szCs w:val="18"/>
                    </w:rPr>
                    <w:t>健康</w:t>
                  </w:r>
                </w:p>
              </w:tc>
              <w:tc>
                <w:tcPr>
                  <w:tcW w:w="333" w:type="pct"/>
                  <w:vMerge w:val="restart"/>
                  <w:vAlign w:val="center"/>
                </w:tcPr>
                <w:p>
                  <w:pPr>
                    <w:widowControl/>
                    <w:jc w:val="center"/>
                    <w:rPr>
                      <w:color w:val="auto"/>
                      <w:sz w:val="18"/>
                      <w:szCs w:val="18"/>
                    </w:rPr>
                  </w:pPr>
                  <w:r>
                    <w:rPr>
                      <w:rFonts w:hint="eastAsia"/>
                      <w:color w:val="auto"/>
                      <w:sz w:val="18"/>
                      <w:szCs w:val="18"/>
                    </w:rPr>
                    <w:t>二类区</w:t>
                  </w:r>
                </w:p>
              </w:tc>
              <w:tc>
                <w:tcPr>
                  <w:tcW w:w="348" w:type="pct"/>
                  <w:vAlign w:val="center"/>
                </w:tcPr>
                <w:p>
                  <w:pPr>
                    <w:widowControl/>
                    <w:jc w:val="center"/>
                    <w:rPr>
                      <w:color w:val="auto"/>
                      <w:sz w:val="18"/>
                      <w:szCs w:val="18"/>
                    </w:rPr>
                  </w:pPr>
                  <w:r>
                    <w:rPr>
                      <w:color w:val="auto"/>
                      <w:sz w:val="18"/>
                      <w:szCs w:val="18"/>
                    </w:rPr>
                    <w:t>700</w:t>
                  </w:r>
                </w:p>
              </w:tc>
              <w:tc>
                <w:tcPr>
                  <w:tcW w:w="433" w:type="pct"/>
                  <w:vAlign w:val="center"/>
                </w:tcPr>
                <w:p>
                  <w:pPr>
                    <w:jc w:val="center"/>
                    <w:rPr>
                      <w:color w:val="auto"/>
                      <w:sz w:val="18"/>
                      <w:szCs w:val="18"/>
                    </w:rPr>
                  </w:pPr>
                  <w:r>
                    <w:rPr>
                      <w:rFonts w:hint="eastAsia"/>
                      <w:color w:val="auto"/>
                      <w:sz w:val="18"/>
                      <w:szCs w:val="18"/>
                    </w:rPr>
                    <w:t>/</w:t>
                  </w:r>
                </w:p>
              </w:tc>
              <w:tc>
                <w:tcPr>
                  <w:tcW w:w="541" w:type="pct"/>
                  <w:vAlign w:val="center"/>
                </w:tcPr>
                <w:p>
                  <w:pPr>
                    <w:widowControl/>
                    <w:jc w:val="center"/>
                    <w:rPr>
                      <w:color w:val="auto"/>
                      <w:sz w:val="18"/>
                      <w:szCs w:val="18"/>
                    </w:rPr>
                  </w:pPr>
                  <w:r>
                    <w:rPr>
                      <w:rFonts w:hint="eastAsia"/>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丰和</w:t>
                  </w:r>
                  <w:r>
                    <w:rPr>
                      <w:color w:val="auto"/>
                      <w:sz w:val="18"/>
                      <w:szCs w:val="18"/>
                    </w:rPr>
                    <w:t>坊</w:t>
                  </w:r>
                  <w:r>
                    <w:rPr>
                      <w:rFonts w:hint="eastAsia"/>
                      <w:color w:val="auto"/>
                      <w:sz w:val="18"/>
                      <w:szCs w:val="18"/>
                    </w:rPr>
                    <w:t>一期</w:t>
                  </w:r>
                  <w:r>
                    <w:rPr>
                      <w:color w:val="auto"/>
                      <w:sz w:val="18"/>
                      <w:szCs w:val="18"/>
                    </w:rPr>
                    <w:t>南区</w:t>
                  </w:r>
                </w:p>
              </w:tc>
              <w:tc>
                <w:tcPr>
                  <w:tcW w:w="743" w:type="pct"/>
                  <w:vAlign w:val="center"/>
                </w:tcPr>
                <w:p>
                  <w:pPr>
                    <w:spacing w:line="240" w:lineRule="exact"/>
                    <w:jc w:val="center"/>
                    <w:rPr>
                      <w:color w:val="auto"/>
                      <w:sz w:val="18"/>
                      <w:szCs w:val="18"/>
                    </w:rPr>
                  </w:pPr>
                  <w:r>
                    <w:rPr>
                      <w:rFonts w:hint="eastAsia"/>
                      <w:color w:val="auto"/>
                      <w:sz w:val="18"/>
                      <w:szCs w:val="18"/>
                    </w:rPr>
                    <w:t>34.</w:t>
                  </w:r>
                  <w:r>
                    <w:rPr>
                      <w:color w:val="auto"/>
                      <w:sz w:val="18"/>
                      <w:szCs w:val="18"/>
                    </w:rPr>
                    <w:t>280912</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896618</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5000</w:t>
                  </w:r>
                </w:p>
              </w:tc>
              <w:tc>
                <w:tcPr>
                  <w:tcW w:w="433" w:type="pct"/>
                  <w:vAlign w:val="center"/>
                </w:tcPr>
                <w:p>
                  <w:pPr>
                    <w:jc w:val="center"/>
                    <w:rPr>
                      <w:color w:val="auto"/>
                      <w:sz w:val="18"/>
                      <w:szCs w:val="18"/>
                    </w:rPr>
                  </w:pPr>
                  <w:r>
                    <w:rPr>
                      <w:rFonts w:hint="eastAsia"/>
                      <w:color w:val="auto"/>
                      <w:sz w:val="18"/>
                      <w:szCs w:val="18"/>
                    </w:rPr>
                    <w:t>南</w:t>
                  </w:r>
                </w:p>
              </w:tc>
              <w:tc>
                <w:tcPr>
                  <w:tcW w:w="541" w:type="pct"/>
                  <w:vAlign w:val="center"/>
                </w:tcPr>
                <w:p>
                  <w:pPr>
                    <w:widowControl/>
                    <w:jc w:val="center"/>
                    <w:rPr>
                      <w:color w:val="auto"/>
                      <w:sz w:val="18"/>
                      <w:szCs w:val="18"/>
                    </w:rPr>
                  </w:pPr>
                  <w:r>
                    <w:rPr>
                      <w:color w:val="auto"/>
                      <w:sz w:val="18"/>
                      <w:szCs w:val="18"/>
                    </w:rPr>
                    <w:t>68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太奥</w:t>
                  </w:r>
                  <w:r>
                    <w:rPr>
                      <w:color w:val="auto"/>
                      <w:sz w:val="18"/>
                      <w:szCs w:val="18"/>
                    </w:rPr>
                    <w:t>广场东郡</w:t>
                  </w:r>
                </w:p>
              </w:tc>
              <w:tc>
                <w:tcPr>
                  <w:tcW w:w="743" w:type="pct"/>
                  <w:vAlign w:val="center"/>
                </w:tcPr>
                <w:p>
                  <w:pPr>
                    <w:spacing w:line="240" w:lineRule="exact"/>
                    <w:jc w:val="center"/>
                    <w:rPr>
                      <w:color w:val="auto"/>
                      <w:sz w:val="18"/>
                      <w:szCs w:val="18"/>
                    </w:rPr>
                  </w:pPr>
                  <w:r>
                    <w:rPr>
                      <w:rFonts w:hint="eastAsia"/>
                      <w:color w:val="auto"/>
                      <w:sz w:val="18"/>
                      <w:szCs w:val="18"/>
                    </w:rPr>
                    <w:t>34.280136</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895996</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1200</w:t>
                  </w:r>
                </w:p>
              </w:tc>
              <w:tc>
                <w:tcPr>
                  <w:tcW w:w="433" w:type="pct"/>
                  <w:vAlign w:val="center"/>
                </w:tcPr>
                <w:p>
                  <w:pPr>
                    <w:jc w:val="center"/>
                    <w:rPr>
                      <w:color w:val="auto"/>
                      <w:sz w:val="18"/>
                      <w:szCs w:val="18"/>
                    </w:rPr>
                  </w:pPr>
                  <w:r>
                    <w:rPr>
                      <w:rFonts w:hint="eastAsia"/>
                      <w:color w:val="auto"/>
                      <w:sz w:val="18"/>
                      <w:szCs w:val="18"/>
                    </w:rPr>
                    <w:t>南</w:t>
                  </w:r>
                </w:p>
              </w:tc>
              <w:tc>
                <w:tcPr>
                  <w:tcW w:w="541" w:type="pct"/>
                  <w:vAlign w:val="center"/>
                </w:tcPr>
                <w:p>
                  <w:pPr>
                    <w:widowControl/>
                    <w:jc w:val="center"/>
                    <w:rPr>
                      <w:color w:val="auto"/>
                      <w:sz w:val="18"/>
                      <w:szCs w:val="18"/>
                    </w:rPr>
                  </w:pPr>
                  <w:r>
                    <w:rPr>
                      <w:rFonts w:hint="eastAsia"/>
                      <w:color w:val="auto"/>
                      <w:sz w:val="18"/>
                      <w:szCs w:val="18"/>
                    </w:rPr>
                    <w:t>132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西</w:t>
                  </w:r>
                  <w:r>
                    <w:rPr>
                      <w:color w:val="auto"/>
                      <w:sz w:val="18"/>
                      <w:szCs w:val="18"/>
                    </w:rPr>
                    <w:t>安市大兴新区初级中学</w:t>
                  </w:r>
                </w:p>
              </w:tc>
              <w:tc>
                <w:tcPr>
                  <w:tcW w:w="743" w:type="pct"/>
                  <w:vAlign w:val="center"/>
                </w:tcPr>
                <w:p>
                  <w:pPr>
                    <w:spacing w:line="240" w:lineRule="exact"/>
                    <w:jc w:val="center"/>
                    <w:rPr>
                      <w:color w:val="auto"/>
                      <w:sz w:val="18"/>
                      <w:szCs w:val="18"/>
                    </w:rPr>
                  </w:pPr>
                  <w:r>
                    <w:rPr>
                      <w:rFonts w:hint="eastAsia"/>
                      <w:color w:val="auto"/>
                      <w:sz w:val="18"/>
                      <w:szCs w:val="18"/>
                    </w:rPr>
                    <w:t>34.280136</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895664</w:t>
                  </w:r>
                </w:p>
              </w:tc>
              <w:tc>
                <w:tcPr>
                  <w:tcW w:w="396" w:type="pct"/>
                  <w:vAlign w:val="center"/>
                </w:tcPr>
                <w:p>
                  <w:pPr>
                    <w:widowControl/>
                    <w:jc w:val="center"/>
                    <w:rPr>
                      <w:color w:val="auto"/>
                      <w:sz w:val="18"/>
                      <w:szCs w:val="18"/>
                    </w:rPr>
                  </w:pPr>
                  <w:r>
                    <w:rPr>
                      <w:rFonts w:hint="eastAsia"/>
                      <w:color w:val="auto"/>
                      <w:sz w:val="18"/>
                      <w:szCs w:val="18"/>
                    </w:rPr>
                    <w:t>学校</w:t>
                  </w:r>
                </w:p>
              </w:tc>
              <w:tc>
                <w:tcPr>
                  <w:tcW w:w="333" w:type="pct"/>
                  <w:vMerge w:val="continue"/>
                  <w:vAlign w:val="center"/>
                </w:tcPr>
                <w:p>
                  <w:pPr>
                    <w:jc w:val="center"/>
                    <w:rPr>
                      <w:color w:val="auto"/>
                      <w:sz w:val="18"/>
                      <w:szCs w:val="18"/>
                    </w:rPr>
                  </w:pPr>
                </w:p>
              </w:tc>
              <w:tc>
                <w:tcPr>
                  <w:tcW w:w="333" w:type="pct"/>
                  <w:vMerge w:val="continue"/>
                  <w:vAlign w:val="center"/>
                </w:tcPr>
                <w:p>
                  <w:pPr>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1500</w:t>
                  </w:r>
                </w:p>
              </w:tc>
              <w:tc>
                <w:tcPr>
                  <w:tcW w:w="433" w:type="pct"/>
                  <w:vAlign w:val="center"/>
                </w:tcPr>
                <w:p>
                  <w:pPr>
                    <w:jc w:val="center"/>
                    <w:rPr>
                      <w:color w:val="auto"/>
                      <w:sz w:val="18"/>
                      <w:szCs w:val="18"/>
                    </w:rPr>
                  </w:pPr>
                  <w:r>
                    <w:rPr>
                      <w:rFonts w:hint="eastAsia"/>
                      <w:color w:val="auto"/>
                      <w:sz w:val="18"/>
                      <w:szCs w:val="18"/>
                    </w:rPr>
                    <w:t>西</w:t>
                  </w:r>
                  <w:r>
                    <w:rPr>
                      <w:color w:val="auto"/>
                      <w:sz w:val="18"/>
                      <w:szCs w:val="18"/>
                    </w:rPr>
                    <w:t>南</w:t>
                  </w:r>
                </w:p>
              </w:tc>
              <w:tc>
                <w:tcPr>
                  <w:tcW w:w="541" w:type="pct"/>
                  <w:vAlign w:val="center"/>
                </w:tcPr>
                <w:p>
                  <w:pPr>
                    <w:widowControl/>
                    <w:jc w:val="center"/>
                    <w:rPr>
                      <w:color w:val="auto"/>
                      <w:sz w:val="18"/>
                      <w:szCs w:val="18"/>
                    </w:rPr>
                  </w:pPr>
                  <w:r>
                    <w:rPr>
                      <w:rFonts w:hint="eastAsia"/>
                      <w:color w:val="auto"/>
                      <w:sz w:val="18"/>
                      <w:szCs w:val="18"/>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西</w:t>
                  </w:r>
                  <w:r>
                    <w:rPr>
                      <w:color w:val="auto"/>
                      <w:sz w:val="18"/>
                      <w:szCs w:val="18"/>
                    </w:rPr>
                    <w:t>安鑫苑大都汇</w:t>
                  </w:r>
                </w:p>
              </w:tc>
              <w:tc>
                <w:tcPr>
                  <w:tcW w:w="743" w:type="pct"/>
                  <w:vAlign w:val="center"/>
                </w:tcPr>
                <w:p>
                  <w:pPr>
                    <w:spacing w:line="240" w:lineRule="exact"/>
                    <w:jc w:val="center"/>
                    <w:rPr>
                      <w:color w:val="auto"/>
                      <w:sz w:val="18"/>
                      <w:szCs w:val="18"/>
                    </w:rPr>
                  </w:pPr>
                  <w:r>
                    <w:rPr>
                      <w:rFonts w:hint="eastAsia"/>
                      <w:color w:val="auto"/>
                      <w:sz w:val="18"/>
                      <w:szCs w:val="18"/>
                    </w:rPr>
                    <w:t>34.281563</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898373</w:t>
                  </w:r>
                </w:p>
              </w:tc>
              <w:tc>
                <w:tcPr>
                  <w:tcW w:w="396" w:type="pct"/>
                  <w:vMerge w:val="restart"/>
                  <w:vAlign w:val="center"/>
                </w:tcPr>
                <w:p>
                  <w:pPr>
                    <w:jc w:val="center"/>
                    <w:rPr>
                      <w:color w:val="auto"/>
                      <w:sz w:val="18"/>
                      <w:szCs w:val="18"/>
                    </w:rPr>
                  </w:pPr>
                  <w:r>
                    <w:rPr>
                      <w:rFonts w:hint="eastAsia"/>
                      <w:color w:val="auto"/>
                      <w:sz w:val="18"/>
                      <w:szCs w:val="18"/>
                    </w:rPr>
                    <w:t>居民</w:t>
                  </w:r>
                  <w:r>
                    <w:rPr>
                      <w:color w:val="auto"/>
                      <w:sz w:val="18"/>
                      <w:szCs w:val="18"/>
                    </w:rPr>
                    <w:t>住宅</w:t>
                  </w:r>
                </w:p>
              </w:tc>
              <w:tc>
                <w:tcPr>
                  <w:tcW w:w="333" w:type="pct"/>
                  <w:vMerge w:val="continue"/>
                  <w:vAlign w:val="center"/>
                </w:tcPr>
                <w:p>
                  <w:pPr>
                    <w:jc w:val="center"/>
                    <w:rPr>
                      <w:color w:val="auto"/>
                      <w:sz w:val="18"/>
                      <w:szCs w:val="18"/>
                    </w:rPr>
                  </w:pPr>
                </w:p>
              </w:tc>
              <w:tc>
                <w:tcPr>
                  <w:tcW w:w="333" w:type="pct"/>
                  <w:vMerge w:val="continue"/>
                  <w:vAlign w:val="center"/>
                </w:tcPr>
                <w:p>
                  <w:pPr>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800</w:t>
                  </w:r>
                </w:p>
              </w:tc>
              <w:tc>
                <w:tcPr>
                  <w:tcW w:w="433" w:type="pct"/>
                  <w:vAlign w:val="center"/>
                </w:tcPr>
                <w:p>
                  <w:pPr>
                    <w:jc w:val="center"/>
                    <w:rPr>
                      <w:color w:val="auto"/>
                      <w:sz w:val="18"/>
                      <w:szCs w:val="18"/>
                    </w:rPr>
                  </w:pPr>
                  <w:r>
                    <w:rPr>
                      <w:rFonts w:hint="eastAsia"/>
                      <w:color w:val="auto"/>
                      <w:sz w:val="18"/>
                      <w:szCs w:val="18"/>
                    </w:rPr>
                    <w:t>东</w:t>
                  </w:r>
                </w:p>
              </w:tc>
              <w:tc>
                <w:tcPr>
                  <w:tcW w:w="541" w:type="pct"/>
                  <w:vAlign w:val="center"/>
                </w:tcPr>
                <w:p>
                  <w:pPr>
                    <w:widowControl/>
                    <w:jc w:val="center"/>
                    <w:rPr>
                      <w:color w:val="auto"/>
                      <w:sz w:val="18"/>
                      <w:szCs w:val="18"/>
                    </w:rPr>
                  </w:pPr>
                  <w:r>
                    <w:rPr>
                      <w:rFonts w:hint="eastAsia"/>
                      <w:color w:val="auto"/>
                      <w:sz w:val="18"/>
                      <w:szCs w:val="18"/>
                    </w:rPr>
                    <w:t>160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汉湖天</w:t>
                  </w:r>
                  <w:r>
                    <w:rPr>
                      <w:color w:val="auto"/>
                      <w:sz w:val="18"/>
                      <w:szCs w:val="18"/>
                    </w:rPr>
                    <w:t>璟公寓</w:t>
                  </w:r>
                </w:p>
              </w:tc>
              <w:tc>
                <w:tcPr>
                  <w:tcW w:w="743" w:type="pct"/>
                  <w:vAlign w:val="center"/>
                </w:tcPr>
                <w:p>
                  <w:pPr>
                    <w:spacing w:line="240" w:lineRule="exact"/>
                    <w:jc w:val="center"/>
                    <w:rPr>
                      <w:color w:val="auto"/>
                      <w:sz w:val="18"/>
                      <w:szCs w:val="18"/>
                    </w:rPr>
                  </w:pPr>
                  <w:r>
                    <w:rPr>
                      <w:rFonts w:hint="eastAsia"/>
                      <w:color w:val="auto"/>
                      <w:sz w:val="18"/>
                      <w:szCs w:val="18"/>
                    </w:rPr>
                    <w:t>34.282804</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898308</w:t>
                  </w:r>
                </w:p>
              </w:tc>
              <w:tc>
                <w:tcPr>
                  <w:tcW w:w="396" w:type="pct"/>
                  <w:vMerge w:val="continue"/>
                  <w:vAlign w:val="center"/>
                </w:tcPr>
                <w:p>
                  <w:pPr>
                    <w:jc w:val="center"/>
                    <w:rPr>
                      <w:color w:val="auto"/>
                      <w:sz w:val="18"/>
                      <w:szCs w:val="18"/>
                    </w:rPr>
                  </w:pPr>
                </w:p>
              </w:tc>
              <w:tc>
                <w:tcPr>
                  <w:tcW w:w="333" w:type="pct"/>
                  <w:vMerge w:val="continue"/>
                  <w:vAlign w:val="center"/>
                </w:tcPr>
                <w:p>
                  <w:pPr>
                    <w:jc w:val="center"/>
                    <w:rPr>
                      <w:color w:val="auto"/>
                      <w:sz w:val="18"/>
                      <w:szCs w:val="18"/>
                    </w:rPr>
                  </w:pPr>
                </w:p>
              </w:tc>
              <w:tc>
                <w:tcPr>
                  <w:tcW w:w="333" w:type="pct"/>
                  <w:vMerge w:val="continue"/>
                  <w:vAlign w:val="center"/>
                </w:tcPr>
                <w:p>
                  <w:pPr>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800</w:t>
                  </w:r>
                </w:p>
              </w:tc>
              <w:tc>
                <w:tcPr>
                  <w:tcW w:w="433" w:type="pct"/>
                  <w:vAlign w:val="center"/>
                </w:tcPr>
                <w:p>
                  <w:pPr>
                    <w:jc w:val="center"/>
                    <w:rPr>
                      <w:color w:val="auto"/>
                      <w:sz w:val="18"/>
                      <w:szCs w:val="18"/>
                    </w:rPr>
                  </w:pPr>
                  <w:r>
                    <w:rPr>
                      <w:rFonts w:hint="eastAsia"/>
                      <w:color w:val="auto"/>
                      <w:sz w:val="18"/>
                      <w:szCs w:val="18"/>
                    </w:rPr>
                    <w:t>东北</w:t>
                  </w:r>
                </w:p>
              </w:tc>
              <w:tc>
                <w:tcPr>
                  <w:tcW w:w="541" w:type="pct"/>
                  <w:vAlign w:val="center"/>
                </w:tcPr>
                <w:p>
                  <w:pPr>
                    <w:widowControl/>
                    <w:jc w:val="center"/>
                    <w:rPr>
                      <w:color w:val="auto"/>
                      <w:sz w:val="18"/>
                      <w:szCs w:val="18"/>
                    </w:rPr>
                  </w:pPr>
                  <w:r>
                    <w:rPr>
                      <w:rFonts w:hint="eastAsia"/>
                      <w:color w:val="auto"/>
                      <w:sz w:val="18"/>
                      <w:szCs w:val="18"/>
                    </w:rPr>
                    <w:t>210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西</w:t>
                  </w:r>
                  <w:r>
                    <w:rPr>
                      <w:color w:val="auto"/>
                      <w:sz w:val="18"/>
                      <w:szCs w:val="18"/>
                    </w:rPr>
                    <w:t>变公司</w:t>
                  </w:r>
                  <w:r>
                    <w:rPr>
                      <w:rFonts w:hint="eastAsia"/>
                      <w:color w:val="auto"/>
                      <w:sz w:val="18"/>
                      <w:szCs w:val="18"/>
                    </w:rPr>
                    <w:t>沣河</w:t>
                  </w:r>
                  <w:r>
                    <w:rPr>
                      <w:color w:val="auto"/>
                      <w:sz w:val="18"/>
                      <w:szCs w:val="18"/>
                    </w:rPr>
                    <w:t>小区</w:t>
                  </w:r>
                </w:p>
              </w:tc>
              <w:tc>
                <w:tcPr>
                  <w:tcW w:w="743" w:type="pct"/>
                  <w:vAlign w:val="center"/>
                </w:tcPr>
                <w:p>
                  <w:pPr>
                    <w:spacing w:line="240" w:lineRule="exact"/>
                    <w:jc w:val="center"/>
                    <w:rPr>
                      <w:color w:val="auto"/>
                      <w:sz w:val="18"/>
                      <w:szCs w:val="18"/>
                    </w:rPr>
                  </w:pPr>
                  <w:r>
                    <w:rPr>
                      <w:rFonts w:hint="eastAsia"/>
                      <w:color w:val="auto"/>
                      <w:sz w:val="18"/>
                      <w:szCs w:val="18"/>
                    </w:rPr>
                    <w:t>34.</w:t>
                  </w:r>
                  <w:r>
                    <w:rPr>
                      <w:color w:val="auto"/>
                      <w:sz w:val="18"/>
                      <w:szCs w:val="18"/>
                    </w:rPr>
                    <w:t>281475</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894371</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2000</w:t>
                  </w:r>
                </w:p>
              </w:tc>
              <w:tc>
                <w:tcPr>
                  <w:tcW w:w="433" w:type="pct"/>
                  <w:tcBorders>
                    <w:right w:val="single" w:color="auto" w:sz="12" w:space="0"/>
                  </w:tcBorders>
                  <w:vAlign w:val="center"/>
                </w:tcPr>
                <w:p>
                  <w:pPr>
                    <w:jc w:val="center"/>
                    <w:rPr>
                      <w:color w:val="auto"/>
                      <w:sz w:val="18"/>
                      <w:szCs w:val="18"/>
                    </w:rPr>
                  </w:pPr>
                  <w:r>
                    <w:rPr>
                      <w:rFonts w:hint="eastAsia"/>
                      <w:color w:val="auto"/>
                      <w:sz w:val="18"/>
                      <w:szCs w:val="18"/>
                    </w:rPr>
                    <w:t>西</w:t>
                  </w:r>
                </w:p>
              </w:tc>
              <w:tc>
                <w:tcPr>
                  <w:tcW w:w="541" w:type="pct"/>
                  <w:tcBorders>
                    <w:left w:val="single" w:color="auto" w:sz="12" w:space="0"/>
                  </w:tcBorders>
                  <w:vAlign w:val="center"/>
                </w:tcPr>
                <w:p>
                  <w:pPr>
                    <w:widowControl/>
                    <w:jc w:val="center"/>
                    <w:rPr>
                      <w:color w:val="auto"/>
                      <w:sz w:val="18"/>
                      <w:szCs w:val="18"/>
                    </w:rPr>
                  </w:pPr>
                  <w:r>
                    <w:rPr>
                      <w:color w:val="auto"/>
                      <w:sz w:val="18"/>
                      <w:szCs w:val="18"/>
                    </w:rPr>
                    <w:t>210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百</w:t>
                  </w:r>
                  <w:r>
                    <w:rPr>
                      <w:color w:val="auto"/>
                      <w:sz w:val="18"/>
                      <w:szCs w:val="18"/>
                    </w:rPr>
                    <w:t>欣花园</w:t>
                  </w:r>
                </w:p>
              </w:tc>
              <w:tc>
                <w:tcPr>
                  <w:tcW w:w="743" w:type="pct"/>
                  <w:vAlign w:val="center"/>
                </w:tcPr>
                <w:p>
                  <w:pPr>
                    <w:spacing w:line="240" w:lineRule="exact"/>
                    <w:jc w:val="center"/>
                    <w:rPr>
                      <w:color w:val="auto"/>
                      <w:sz w:val="18"/>
                      <w:szCs w:val="18"/>
                    </w:rPr>
                  </w:pPr>
                  <w:r>
                    <w:rPr>
                      <w:rFonts w:hint="eastAsia"/>
                      <w:color w:val="auto"/>
                      <w:sz w:val="18"/>
                      <w:szCs w:val="18"/>
                    </w:rPr>
                    <w:t>34.</w:t>
                  </w:r>
                  <w:r>
                    <w:rPr>
                      <w:color w:val="auto"/>
                      <w:sz w:val="18"/>
                      <w:szCs w:val="18"/>
                    </w:rPr>
                    <w:t>280517</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894435</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1500</w:t>
                  </w:r>
                </w:p>
              </w:tc>
              <w:tc>
                <w:tcPr>
                  <w:tcW w:w="433" w:type="pct"/>
                  <w:vAlign w:val="center"/>
                </w:tcPr>
                <w:p>
                  <w:pPr>
                    <w:jc w:val="center"/>
                    <w:rPr>
                      <w:color w:val="auto"/>
                      <w:sz w:val="18"/>
                      <w:szCs w:val="18"/>
                    </w:rPr>
                  </w:pPr>
                  <w:r>
                    <w:rPr>
                      <w:rFonts w:hint="eastAsia"/>
                      <w:color w:val="auto"/>
                      <w:sz w:val="18"/>
                      <w:szCs w:val="18"/>
                    </w:rPr>
                    <w:t>西南</w:t>
                  </w:r>
                </w:p>
              </w:tc>
              <w:tc>
                <w:tcPr>
                  <w:tcW w:w="541" w:type="pct"/>
                  <w:vAlign w:val="center"/>
                </w:tcPr>
                <w:p>
                  <w:pPr>
                    <w:widowControl/>
                    <w:jc w:val="center"/>
                    <w:rPr>
                      <w:color w:val="auto"/>
                      <w:sz w:val="18"/>
                      <w:szCs w:val="18"/>
                    </w:rPr>
                  </w:pPr>
                  <w:r>
                    <w:rPr>
                      <w:color w:val="auto"/>
                      <w:sz w:val="18"/>
                      <w:szCs w:val="18"/>
                    </w:rPr>
                    <w:t>215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太奥</w:t>
                  </w:r>
                  <w:r>
                    <w:rPr>
                      <w:color w:val="auto"/>
                      <w:sz w:val="18"/>
                      <w:szCs w:val="18"/>
                    </w:rPr>
                    <w:t>青年家</w:t>
                  </w:r>
                </w:p>
              </w:tc>
              <w:tc>
                <w:tcPr>
                  <w:tcW w:w="743" w:type="pct"/>
                  <w:vAlign w:val="center"/>
                </w:tcPr>
                <w:p>
                  <w:pPr>
                    <w:spacing w:line="240" w:lineRule="exact"/>
                    <w:jc w:val="center"/>
                    <w:rPr>
                      <w:color w:val="auto"/>
                      <w:sz w:val="18"/>
                      <w:szCs w:val="18"/>
                    </w:rPr>
                  </w:pPr>
                  <w:r>
                    <w:rPr>
                      <w:rFonts w:hint="eastAsia"/>
                      <w:color w:val="auto"/>
                      <w:sz w:val="18"/>
                      <w:szCs w:val="18"/>
                    </w:rPr>
                    <w:t>34.279471</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894741</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1200</w:t>
                  </w:r>
                </w:p>
              </w:tc>
              <w:tc>
                <w:tcPr>
                  <w:tcW w:w="433" w:type="pct"/>
                  <w:vAlign w:val="center"/>
                </w:tcPr>
                <w:p>
                  <w:pPr>
                    <w:jc w:val="center"/>
                    <w:rPr>
                      <w:color w:val="auto"/>
                      <w:sz w:val="18"/>
                      <w:szCs w:val="18"/>
                    </w:rPr>
                  </w:pPr>
                  <w:r>
                    <w:rPr>
                      <w:rFonts w:hint="eastAsia"/>
                      <w:color w:val="auto"/>
                      <w:sz w:val="18"/>
                      <w:szCs w:val="18"/>
                    </w:rPr>
                    <w:t>西</w:t>
                  </w:r>
                  <w:r>
                    <w:rPr>
                      <w:color w:val="auto"/>
                      <w:sz w:val="18"/>
                      <w:szCs w:val="18"/>
                    </w:rPr>
                    <w:t>南</w:t>
                  </w:r>
                </w:p>
              </w:tc>
              <w:tc>
                <w:tcPr>
                  <w:tcW w:w="541" w:type="pct"/>
                  <w:vAlign w:val="center"/>
                </w:tcPr>
                <w:p>
                  <w:pPr>
                    <w:widowControl/>
                    <w:jc w:val="center"/>
                    <w:rPr>
                      <w:color w:val="auto"/>
                      <w:sz w:val="18"/>
                      <w:szCs w:val="18"/>
                    </w:rPr>
                  </w:pPr>
                  <w:r>
                    <w:rPr>
                      <w:rFonts w:hint="eastAsia"/>
                      <w:color w:val="auto"/>
                      <w:sz w:val="18"/>
                      <w:szCs w:val="18"/>
                    </w:rPr>
                    <w:t>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白家口</w:t>
                  </w:r>
                  <w:r>
                    <w:rPr>
                      <w:color w:val="auto"/>
                      <w:sz w:val="18"/>
                      <w:szCs w:val="18"/>
                    </w:rPr>
                    <w:t>丽苑小区</w:t>
                  </w:r>
                </w:p>
              </w:tc>
              <w:tc>
                <w:tcPr>
                  <w:tcW w:w="743" w:type="pct"/>
                  <w:vAlign w:val="center"/>
                </w:tcPr>
                <w:p>
                  <w:pPr>
                    <w:spacing w:line="240" w:lineRule="exact"/>
                    <w:jc w:val="center"/>
                    <w:rPr>
                      <w:color w:val="auto"/>
                      <w:sz w:val="18"/>
                      <w:szCs w:val="18"/>
                    </w:rPr>
                  </w:pPr>
                  <w:r>
                    <w:rPr>
                      <w:rFonts w:hint="eastAsia"/>
                      <w:color w:val="auto"/>
                      <w:sz w:val="18"/>
                      <w:szCs w:val="18"/>
                    </w:rPr>
                    <w:t>34.284364</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898351</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2500</w:t>
                  </w:r>
                </w:p>
              </w:tc>
              <w:tc>
                <w:tcPr>
                  <w:tcW w:w="433" w:type="pct"/>
                  <w:vAlign w:val="center"/>
                </w:tcPr>
                <w:p>
                  <w:pPr>
                    <w:jc w:val="center"/>
                    <w:rPr>
                      <w:color w:val="auto"/>
                      <w:sz w:val="18"/>
                      <w:szCs w:val="18"/>
                    </w:rPr>
                  </w:pPr>
                  <w:r>
                    <w:rPr>
                      <w:rFonts w:hint="eastAsia"/>
                      <w:color w:val="auto"/>
                      <w:sz w:val="18"/>
                      <w:szCs w:val="18"/>
                    </w:rPr>
                    <w:t>东北</w:t>
                  </w:r>
                </w:p>
              </w:tc>
              <w:tc>
                <w:tcPr>
                  <w:tcW w:w="541" w:type="pct"/>
                  <w:vAlign w:val="center"/>
                </w:tcPr>
                <w:p>
                  <w:pPr>
                    <w:widowControl/>
                    <w:jc w:val="center"/>
                    <w:rPr>
                      <w:color w:val="auto"/>
                      <w:sz w:val="18"/>
                      <w:szCs w:val="18"/>
                    </w:rPr>
                  </w:pPr>
                  <w:r>
                    <w:rPr>
                      <w:rFonts w:hint="eastAsia"/>
                      <w:color w:val="auto"/>
                      <w:sz w:val="18"/>
                      <w:szCs w:val="18"/>
                    </w:rPr>
                    <w:t>380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方</w:t>
                  </w:r>
                  <w:r>
                    <w:rPr>
                      <w:color w:val="auto"/>
                      <w:sz w:val="18"/>
                      <w:szCs w:val="18"/>
                    </w:rPr>
                    <w:t>欣小区西区</w:t>
                  </w:r>
                </w:p>
              </w:tc>
              <w:tc>
                <w:tcPr>
                  <w:tcW w:w="743" w:type="pct"/>
                  <w:vAlign w:val="center"/>
                </w:tcPr>
                <w:p>
                  <w:pPr>
                    <w:spacing w:line="240" w:lineRule="exact"/>
                    <w:jc w:val="center"/>
                    <w:rPr>
                      <w:color w:val="auto"/>
                      <w:sz w:val="18"/>
                      <w:szCs w:val="18"/>
                    </w:rPr>
                  </w:pPr>
                  <w:r>
                    <w:rPr>
                      <w:rFonts w:hint="eastAsia"/>
                      <w:color w:val="auto"/>
                      <w:sz w:val="18"/>
                      <w:szCs w:val="18"/>
                    </w:rPr>
                    <w:t>34.</w:t>
                  </w:r>
                  <w:r>
                    <w:rPr>
                      <w:color w:val="auto"/>
                      <w:sz w:val="18"/>
                      <w:szCs w:val="18"/>
                    </w:rPr>
                    <w:t>285233</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895541</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2500</w:t>
                  </w:r>
                </w:p>
              </w:tc>
              <w:tc>
                <w:tcPr>
                  <w:tcW w:w="433" w:type="pct"/>
                  <w:vAlign w:val="center"/>
                </w:tcPr>
                <w:p>
                  <w:pPr>
                    <w:jc w:val="center"/>
                    <w:rPr>
                      <w:color w:val="auto"/>
                      <w:sz w:val="18"/>
                      <w:szCs w:val="18"/>
                    </w:rPr>
                  </w:pPr>
                  <w:r>
                    <w:rPr>
                      <w:rFonts w:hint="eastAsia"/>
                      <w:color w:val="auto"/>
                      <w:sz w:val="18"/>
                      <w:szCs w:val="18"/>
                    </w:rPr>
                    <w:t>北</w:t>
                  </w:r>
                </w:p>
              </w:tc>
              <w:tc>
                <w:tcPr>
                  <w:tcW w:w="541" w:type="pct"/>
                  <w:vAlign w:val="center"/>
                </w:tcPr>
                <w:p>
                  <w:pPr>
                    <w:widowControl/>
                    <w:jc w:val="center"/>
                    <w:rPr>
                      <w:color w:val="auto"/>
                      <w:sz w:val="18"/>
                      <w:szCs w:val="18"/>
                    </w:rPr>
                  </w:pPr>
                  <w:r>
                    <w:rPr>
                      <w:rFonts w:hint="eastAsia"/>
                      <w:color w:val="auto"/>
                      <w:sz w:val="18"/>
                      <w:szCs w:val="18"/>
                    </w:rPr>
                    <w:t>440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1" w:type="pct"/>
                  <w:vMerge w:val="continue"/>
                  <w:vAlign w:val="center"/>
                </w:tcPr>
                <w:p>
                  <w:pPr>
                    <w:widowControl/>
                    <w:jc w:val="center"/>
                    <w:rPr>
                      <w:color w:val="auto"/>
                      <w:sz w:val="18"/>
                      <w:szCs w:val="18"/>
                    </w:rPr>
                  </w:pPr>
                </w:p>
              </w:tc>
              <w:tc>
                <w:tcPr>
                  <w:tcW w:w="749" w:type="pct"/>
                  <w:vAlign w:val="center"/>
                </w:tcPr>
                <w:p>
                  <w:pPr>
                    <w:widowControl/>
                    <w:jc w:val="center"/>
                    <w:rPr>
                      <w:color w:val="auto"/>
                      <w:sz w:val="18"/>
                      <w:szCs w:val="18"/>
                    </w:rPr>
                  </w:pPr>
                  <w:r>
                    <w:rPr>
                      <w:rFonts w:hint="eastAsia"/>
                      <w:color w:val="auto"/>
                      <w:sz w:val="18"/>
                      <w:szCs w:val="18"/>
                    </w:rPr>
                    <w:t>丰</w:t>
                  </w:r>
                  <w:r>
                    <w:rPr>
                      <w:color w:val="auto"/>
                      <w:sz w:val="18"/>
                      <w:szCs w:val="18"/>
                    </w:rPr>
                    <w:t>禾家园三号小区</w:t>
                  </w:r>
                </w:p>
              </w:tc>
              <w:tc>
                <w:tcPr>
                  <w:tcW w:w="743" w:type="pct"/>
                  <w:vAlign w:val="center"/>
                </w:tcPr>
                <w:p>
                  <w:pPr>
                    <w:spacing w:line="240" w:lineRule="exact"/>
                    <w:jc w:val="center"/>
                    <w:rPr>
                      <w:color w:val="auto"/>
                      <w:sz w:val="18"/>
                      <w:szCs w:val="18"/>
                    </w:rPr>
                  </w:pPr>
                  <w:r>
                    <w:rPr>
                      <w:rFonts w:hint="eastAsia"/>
                      <w:color w:val="auto"/>
                      <w:sz w:val="18"/>
                      <w:szCs w:val="18"/>
                    </w:rPr>
                    <w:t>34.3279356</w:t>
                  </w:r>
                </w:p>
              </w:tc>
              <w:tc>
                <w:tcPr>
                  <w:tcW w:w="743"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901269</w:t>
                  </w:r>
                </w:p>
              </w:tc>
              <w:tc>
                <w:tcPr>
                  <w:tcW w:w="396"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33" w:type="pct"/>
                  <w:vMerge w:val="continue"/>
                  <w:vAlign w:val="center"/>
                </w:tcPr>
                <w:p>
                  <w:pPr>
                    <w:widowControl/>
                    <w:jc w:val="center"/>
                    <w:rPr>
                      <w:color w:val="auto"/>
                      <w:sz w:val="18"/>
                      <w:szCs w:val="18"/>
                    </w:rPr>
                  </w:pPr>
                </w:p>
              </w:tc>
              <w:tc>
                <w:tcPr>
                  <w:tcW w:w="348" w:type="pct"/>
                  <w:vAlign w:val="center"/>
                </w:tcPr>
                <w:p>
                  <w:pPr>
                    <w:widowControl/>
                    <w:jc w:val="center"/>
                    <w:rPr>
                      <w:color w:val="auto"/>
                      <w:sz w:val="18"/>
                      <w:szCs w:val="18"/>
                    </w:rPr>
                  </w:pPr>
                  <w:r>
                    <w:rPr>
                      <w:rFonts w:hint="eastAsia"/>
                      <w:color w:val="auto"/>
                      <w:sz w:val="18"/>
                      <w:szCs w:val="18"/>
                    </w:rPr>
                    <w:t>1500</w:t>
                  </w:r>
                </w:p>
              </w:tc>
              <w:tc>
                <w:tcPr>
                  <w:tcW w:w="433" w:type="pct"/>
                  <w:vAlign w:val="center"/>
                </w:tcPr>
                <w:p>
                  <w:pPr>
                    <w:jc w:val="center"/>
                    <w:rPr>
                      <w:color w:val="auto"/>
                      <w:sz w:val="18"/>
                      <w:szCs w:val="18"/>
                    </w:rPr>
                  </w:pPr>
                  <w:r>
                    <w:rPr>
                      <w:rFonts w:hint="eastAsia"/>
                      <w:color w:val="auto"/>
                      <w:sz w:val="18"/>
                      <w:szCs w:val="18"/>
                    </w:rPr>
                    <w:t>东南</w:t>
                  </w:r>
                </w:p>
              </w:tc>
              <w:tc>
                <w:tcPr>
                  <w:tcW w:w="541" w:type="pct"/>
                  <w:vAlign w:val="center"/>
                </w:tcPr>
                <w:p>
                  <w:pPr>
                    <w:widowControl/>
                    <w:jc w:val="center"/>
                    <w:rPr>
                      <w:color w:val="auto"/>
                      <w:sz w:val="18"/>
                      <w:szCs w:val="18"/>
                    </w:rPr>
                  </w:pPr>
                  <w:r>
                    <w:rPr>
                      <w:rFonts w:hint="eastAsia"/>
                      <w:color w:val="auto"/>
                      <w:sz w:val="18"/>
                      <w:szCs w:val="18"/>
                    </w:rPr>
                    <w:t>461</w:t>
                  </w:r>
                </w:p>
              </w:tc>
            </w:tr>
          </w:tbl>
          <w:p>
            <w:pPr>
              <w:spacing w:line="360" w:lineRule="auto"/>
              <w:rPr>
                <w:color w:val="auto"/>
                <w:sz w:val="18"/>
                <w:szCs w:val="18"/>
              </w:rPr>
            </w:pPr>
            <w:r>
              <w:rPr>
                <w:rFonts w:hint="eastAsia"/>
                <w:color w:val="auto"/>
                <w:sz w:val="18"/>
                <w:szCs w:val="18"/>
              </w:rPr>
              <w:t>注：本项目租赁丰和</w:t>
            </w:r>
            <w:r>
              <w:rPr>
                <w:color w:val="auto"/>
                <w:sz w:val="18"/>
                <w:szCs w:val="18"/>
              </w:rPr>
              <w:t>坊一期</w:t>
            </w:r>
            <w:r>
              <w:rPr>
                <w:rFonts w:hint="eastAsia"/>
                <w:color w:val="auto"/>
                <w:sz w:val="18"/>
                <w:szCs w:val="18"/>
              </w:rPr>
              <w:t>15幢</w:t>
            </w:r>
            <w:r>
              <w:rPr>
                <w:color w:val="auto"/>
                <w:sz w:val="18"/>
                <w:szCs w:val="18"/>
              </w:rPr>
              <w:t>底商</w:t>
            </w:r>
            <w:r>
              <w:rPr>
                <w:rFonts w:hint="eastAsia"/>
                <w:color w:val="auto"/>
                <w:sz w:val="18"/>
                <w:szCs w:val="18"/>
              </w:rPr>
              <w:t>1011室</w:t>
            </w:r>
            <w:r>
              <w:rPr>
                <w:color w:val="auto"/>
                <w:sz w:val="18"/>
                <w:szCs w:val="18"/>
              </w:rPr>
              <w:t>。</w:t>
            </w:r>
          </w:p>
          <w:p>
            <w:pPr>
              <w:spacing w:line="360" w:lineRule="auto"/>
              <w:ind w:firstLine="422" w:firstLineChars="200"/>
              <w:rPr>
                <w:b/>
                <w:color w:val="auto"/>
              </w:rPr>
            </w:pPr>
            <w:r>
              <w:rPr>
                <w:b/>
                <w:color w:val="auto"/>
              </w:rPr>
              <w:t>2</w:t>
            </w:r>
            <w:r>
              <w:rPr>
                <w:rFonts w:hAnsi="宋体"/>
                <w:b/>
                <w:color w:val="auto"/>
              </w:rPr>
              <w:t>、声环境</w:t>
            </w:r>
          </w:p>
          <w:p>
            <w:pPr>
              <w:pStyle w:val="2"/>
              <w:jc w:val="center"/>
              <w:rPr>
                <w:rFonts w:ascii="Times New Roman" w:hAnsi="宋体" w:cs="Times New Roman"/>
                <w:b/>
                <w:color w:val="auto"/>
                <w:sz w:val="21"/>
                <w:szCs w:val="21"/>
              </w:rPr>
            </w:pPr>
            <w:r>
              <w:rPr>
                <w:rFonts w:ascii="Times New Roman" w:hAnsi="宋体" w:cs="Times New Roman"/>
                <w:b/>
                <w:color w:val="auto"/>
                <w:sz w:val="21"/>
                <w:szCs w:val="21"/>
              </w:rPr>
              <w:t>表3-4    声环境保护目标</w:t>
            </w:r>
          </w:p>
          <w:tbl>
            <w:tblPr>
              <w:tblStyle w:val="21"/>
              <w:tblW w:w="81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42"/>
              <w:gridCol w:w="934"/>
              <w:gridCol w:w="1102"/>
              <w:gridCol w:w="1207"/>
              <w:gridCol w:w="724"/>
              <w:gridCol w:w="705"/>
              <w:gridCol w:w="701"/>
              <w:gridCol w:w="702"/>
              <w:gridCol w:w="487"/>
              <w:gridCol w:w="8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58" w:type="pct"/>
                  <w:vMerge w:val="restart"/>
                  <w:vAlign w:val="center"/>
                </w:tcPr>
                <w:p>
                  <w:pPr>
                    <w:spacing w:line="240" w:lineRule="exact"/>
                    <w:jc w:val="center"/>
                    <w:rPr>
                      <w:color w:val="auto"/>
                      <w:sz w:val="18"/>
                      <w:szCs w:val="18"/>
                    </w:rPr>
                  </w:pPr>
                  <w:r>
                    <w:rPr>
                      <w:color w:val="auto"/>
                      <w:sz w:val="18"/>
                      <w:szCs w:val="18"/>
                    </w:rPr>
                    <w:t>环境</w:t>
                  </w:r>
                </w:p>
                <w:p>
                  <w:pPr>
                    <w:spacing w:line="240" w:lineRule="exact"/>
                    <w:jc w:val="center"/>
                    <w:rPr>
                      <w:color w:val="auto"/>
                      <w:sz w:val="18"/>
                      <w:szCs w:val="18"/>
                    </w:rPr>
                  </w:pPr>
                  <w:r>
                    <w:rPr>
                      <w:color w:val="auto"/>
                      <w:sz w:val="18"/>
                      <w:szCs w:val="18"/>
                    </w:rPr>
                    <w:t>要素</w:t>
                  </w:r>
                </w:p>
              </w:tc>
              <w:tc>
                <w:tcPr>
                  <w:tcW w:w="575" w:type="pct"/>
                  <w:vMerge w:val="restart"/>
                  <w:vAlign w:val="center"/>
                </w:tcPr>
                <w:p>
                  <w:pPr>
                    <w:spacing w:line="240" w:lineRule="exact"/>
                    <w:jc w:val="center"/>
                    <w:rPr>
                      <w:color w:val="auto"/>
                      <w:sz w:val="18"/>
                      <w:szCs w:val="18"/>
                    </w:rPr>
                  </w:pPr>
                  <w:r>
                    <w:rPr>
                      <w:color w:val="auto"/>
                      <w:sz w:val="18"/>
                      <w:szCs w:val="18"/>
                    </w:rPr>
                    <w:t>名称</w:t>
                  </w:r>
                </w:p>
              </w:tc>
              <w:tc>
                <w:tcPr>
                  <w:tcW w:w="1420" w:type="pct"/>
                  <w:gridSpan w:val="2"/>
                  <w:vAlign w:val="center"/>
                </w:tcPr>
                <w:p>
                  <w:pPr>
                    <w:spacing w:line="240" w:lineRule="exact"/>
                    <w:jc w:val="center"/>
                    <w:rPr>
                      <w:color w:val="auto"/>
                      <w:sz w:val="18"/>
                      <w:szCs w:val="18"/>
                    </w:rPr>
                  </w:pPr>
                  <w:r>
                    <w:rPr>
                      <w:color w:val="auto"/>
                      <w:sz w:val="18"/>
                      <w:szCs w:val="18"/>
                    </w:rPr>
                    <w:t>坐标</w:t>
                  </w:r>
                </w:p>
              </w:tc>
              <w:tc>
                <w:tcPr>
                  <w:tcW w:w="447" w:type="pct"/>
                  <w:vMerge w:val="restart"/>
                  <w:vAlign w:val="center"/>
                </w:tcPr>
                <w:p>
                  <w:pPr>
                    <w:spacing w:line="240" w:lineRule="exact"/>
                    <w:jc w:val="center"/>
                    <w:rPr>
                      <w:color w:val="auto"/>
                      <w:sz w:val="18"/>
                      <w:szCs w:val="18"/>
                    </w:rPr>
                  </w:pPr>
                  <w:r>
                    <w:rPr>
                      <w:color w:val="auto"/>
                      <w:sz w:val="18"/>
                      <w:szCs w:val="18"/>
                    </w:rPr>
                    <w:t>保护</w:t>
                  </w:r>
                </w:p>
                <w:p>
                  <w:pPr>
                    <w:spacing w:line="240" w:lineRule="exact"/>
                    <w:jc w:val="center"/>
                    <w:rPr>
                      <w:color w:val="auto"/>
                      <w:sz w:val="18"/>
                      <w:szCs w:val="18"/>
                    </w:rPr>
                  </w:pPr>
                  <w:r>
                    <w:rPr>
                      <w:color w:val="auto"/>
                      <w:sz w:val="18"/>
                      <w:szCs w:val="18"/>
                    </w:rPr>
                    <w:t>对象</w:t>
                  </w:r>
                </w:p>
              </w:tc>
              <w:tc>
                <w:tcPr>
                  <w:tcW w:w="435" w:type="pct"/>
                  <w:vMerge w:val="restart"/>
                  <w:vAlign w:val="center"/>
                </w:tcPr>
                <w:p>
                  <w:pPr>
                    <w:spacing w:line="240" w:lineRule="exact"/>
                    <w:jc w:val="center"/>
                    <w:rPr>
                      <w:color w:val="auto"/>
                      <w:sz w:val="18"/>
                      <w:szCs w:val="18"/>
                    </w:rPr>
                  </w:pPr>
                  <w:r>
                    <w:rPr>
                      <w:color w:val="auto"/>
                      <w:sz w:val="18"/>
                      <w:szCs w:val="18"/>
                    </w:rPr>
                    <w:t>保护</w:t>
                  </w:r>
                </w:p>
                <w:p>
                  <w:pPr>
                    <w:spacing w:line="240" w:lineRule="exact"/>
                    <w:jc w:val="center"/>
                    <w:rPr>
                      <w:color w:val="auto"/>
                      <w:sz w:val="18"/>
                      <w:szCs w:val="18"/>
                    </w:rPr>
                  </w:pPr>
                  <w:r>
                    <w:rPr>
                      <w:color w:val="auto"/>
                      <w:sz w:val="18"/>
                      <w:szCs w:val="18"/>
                    </w:rPr>
                    <w:t>内容</w:t>
                  </w:r>
                </w:p>
              </w:tc>
              <w:tc>
                <w:tcPr>
                  <w:tcW w:w="433" w:type="pct"/>
                  <w:vMerge w:val="restart"/>
                  <w:vAlign w:val="center"/>
                </w:tcPr>
                <w:p>
                  <w:pPr>
                    <w:spacing w:line="240" w:lineRule="exact"/>
                    <w:jc w:val="center"/>
                    <w:rPr>
                      <w:color w:val="auto"/>
                      <w:sz w:val="18"/>
                      <w:szCs w:val="18"/>
                    </w:rPr>
                  </w:pPr>
                  <w:r>
                    <w:rPr>
                      <w:color w:val="auto"/>
                      <w:sz w:val="18"/>
                      <w:szCs w:val="18"/>
                    </w:rPr>
                    <w:t>功能区</w:t>
                  </w:r>
                </w:p>
              </w:tc>
              <w:tc>
                <w:tcPr>
                  <w:tcW w:w="433" w:type="pct"/>
                  <w:vMerge w:val="restart"/>
                  <w:vAlign w:val="center"/>
                </w:tcPr>
                <w:p>
                  <w:pPr>
                    <w:spacing w:line="240" w:lineRule="exact"/>
                    <w:jc w:val="center"/>
                    <w:rPr>
                      <w:color w:val="auto"/>
                      <w:sz w:val="18"/>
                      <w:szCs w:val="18"/>
                    </w:rPr>
                  </w:pPr>
                  <w:r>
                    <w:rPr>
                      <w:color w:val="auto"/>
                      <w:sz w:val="18"/>
                      <w:szCs w:val="18"/>
                    </w:rPr>
                    <w:t>相对</w:t>
                  </w:r>
                </w:p>
                <w:p>
                  <w:pPr>
                    <w:spacing w:line="240" w:lineRule="exact"/>
                    <w:jc w:val="center"/>
                    <w:rPr>
                      <w:color w:val="auto"/>
                      <w:sz w:val="18"/>
                      <w:szCs w:val="18"/>
                    </w:rPr>
                  </w:pPr>
                  <w:r>
                    <w:rPr>
                      <w:color w:val="auto"/>
                      <w:sz w:val="18"/>
                      <w:szCs w:val="18"/>
                    </w:rPr>
                    <w:t>方位</w:t>
                  </w:r>
                </w:p>
              </w:tc>
              <w:tc>
                <w:tcPr>
                  <w:tcW w:w="260" w:type="pct"/>
                  <w:vMerge w:val="restart"/>
                  <w:vAlign w:val="center"/>
                </w:tcPr>
                <w:p>
                  <w:pPr>
                    <w:spacing w:line="240" w:lineRule="exact"/>
                    <w:jc w:val="center"/>
                    <w:rPr>
                      <w:color w:val="auto"/>
                      <w:sz w:val="18"/>
                      <w:szCs w:val="18"/>
                    </w:rPr>
                  </w:pPr>
                  <w:r>
                    <w:rPr>
                      <w:rFonts w:hint="eastAsia"/>
                      <w:color w:val="auto"/>
                      <w:sz w:val="18"/>
                      <w:szCs w:val="18"/>
                    </w:rPr>
                    <w:t>人数</w:t>
                  </w:r>
                </w:p>
              </w:tc>
              <w:tc>
                <w:tcPr>
                  <w:tcW w:w="540" w:type="pct"/>
                  <w:vMerge w:val="restart"/>
                  <w:vAlign w:val="center"/>
                </w:tcPr>
                <w:p>
                  <w:pPr>
                    <w:spacing w:line="240" w:lineRule="exact"/>
                    <w:jc w:val="center"/>
                    <w:rPr>
                      <w:color w:val="auto"/>
                      <w:sz w:val="18"/>
                      <w:szCs w:val="18"/>
                    </w:rPr>
                  </w:pPr>
                  <w:r>
                    <w:rPr>
                      <w:rFonts w:hint="eastAsia"/>
                      <w:color w:val="auto"/>
                      <w:sz w:val="18"/>
                      <w:szCs w:val="18"/>
                    </w:rPr>
                    <w:t>与</w:t>
                  </w:r>
                  <w:r>
                    <w:rPr>
                      <w:color w:val="auto"/>
                      <w:sz w:val="18"/>
                      <w:szCs w:val="18"/>
                    </w:rPr>
                    <w:t>项目</w:t>
                  </w:r>
                  <w:r>
                    <w:rPr>
                      <w:rFonts w:hint="eastAsia"/>
                      <w:color w:val="auto"/>
                      <w:sz w:val="18"/>
                      <w:szCs w:val="18"/>
                    </w:rPr>
                    <w:t>最近</w:t>
                  </w:r>
                  <w:r>
                    <w:rPr>
                      <w:color w:val="auto"/>
                      <w:sz w:val="18"/>
                      <w:szCs w:val="18"/>
                    </w:rPr>
                    <w:t>距离</w:t>
                  </w:r>
                  <w:r>
                    <w:rPr>
                      <w:rFonts w:hint="eastAsia"/>
                      <w:color w:val="auto"/>
                      <w:sz w:val="18"/>
                      <w:szCs w:val="18"/>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widowControl/>
                    <w:jc w:val="center"/>
                    <w:rPr>
                      <w:color w:val="auto"/>
                      <w:sz w:val="18"/>
                      <w:szCs w:val="18"/>
                    </w:rPr>
                  </w:pPr>
                </w:p>
              </w:tc>
              <w:tc>
                <w:tcPr>
                  <w:tcW w:w="575" w:type="pct"/>
                  <w:vMerge w:val="continue"/>
                  <w:vAlign w:val="center"/>
                </w:tcPr>
                <w:p>
                  <w:pPr>
                    <w:widowControl/>
                    <w:jc w:val="center"/>
                    <w:rPr>
                      <w:color w:val="auto"/>
                      <w:sz w:val="18"/>
                      <w:szCs w:val="18"/>
                    </w:rPr>
                  </w:pPr>
                </w:p>
              </w:tc>
              <w:tc>
                <w:tcPr>
                  <w:tcW w:w="678" w:type="pct"/>
                  <w:vAlign w:val="center"/>
                </w:tcPr>
                <w:p>
                  <w:pPr>
                    <w:spacing w:line="240" w:lineRule="exact"/>
                    <w:jc w:val="center"/>
                    <w:rPr>
                      <w:color w:val="auto"/>
                      <w:sz w:val="18"/>
                      <w:szCs w:val="18"/>
                    </w:rPr>
                  </w:pPr>
                  <w:r>
                    <w:rPr>
                      <w:color w:val="auto"/>
                      <w:sz w:val="18"/>
                      <w:szCs w:val="18"/>
                    </w:rPr>
                    <w:t>N</w:t>
                  </w:r>
                </w:p>
              </w:tc>
              <w:tc>
                <w:tcPr>
                  <w:tcW w:w="742" w:type="pct"/>
                  <w:vAlign w:val="center"/>
                </w:tcPr>
                <w:p>
                  <w:pPr>
                    <w:spacing w:line="240" w:lineRule="exact"/>
                    <w:jc w:val="center"/>
                    <w:rPr>
                      <w:color w:val="auto"/>
                      <w:sz w:val="18"/>
                      <w:szCs w:val="18"/>
                    </w:rPr>
                  </w:pPr>
                  <w:r>
                    <w:rPr>
                      <w:color w:val="auto"/>
                      <w:sz w:val="18"/>
                      <w:szCs w:val="18"/>
                    </w:rPr>
                    <w:t>E</w:t>
                  </w:r>
                </w:p>
              </w:tc>
              <w:tc>
                <w:tcPr>
                  <w:tcW w:w="447" w:type="pct"/>
                  <w:vMerge w:val="continue"/>
                  <w:vAlign w:val="center"/>
                </w:tcPr>
                <w:p>
                  <w:pPr>
                    <w:widowControl/>
                    <w:jc w:val="center"/>
                    <w:rPr>
                      <w:color w:val="auto"/>
                      <w:sz w:val="18"/>
                      <w:szCs w:val="18"/>
                    </w:rPr>
                  </w:pPr>
                </w:p>
              </w:tc>
              <w:tc>
                <w:tcPr>
                  <w:tcW w:w="435" w:type="pct"/>
                  <w:vMerge w:val="continue"/>
                  <w:vAlign w:val="center"/>
                </w:tcPr>
                <w:p>
                  <w:pPr>
                    <w:widowControl/>
                    <w:jc w:val="center"/>
                    <w:rPr>
                      <w:color w:val="auto"/>
                      <w:sz w:val="18"/>
                      <w:szCs w:val="18"/>
                    </w:rPr>
                  </w:pPr>
                </w:p>
              </w:tc>
              <w:tc>
                <w:tcPr>
                  <w:tcW w:w="433" w:type="pct"/>
                  <w:vMerge w:val="continue"/>
                  <w:vAlign w:val="center"/>
                </w:tcPr>
                <w:p>
                  <w:pPr>
                    <w:widowControl/>
                    <w:jc w:val="center"/>
                    <w:rPr>
                      <w:color w:val="auto"/>
                      <w:sz w:val="18"/>
                      <w:szCs w:val="18"/>
                    </w:rPr>
                  </w:pPr>
                </w:p>
              </w:tc>
              <w:tc>
                <w:tcPr>
                  <w:tcW w:w="433" w:type="pct"/>
                  <w:vMerge w:val="continue"/>
                  <w:vAlign w:val="center"/>
                </w:tcPr>
                <w:p>
                  <w:pPr>
                    <w:widowControl/>
                    <w:jc w:val="center"/>
                    <w:rPr>
                      <w:color w:val="auto"/>
                      <w:sz w:val="18"/>
                      <w:szCs w:val="18"/>
                    </w:rPr>
                  </w:pPr>
                </w:p>
              </w:tc>
              <w:tc>
                <w:tcPr>
                  <w:tcW w:w="260" w:type="pct"/>
                  <w:vMerge w:val="continue"/>
                  <w:vAlign w:val="center"/>
                </w:tcPr>
                <w:p>
                  <w:pPr>
                    <w:widowControl/>
                    <w:jc w:val="center"/>
                    <w:rPr>
                      <w:color w:val="auto"/>
                      <w:sz w:val="18"/>
                      <w:szCs w:val="18"/>
                    </w:rPr>
                  </w:pPr>
                </w:p>
              </w:tc>
              <w:tc>
                <w:tcPr>
                  <w:tcW w:w="540" w:type="pct"/>
                  <w:vMerge w:val="continue"/>
                  <w:vAlign w:val="center"/>
                </w:tcPr>
                <w:p>
                  <w:pPr>
                    <w:widowControl/>
                    <w:jc w:val="center"/>
                    <w:rPr>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58" w:type="pct"/>
                  <w:vAlign w:val="center"/>
                </w:tcPr>
                <w:p>
                  <w:pPr>
                    <w:widowControl/>
                    <w:jc w:val="center"/>
                    <w:rPr>
                      <w:color w:val="auto"/>
                      <w:sz w:val="18"/>
                      <w:szCs w:val="18"/>
                    </w:rPr>
                  </w:pPr>
                  <w:r>
                    <w:rPr>
                      <w:rFonts w:hint="eastAsia"/>
                      <w:color w:val="auto"/>
                      <w:sz w:val="18"/>
                      <w:szCs w:val="18"/>
                    </w:rPr>
                    <w:t>声环境</w:t>
                  </w:r>
                </w:p>
              </w:tc>
              <w:tc>
                <w:tcPr>
                  <w:tcW w:w="575" w:type="pct"/>
                  <w:vAlign w:val="center"/>
                </w:tcPr>
                <w:p>
                  <w:pPr>
                    <w:widowControl/>
                    <w:jc w:val="center"/>
                    <w:rPr>
                      <w:color w:val="auto"/>
                      <w:sz w:val="18"/>
                      <w:szCs w:val="18"/>
                    </w:rPr>
                  </w:pPr>
                  <w:r>
                    <w:rPr>
                      <w:rFonts w:hint="eastAsia"/>
                      <w:color w:val="auto"/>
                      <w:sz w:val="18"/>
                      <w:szCs w:val="18"/>
                    </w:rPr>
                    <w:t>丰</w:t>
                  </w:r>
                  <w:r>
                    <w:rPr>
                      <w:color w:val="auto"/>
                      <w:sz w:val="18"/>
                      <w:szCs w:val="18"/>
                    </w:rPr>
                    <w:t>和坊一期</w:t>
                  </w:r>
                  <w:r>
                    <w:rPr>
                      <w:rFonts w:hint="eastAsia"/>
                      <w:color w:val="auto"/>
                      <w:sz w:val="18"/>
                      <w:szCs w:val="18"/>
                    </w:rPr>
                    <w:t>15幢</w:t>
                  </w:r>
                </w:p>
              </w:tc>
              <w:tc>
                <w:tcPr>
                  <w:tcW w:w="678" w:type="pct"/>
                  <w:vAlign w:val="center"/>
                </w:tcPr>
                <w:p>
                  <w:pPr>
                    <w:spacing w:line="240" w:lineRule="exact"/>
                    <w:jc w:val="center"/>
                    <w:rPr>
                      <w:color w:val="auto"/>
                      <w:sz w:val="18"/>
                      <w:szCs w:val="18"/>
                    </w:rPr>
                  </w:pPr>
                  <w:r>
                    <w:rPr>
                      <w:color w:val="auto"/>
                      <w:sz w:val="18"/>
                      <w:szCs w:val="18"/>
                    </w:rPr>
                    <w:t>34.281391</w:t>
                  </w:r>
                </w:p>
              </w:tc>
              <w:tc>
                <w:tcPr>
                  <w:tcW w:w="742" w:type="pct"/>
                  <w:vAlign w:val="center"/>
                </w:tcPr>
                <w:p>
                  <w:pPr>
                    <w:spacing w:line="240" w:lineRule="exact"/>
                    <w:jc w:val="center"/>
                    <w:rPr>
                      <w:color w:val="auto"/>
                      <w:sz w:val="18"/>
                      <w:szCs w:val="18"/>
                    </w:rPr>
                  </w:pPr>
                  <w:r>
                    <w:rPr>
                      <w:rFonts w:hint="eastAsia"/>
                      <w:color w:val="auto"/>
                      <w:sz w:val="18"/>
                      <w:szCs w:val="18"/>
                    </w:rPr>
                    <w:t>108.</w:t>
                  </w:r>
                  <w:r>
                    <w:rPr>
                      <w:color w:val="auto"/>
                      <w:sz w:val="18"/>
                      <w:szCs w:val="18"/>
                    </w:rPr>
                    <w:t>896728</w:t>
                  </w:r>
                </w:p>
              </w:tc>
              <w:tc>
                <w:tcPr>
                  <w:tcW w:w="447" w:type="pct"/>
                  <w:vAlign w:val="center"/>
                </w:tcPr>
                <w:p>
                  <w:pPr>
                    <w:widowControl/>
                    <w:jc w:val="center"/>
                    <w:rPr>
                      <w:color w:val="auto"/>
                      <w:sz w:val="18"/>
                      <w:szCs w:val="18"/>
                    </w:rPr>
                  </w:pPr>
                  <w:r>
                    <w:rPr>
                      <w:rFonts w:hint="eastAsia"/>
                      <w:color w:val="auto"/>
                      <w:sz w:val="18"/>
                      <w:szCs w:val="18"/>
                    </w:rPr>
                    <w:t>居民</w:t>
                  </w:r>
                  <w:r>
                    <w:rPr>
                      <w:color w:val="auto"/>
                      <w:sz w:val="18"/>
                      <w:szCs w:val="18"/>
                    </w:rPr>
                    <w:t>住宅</w:t>
                  </w:r>
                </w:p>
              </w:tc>
              <w:tc>
                <w:tcPr>
                  <w:tcW w:w="435" w:type="pct"/>
                  <w:vAlign w:val="center"/>
                </w:tcPr>
                <w:p>
                  <w:pPr>
                    <w:widowControl/>
                    <w:jc w:val="center"/>
                    <w:rPr>
                      <w:color w:val="auto"/>
                      <w:sz w:val="18"/>
                      <w:szCs w:val="18"/>
                    </w:rPr>
                  </w:pPr>
                  <w:r>
                    <w:rPr>
                      <w:rFonts w:hint="eastAsia"/>
                      <w:color w:val="auto"/>
                      <w:sz w:val="18"/>
                      <w:szCs w:val="18"/>
                    </w:rPr>
                    <w:t>人群</w:t>
                  </w:r>
                  <w:r>
                    <w:rPr>
                      <w:color w:val="auto"/>
                      <w:sz w:val="18"/>
                      <w:szCs w:val="18"/>
                    </w:rPr>
                    <w:t>健康</w:t>
                  </w:r>
                </w:p>
              </w:tc>
              <w:tc>
                <w:tcPr>
                  <w:tcW w:w="433" w:type="pct"/>
                  <w:vAlign w:val="center"/>
                </w:tcPr>
                <w:p>
                  <w:pPr>
                    <w:widowControl/>
                    <w:jc w:val="center"/>
                    <w:rPr>
                      <w:color w:val="auto"/>
                      <w:sz w:val="18"/>
                      <w:szCs w:val="18"/>
                    </w:rPr>
                  </w:pPr>
                  <w:r>
                    <w:rPr>
                      <w:rFonts w:hint="eastAsia"/>
                      <w:color w:val="auto"/>
                      <w:sz w:val="18"/>
                      <w:szCs w:val="18"/>
                    </w:rPr>
                    <w:t>二类区</w:t>
                  </w:r>
                </w:p>
              </w:tc>
              <w:tc>
                <w:tcPr>
                  <w:tcW w:w="433" w:type="pct"/>
                  <w:vAlign w:val="center"/>
                </w:tcPr>
                <w:p>
                  <w:pPr>
                    <w:widowControl/>
                    <w:jc w:val="center"/>
                    <w:rPr>
                      <w:color w:val="auto"/>
                      <w:sz w:val="18"/>
                      <w:szCs w:val="18"/>
                    </w:rPr>
                  </w:pPr>
                  <w:r>
                    <w:rPr>
                      <w:rFonts w:hint="eastAsia"/>
                      <w:color w:val="auto"/>
                      <w:sz w:val="18"/>
                      <w:szCs w:val="18"/>
                    </w:rPr>
                    <w:t>紧邻</w:t>
                  </w:r>
                </w:p>
              </w:tc>
              <w:tc>
                <w:tcPr>
                  <w:tcW w:w="260" w:type="pct"/>
                  <w:vAlign w:val="center"/>
                </w:tcPr>
                <w:p>
                  <w:pPr>
                    <w:widowControl/>
                    <w:jc w:val="center"/>
                    <w:rPr>
                      <w:color w:val="auto"/>
                      <w:sz w:val="18"/>
                      <w:szCs w:val="18"/>
                    </w:rPr>
                  </w:pPr>
                  <w:r>
                    <w:rPr>
                      <w:rFonts w:hint="eastAsia"/>
                      <w:color w:val="auto"/>
                      <w:sz w:val="18"/>
                      <w:szCs w:val="18"/>
                    </w:rPr>
                    <w:t>700</w:t>
                  </w:r>
                </w:p>
              </w:tc>
              <w:tc>
                <w:tcPr>
                  <w:tcW w:w="540" w:type="pct"/>
                  <w:vAlign w:val="center"/>
                </w:tcPr>
                <w:p>
                  <w:pPr>
                    <w:jc w:val="center"/>
                    <w:rPr>
                      <w:color w:val="auto"/>
                      <w:sz w:val="18"/>
                      <w:szCs w:val="18"/>
                    </w:rPr>
                  </w:pPr>
                  <w:r>
                    <w:rPr>
                      <w:rFonts w:hint="eastAsia"/>
                      <w:color w:val="auto"/>
                      <w:sz w:val="18"/>
                      <w:szCs w:val="18"/>
                    </w:rPr>
                    <w:t>/</w:t>
                  </w:r>
                </w:p>
              </w:tc>
            </w:tr>
          </w:tbl>
          <w:p>
            <w:pPr>
              <w:spacing w:line="360" w:lineRule="auto"/>
              <w:rPr>
                <w:color w:val="auto"/>
                <w:sz w:val="18"/>
                <w:szCs w:val="18"/>
              </w:rPr>
            </w:pPr>
            <w:r>
              <w:rPr>
                <w:rFonts w:hint="eastAsia"/>
                <w:color w:val="auto"/>
                <w:sz w:val="18"/>
                <w:szCs w:val="18"/>
              </w:rPr>
              <w:t>注：本项目租赁丰和</w:t>
            </w:r>
            <w:r>
              <w:rPr>
                <w:color w:val="auto"/>
                <w:sz w:val="18"/>
                <w:szCs w:val="18"/>
              </w:rPr>
              <w:t>坊一期</w:t>
            </w:r>
            <w:r>
              <w:rPr>
                <w:rFonts w:hint="eastAsia"/>
                <w:color w:val="auto"/>
                <w:sz w:val="18"/>
                <w:szCs w:val="18"/>
              </w:rPr>
              <w:t>15幢底商1011室。</w:t>
            </w:r>
          </w:p>
          <w:p>
            <w:pPr>
              <w:spacing w:line="360" w:lineRule="auto"/>
              <w:ind w:firstLine="422" w:firstLineChars="200"/>
              <w:rPr>
                <w:b/>
                <w:color w:val="auto"/>
              </w:rPr>
            </w:pPr>
            <w:r>
              <w:rPr>
                <w:b/>
                <w:color w:val="auto"/>
              </w:rPr>
              <w:t>3</w:t>
            </w:r>
            <w:r>
              <w:rPr>
                <w:rFonts w:hAnsi="宋体"/>
                <w:b/>
                <w:color w:val="auto"/>
              </w:rPr>
              <w:t>、地下水环境</w:t>
            </w:r>
          </w:p>
          <w:p>
            <w:pPr>
              <w:spacing w:line="360" w:lineRule="auto"/>
              <w:ind w:firstLine="420" w:firstLineChars="200"/>
              <w:rPr>
                <w:color w:val="auto"/>
              </w:rPr>
            </w:pPr>
            <w:r>
              <w:rPr>
                <w:rFonts w:hint="eastAsia"/>
                <w:color w:val="auto"/>
              </w:rPr>
              <w:t>经调查，项目厂界500m范围内无地下水集中式饮用水水源和热水、矿泉水、温泉等特殊地下水资源。</w:t>
            </w:r>
          </w:p>
          <w:p>
            <w:pPr>
              <w:spacing w:line="360" w:lineRule="auto"/>
              <w:ind w:firstLine="422" w:firstLineChars="200"/>
              <w:rPr>
                <w:b/>
                <w:color w:val="auto"/>
              </w:rPr>
            </w:pPr>
            <w:r>
              <w:rPr>
                <w:b/>
                <w:color w:val="auto"/>
              </w:rPr>
              <w:t>4</w:t>
            </w:r>
            <w:r>
              <w:rPr>
                <w:rFonts w:hAnsi="宋体"/>
                <w:b/>
                <w:color w:val="auto"/>
              </w:rPr>
              <w:t>、生态环境</w:t>
            </w:r>
          </w:p>
          <w:p>
            <w:pPr>
              <w:spacing w:line="360" w:lineRule="auto"/>
              <w:ind w:firstLine="420" w:firstLineChars="200"/>
              <w:rPr>
                <w:color w:val="auto"/>
              </w:rPr>
            </w:pPr>
            <w:r>
              <w:rPr>
                <w:color w:val="auto"/>
              </w:rPr>
              <w:t>本项目租赁</w:t>
            </w:r>
            <w:r>
              <w:rPr>
                <w:rFonts w:hint="eastAsia"/>
                <w:color w:val="auto"/>
              </w:rPr>
              <w:t>丰和</w:t>
            </w:r>
            <w:r>
              <w:rPr>
                <w:color w:val="auto"/>
              </w:rPr>
              <w:t>坊一期</w:t>
            </w:r>
            <w:r>
              <w:rPr>
                <w:rFonts w:hint="eastAsia"/>
                <w:color w:val="auto"/>
              </w:rPr>
              <w:t>15幢</w:t>
            </w:r>
            <w:r>
              <w:rPr>
                <w:color w:val="auto"/>
              </w:rPr>
              <w:t>底商</w:t>
            </w:r>
            <w:r>
              <w:rPr>
                <w:rFonts w:hint="eastAsia"/>
                <w:color w:val="auto"/>
              </w:rPr>
              <w:t>1011室</w:t>
            </w:r>
            <w:r>
              <w:rPr>
                <w:color w:val="auto"/>
              </w:rPr>
              <w:t>进行诊疗活动，不新增用地，不进行生态环境保护目标调查。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00" w:type="dxa"/>
            <w:tcMar>
              <w:left w:w="28" w:type="dxa"/>
              <w:right w:w="28" w:type="dxa"/>
            </w:tcMar>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8190" w:type="dxa"/>
            <w:vAlign w:val="center"/>
          </w:tcPr>
          <w:p>
            <w:pPr>
              <w:spacing w:line="360" w:lineRule="auto"/>
              <w:ind w:firstLine="422" w:firstLineChars="200"/>
              <w:rPr>
                <w:b/>
                <w:color w:val="auto"/>
              </w:rPr>
            </w:pPr>
            <w:r>
              <w:rPr>
                <w:b/>
                <w:color w:val="auto"/>
              </w:rPr>
              <w:t>1</w:t>
            </w:r>
            <w:r>
              <w:rPr>
                <w:rFonts w:hAnsi="宋体"/>
                <w:b/>
                <w:color w:val="auto"/>
              </w:rPr>
              <w:t>、</w:t>
            </w:r>
            <w:r>
              <w:rPr>
                <w:rFonts w:hint="eastAsia" w:hAnsi="宋体"/>
                <w:b/>
                <w:color w:val="auto"/>
              </w:rPr>
              <w:t>废水</w:t>
            </w:r>
          </w:p>
          <w:p>
            <w:pPr>
              <w:spacing w:line="360" w:lineRule="auto"/>
              <w:ind w:firstLine="420" w:firstLineChars="200"/>
              <w:rPr>
                <w:rFonts w:eastAsiaTheme="minorEastAsia"/>
                <w:b/>
                <w:color w:val="auto"/>
                <w:szCs w:val="21"/>
              </w:rPr>
            </w:pPr>
            <w:r>
              <w:rPr>
                <w:rFonts w:hAnsiTheme="minorEastAsia" w:eastAsiaTheme="minorEastAsia"/>
                <w:color w:val="auto"/>
                <w:szCs w:val="21"/>
              </w:rPr>
              <w:t>项目医疗废水满足《医疗机构水污染物排放标准》（</w:t>
            </w:r>
            <w:r>
              <w:rPr>
                <w:rFonts w:eastAsiaTheme="minorEastAsia"/>
                <w:color w:val="auto"/>
                <w:szCs w:val="21"/>
              </w:rPr>
              <w:t>GB18466-2005</w:t>
            </w:r>
            <w:r>
              <w:rPr>
                <w:rFonts w:hAnsiTheme="minorEastAsia" w:eastAsiaTheme="minorEastAsia"/>
                <w:color w:val="auto"/>
                <w:szCs w:val="21"/>
              </w:rPr>
              <w:t>）中的预处理标准，其他废水满足《污水排入城镇下水道水质标准》（</w:t>
            </w:r>
            <w:r>
              <w:rPr>
                <w:rFonts w:eastAsiaTheme="minorEastAsia"/>
                <w:color w:val="auto"/>
                <w:szCs w:val="21"/>
              </w:rPr>
              <w:t>GB/T31962-2015</w:t>
            </w:r>
            <w:r>
              <w:rPr>
                <w:rFonts w:hAnsiTheme="minorEastAsia" w:eastAsiaTheme="minorEastAsia"/>
                <w:color w:val="auto"/>
                <w:szCs w:val="21"/>
              </w:rPr>
              <w:t>）中</w:t>
            </w:r>
            <w:r>
              <w:rPr>
                <w:rFonts w:eastAsiaTheme="minorEastAsia"/>
                <w:color w:val="auto"/>
                <w:szCs w:val="21"/>
              </w:rPr>
              <w:t>A</w:t>
            </w:r>
            <w:r>
              <w:rPr>
                <w:rFonts w:hAnsiTheme="minorEastAsia" w:eastAsiaTheme="minorEastAsia"/>
                <w:color w:val="auto"/>
                <w:szCs w:val="21"/>
              </w:rPr>
              <w:t>级标准和《污水综合排放标准》（</w:t>
            </w:r>
            <w:r>
              <w:rPr>
                <w:rFonts w:eastAsiaTheme="minorEastAsia"/>
                <w:color w:val="auto"/>
                <w:szCs w:val="21"/>
              </w:rPr>
              <w:t>GB 8978-1996</w:t>
            </w:r>
            <w:r>
              <w:rPr>
                <w:rFonts w:hAnsiTheme="minorEastAsia" w:eastAsiaTheme="minorEastAsia"/>
                <w:color w:val="auto"/>
                <w:szCs w:val="21"/>
              </w:rPr>
              <w:t>）三级标准。</w:t>
            </w:r>
          </w:p>
          <w:p>
            <w:pPr>
              <w:pStyle w:val="2"/>
              <w:jc w:val="center"/>
              <w:rPr>
                <w:rFonts w:ascii="Times New Roman" w:cs="Times New Roman"/>
                <w:b/>
                <w:color w:val="auto"/>
                <w:sz w:val="21"/>
                <w:szCs w:val="21"/>
              </w:rPr>
            </w:pPr>
            <w:r>
              <w:rPr>
                <w:rFonts w:hint="eastAsia" w:ascii="Times New Roman" w:cs="Times New Roman"/>
                <w:b/>
                <w:color w:val="auto"/>
                <w:sz w:val="21"/>
                <w:szCs w:val="21"/>
              </w:rPr>
              <w:t>表3-5    运营期废水排放执行标准</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54"/>
              <w:gridCol w:w="765"/>
              <w:gridCol w:w="765"/>
              <w:gridCol w:w="765"/>
              <w:gridCol w:w="766"/>
              <w:gridCol w:w="766"/>
              <w:gridCol w:w="766"/>
              <w:gridCol w:w="766"/>
              <w:gridCol w:w="7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exact"/>
                <w:jc w:val="center"/>
              </w:trPr>
              <w:tc>
                <w:tcPr>
                  <w:tcW w:w="1256" w:type="pct"/>
                  <w:tcBorders>
                    <w:tl2br w:val="single" w:color="auto" w:sz="12" w:space="0"/>
                  </w:tcBorders>
                  <w:vAlign w:val="center"/>
                </w:tcPr>
                <w:p>
                  <w:pPr>
                    <w:pStyle w:val="2"/>
                    <w:jc w:val="center"/>
                    <w:rPr>
                      <w:rFonts w:ascii="Times New Roman" w:cs="Times New Roman"/>
                      <w:color w:val="auto"/>
                      <w:sz w:val="18"/>
                      <w:szCs w:val="18"/>
                    </w:rPr>
                  </w:pPr>
                  <w:r>
                    <w:rPr>
                      <w:rFonts w:ascii="Times New Roman" w:cs="Times New Roman"/>
                      <w:color w:val="auto"/>
                      <w:sz w:val="18"/>
                      <w:szCs w:val="18"/>
                    </w:rPr>
                    <w:t xml:space="preserve">          污染物</w:t>
                  </w:r>
                </w:p>
                <w:p>
                  <w:pPr>
                    <w:pStyle w:val="2"/>
                    <w:jc w:val="center"/>
                    <w:rPr>
                      <w:rFonts w:ascii="Times New Roman" w:cs="Times New Roman"/>
                      <w:color w:val="auto"/>
                      <w:sz w:val="18"/>
                      <w:szCs w:val="18"/>
                    </w:rPr>
                  </w:pPr>
                </w:p>
                <w:p>
                  <w:pPr>
                    <w:pStyle w:val="2"/>
                    <w:rPr>
                      <w:rFonts w:ascii="Times New Roman" w:cs="Times New Roman"/>
                      <w:color w:val="auto"/>
                      <w:sz w:val="18"/>
                      <w:szCs w:val="18"/>
                    </w:rPr>
                  </w:pPr>
                  <w:r>
                    <w:rPr>
                      <w:rFonts w:ascii="Times New Roman" w:cs="Times New Roman"/>
                      <w:color w:val="auto"/>
                      <w:sz w:val="18"/>
                      <w:szCs w:val="18"/>
                    </w:rPr>
                    <w:t>执行标准</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COD</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BOD</w:t>
                  </w:r>
                  <w:r>
                    <w:rPr>
                      <w:rFonts w:ascii="Times New Roman" w:cs="Times New Roman"/>
                      <w:color w:val="auto"/>
                      <w:sz w:val="18"/>
                      <w:szCs w:val="18"/>
                      <w:vertAlign w:val="subscript"/>
                    </w:rPr>
                    <w:t>5</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氨氮</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SS</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总磷</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总氮</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总余氯</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粪大肠菌群数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5000" w:type="pct"/>
                  <w:gridSpan w:val="9"/>
                  <w:vAlign w:val="center"/>
                </w:tcPr>
                <w:p>
                  <w:pPr>
                    <w:pStyle w:val="2"/>
                    <w:jc w:val="center"/>
                    <w:rPr>
                      <w:rFonts w:ascii="Times New Roman" w:cs="Times New Roman"/>
                      <w:color w:val="auto"/>
                      <w:sz w:val="18"/>
                      <w:szCs w:val="18"/>
                    </w:rPr>
                  </w:pPr>
                  <w:r>
                    <w:rPr>
                      <w:rFonts w:ascii="Times New Roman" w:cs="Times New Roman"/>
                      <w:color w:val="auto"/>
                      <w:sz w:val="18"/>
                      <w:szCs w:val="18"/>
                    </w:rPr>
                    <w:t>医疗废水执行标准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4" w:hRule="exact"/>
                <w:jc w:val="center"/>
              </w:trPr>
              <w:tc>
                <w:tcPr>
                  <w:tcW w:w="1256"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《医疗机构水污染物排放标准》（GB18466-2005）</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250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100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60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8</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5000</w:t>
                  </w:r>
                </w:p>
                <w:p>
                  <w:pPr>
                    <w:pStyle w:val="2"/>
                    <w:jc w:val="center"/>
                    <w:rPr>
                      <w:rFonts w:ascii="Times New Roman" w:cs="Times New Roman"/>
                      <w:color w:val="auto"/>
                      <w:sz w:val="18"/>
                      <w:szCs w:val="18"/>
                    </w:rPr>
                  </w:pPr>
                  <w:r>
                    <w:rPr>
                      <w:rFonts w:ascii="Times New Roman" w:cs="Times New Roman"/>
                      <w:color w:val="auto"/>
                      <w:sz w:val="18"/>
                      <w:szCs w:val="18"/>
                    </w:rPr>
                    <w:t>MPN/L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5000" w:type="pct"/>
                  <w:gridSpan w:val="9"/>
                  <w:vAlign w:val="center"/>
                </w:tcPr>
                <w:p>
                  <w:pPr>
                    <w:pStyle w:val="2"/>
                    <w:jc w:val="center"/>
                    <w:rPr>
                      <w:rFonts w:ascii="Times New Roman" w:cs="Times New Roman"/>
                      <w:color w:val="auto"/>
                      <w:sz w:val="18"/>
                      <w:szCs w:val="18"/>
                    </w:rPr>
                  </w:pPr>
                  <w:r>
                    <w:rPr>
                      <w:rFonts w:ascii="Times New Roman" w:cs="Times New Roman"/>
                      <w:color w:val="auto"/>
                      <w:sz w:val="18"/>
                      <w:szCs w:val="18"/>
                    </w:rPr>
                    <w:t>其他废水执行标准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2" w:hRule="exact"/>
                <w:jc w:val="center"/>
              </w:trPr>
              <w:tc>
                <w:tcPr>
                  <w:tcW w:w="1256"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r>
                    <w:rPr>
                      <w:rFonts w:ascii="Times New Roman" w:cs="Times New Roman"/>
                      <w:color w:val="auto"/>
                      <w:sz w:val="18"/>
                      <w:szCs w:val="18"/>
                    </w:rPr>
                    <w:t>污水综合排放标准》（GB 8978-1996）三级标准</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500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300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400 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0" w:hRule="exact"/>
                <w:jc w:val="center"/>
              </w:trPr>
              <w:tc>
                <w:tcPr>
                  <w:tcW w:w="1256"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《污水排入城镇下水道水质标准》A级（GB/T31962-2015）</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500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350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45</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400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8</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70</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ascii="Times New Roman" w:cs="Times New Roman"/>
                      <w:color w:val="auto"/>
                      <w:sz w:val="18"/>
                      <w:szCs w:val="18"/>
                    </w:rPr>
                    <w:t>8</w:t>
                  </w:r>
                </w:p>
                <w:p>
                  <w:pPr>
                    <w:pStyle w:val="2"/>
                    <w:jc w:val="center"/>
                    <w:rPr>
                      <w:rFonts w:ascii="Times New Roman" w:cs="Times New Roman"/>
                      <w:color w:val="auto"/>
                      <w:sz w:val="18"/>
                      <w:szCs w:val="18"/>
                    </w:rPr>
                  </w:pPr>
                  <w:r>
                    <w:rPr>
                      <w:rFonts w:ascii="Times New Roman" w:cs="Times New Roman"/>
                      <w:color w:val="auto"/>
                      <w:sz w:val="18"/>
                      <w:szCs w:val="18"/>
                    </w:rPr>
                    <w:t>mg/L</w:t>
                  </w:r>
                </w:p>
              </w:tc>
              <w:tc>
                <w:tcPr>
                  <w:tcW w:w="468"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w:t>
                  </w:r>
                </w:p>
              </w:tc>
            </w:tr>
          </w:tbl>
          <w:p>
            <w:pPr>
              <w:spacing w:line="360" w:lineRule="auto"/>
              <w:ind w:firstLine="422" w:firstLineChars="200"/>
              <w:rPr>
                <w:b/>
                <w:color w:val="auto"/>
              </w:rPr>
            </w:pPr>
            <w:r>
              <w:rPr>
                <w:rFonts w:hint="eastAsia"/>
                <w:b/>
                <w:color w:val="auto"/>
              </w:rPr>
              <w:t>2</w:t>
            </w:r>
            <w:r>
              <w:rPr>
                <w:rFonts w:hAnsi="宋体"/>
                <w:b/>
                <w:color w:val="auto"/>
              </w:rPr>
              <w:t>、噪声</w:t>
            </w:r>
          </w:p>
          <w:p>
            <w:pPr>
              <w:spacing w:line="360" w:lineRule="auto"/>
              <w:ind w:firstLine="420" w:firstLineChars="200"/>
              <w:rPr>
                <w:color w:val="auto"/>
                <w:szCs w:val="21"/>
              </w:rPr>
            </w:pPr>
            <w:r>
              <w:rPr>
                <w:color w:val="auto"/>
                <w:szCs w:val="21"/>
              </w:rPr>
              <w:t>运营期</w:t>
            </w:r>
            <w:r>
              <w:rPr>
                <w:rFonts w:hint="eastAsia"/>
                <w:color w:val="auto"/>
                <w:szCs w:val="21"/>
              </w:rPr>
              <w:t>厂界执行</w:t>
            </w:r>
            <w:r>
              <w:rPr>
                <w:color w:val="auto"/>
                <w:szCs w:val="21"/>
              </w:rPr>
              <w:t>《社会生活环境噪声排放标准》（GB22337-2008）中2类标准。</w:t>
            </w:r>
          </w:p>
          <w:p>
            <w:pPr>
              <w:pStyle w:val="2"/>
              <w:jc w:val="center"/>
              <w:rPr>
                <w:rFonts w:ascii="Times New Roman" w:cs="Times New Roman"/>
                <w:b/>
                <w:color w:val="auto"/>
                <w:sz w:val="21"/>
                <w:szCs w:val="21"/>
              </w:rPr>
            </w:pPr>
            <w:r>
              <w:rPr>
                <w:rFonts w:ascii="Times New Roman" w:cs="Times New Roman"/>
                <w:b/>
                <w:color w:val="auto"/>
                <w:sz w:val="21"/>
                <w:szCs w:val="21"/>
              </w:rPr>
              <w:t>表3-6    运营期厂界噪声排放标准限值</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66"/>
              <w:gridCol w:w="1517"/>
              <w:gridCol w:w="1467"/>
              <w:gridCol w:w="39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74" w:type="pct"/>
                  <w:vAlign w:val="center"/>
                </w:tcPr>
                <w:p>
                  <w:pPr>
                    <w:pStyle w:val="50"/>
                    <w:spacing w:line="240" w:lineRule="auto"/>
                    <w:rPr>
                      <w:bCs/>
                      <w:color w:val="auto"/>
                      <w:sz w:val="18"/>
                      <w:szCs w:val="18"/>
                    </w:rPr>
                  </w:pPr>
                  <w:r>
                    <w:rPr>
                      <w:rFonts w:hAnsi="宋体"/>
                      <w:bCs/>
                      <w:color w:val="auto"/>
                      <w:sz w:val="18"/>
                      <w:szCs w:val="18"/>
                    </w:rPr>
                    <w:t>项目</w:t>
                  </w:r>
                </w:p>
              </w:tc>
              <w:tc>
                <w:tcPr>
                  <w:tcW w:w="1824" w:type="pct"/>
                  <w:gridSpan w:val="2"/>
                  <w:vAlign w:val="center"/>
                </w:tcPr>
                <w:p>
                  <w:pPr>
                    <w:pStyle w:val="50"/>
                    <w:spacing w:line="240" w:lineRule="auto"/>
                    <w:rPr>
                      <w:bCs/>
                      <w:color w:val="auto"/>
                      <w:sz w:val="18"/>
                      <w:szCs w:val="18"/>
                    </w:rPr>
                  </w:pPr>
                  <w:r>
                    <w:rPr>
                      <w:rFonts w:hAnsi="宋体"/>
                      <w:bCs/>
                      <w:color w:val="auto"/>
                      <w:sz w:val="18"/>
                      <w:szCs w:val="18"/>
                    </w:rPr>
                    <w:t>标准限值（</w:t>
                  </w:r>
                  <w:r>
                    <w:rPr>
                      <w:bCs/>
                      <w:color w:val="auto"/>
                      <w:sz w:val="18"/>
                      <w:szCs w:val="18"/>
                    </w:rPr>
                    <w:t>dB(A)</w:t>
                  </w:r>
                  <w:r>
                    <w:rPr>
                      <w:rFonts w:hAnsi="宋体"/>
                      <w:bCs/>
                      <w:color w:val="auto"/>
                      <w:sz w:val="18"/>
                      <w:szCs w:val="18"/>
                    </w:rPr>
                    <w:t>）</w:t>
                  </w:r>
                </w:p>
              </w:tc>
              <w:tc>
                <w:tcPr>
                  <w:tcW w:w="2402" w:type="pct"/>
                  <w:vAlign w:val="center"/>
                </w:tcPr>
                <w:p>
                  <w:pPr>
                    <w:pStyle w:val="50"/>
                    <w:spacing w:line="240" w:lineRule="auto"/>
                    <w:rPr>
                      <w:bCs/>
                      <w:color w:val="auto"/>
                      <w:sz w:val="18"/>
                      <w:szCs w:val="18"/>
                    </w:rPr>
                  </w:pPr>
                  <w:r>
                    <w:rPr>
                      <w:rFonts w:hAnsi="宋体"/>
                      <w:bCs/>
                      <w:color w:val="auto"/>
                      <w:sz w:val="18"/>
                      <w:szCs w:val="18"/>
                    </w:rPr>
                    <w:t>执行标准及级别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74" w:type="pct"/>
                  <w:vAlign w:val="center"/>
                </w:tcPr>
                <w:p>
                  <w:pPr>
                    <w:pStyle w:val="50"/>
                    <w:spacing w:line="240" w:lineRule="auto"/>
                    <w:rPr>
                      <w:bCs/>
                      <w:color w:val="auto"/>
                      <w:sz w:val="18"/>
                      <w:szCs w:val="18"/>
                    </w:rPr>
                  </w:pPr>
                  <w:r>
                    <w:rPr>
                      <w:rFonts w:hint="eastAsia" w:hAnsi="宋体"/>
                      <w:bCs/>
                      <w:color w:val="auto"/>
                      <w:sz w:val="18"/>
                      <w:szCs w:val="18"/>
                    </w:rPr>
                    <w:t>厂界</w:t>
                  </w:r>
                </w:p>
              </w:tc>
              <w:tc>
                <w:tcPr>
                  <w:tcW w:w="927" w:type="pct"/>
                  <w:vAlign w:val="center"/>
                </w:tcPr>
                <w:p>
                  <w:pPr>
                    <w:pStyle w:val="50"/>
                    <w:spacing w:line="240" w:lineRule="auto"/>
                    <w:rPr>
                      <w:bCs/>
                      <w:color w:val="auto"/>
                      <w:sz w:val="18"/>
                      <w:szCs w:val="18"/>
                    </w:rPr>
                  </w:pPr>
                  <w:r>
                    <w:rPr>
                      <w:rFonts w:hAnsi="宋体"/>
                      <w:bCs/>
                      <w:color w:val="auto"/>
                      <w:sz w:val="18"/>
                      <w:szCs w:val="18"/>
                    </w:rPr>
                    <w:t>昼间：</w:t>
                  </w:r>
                  <w:r>
                    <w:rPr>
                      <w:bCs/>
                      <w:color w:val="auto"/>
                      <w:sz w:val="18"/>
                      <w:szCs w:val="18"/>
                    </w:rPr>
                    <w:t>60</w:t>
                  </w:r>
                </w:p>
              </w:tc>
              <w:tc>
                <w:tcPr>
                  <w:tcW w:w="897" w:type="pct"/>
                  <w:vAlign w:val="center"/>
                </w:tcPr>
                <w:p>
                  <w:pPr>
                    <w:pStyle w:val="50"/>
                    <w:spacing w:line="240" w:lineRule="auto"/>
                    <w:rPr>
                      <w:bCs/>
                      <w:color w:val="auto"/>
                      <w:sz w:val="18"/>
                      <w:szCs w:val="18"/>
                    </w:rPr>
                  </w:pPr>
                  <w:r>
                    <w:rPr>
                      <w:rFonts w:hAnsi="宋体"/>
                      <w:bCs/>
                      <w:color w:val="auto"/>
                      <w:sz w:val="18"/>
                      <w:szCs w:val="18"/>
                    </w:rPr>
                    <w:t>夜间：</w:t>
                  </w:r>
                  <w:r>
                    <w:rPr>
                      <w:bCs/>
                      <w:color w:val="auto"/>
                      <w:sz w:val="18"/>
                      <w:szCs w:val="18"/>
                    </w:rPr>
                    <w:t>50</w:t>
                  </w:r>
                </w:p>
              </w:tc>
              <w:tc>
                <w:tcPr>
                  <w:tcW w:w="2402" w:type="pct"/>
                  <w:vAlign w:val="center"/>
                </w:tcPr>
                <w:p>
                  <w:pPr>
                    <w:pStyle w:val="50"/>
                    <w:spacing w:line="240" w:lineRule="auto"/>
                    <w:rPr>
                      <w:bCs/>
                      <w:color w:val="auto"/>
                      <w:sz w:val="18"/>
                      <w:szCs w:val="18"/>
                    </w:rPr>
                  </w:pPr>
                  <w:r>
                    <w:rPr>
                      <w:rFonts w:hAnsi="宋体"/>
                      <w:bCs/>
                      <w:color w:val="auto"/>
                      <w:sz w:val="18"/>
                      <w:szCs w:val="18"/>
                    </w:rPr>
                    <w:t>《</w:t>
                  </w:r>
                  <w:r>
                    <w:rPr>
                      <w:color w:val="auto"/>
                      <w:sz w:val="18"/>
                      <w:szCs w:val="18"/>
                    </w:rPr>
                    <w:t>社会生活环境噪声排放标准</w:t>
                  </w:r>
                  <w:r>
                    <w:rPr>
                      <w:rFonts w:hAnsi="宋体"/>
                      <w:bCs/>
                      <w:color w:val="auto"/>
                      <w:sz w:val="18"/>
                      <w:szCs w:val="18"/>
                    </w:rPr>
                    <w:t>》（</w:t>
                  </w:r>
                  <w:r>
                    <w:rPr>
                      <w:color w:val="auto"/>
                      <w:sz w:val="18"/>
                      <w:szCs w:val="18"/>
                    </w:rPr>
                    <w:t>GB22337-2008</w:t>
                  </w:r>
                  <w:r>
                    <w:rPr>
                      <w:rFonts w:hAnsi="宋体"/>
                      <w:bCs/>
                      <w:color w:val="auto"/>
                      <w:sz w:val="18"/>
                      <w:szCs w:val="18"/>
                    </w:rPr>
                    <w:t>）</w:t>
                  </w:r>
                  <w:r>
                    <w:rPr>
                      <w:bCs/>
                      <w:color w:val="auto"/>
                      <w:sz w:val="18"/>
                      <w:szCs w:val="18"/>
                    </w:rPr>
                    <w:t>2</w:t>
                  </w:r>
                  <w:r>
                    <w:rPr>
                      <w:rFonts w:hAnsi="宋体"/>
                      <w:bCs/>
                      <w:color w:val="auto"/>
                      <w:sz w:val="18"/>
                      <w:szCs w:val="18"/>
                    </w:rPr>
                    <w:t>类标准</w:t>
                  </w:r>
                </w:p>
              </w:tc>
            </w:tr>
          </w:tbl>
          <w:p>
            <w:pPr>
              <w:spacing w:line="360" w:lineRule="auto"/>
              <w:ind w:firstLine="422" w:firstLineChars="200"/>
              <w:rPr>
                <w:b/>
                <w:color w:val="auto"/>
              </w:rPr>
            </w:pPr>
            <w:r>
              <w:rPr>
                <w:rFonts w:hint="eastAsia"/>
                <w:b/>
                <w:color w:val="auto"/>
              </w:rPr>
              <w:t>3</w:t>
            </w:r>
            <w:r>
              <w:rPr>
                <w:rFonts w:hAnsi="宋体"/>
                <w:b/>
                <w:color w:val="auto"/>
              </w:rPr>
              <w:t>、固体废物</w:t>
            </w:r>
          </w:p>
          <w:p>
            <w:pPr>
              <w:spacing w:line="360" w:lineRule="auto"/>
              <w:ind w:firstLine="420" w:firstLineChars="200"/>
              <w:rPr>
                <w:color w:val="auto"/>
                <w:szCs w:val="21"/>
              </w:rPr>
            </w:pPr>
            <w:r>
              <w:rPr>
                <w:color w:val="auto"/>
                <w:szCs w:val="21"/>
              </w:rPr>
              <w:t>员工生活垃圾、宠物粪便及美容垃圾分类收集后交环卫部门统一处置；染疫/疑似染疫宠物粪便及其他医疗废物属于危险废物，执行《危险废物贮存污染控制标准》（GB18597-2001）及国家环保部2013年36号修改单的公告内容和《医疗废物管理条例》中的相关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80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控制</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指标</w:t>
            </w:r>
          </w:p>
        </w:tc>
        <w:tc>
          <w:tcPr>
            <w:tcW w:w="8190" w:type="dxa"/>
            <w:vAlign w:val="center"/>
          </w:tcPr>
          <w:p>
            <w:pPr>
              <w:tabs>
                <w:tab w:val="left" w:pos="6972"/>
                <w:tab w:val="left" w:pos="8295"/>
              </w:tabs>
              <w:snapToGrid w:val="0"/>
              <w:spacing w:line="360" w:lineRule="auto"/>
              <w:ind w:firstLine="480"/>
              <w:rPr>
                <w:color w:val="auto"/>
                <w:szCs w:val="21"/>
              </w:rPr>
            </w:pPr>
            <w:r>
              <w:rPr>
                <w:color w:val="auto"/>
                <w:szCs w:val="21"/>
              </w:rPr>
              <w:t>项目总量控制指标已纳入</w:t>
            </w:r>
            <w:r>
              <w:rPr>
                <w:rFonts w:hint="eastAsia"/>
                <w:color w:val="auto"/>
                <w:szCs w:val="21"/>
              </w:rPr>
              <w:t>邓家村污水</w:t>
            </w:r>
            <w:r>
              <w:rPr>
                <w:color w:val="auto"/>
                <w:szCs w:val="21"/>
              </w:rPr>
              <w:t>处理厂处理总量控制指标，不单独申请总量指标。</w:t>
            </w:r>
            <w:r>
              <w:rPr>
                <w:color w:val="auto"/>
                <w:szCs w:val="21"/>
                <w:shd w:val="clear" w:color="auto" w:fill="FFFFFF"/>
              </w:rPr>
              <w:t>项目纳入市政污水管网COD、氨氮核算总量分别为：0.0691t/a，0.006t/a。</w:t>
            </w:r>
          </w:p>
        </w:tc>
      </w:tr>
    </w:tbl>
    <w:p>
      <w:pPr>
        <w:pStyle w:val="18"/>
        <w:jc w:val="center"/>
        <w:outlineLvl w:val="0"/>
        <w:rPr>
          <w:rFonts w:ascii="黑体" w:hAnsi="黑体" w:eastAsia="黑体"/>
          <w:snapToGrid w:val="0"/>
          <w:color w:val="auto"/>
          <w:sz w:val="30"/>
          <w:szCs w:val="30"/>
        </w:rPr>
      </w:pPr>
      <w:r>
        <w:rPr>
          <w:rFonts w:ascii="黑体" w:hAnsi="黑体" w:eastAsia="黑体"/>
          <w:snapToGrid w:val="0"/>
          <w:color w:val="auto"/>
          <w:sz w:val="36"/>
          <w:szCs w:val="36"/>
        </w:rPr>
        <w:br w:type="page"/>
      </w:r>
      <w:r>
        <w:rPr>
          <w:rFonts w:hint="eastAsia" w:ascii="黑体" w:hAnsi="黑体" w:eastAsia="黑体"/>
          <w:snapToGrid w:val="0"/>
          <w:color w:val="auto"/>
          <w:sz w:val="30"/>
          <w:szCs w:val="30"/>
        </w:rPr>
        <w:t>四、主要环境影响和保护措施</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9"/>
        <w:gridCol w:w="8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6" w:hRule="atLeast"/>
          <w:jc w:val="center"/>
        </w:trPr>
        <w:tc>
          <w:tcPr>
            <w:tcW w:w="746" w:type="dxa"/>
            <w:tcMar>
              <w:left w:w="28" w:type="dxa"/>
              <w:right w:w="28" w:type="dxa"/>
            </w:tcMar>
            <w:vAlign w:val="center"/>
          </w:tcPr>
          <w:p>
            <w:pPr>
              <w:pStyle w:val="18"/>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施工</w:t>
            </w:r>
          </w:p>
          <w:p>
            <w:pPr>
              <w:pStyle w:val="18"/>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期环</w:t>
            </w:r>
          </w:p>
          <w:p>
            <w:pPr>
              <w:pStyle w:val="18"/>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境保</w:t>
            </w:r>
          </w:p>
          <w:p>
            <w:pPr>
              <w:pStyle w:val="18"/>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护措</w:t>
            </w:r>
          </w:p>
          <w:p>
            <w:pPr>
              <w:pStyle w:val="18"/>
              <w:adjustRightInd w:val="0"/>
              <w:snapToGrid w:val="0"/>
              <w:spacing w:before="0" w:beforeAutospacing="0" w:after="0" w:afterAutospacing="0"/>
              <w:jc w:val="center"/>
              <w:rPr>
                <w:rFonts w:cs="宋体"/>
                <w:bCs/>
                <w:color w:val="auto"/>
                <w:kern w:val="2"/>
                <w:sz w:val="21"/>
                <w:szCs w:val="21"/>
              </w:rPr>
            </w:pPr>
            <w:r>
              <w:rPr>
                <w:rFonts w:hint="eastAsia" w:cs="宋体"/>
                <w:color w:val="auto"/>
                <w:kern w:val="2"/>
                <w:sz w:val="21"/>
                <w:szCs w:val="21"/>
              </w:rPr>
              <w:t>施</w:t>
            </w:r>
          </w:p>
        </w:tc>
        <w:tc>
          <w:tcPr>
            <w:tcW w:w="8162" w:type="dxa"/>
            <w:vAlign w:val="center"/>
          </w:tcPr>
          <w:p>
            <w:pPr>
              <w:pStyle w:val="11"/>
              <w:spacing w:line="360" w:lineRule="auto"/>
              <w:ind w:firstLine="420" w:firstLineChars="200"/>
              <w:rPr>
                <w:rFonts w:ascii="Times New Roman" w:hAnsi="宋体"/>
                <w:color w:val="auto"/>
              </w:rPr>
            </w:pPr>
            <w:r>
              <w:rPr>
                <w:rFonts w:hint="eastAsia" w:ascii="Times New Roman" w:hAnsi="宋体"/>
                <w:color w:val="auto"/>
              </w:rPr>
              <w:t>经调查</w:t>
            </w:r>
            <w:r>
              <w:rPr>
                <w:rFonts w:ascii="Times New Roman" w:hAnsi="宋体"/>
                <w:color w:val="auto"/>
              </w:rPr>
              <w:t>，本项目施工期已结束，施工期</w:t>
            </w:r>
            <w:r>
              <w:rPr>
                <w:rFonts w:hint="eastAsia" w:ascii="Times New Roman" w:hAnsi="宋体"/>
                <w:color w:val="auto"/>
              </w:rPr>
              <w:t>污染防治</w:t>
            </w:r>
            <w:r>
              <w:rPr>
                <w:rFonts w:ascii="Times New Roman" w:hAnsi="宋体"/>
                <w:color w:val="auto"/>
              </w:rPr>
              <w:t>措施见表</w:t>
            </w:r>
            <w:r>
              <w:rPr>
                <w:rFonts w:ascii="Times New Roman" w:hAnsi="Times New Roman"/>
                <w:color w:val="auto"/>
              </w:rPr>
              <w:t>4-1</w:t>
            </w:r>
            <w:r>
              <w:rPr>
                <w:rFonts w:ascii="Times New Roman" w:hAnsi="宋体"/>
                <w:color w:val="auto"/>
              </w:rPr>
              <w:t>。</w:t>
            </w:r>
          </w:p>
          <w:p>
            <w:pPr>
              <w:pStyle w:val="2"/>
              <w:ind w:firstLine="34" w:firstLineChars="16"/>
              <w:jc w:val="center"/>
              <w:rPr>
                <w:rFonts w:ascii="Times New Roman" w:cs="Times New Roman"/>
                <w:b/>
                <w:bCs/>
                <w:color w:val="auto"/>
                <w:sz w:val="21"/>
                <w:szCs w:val="21"/>
              </w:rPr>
            </w:pPr>
            <w:r>
              <w:rPr>
                <w:rFonts w:ascii="Times New Roman" w:hAnsi="宋体" w:cs="Times New Roman"/>
                <w:b/>
                <w:bCs/>
                <w:color w:val="auto"/>
                <w:sz w:val="21"/>
                <w:szCs w:val="21"/>
              </w:rPr>
              <w:t>表</w:t>
            </w:r>
            <w:r>
              <w:rPr>
                <w:rFonts w:ascii="Times New Roman" w:cs="Times New Roman"/>
                <w:b/>
                <w:bCs/>
                <w:color w:val="auto"/>
                <w:sz w:val="21"/>
                <w:szCs w:val="21"/>
              </w:rPr>
              <w:t xml:space="preserve">4-1    </w:t>
            </w:r>
            <w:r>
              <w:rPr>
                <w:rFonts w:ascii="Times New Roman" w:hAnsi="宋体" w:cs="Times New Roman"/>
                <w:b/>
                <w:bCs/>
                <w:color w:val="auto"/>
                <w:sz w:val="21"/>
                <w:szCs w:val="21"/>
              </w:rPr>
              <w:t>施工期措施一览表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39"/>
              <w:gridCol w:w="1254"/>
              <w:gridCol w:w="2158"/>
              <w:gridCol w:w="1587"/>
              <w:gridCol w:w="27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436"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类别</w:t>
                  </w:r>
                </w:p>
              </w:tc>
              <w:tc>
                <w:tcPr>
                  <w:tcW w:w="740"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名称</w:t>
                  </w:r>
                </w:p>
              </w:tc>
              <w:tc>
                <w:tcPr>
                  <w:tcW w:w="1273"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产生工序</w:t>
                  </w:r>
                </w:p>
              </w:tc>
              <w:tc>
                <w:tcPr>
                  <w:tcW w:w="936" w:type="pct"/>
                  <w:tcBorders>
                    <w:righ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主要污染因子</w:t>
                  </w:r>
                </w:p>
              </w:tc>
              <w:tc>
                <w:tcPr>
                  <w:tcW w:w="1615" w:type="pct"/>
                  <w:tcBorders>
                    <w:lef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436"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废气</w:t>
                  </w:r>
                </w:p>
              </w:tc>
              <w:tc>
                <w:tcPr>
                  <w:tcW w:w="740"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扬尘</w:t>
                  </w:r>
                </w:p>
              </w:tc>
              <w:tc>
                <w:tcPr>
                  <w:tcW w:w="1273" w:type="pct"/>
                  <w:vAlign w:val="center"/>
                </w:tcPr>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内部装修、设施摆放</w:t>
                  </w:r>
                </w:p>
                <w:p>
                  <w:pPr>
                    <w:pStyle w:val="2"/>
                    <w:jc w:val="center"/>
                    <w:rPr>
                      <w:rFonts w:ascii="Times New Roman" w:cs="Times New Roman"/>
                      <w:color w:val="auto"/>
                      <w:sz w:val="18"/>
                      <w:szCs w:val="18"/>
                    </w:rPr>
                  </w:pPr>
                </w:p>
              </w:tc>
              <w:tc>
                <w:tcPr>
                  <w:tcW w:w="936" w:type="pct"/>
                  <w:tcBorders>
                    <w:right w:val="single" w:color="auto" w:sz="4" w:space="0"/>
                  </w:tcBorders>
                  <w:vAlign w:val="center"/>
                </w:tcPr>
                <w:p>
                  <w:pPr>
                    <w:pStyle w:val="2"/>
                    <w:jc w:val="center"/>
                    <w:rPr>
                      <w:rFonts w:ascii="Times New Roman" w:cs="Times New Roman"/>
                      <w:color w:val="auto"/>
                      <w:sz w:val="18"/>
                      <w:szCs w:val="18"/>
                    </w:rPr>
                  </w:pPr>
                  <w:r>
                    <w:rPr>
                      <w:rFonts w:ascii="Times New Roman" w:cs="Times New Roman"/>
                      <w:color w:val="auto"/>
                      <w:sz w:val="18"/>
                      <w:szCs w:val="18"/>
                    </w:rPr>
                    <w:t>TSP</w:t>
                  </w:r>
                </w:p>
              </w:tc>
              <w:tc>
                <w:tcPr>
                  <w:tcW w:w="1615" w:type="pct"/>
                  <w:tcBorders>
                    <w:lef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洒水降尘、厂房围挡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436" w:type="pct"/>
                  <w:vMerge w:val="restar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固废</w:t>
                  </w:r>
                </w:p>
              </w:tc>
              <w:tc>
                <w:tcPr>
                  <w:tcW w:w="740"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生活垃圾</w:t>
                  </w:r>
                </w:p>
              </w:tc>
              <w:tc>
                <w:tcPr>
                  <w:tcW w:w="1273"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施工人员生活</w:t>
                  </w:r>
                </w:p>
              </w:tc>
              <w:tc>
                <w:tcPr>
                  <w:tcW w:w="936" w:type="pct"/>
                  <w:tcBorders>
                    <w:righ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生活垃圾</w:t>
                  </w:r>
                </w:p>
              </w:tc>
              <w:tc>
                <w:tcPr>
                  <w:tcW w:w="1615" w:type="pct"/>
                  <w:tcBorders>
                    <w:lef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分类收集，环卫部门清运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436" w:type="pct"/>
                  <w:vMerge w:val="continue"/>
                  <w:vAlign w:val="center"/>
                </w:tcPr>
                <w:p>
                  <w:pPr>
                    <w:pStyle w:val="2"/>
                    <w:jc w:val="center"/>
                    <w:rPr>
                      <w:rFonts w:ascii="Times New Roman" w:cs="Times New Roman"/>
                      <w:color w:val="auto"/>
                      <w:sz w:val="18"/>
                      <w:szCs w:val="18"/>
                    </w:rPr>
                  </w:pPr>
                </w:p>
              </w:tc>
              <w:tc>
                <w:tcPr>
                  <w:tcW w:w="740" w:type="pct"/>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包装材料</w:t>
                  </w:r>
                </w:p>
              </w:tc>
              <w:tc>
                <w:tcPr>
                  <w:tcW w:w="1273" w:type="pct"/>
                  <w:vAlign w:val="center"/>
                </w:tcPr>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内部装修、设备摆放</w:t>
                  </w:r>
                </w:p>
                <w:p>
                  <w:pPr>
                    <w:pStyle w:val="2"/>
                    <w:jc w:val="center"/>
                    <w:rPr>
                      <w:rFonts w:ascii="Times New Roman" w:cs="Times New Roman"/>
                      <w:color w:val="auto"/>
                      <w:sz w:val="18"/>
                      <w:szCs w:val="18"/>
                    </w:rPr>
                  </w:pPr>
                </w:p>
              </w:tc>
              <w:tc>
                <w:tcPr>
                  <w:tcW w:w="936" w:type="pct"/>
                  <w:tcBorders>
                    <w:righ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废弃材料等</w:t>
                  </w:r>
                </w:p>
              </w:tc>
              <w:tc>
                <w:tcPr>
                  <w:tcW w:w="1615" w:type="pct"/>
                  <w:tcBorders>
                    <w:left w:val="single" w:color="auto" w:sz="4" w:space="0"/>
                  </w:tcBorders>
                  <w:vAlign w:val="center"/>
                </w:tcPr>
                <w:p>
                  <w:pPr>
                    <w:pStyle w:val="2"/>
                    <w:jc w:val="center"/>
                    <w:rPr>
                      <w:rFonts w:ascii="Times New Roman" w:cs="Times New Roman"/>
                      <w:color w:val="auto"/>
                      <w:sz w:val="18"/>
                      <w:szCs w:val="18"/>
                    </w:rPr>
                  </w:pPr>
                  <w:r>
                    <w:rPr>
                      <w:rFonts w:ascii="Times New Roman" w:hAnsi="宋体" w:cs="Times New Roman"/>
                      <w:color w:val="auto"/>
                      <w:sz w:val="18"/>
                      <w:szCs w:val="18"/>
                    </w:rPr>
                    <w:t>收集外售物资回收部门</w:t>
                  </w:r>
                </w:p>
              </w:tc>
            </w:tr>
          </w:tbl>
          <w:p>
            <w:pPr>
              <w:spacing w:line="360" w:lineRule="auto"/>
              <w:ind w:firstLine="347" w:firstLineChars="183"/>
              <w:rPr>
                <w:rFonts w:ascii="宋体" w:hAnsi="宋体" w:cs="宋体"/>
                <w:bCs/>
                <w:color w:val="auto"/>
                <w:spacing w:val="-1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tcMar>
              <w:left w:w="28" w:type="dxa"/>
              <w:right w:w="28" w:type="dxa"/>
            </w:tcMar>
            <w:vAlign w:val="center"/>
          </w:tcPr>
          <w:p>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adjustRightInd w:val="0"/>
              <w:snapToGrid w:val="0"/>
              <w:jc w:val="center"/>
              <w:rPr>
                <w:rFonts w:ascii="宋体" w:hAnsi="宋体" w:cs="宋体"/>
                <w:bCs/>
                <w:color w:val="auto"/>
                <w:szCs w:val="21"/>
              </w:rPr>
            </w:pPr>
            <w:r>
              <w:rPr>
                <w:rFonts w:hint="eastAsia" w:ascii="宋体" w:hAnsi="宋体" w:cs="宋体"/>
                <w:bCs/>
                <w:color w:val="auto"/>
                <w:szCs w:val="21"/>
              </w:rPr>
              <w:t>措施</w:t>
            </w:r>
          </w:p>
        </w:tc>
        <w:tc>
          <w:tcPr>
            <w:tcW w:w="8162" w:type="dxa"/>
            <w:vAlign w:val="center"/>
          </w:tcPr>
          <w:p>
            <w:pPr>
              <w:spacing w:line="360" w:lineRule="auto"/>
              <w:ind w:firstLine="413" w:firstLineChars="196"/>
              <w:jc w:val="left"/>
              <w:rPr>
                <w:rFonts w:ascii="宋体" w:hAnsi="宋体" w:cs="宋体"/>
                <w:b/>
                <w:color w:val="auto"/>
              </w:rPr>
            </w:pPr>
            <w:r>
              <w:rPr>
                <w:rFonts w:hint="eastAsia" w:ascii="宋体" w:hAnsi="宋体" w:cs="宋体"/>
                <w:b/>
                <w:color w:val="auto"/>
              </w:rPr>
              <w:t>1、废气</w:t>
            </w:r>
          </w:p>
          <w:p>
            <w:pPr>
              <w:pStyle w:val="11"/>
              <w:tabs>
                <w:tab w:val="left" w:pos="4718"/>
              </w:tabs>
              <w:spacing w:line="360" w:lineRule="auto"/>
              <w:ind w:firstLine="420" w:firstLineChars="200"/>
              <w:rPr>
                <w:rFonts w:ascii="Times New Roman" w:hAnsiTheme="majorEastAsia" w:eastAsiaTheme="majorEastAsia"/>
                <w:color w:val="auto"/>
                <w:kern w:val="0"/>
                <w:szCs w:val="21"/>
              </w:rPr>
            </w:pPr>
            <w:r>
              <w:rPr>
                <w:rFonts w:ascii="Times New Roman" w:hAnsiTheme="majorEastAsia" w:eastAsiaTheme="majorEastAsia"/>
                <w:color w:val="auto"/>
                <w:kern w:val="0"/>
                <w:szCs w:val="21"/>
              </w:rPr>
              <w:t>项目在医疗服务中不设锅炉房、停车场及食堂等。</w:t>
            </w:r>
            <w:r>
              <w:rPr>
                <w:rFonts w:hint="eastAsia" w:ascii="Times New Roman" w:hAnsiTheme="majorEastAsia" w:eastAsiaTheme="majorEastAsia"/>
                <w:color w:val="auto"/>
                <w:kern w:val="0"/>
                <w:szCs w:val="21"/>
              </w:rPr>
              <w:t>本项目</w:t>
            </w:r>
            <w:r>
              <w:rPr>
                <w:rFonts w:ascii="Times New Roman" w:hAnsiTheme="majorEastAsia" w:eastAsiaTheme="majorEastAsia"/>
                <w:color w:val="auto"/>
                <w:kern w:val="0"/>
                <w:szCs w:val="21"/>
              </w:rPr>
              <w:t>空调</w:t>
            </w:r>
            <w:r>
              <w:rPr>
                <w:rFonts w:hint="eastAsia" w:ascii="Times New Roman" w:hAnsiTheme="majorEastAsia" w:eastAsiaTheme="majorEastAsia"/>
                <w:color w:val="auto"/>
                <w:kern w:val="0"/>
                <w:szCs w:val="21"/>
              </w:rPr>
              <w:t>设置于</w:t>
            </w:r>
            <w:r>
              <w:rPr>
                <w:rFonts w:ascii="Times New Roman" w:hAnsiTheme="majorEastAsia" w:eastAsiaTheme="majorEastAsia"/>
                <w:color w:val="auto"/>
                <w:kern w:val="0"/>
                <w:szCs w:val="21"/>
              </w:rPr>
              <w:t>医院</w:t>
            </w:r>
            <w:r>
              <w:rPr>
                <w:rFonts w:hint="eastAsia" w:ascii="Times New Roman" w:hAnsiTheme="majorEastAsia" w:eastAsiaTheme="majorEastAsia"/>
                <w:color w:val="auto"/>
                <w:kern w:val="0"/>
                <w:szCs w:val="21"/>
              </w:rPr>
              <w:t>南部出口</w:t>
            </w:r>
            <w:r>
              <w:rPr>
                <w:rFonts w:ascii="Times New Roman" w:hAnsiTheme="majorEastAsia" w:eastAsiaTheme="majorEastAsia"/>
                <w:color w:val="auto"/>
                <w:kern w:val="0"/>
                <w:szCs w:val="21"/>
              </w:rPr>
              <w:t>上</w:t>
            </w:r>
            <w:r>
              <w:rPr>
                <w:rFonts w:hint="eastAsia" w:ascii="Times New Roman" w:hAnsiTheme="majorEastAsia" w:eastAsiaTheme="majorEastAsia"/>
                <w:color w:val="auto"/>
                <w:kern w:val="0"/>
                <w:szCs w:val="21"/>
              </w:rPr>
              <w:t>方</w:t>
            </w:r>
            <w:r>
              <w:rPr>
                <w:rFonts w:ascii="Times New Roman" w:hAnsiTheme="majorEastAsia" w:eastAsiaTheme="majorEastAsia"/>
                <w:color w:val="auto"/>
                <w:kern w:val="0"/>
                <w:szCs w:val="21"/>
              </w:rPr>
              <w:t>临路一侧，</w:t>
            </w:r>
            <w:r>
              <w:rPr>
                <w:rFonts w:hint="eastAsia" w:ascii="Times New Roman" w:hAnsiTheme="majorEastAsia" w:eastAsiaTheme="majorEastAsia"/>
                <w:color w:val="auto"/>
                <w:kern w:val="0"/>
                <w:szCs w:val="21"/>
              </w:rPr>
              <w:t>空调</w:t>
            </w:r>
            <w:r>
              <w:rPr>
                <w:rFonts w:ascii="Times New Roman" w:hAnsiTheme="majorEastAsia" w:eastAsiaTheme="majorEastAsia"/>
                <w:color w:val="auto"/>
                <w:kern w:val="0"/>
                <w:szCs w:val="21"/>
              </w:rPr>
              <w:t>通风口远离居民；项目废水缓释消毒器采用</w:t>
            </w:r>
            <w:r>
              <w:rPr>
                <w:rFonts w:ascii="Times New Roman" w:hAnsiTheme="majorEastAsia" w:eastAsiaTheme="majorEastAsia"/>
                <w:color w:val="auto"/>
                <w:szCs w:val="21"/>
              </w:rPr>
              <w:t>投加含氯消毒片（固体药剂，主要成分为</w:t>
            </w:r>
            <w:r>
              <w:rPr>
                <w:rFonts w:hint="eastAsia" w:ascii="Times New Roman" w:hAnsiTheme="majorEastAsia" w:eastAsiaTheme="majorEastAsia"/>
                <w:color w:val="auto"/>
                <w:szCs w:val="21"/>
              </w:rPr>
              <w:t>次氯酸</w:t>
            </w:r>
            <w:r>
              <w:rPr>
                <w:rFonts w:ascii="Times New Roman" w:hAnsiTheme="majorEastAsia" w:eastAsiaTheme="majorEastAsia"/>
                <w:color w:val="auto"/>
                <w:szCs w:val="21"/>
              </w:rPr>
              <w:t>，化学法消毒）</w:t>
            </w:r>
            <w:r>
              <w:rPr>
                <w:rFonts w:ascii="Times New Roman" w:hAnsiTheme="majorEastAsia" w:eastAsiaTheme="majorEastAsia"/>
                <w:color w:val="auto"/>
                <w:kern w:val="0"/>
                <w:szCs w:val="21"/>
              </w:rPr>
              <w:t>工艺，无生化处理过程，且位于建筑物内，运行无明显异味</w:t>
            </w:r>
            <w:r>
              <w:rPr>
                <w:rFonts w:hint="eastAsia" w:ascii="Times New Roman" w:hAnsiTheme="majorEastAsia" w:eastAsiaTheme="majorEastAsia"/>
                <w:color w:val="auto"/>
                <w:kern w:val="0"/>
                <w:szCs w:val="21"/>
              </w:rPr>
              <w:t>；</w:t>
            </w:r>
            <w:r>
              <w:rPr>
                <w:rFonts w:ascii="Times New Roman" w:hAnsiTheme="majorEastAsia" w:eastAsiaTheme="majorEastAsia"/>
                <w:color w:val="auto"/>
                <w:kern w:val="0"/>
                <w:szCs w:val="21"/>
              </w:rPr>
              <w:t>医疗废物暂存间采取袋装封闭，</w:t>
            </w:r>
            <w:r>
              <w:rPr>
                <w:rFonts w:hint="eastAsia" w:ascii="Times New Roman" w:hAnsiTheme="majorEastAsia" w:eastAsiaTheme="majorEastAsia"/>
                <w:color w:val="auto"/>
                <w:kern w:val="0"/>
                <w:szCs w:val="21"/>
              </w:rPr>
              <w:t>及时消毒</w:t>
            </w:r>
            <w:r>
              <w:rPr>
                <w:rFonts w:ascii="Times New Roman" w:hAnsiTheme="majorEastAsia" w:eastAsiaTheme="majorEastAsia"/>
                <w:color w:val="auto"/>
                <w:kern w:val="0"/>
                <w:szCs w:val="21"/>
              </w:rPr>
              <w:t>，喷洒小宠祛味消毒液祛除异味</w:t>
            </w:r>
            <w:r>
              <w:rPr>
                <w:rFonts w:hint="eastAsia" w:ascii="Times New Roman" w:hAnsiTheme="majorEastAsia" w:eastAsiaTheme="majorEastAsia"/>
                <w:color w:val="auto"/>
                <w:kern w:val="0"/>
                <w:szCs w:val="21"/>
              </w:rPr>
              <w:t>；</w:t>
            </w:r>
            <w:r>
              <w:rPr>
                <w:rFonts w:ascii="Times New Roman" w:hAnsiTheme="majorEastAsia" w:eastAsiaTheme="majorEastAsia"/>
                <w:color w:val="auto"/>
                <w:kern w:val="0"/>
                <w:szCs w:val="21"/>
              </w:rPr>
              <w:t>项目运营期间接诊宠物均为猫、狗等小动物，产生的粪便极少。宠物均养在宠物笼中，笼子下方为托盘，托盘中放有猫砂便于吸收粪尿，宠物粪尿被猫砂吸收包裹后及时由医护人员清除并装入专门的密封袋中密封保存，同时加强室内通风换气并定期喷洒小宠祛味消毒液祛除异味。因此，项目产生的废气对周围环境影响较小。</w:t>
            </w:r>
          </w:p>
          <w:p>
            <w:pPr>
              <w:pStyle w:val="11"/>
              <w:tabs>
                <w:tab w:val="left" w:pos="4718"/>
              </w:tabs>
              <w:spacing w:line="360" w:lineRule="auto"/>
              <w:ind w:firstLine="422" w:firstLineChars="200"/>
              <w:rPr>
                <w:rFonts w:ascii="Times New Roman" w:hAnsi="Times New Roman" w:eastAsiaTheme="majorEastAsia"/>
                <w:color w:val="auto"/>
                <w:szCs w:val="21"/>
              </w:rPr>
            </w:pPr>
            <w:r>
              <w:rPr>
                <w:rFonts w:hint="eastAsia" w:hAnsi="宋体" w:cs="宋体"/>
                <w:b/>
                <w:color w:val="auto"/>
              </w:rPr>
              <w:t>2、废水</w:t>
            </w:r>
          </w:p>
          <w:p>
            <w:pPr>
              <w:pStyle w:val="11"/>
              <w:spacing w:line="360" w:lineRule="auto"/>
              <w:ind w:firstLine="420" w:firstLineChars="200"/>
              <w:rPr>
                <w:rFonts w:ascii="Times New Roman" w:hAnsi="Times New Roman" w:eastAsiaTheme="majorEastAsia"/>
                <w:color w:val="auto"/>
              </w:rPr>
            </w:pPr>
            <w:r>
              <w:rPr>
                <w:rFonts w:ascii="Times New Roman" w:hAnsiTheme="majorEastAsia" w:eastAsiaTheme="majorEastAsia"/>
                <w:color w:val="auto"/>
              </w:rPr>
              <w:t>运营期废水包括生活污水、宠物洗浴废水和医疗废水，污水排放总量为</w:t>
            </w:r>
            <w:r>
              <w:rPr>
                <w:rFonts w:ascii="Times New Roman" w:hAnsi="Times New Roman" w:eastAsiaTheme="majorEastAsia"/>
                <w:color w:val="auto"/>
              </w:rPr>
              <w:t>202.224m</w:t>
            </w:r>
            <w:r>
              <w:rPr>
                <w:rFonts w:ascii="Times New Roman" w:hAnsi="Times New Roman" w:eastAsiaTheme="majorEastAsia"/>
                <w:color w:val="auto"/>
                <w:vertAlign w:val="superscript"/>
              </w:rPr>
              <w:t>3</w:t>
            </w:r>
            <w:r>
              <w:rPr>
                <w:rFonts w:ascii="Times New Roman" w:hAnsi="Times New Roman" w:eastAsiaTheme="majorEastAsia"/>
                <w:color w:val="auto"/>
              </w:rPr>
              <w:t>/a</w:t>
            </w:r>
            <w:r>
              <w:rPr>
                <w:rFonts w:ascii="Times New Roman" w:hAnsiTheme="majorEastAsia" w:eastAsiaTheme="majorEastAsia"/>
                <w:color w:val="auto"/>
              </w:rPr>
              <w:t>，其中：</w:t>
            </w:r>
            <w:r>
              <w:rPr>
                <w:rFonts w:hint="eastAsia" w:ascii="Times New Roman" w:hAnsiTheme="majorEastAsia" w:eastAsiaTheme="majorEastAsia"/>
                <w:color w:val="auto"/>
              </w:rPr>
              <w:t>职工</w:t>
            </w:r>
            <w:r>
              <w:rPr>
                <w:rFonts w:ascii="Times New Roman" w:hAnsiTheme="majorEastAsia" w:eastAsiaTheme="majorEastAsia"/>
                <w:color w:val="auto"/>
              </w:rPr>
              <w:t>及顾客生活污水</w:t>
            </w:r>
            <w:r>
              <w:rPr>
                <w:rFonts w:ascii="Times New Roman" w:hAnsi="Times New Roman" w:eastAsiaTheme="majorEastAsia"/>
                <w:color w:val="auto"/>
              </w:rPr>
              <w:t>87.12m</w:t>
            </w:r>
            <w:r>
              <w:rPr>
                <w:rFonts w:ascii="Times New Roman" w:hAnsi="Times New Roman" w:eastAsiaTheme="majorEastAsia"/>
                <w:color w:val="auto"/>
                <w:vertAlign w:val="superscript"/>
              </w:rPr>
              <w:t>3</w:t>
            </w:r>
            <w:r>
              <w:rPr>
                <w:rFonts w:ascii="Times New Roman" w:hAnsi="Times New Roman" w:eastAsiaTheme="majorEastAsia"/>
                <w:color w:val="auto"/>
              </w:rPr>
              <w:t>/a</w:t>
            </w:r>
            <w:r>
              <w:rPr>
                <w:rFonts w:ascii="Times New Roman" w:hAnsiTheme="majorEastAsia" w:eastAsiaTheme="majorEastAsia"/>
                <w:color w:val="auto"/>
              </w:rPr>
              <w:t>，宠物洗浴废水</w:t>
            </w:r>
            <w:r>
              <w:rPr>
                <w:rFonts w:ascii="Times New Roman" w:hAnsi="Times New Roman" w:eastAsiaTheme="majorEastAsia"/>
                <w:color w:val="auto"/>
                <w:szCs w:val="21"/>
              </w:rPr>
              <w:t>105.6m</w:t>
            </w:r>
            <w:r>
              <w:rPr>
                <w:rFonts w:ascii="Times New Roman" w:hAnsi="Times New Roman" w:eastAsiaTheme="majorEastAsia"/>
                <w:color w:val="auto"/>
                <w:szCs w:val="21"/>
                <w:vertAlign w:val="superscript"/>
              </w:rPr>
              <w:t>3</w:t>
            </w:r>
            <w:r>
              <w:rPr>
                <w:rFonts w:ascii="Times New Roman" w:hAnsi="Times New Roman" w:eastAsiaTheme="majorEastAsia"/>
                <w:color w:val="auto"/>
                <w:szCs w:val="21"/>
              </w:rPr>
              <w:t>/a</w:t>
            </w:r>
            <w:r>
              <w:rPr>
                <w:rFonts w:ascii="Times New Roman" w:hAnsiTheme="majorEastAsia" w:eastAsiaTheme="majorEastAsia"/>
                <w:color w:val="auto"/>
                <w:szCs w:val="21"/>
              </w:rPr>
              <w:t>，医疗废水</w:t>
            </w:r>
            <w:r>
              <w:rPr>
                <w:rFonts w:ascii="Times New Roman" w:hAnsi="Times New Roman" w:eastAsiaTheme="majorEastAsia"/>
                <w:color w:val="auto"/>
                <w:szCs w:val="21"/>
              </w:rPr>
              <w:t>9.504m</w:t>
            </w:r>
            <w:r>
              <w:rPr>
                <w:rFonts w:ascii="Times New Roman" w:hAnsi="Times New Roman" w:eastAsiaTheme="majorEastAsia"/>
                <w:color w:val="auto"/>
                <w:szCs w:val="21"/>
                <w:vertAlign w:val="superscript"/>
              </w:rPr>
              <w:t>3</w:t>
            </w:r>
            <w:r>
              <w:rPr>
                <w:rFonts w:ascii="Times New Roman" w:hAnsi="Times New Roman" w:eastAsiaTheme="majorEastAsia"/>
                <w:color w:val="auto"/>
                <w:szCs w:val="21"/>
              </w:rPr>
              <w:t>/a</w:t>
            </w:r>
            <w:r>
              <w:rPr>
                <w:rFonts w:ascii="Times New Roman" w:hAnsiTheme="majorEastAsia" w:eastAsiaTheme="majorEastAsia"/>
                <w:color w:val="auto"/>
                <w:szCs w:val="21"/>
              </w:rPr>
              <w:t>。</w:t>
            </w:r>
          </w:p>
          <w:p>
            <w:pPr>
              <w:pStyle w:val="11"/>
              <w:spacing w:line="360" w:lineRule="auto"/>
              <w:ind w:firstLine="420" w:firstLineChars="200"/>
              <w:rPr>
                <w:rFonts w:ascii="Times New Roman" w:hAnsi="Times New Roman"/>
                <w:color w:val="auto"/>
              </w:rPr>
            </w:pPr>
            <w:r>
              <w:rPr>
                <w:rFonts w:ascii="Times New Roman" w:hAnsi="Times New Roman"/>
                <w:color w:val="auto"/>
              </w:rPr>
              <w:t>（1）废水排放情况及达标分析</w:t>
            </w:r>
          </w:p>
          <w:p>
            <w:pPr>
              <w:pStyle w:val="11"/>
              <w:spacing w:line="360" w:lineRule="auto"/>
              <w:ind w:firstLine="420" w:firstLineChars="200"/>
              <w:rPr>
                <w:rFonts w:ascii="Times New Roman" w:hAnsi="Times New Roman"/>
                <w:color w:val="auto"/>
              </w:rPr>
            </w:pPr>
            <w:r>
              <w:rPr>
                <w:rFonts w:ascii="Times New Roman" w:hAnsi="Times New Roman"/>
                <w:color w:val="auto"/>
              </w:rPr>
              <w:t>根据《医疗机构水污染物排放标准》（GB18466-2005）中4.1.3要求（县级以下或20张床位以下的综合医疗机构和其他所有医疗机构污水经消毒处理后方可排放），项目医疗废水经缓释消毒设备消毒处理后，</w:t>
            </w:r>
            <w:r>
              <w:rPr>
                <w:rFonts w:hint="eastAsia" w:ascii="Times New Roman" w:hAnsi="Times New Roman"/>
                <w:color w:val="auto"/>
              </w:rPr>
              <w:t>与生活污水、宠物洗浴废水一同</w:t>
            </w:r>
            <w:r>
              <w:rPr>
                <w:rFonts w:ascii="Times New Roman" w:hAnsi="Times New Roman"/>
                <w:color w:val="auto"/>
              </w:rPr>
              <w:t>排入</w:t>
            </w:r>
            <w:r>
              <w:rPr>
                <w:rFonts w:hint="eastAsia" w:ascii="Times New Roman" w:hAnsi="Times New Roman"/>
                <w:color w:val="auto"/>
              </w:rPr>
              <w:t>丰和坊</w:t>
            </w:r>
            <w:r>
              <w:rPr>
                <w:rFonts w:ascii="Times New Roman" w:hAnsi="Times New Roman"/>
                <w:color w:val="auto"/>
              </w:rPr>
              <w:t>一期</w:t>
            </w:r>
            <w:r>
              <w:rPr>
                <w:rFonts w:hint="eastAsia" w:ascii="Times New Roman" w:hAnsi="Times New Roman"/>
                <w:color w:val="auto"/>
              </w:rPr>
              <w:t>15幢</w:t>
            </w:r>
            <w:r>
              <w:rPr>
                <w:rFonts w:ascii="Times New Roman" w:hAnsi="Times New Roman"/>
                <w:color w:val="auto"/>
              </w:rPr>
              <w:t>公用化粪池，经</w:t>
            </w:r>
            <w:r>
              <w:rPr>
                <w:rFonts w:hint="eastAsia" w:ascii="Times New Roman" w:hAnsi="Times New Roman"/>
                <w:color w:val="auto"/>
              </w:rPr>
              <w:t>丰禾</w:t>
            </w:r>
            <w:r>
              <w:rPr>
                <w:rFonts w:ascii="Times New Roman" w:hAnsi="Times New Roman"/>
                <w:color w:val="auto"/>
              </w:rPr>
              <w:t>路市政污水管网，最终由</w:t>
            </w:r>
            <w:r>
              <w:rPr>
                <w:rFonts w:hint="eastAsia" w:ascii="Times New Roman" w:hAnsi="Times New Roman"/>
                <w:color w:val="auto"/>
              </w:rPr>
              <w:t>邓家村污水</w:t>
            </w:r>
            <w:r>
              <w:rPr>
                <w:rFonts w:ascii="Times New Roman" w:hAnsi="Times New Roman"/>
                <w:color w:val="auto"/>
              </w:rPr>
              <w:t>处理厂处理。</w:t>
            </w:r>
          </w:p>
          <w:p>
            <w:pPr>
              <w:pStyle w:val="11"/>
              <w:spacing w:line="360" w:lineRule="auto"/>
              <w:ind w:firstLine="420" w:firstLineChars="200"/>
              <w:rPr>
                <w:rFonts w:ascii="Times New Roman" w:hAnsi="Times New Roman"/>
                <w:color w:val="auto"/>
              </w:rPr>
            </w:pPr>
            <w:r>
              <w:rPr>
                <w:rFonts w:hint="eastAsia" w:ascii="Times New Roman" w:hAnsi="Times New Roman"/>
                <w:color w:val="auto"/>
              </w:rPr>
              <w:t>根据</w:t>
            </w:r>
            <w:r>
              <w:rPr>
                <w:rFonts w:ascii="Times New Roman" w:hAnsi="Times New Roman"/>
                <w:color w:val="auto"/>
              </w:rPr>
              <w:t>项目废</w:t>
            </w:r>
            <w:r>
              <w:rPr>
                <w:rFonts w:hint="eastAsia" w:ascii="Times New Roman" w:hAnsi="Times New Roman"/>
                <w:color w:val="auto"/>
              </w:rPr>
              <w:t>水产生及排放</w:t>
            </w:r>
            <w:r>
              <w:rPr>
                <w:rFonts w:ascii="Times New Roman" w:hAnsi="Times New Roman"/>
                <w:color w:val="auto"/>
              </w:rPr>
              <w:t>达标情况见表4-2，项目废水类别、污染物及污染治理设施信息见表4-3</w:t>
            </w:r>
            <w:r>
              <w:rPr>
                <w:rFonts w:hint="eastAsia" w:ascii="Times New Roman" w:hAnsi="Times New Roman"/>
                <w:color w:val="auto"/>
              </w:rPr>
              <w:t>，废水间接排放口基本情况表见表4-4。</w:t>
            </w:r>
          </w:p>
          <w:p>
            <w:pPr>
              <w:pStyle w:val="2"/>
              <w:ind w:firstLine="34" w:firstLineChars="16"/>
              <w:jc w:val="center"/>
              <w:rPr>
                <w:rFonts w:ascii="Times New Roman" w:hAnsi="宋体" w:cs="Times New Roman"/>
                <w:b/>
                <w:bCs/>
                <w:color w:val="auto"/>
                <w:sz w:val="21"/>
                <w:szCs w:val="21"/>
              </w:rPr>
            </w:pPr>
            <w:r>
              <w:rPr>
                <w:rFonts w:hint="eastAsia" w:ascii="Times New Roman" w:hAnsi="宋体" w:cs="Times New Roman"/>
                <w:b/>
                <w:bCs/>
                <w:color w:val="auto"/>
                <w:sz w:val="21"/>
                <w:szCs w:val="21"/>
              </w:rPr>
              <w:t>表4-2    废水产生及排放统计一览表</w:t>
            </w:r>
          </w:p>
          <w:tbl>
            <w:tblPr>
              <w:tblStyle w:val="21"/>
              <w:tblW w:w="84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86"/>
              <w:gridCol w:w="1008"/>
              <w:gridCol w:w="632"/>
              <w:gridCol w:w="773"/>
              <w:gridCol w:w="773"/>
              <w:gridCol w:w="602"/>
              <w:gridCol w:w="688"/>
              <w:gridCol w:w="688"/>
              <w:gridCol w:w="760"/>
              <w:gridCol w:w="14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color w:val="auto"/>
                      <w:szCs w:val="18"/>
                    </w:rPr>
                    <w:t>污染物类别</w:t>
                  </w:r>
                </w:p>
              </w:tc>
              <w:tc>
                <w:tcPr>
                  <w:tcW w:w="385" w:type="pct"/>
                  <w:shd w:val="clear" w:color="auto" w:fill="auto"/>
                  <w:vAlign w:val="center"/>
                </w:tcPr>
                <w:p>
                  <w:pPr>
                    <w:pStyle w:val="9"/>
                    <w:ind w:right="-58"/>
                    <w:jc w:val="center"/>
                    <w:rPr>
                      <w:color w:val="auto"/>
                      <w:szCs w:val="18"/>
                    </w:rPr>
                  </w:pPr>
                  <w:r>
                    <w:rPr>
                      <w:color w:val="auto"/>
                      <w:szCs w:val="18"/>
                    </w:rPr>
                    <w:t>COD</w:t>
                  </w:r>
                </w:p>
              </w:tc>
              <w:tc>
                <w:tcPr>
                  <w:tcW w:w="472" w:type="pct"/>
                  <w:shd w:val="clear" w:color="auto" w:fill="auto"/>
                  <w:vAlign w:val="center"/>
                </w:tcPr>
                <w:p>
                  <w:pPr>
                    <w:pStyle w:val="9"/>
                    <w:ind w:right="0"/>
                    <w:jc w:val="center"/>
                    <w:rPr>
                      <w:color w:val="auto"/>
                      <w:szCs w:val="18"/>
                    </w:rPr>
                  </w:pPr>
                  <w:r>
                    <w:rPr>
                      <w:rFonts w:hint="eastAsia"/>
                      <w:color w:val="auto"/>
                      <w:szCs w:val="18"/>
                    </w:rPr>
                    <w:t>BOD</w:t>
                  </w:r>
                  <w:r>
                    <w:rPr>
                      <w:rFonts w:hint="eastAsia"/>
                      <w:color w:val="auto"/>
                      <w:szCs w:val="18"/>
                      <w:vertAlign w:val="subscript"/>
                    </w:rPr>
                    <w:t>5</w:t>
                  </w:r>
                </w:p>
              </w:tc>
              <w:tc>
                <w:tcPr>
                  <w:tcW w:w="472" w:type="pct"/>
                  <w:shd w:val="clear" w:color="auto" w:fill="auto"/>
                  <w:vAlign w:val="center"/>
                </w:tcPr>
                <w:p>
                  <w:pPr>
                    <w:pStyle w:val="9"/>
                    <w:ind w:right="0"/>
                    <w:jc w:val="center"/>
                    <w:rPr>
                      <w:color w:val="auto"/>
                      <w:szCs w:val="18"/>
                    </w:rPr>
                  </w:pPr>
                  <w:r>
                    <w:rPr>
                      <w:color w:val="auto"/>
                      <w:szCs w:val="18"/>
                    </w:rPr>
                    <w:t>SS</w:t>
                  </w:r>
                </w:p>
              </w:tc>
              <w:tc>
                <w:tcPr>
                  <w:tcW w:w="323" w:type="pct"/>
                  <w:shd w:val="clear" w:color="auto" w:fill="auto"/>
                  <w:vAlign w:val="center"/>
                </w:tcPr>
                <w:p>
                  <w:pPr>
                    <w:pStyle w:val="9"/>
                    <w:ind w:right="0"/>
                    <w:jc w:val="center"/>
                    <w:rPr>
                      <w:color w:val="auto"/>
                      <w:szCs w:val="18"/>
                    </w:rPr>
                  </w:pPr>
                  <w:r>
                    <w:rPr>
                      <w:color w:val="auto"/>
                      <w:szCs w:val="18"/>
                    </w:rPr>
                    <w:t>氨氮</w:t>
                  </w:r>
                </w:p>
              </w:tc>
              <w:tc>
                <w:tcPr>
                  <w:tcW w:w="342" w:type="pct"/>
                  <w:vAlign w:val="center"/>
                </w:tcPr>
                <w:p>
                  <w:pPr>
                    <w:pStyle w:val="9"/>
                    <w:ind w:right="0"/>
                    <w:jc w:val="center"/>
                    <w:rPr>
                      <w:color w:val="auto"/>
                      <w:szCs w:val="18"/>
                    </w:rPr>
                  </w:pPr>
                  <w:r>
                    <w:rPr>
                      <w:color w:val="auto"/>
                      <w:szCs w:val="18"/>
                    </w:rPr>
                    <w:t>总磷</w:t>
                  </w:r>
                </w:p>
              </w:tc>
              <w:tc>
                <w:tcPr>
                  <w:tcW w:w="343" w:type="pct"/>
                  <w:vAlign w:val="center"/>
                </w:tcPr>
                <w:p>
                  <w:pPr>
                    <w:pStyle w:val="9"/>
                    <w:ind w:right="0"/>
                    <w:jc w:val="center"/>
                    <w:rPr>
                      <w:color w:val="auto"/>
                      <w:szCs w:val="18"/>
                    </w:rPr>
                  </w:pPr>
                  <w:r>
                    <w:rPr>
                      <w:color w:val="auto"/>
                      <w:szCs w:val="18"/>
                    </w:rPr>
                    <w:t>总氮</w:t>
                  </w:r>
                </w:p>
              </w:tc>
              <w:tc>
                <w:tcPr>
                  <w:tcW w:w="464" w:type="pct"/>
                  <w:shd w:val="clear" w:color="auto" w:fill="auto"/>
                  <w:vAlign w:val="center"/>
                </w:tcPr>
                <w:p>
                  <w:pPr>
                    <w:pStyle w:val="9"/>
                    <w:ind w:right="-14"/>
                    <w:jc w:val="center"/>
                    <w:rPr>
                      <w:color w:val="auto"/>
                      <w:szCs w:val="18"/>
                    </w:rPr>
                  </w:pPr>
                  <w:r>
                    <w:rPr>
                      <w:color w:val="auto"/>
                      <w:szCs w:val="18"/>
                    </w:rPr>
                    <w:t>总余氯</w:t>
                  </w:r>
                </w:p>
              </w:tc>
              <w:tc>
                <w:tcPr>
                  <w:tcW w:w="666" w:type="pct"/>
                  <w:shd w:val="clear" w:color="auto" w:fill="auto"/>
                  <w:vAlign w:val="center"/>
                </w:tcPr>
                <w:p>
                  <w:pPr>
                    <w:pStyle w:val="9"/>
                    <w:ind w:right="0"/>
                    <w:jc w:val="center"/>
                    <w:rPr>
                      <w:color w:val="auto"/>
                      <w:szCs w:val="18"/>
                    </w:rPr>
                  </w:pPr>
                  <w:r>
                    <w:rPr>
                      <w:color w:val="auto"/>
                      <w:szCs w:val="18"/>
                    </w:rPr>
                    <w:t>粪大肠菌群（MPN/L）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restart"/>
                  <w:shd w:val="clear" w:color="auto" w:fill="auto"/>
                  <w:vAlign w:val="center"/>
                </w:tcPr>
                <w:p>
                  <w:pPr>
                    <w:pStyle w:val="9"/>
                    <w:spacing w:line="240" w:lineRule="auto"/>
                    <w:ind w:right="0"/>
                    <w:jc w:val="center"/>
                    <w:rPr>
                      <w:color w:val="auto"/>
                      <w:szCs w:val="18"/>
                    </w:rPr>
                  </w:pPr>
                  <w:r>
                    <w:rPr>
                      <w:rFonts w:hint="eastAsia"/>
                      <w:color w:val="auto"/>
                      <w:szCs w:val="18"/>
                    </w:rPr>
                    <w:t>医疗</w:t>
                  </w:r>
                </w:p>
                <w:p>
                  <w:pPr>
                    <w:pStyle w:val="9"/>
                    <w:spacing w:line="240" w:lineRule="auto"/>
                    <w:ind w:right="0"/>
                    <w:jc w:val="center"/>
                    <w:rPr>
                      <w:color w:val="auto"/>
                      <w:szCs w:val="18"/>
                    </w:rPr>
                  </w:pPr>
                  <w:r>
                    <w:rPr>
                      <w:color w:val="auto"/>
                      <w:szCs w:val="18"/>
                    </w:rPr>
                    <w:t>废水</w:t>
                  </w:r>
                </w:p>
                <w:p>
                  <w:pPr>
                    <w:pStyle w:val="9"/>
                    <w:spacing w:line="240" w:lineRule="auto"/>
                    <w:ind w:right="0"/>
                    <w:jc w:val="center"/>
                    <w:rPr>
                      <w:color w:val="auto"/>
                      <w:szCs w:val="18"/>
                    </w:rPr>
                  </w:pPr>
                  <w:r>
                    <w:rPr>
                      <w:rFonts w:hint="eastAsia"/>
                      <w:color w:val="auto"/>
                      <w:szCs w:val="18"/>
                    </w:rPr>
                    <w:t>9.504</w:t>
                  </w:r>
                </w:p>
                <w:p>
                  <w:pPr>
                    <w:pStyle w:val="9"/>
                    <w:spacing w:line="240" w:lineRule="auto"/>
                    <w:ind w:right="0"/>
                    <w:jc w:val="center"/>
                    <w:rPr>
                      <w:color w:val="auto"/>
                      <w:szCs w:val="18"/>
                    </w:rPr>
                  </w:pPr>
                  <w:r>
                    <w:rPr>
                      <w:rFonts w:hint="eastAsia"/>
                      <w:color w:val="auto"/>
                      <w:szCs w:val="18"/>
                    </w:rPr>
                    <w:t>m</w:t>
                  </w:r>
                  <w:r>
                    <w:rPr>
                      <w:rFonts w:hint="eastAsia"/>
                      <w:color w:val="auto"/>
                      <w:szCs w:val="18"/>
                      <w:vertAlign w:val="superscript"/>
                    </w:rPr>
                    <w:t>3</w:t>
                  </w:r>
                  <w:r>
                    <w:rPr>
                      <w:rFonts w:hint="eastAsia"/>
                      <w:color w:val="auto"/>
                      <w:szCs w:val="18"/>
                    </w:rPr>
                    <w:t>/a</w:t>
                  </w:r>
                </w:p>
              </w:tc>
              <w:tc>
                <w:tcPr>
                  <w:tcW w:w="865" w:type="pct"/>
                  <w:shd w:val="clear" w:color="auto" w:fill="auto"/>
                  <w:vAlign w:val="center"/>
                </w:tcPr>
                <w:p>
                  <w:pPr>
                    <w:pStyle w:val="9"/>
                    <w:ind w:right="0"/>
                    <w:jc w:val="center"/>
                    <w:rPr>
                      <w:color w:val="auto"/>
                      <w:szCs w:val="18"/>
                    </w:rPr>
                  </w:pPr>
                  <w:r>
                    <w:rPr>
                      <w:rFonts w:hint="eastAsia"/>
                      <w:color w:val="auto"/>
                      <w:szCs w:val="18"/>
                    </w:rPr>
                    <w:t>产生</w:t>
                  </w:r>
                  <w:r>
                    <w:rPr>
                      <w:color w:val="auto"/>
                      <w:szCs w:val="18"/>
                    </w:rPr>
                    <w:t>浓度</w:t>
                  </w:r>
                  <w:r>
                    <w:rPr>
                      <w:rFonts w:hint="eastAsia"/>
                      <w:color w:val="auto"/>
                      <w:szCs w:val="18"/>
                    </w:rPr>
                    <w:t>mg/L</w:t>
                  </w:r>
                </w:p>
              </w:tc>
              <w:tc>
                <w:tcPr>
                  <w:tcW w:w="385" w:type="pct"/>
                  <w:shd w:val="clear" w:color="auto" w:fill="auto"/>
                  <w:vAlign w:val="center"/>
                </w:tcPr>
                <w:p>
                  <w:pPr>
                    <w:pStyle w:val="9"/>
                    <w:ind w:right="-58"/>
                    <w:jc w:val="center"/>
                    <w:rPr>
                      <w:color w:val="auto"/>
                      <w:szCs w:val="18"/>
                    </w:rPr>
                  </w:pPr>
                  <w:r>
                    <w:rPr>
                      <w:color w:val="auto"/>
                      <w:szCs w:val="18"/>
                    </w:rPr>
                    <w:t>220</w:t>
                  </w:r>
                </w:p>
              </w:tc>
              <w:tc>
                <w:tcPr>
                  <w:tcW w:w="472" w:type="pct"/>
                  <w:shd w:val="clear" w:color="auto" w:fill="auto"/>
                  <w:vAlign w:val="center"/>
                </w:tcPr>
                <w:p>
                  <w:pPr>
                    <w:pStyle w:val="9"/>
                    <w:ind w:right="0"/>
                    <w:jc w:val="center"/>
                    <w:rPr>
                      <w:color w:val="auto"/>
                      <w:szCs w:val="18"/>
                    </w:rPr>
                  </w:pPr>
                  <w:r>
                    <w:rPr>
                      <w:rFonts w:hint="eastAsia"/>
                      <w:color w:val="auto"/>
                      <w:szCs w:val="18"/>
                    </w:rPr>
                    <w:t>80</w:t>
                  </w:r>
                </w:p>
              </w:tc>
              <w:tc>
                <w:tcPr>
                  <w:tcW w:w="472" w:type="pct"/>
                  <w:shd w:val="clear" w:color="auto" w:fill="auto"/>
                  <w:vAlign w:val="center"/>
                </w:tcPr>
                <w:p>
                  <w:pPr>
                    <w:pStyle w:val="9"/>
                    <w:ind w:right="0"/>
                    <w:jc w:val="center"/>
                    <w:rPr>
                      <w:color w:val="auto"/>
                      <w:szCs w:val="18"/>
                    </w:rPr>
                  </w:pPr>
                  <w:r>
                    <w:rPr>
                      <w:color w:val="auto"/>
                      <w:szCs w:val="18"/>
                    </w:rPr>
                    <w:t>50</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1.6</w:t>
                  </w:r>
                  <w:r>
                    <w:rPr>
                      <w:rFonts w:hint="eastAsia" w:ascii="宋体" w:hAnsi="宋体" w:cs="宋体"/>
                      <w:color w:val="auto"/>
                      <w:szCs w:val="18"/>
                    </w:rPr>
                    <w:t>╳</w:t>
                  </w:r>
                  <w:r>
                    <w:rPr>
                      <w:color w:val="auto"/>
                      <w:szCs w:val="18"/>
                    </w:rPr>
                    <w:t>10</w:t>
                  </w:r>
                  <w:r>
                    <w:rPr>
                      <w:rFonts w:hint="eastAsia"/>
                      <w:color w:val="auto"/>
                      <w:szCs w:val="18"/>
                      <w:vertAlign w:val="superscript"/>
                    </w:rPr>
                    <w:t>8</w:t>
                  </w:r>
                  <w:r>
                    <w:rPr>
                      <w:color w:val="auto"/>
                      <w:szCs w:val="18"/>
                    </w:rPr>
                    <w:t>MPN</w:t>
                  </w:r>
                  <w:r>
                    <w:rPr>
                      <w:rFonts w:hint="eastAsia"/>
                      <w:color w:val="auto"/>
                      <w:szCs w:val="18"/>
                    </w:rPr>
                    <w:t>/L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产生</w:t>
                  </w:r>
                  <w:r>
                    <w:rPr>
                      <w:color w:val="auto"/>
                      <w:szCs w:val="18"/>
                    </w:rPr>
                    <w:t>量t/a</w:t>
                  </w:r>
                </w:p>
              </w:tc>
              <w:tc>
                <w:tcPr>
                  <w:tcW w:w="385" w:type="pct"/>
                  <w:shd w:val="clear" w:color="auto" w:fill="auto"/>
                  <w:vAlign w:val="center"/>
                </w:tcPr>
                <w:p>
                  <w:pPr>
                    <w:pStyle w:val="9"/>
                    <w:ind w:right="-58"/>
                    <w:jc w:val="center"/>
                    <w:rPr>
                      <w:color w:val="auto"/>
                      <w:szCs w:val="18"/>
                    </w:rPr>
                  </w:pPr>
                  <w:r>
                    <w:rPr>
                      <w:rFonts w:hint="eastAsia"/>
                      <w:color w:val="auto"/>
                      <w:szCs w:val="18"/>
                    </w:rPr>
                    <w:t>0.0021</w:t>
                  </w:r>
                </w:p>
              </w:tc>
              <w:tc>
                <w:tcPr>
                  <w:tcW w:w="472" w:type="pct"/>
                  <w:shd w:val="clear" w:color="auto" w:fill="auto"/>
                  <w:vAlign w:val="center"/>
                </w:tcPr>
                <w:p>
                  <w:pPr>
                    <w:pStyle w:val="9"/>
                    <w:ind w:right="0"/>
                    <w:jc w:val="center"/>
                    <w:rPr>
                      <w:color w:val="auto"/>
                      <w:szCs w:val="18"/>
                    </w:rPr>
                  </w:pPr>
                  <w:r>
                    <w:rPr>
                      <w:rFonts w:hint="eastAsia"/>
                      <w:color w:val="auto"/>
                      <w:szCs w:val="18"/>
                    </w:rPr>
                    <w:t>0.00076</w:t>
                  </w:r>
                </w:p>
              </w:tc>
              <w:tc>
                <w:tcPr>
                  <w:tcW w:w="472" w:type="pct"/>
                  <w:shd w:val="clear" w:color="auto" w:fill="auto"/>
                  <w:vAlign w:val="center"/>
                </w:tcPr>
                <w:p>
                  <w:pPr>
                    <w:pStyle w:val="9"/>
                    <w:ind w:right="0"/>
                    <w:jc w:val="center"/>
                    <w:rPr>
                      <w:color w:val="auto"/>
                      <w:szCs w:val="18"/>
                    </w:rPr>
                  </w:pPr>
                  <w:r>
                    <w:rPr>
                      <w:rFonts w:hint="eastAsia"/>
                      <w:color w:val="auto"/>
                      <w:szCs w:val="18"/>
                    </w:rPr>
                    <w:t>0.000</w:t>
                  </w:r>
                  <w:r>
                    <w:rPr>
                      <w:color w:val="auto"/>
                      <w:szCs w:val="18"/>
                    </w:rPr>
                    <w:t>48</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1.52</w:t>
                  </w:r>
                  <w:r>
                    <w:rPr>
                      <w:rFonts w:hint="eastAsia" w:ascii="宋体" w:hAnsi="宋体" w:cs="宋体"/>
                      <w:color w:val="auto"/>
                      <w:szCs w:val="18"/>
                    </w:rPr>
                    <w:t>╳</w:t>
                  </w:r>
                  <w:r>
                    <w:rPr>
                      <w:color w:val="auto"/>
                      <w:szCs w:val="18"/>
                    </w:rPr>
                    <w:t>10</w:t>
                  </w:r>
                  <w:r>
                    <w:rPr>
                      <w:rFonts w:hint="eastAsia"/>
                      <w:color w:val="auto"/>
                      <w:szCs w:val="18"/>
                      <w:vertAlign w:val="superscript"/>
                    </w:rPr>
                    <w:t>12</w:t>
                  </w:r>
                  <w:r>
                    <w:rPr>
                      <w:color w:val="auto"/>
                      <w:szCs w:val="18"/>
                    </w:rPr>
                    <w:t>MPN/a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处理</w:t>
                  </w:r>
                  <w:r>
                    <w:rPr>
                      <w:color w:val="auto"/>
                      <w:szCs w:val="18"/>
                    </w:rPr>
                    <w:t>措施</w:t>
                  </w:r>
                </w:p>
              </w:tc>
              <w:tc>
                <w:tcPr>
                  <w:tcW w:w="3468" w:type="pct"/>
                  <w:gridSpan w:val="8"/>
                  <w:shd w:val="clear" w:color="auto" w:fill="auto"/>
                  <w:vAlign w:val="center"/>
                </w:tcPr>
                <w:p>
                  <w:pPr>
                    <w:pStyle w:val="9"/>
                    <w:ind w:right="0"/>
                    <w:jc w:val="center"/>
                    <w:rPr>
                      <w:color w:val="auto"/>
                      <w:szCs w:val="18"/>
                    </w:rPr>
                  </w:pPr>
                  <w:r>
                    <w:rPr>
                      <w:rFonts w:hint="eastAsia"/>
                      <w:color w:val="auto"/>
                      <w:szCs w:val="18"/>
                    </w:rPr>
                    <w:t>废水缓释</w:t>
                  </w:r>
                  <w:r>
                    <w:rPr>
                      <w:color w:val="auto"/>
                      <w:szCs w:val="18"/>
                    </w:rPr>
                    <w:t>消毒器（</w:t>
                  </w:r>
                  <w:r>
                    <w:rPr>
                      <w:rFonts w:hint="eastAsia"/>
                      <w:color w:val="auto"/>
                      <w:szCs w:val="18"/>
                    </w:rPr>
                    <w:t>HE-50</w:t>
                  </w:r>
                  <w:r>
                    <w:rPr>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去除</w:t>
                  </w:r>
                  <w:r>
                    <w:rPr>
                      <w:color w:val="auto"/>
                      <w:szCs w:val="18"/>
                    </w:rPr>
                    <w:t>效率</w:t>
                  </w:r>
                </w:p>
              </w:tc>
              <w:tc>
                <w:tcPr>
                  <w:tcW w:w="385" w:type="pct"/>
                  <w:shd w:val="clear" w:color="auto" w:fill="auto"/>
                  <w:vAlign w:val="center"/>
                </w:tcPr>
                <w:p>
                  <w:pPr>
                    <w:pStyle w:val="9"/>
                    <w:ind w:right="-58"/>
                    <w:jc w:val="center"/>
                    <w:rPr>
                      <w:color w:val="auto"/>
                      <w:szCs w:val="18"/>
                    </w:rPr>
                  </w:pPr>
                  <w:r>
                    <w:rPr>
                      <w:rFonts w:hint="eastAsia"/>
                      <w:color w:val="auto"/>
                      <w:szCs w:val="18"/>
                    </w:rPr>
                    <w:t>—</w:t>
                  </w:r>
                </w:p>
              </w:tc>
              <w:tc>
                <w:tcPr>
                  <w:tcW w:w="472" w:type="pct"/>
                  <w:shd w:val="clear" w:color="auto" w:fill="auto"/>
                  <w:vAlign w:val="center"/>
                </w:tcPr>
                <w:p>
                  <w:pPr>
                    <w:pStyle w:val="9"/>
                    <w:ind w:right="0"/>
                    <w:jc w:val="center"/>
                    <w:rPr>
                      <w:color w:val="auto"/>
                      <w:szCs w:val="18"/>
                    </w:rPr>
                  </w:pPr>
                  <w:r>
                    <w:rPr>
                      <w:rFonts w:hint="eastAsia"/>
                      <w:color w:val="auto"/>
                      <w:szCs w:val="18"/>
                    </w:rPr>
                    <w:t>—</w:t>
                  </w:r>
                </w:p>
              </w:tc>
              <w:tc>
                <w:tcPr>
                  <w:tcW w:w="472" w:type="pct"/>
                  <w:shd w:val="clear" w:color="auto" w:fill="auto"/>
                  <w:vAlign w:val="center"/>
                </w:tcPr>
                <w:p>
                  <w:pPr>
                    <w:pStyle w:val="9"/>
                    <w:ind w:right="0"/>
                    <w:jc w:val="center"/>
                    <w:rPr>
                      <w:color w:val="auto"/>
                      <w:szCs w:val="18"/>
                    </w:rPr>
                  </w:pPr>
                  <w:r>
                    <w:rPr>
                      <w:rFonts w:hint="eastAsia"/>
                      <w:color w:val="auto"/>
                      <w:szCs w:val="18"/>
                    </w:rPr>
                    <w:t>—</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99.99</w:t>
                  </w:r>
                  <w:r>
                    <w:rPr>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排放</w:t>
                  </w:r>
                  <w:r>
                    <w:rPr>
                      <w:color w:val="auto"/>
                      <w:szCs w:val="18"/>
                    </w:rPr>
                    <w:t>浓度</w:t>
                  </w:r>
                </w:p>
              </w:tc>
              <w:tc>
                <w:tcPr>
                  <w:tcW w:w="385" w:type="pct"/>
                  <w:shd w:val="clear" w:color="auto" w:fill="auto"/>
                  <w:vAlign w:val="center"/>
                </w:tcPr>
                <w:p>
                  <w:pPr>
                    <w:pStyle w:val="9"/>
                    <w:ind w:right="-58"/>
                    <w:jc w:val="center"/>
                    <w:rPr>
                      <w:color w:val="auto"/>
                      <w:szCs w:val="18"/>
                    </w:rPr>
                  </w:pPr>
                  <w:r>
                    <w:rPr>
                      <w:color w:val="auto"/>
                      <w:szCs w:val="18"/>
                    </w:rPr>
                    <w:t>220</w:t>
                  </w:r>
                </w:p>
              </w:tc>
              <w:tc>
                <w:tcPr>
                  <w:tcW w:w="472" w:type="pct"/>
                  <w:shd w:val="clear" w:color="auto" w:fill="auto"/>
                  <w:vAlign w:val="center"/>
                </w:tcPr>
                <w:p>
                  <w:pPr>
                    <w:pStyle w:val="9"/>
                    <w:ind w:right="0"/>
                    <w:jc w:val="center"/>
                    <w:rPr>
                      <w:color w:val="auto"/>
                      <w:szCs w:val="18"/>
                    </w:rPr>
                  </w:pPr>
                  <w:r>
                    <w:rPr>
                      <w:rFonts w:hint="eastAsia"/>
                      <w:color w:val="auto"/>
                      <w:szCs w:val="18"/>
                    </w:rPr>
                    <w:t>80</w:t>
                  </w:r>
                </w:p>
              </w:tc>
              <w:tc>
                <w:tcPr>
                  <w:tcW w:w="472" w:type="pct"/>
                  <w:shd w:val="clear" w:color="auto" w:fill="auto"/>
                  <w:vAlign w:val="center"/>
                </w:tcPr>
                <w:p>
                  <w:pPr>
                    <w:pStyle w:val="9"/>
                    <w:ind w:right="0"/>
                    <w:jc w:val="center"/>
                    <w:rPr>
                      <w:color w:val="auto"/>
                      <w:szCs w:val="18"/>
                    </w:rPr>
                  </w:pPr>
                  <w:r>
                    <w:rPr>
                      <w:color w:val="auto"/>
                      <w:szCs w:val="18"/>
                    </w:rPr>
                    <w:t>50</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5</w:t>
                  </w:r>
                </w:p>
              </w:tc>
              <w:tc>
                <w:tcPr>
                  <w:tcW w:w="666" w:type="pct"/>
                  <w:shd w:val="clear" w:color="auto" w:fill="auto"/>
                  <w:vAlign w:val="center"/>
                </w:tcPr>
                <w:p>
                  <w:pPr>
                    <w:pStyle w:val="9"/>
                    <w:ind w:right="0"/>
                    <w:jc w:val="center"/>
                    <w:rPr>
                      <w:color w:val="auto"/>
                      <w:szCs w:val="18"/>
                    </w:rPr>
                  </w:pPr>
                  <w:r>
                    <w:rPr>
                      <w:color w:val="auto"/>
                      <w:szCs w:val="18"/>
                    </w:rPr>
                    <w:t>4750 MPN</w:t>
                  </w:r>
                  <w:r>
                    <w:rPr>
                      <w:rFonts w:hint="eastAsia"/>
                      <w:color w:val="auto"/>
                      <w:szCs w:val="18"/>
                    </w:rPr>
                    <w:t>/L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排放</w:t>
                  </w:r>
                  <w:r>
                    <w:rPr>
                      <w:color w:val="auto"/>
                      <w:szCs w:val="18"/>
                    </w:rPr>
                    <w:t>量</w:t>
                  </w:r>
                </w:p>
              </w:tc>
              <w:tc>
                <w:tcPr>
                  <w:tcW w:w="385" w:type="pct"/>
                  <w:shd w:val="clear" w:color="auto" w:fill="auto"/>
                  <w:vAlign w:val="center"/>
                </w:tcPr>
                <w:p>
                  <w:pPr>
                    <w:pStyle w:val="9"/>
                    <w:ind w:right="-58"/>
                    <w:jc w:val="center"/>
                    <w:rPr>
                      <w:color w:val="auto"/>
                      <w:szCs w:val="18"/>
                    </w:rPr>
                  </w:pPr>
                  <w:r>
                    <w:rPr>
                      <w:rFonts w:hint="eastAsia"/>
                      <w:color w:val="auto"/>
                      <w:szCs w:val="18"/>
                    </w:rPr>
                    <w:t>0.0021</w:t>
                  </w:r>
                </w:p>
              </w:tc>
              <w:tc>
                <w:tcPr>
                  <w:tcW w:w="472" w:type="pct"/>
                  <w:shd w:val="clear" w:color="auto" w:fill="auto"/>
                  <w:vAlign w:val="center"/>
                </w:tcPr>
                <w:p>
                  <w:pPr>
                    <w:pStyle w:val="9"/>
                    <w:ind w:right="0"/>
                    <w:jc w:val="center"/>
                    <w:rPr>
                      <w:color w:val="auto"/>
                      <w:szCs w:val="18"/>
                    </w:rPr>
                  </w:pPr>
                  <w:r>
                    <w:rPr>
                      <w:rFonts w:hint="eastAsia"/>
                      <w:color w:val="auto"/>
                      <w:szCs w:val="18"/>
                    </w:rPr>
                    <w:t>0.00076</w:t>
                  </w:r>
                </w:p>
              </w:tc>
              <w:tc>
                <w:tcPr>
                  <w:tcW w:w="472" w:type="pct"/>
                  <w:shd w:val="clear" w:color="auto" w:fill="auto"/>
                  <w:vAlign w:val="center"/>
                </w:tcPr>
                <w:p>
                  <w:pPr>
                    <w:pStyle w:val="9"/>
                    <w:ind w:right="0"/>
                    <w:jc w:val="center"/>
                    <w:rPr>
                      <w:color w:val="auto"/>
                      <w:szCs w:val="18"/>
                    </w:rPr>
                  </w:pPr>
                  <w:r>
                    <w:rPr>
                      <w:rFonts w:hint="eastAsia"/>
                      <w:color w:val="auto"/>
                      <w:szCs w:val="18"/>
                    </w:rPr>
                    <w:t>0.000</w:t>
                  </w:r>
                  <w:r>
                    <w:rPr>
                      <w:color w:val="auto"/>
                      <w:szCs w:val="18"/>
                    </w:rPr>
                    <w:t>48</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0.00005</w:t>
                  </w:r>
                </w:p>
              </w:tc>
              <w:tc>
                <w:tcPr>
                  <w:tcW w:w="666" w:type="pct"/>
                  <w:shd w:val="clear" w:color="auto" w:fill="auto"/>
                  <w:vAlign w:val="center"/>
                </w:tcPr>
                <w:p>
                  <w:pPr>
                    <w:pStyle w:val="9"/>
                    <w:ind w:right="0"/>
                    <w:jc w:val="center"/>
                    <w:rPr>
                      <w:color w:val="auto"/>
                      <w:szCs w:val="18"/>
                    </w:rPr>
                  </w:pPr>
                  <w:r>
                    <w:rPr>
                      <w:rFonts w:hint="eastAsia"/>
                      <w:color w:val="auto"/>
                      <w:szCs w:val="18"/>
                    </w:rPr>
                    <w:t>4.51</w:t>
                  </w:r>
                  <w:r>
                    <w:rPr>
                      <w:rFonts w:hint="eastAsia" w:ascii="宋体" w:hAnsi="宋体" w:cs="宋体"/>
                      <w:color w:val="auto"/>
                      <w:szCs w:val="18"/>
                    </w:rPr>
                    <w:t>╳</w:t>
                  </w:r>
                  <w:r>
                    <w:rPr>
                      <w:color w:val="auto"/>
                      <w:szCs w:val="18"/>
                    </w:rPr>
                    <w:t>10</w:t>
                  </w:r>
                  <w:r>
                    <w:rPr>
                      <w:rFonts w:hint="eastAsia"/>
                      <w:color w:val="auto"/>
                      <w:szCs w:val="18"/>
                      <w:vertAlign w:val="superscript"/>
                    </w:rPr>
                    <w:t>7</w:t>
                  </w:r>
                  <w:r>
                    <w:rPr>
                      <w:color w:val="auto"/>
                      <w:szCs w:val="18"/>
                    </w:rPr>
                    <w:t>MPN/a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color w:val="auto"/>
                      <w:szCs w:val="18"/>
                    </w:rPr>
                    <w:t>《医疗机构水污染物排放标准》（GB18466-2005）预处理标准</w:t>
                  </w:r>
                </w:p>
              </w:tc>
              <w:tc>
                <w:tcPr>
                  <w:tcW w:w="385" w:type="pct"/>
                  <w:shd w:val="clear" w:color="auto" w:fill="auto"/>
                  <w:vAlign w:val="center"/>
                </w:tcPr>
                <w:p>
                  <w:pPr>
                    <w:pStyle w:val="9"/>
                    <w:ind w:right="-58"/>
                    <w:jc w:val="center"/>
                    <w:rPr>
                      <w:color w:val="auto"/>
                      <w:szCs w:val="18"/>
                    </w:rPr>
                  </w:pPr>
                  <w:r>
                    <w:rPr>
                      <w:rFonts w:hint="eastAsia"/>
                      <w:color w:val="auto"/>
                      <w:szCs w:val="18"/>
                    </w:rPr>
                    <w:t>250</w:t>
                  </w:r>
                </w:p>
              </w:tc>
              <w:tc>
                <w:tcPr>
                  <w:tcW w:w="472" w:type="pct"/>
                  <w:shd w:val="clear" w:color="auto" w:fill="auto"/>
                  <w:vAlign w:val="center"/>
                </w:tcPr>
                <w:p>
                  <w:pPr>
                    <w:pStyle w:val="9"/>
                    <w:ind w:right="0"/>
                    <w:jc w:val="center"/>
                    <w:rPr>
                      <w:color w:val="auto"/>
                      <w:szCs w:val="18"/>
                    </w:rPr>
                  </w:pPr>
                  <w:r>
                    <w:rPr>
                      <w:rFonts w:hint="eastAsia"/>
                      <w:color w:val="auto"/>
                      <w:szCs w:val="18"/>
                    </w:rPr>
                    <w:t>100</w:t>
                  </w:r>
                </w:p>
              </w:tc>
              <w:tc>
                <w:tcPr>
                  <w:tcW w:w="472" w:type="pct"/>
                  <w:shd w:val="clear" w:color="auto" w:fill="auto"/>
                  <w:vAlign w:val="center"/>
                </w:tcPr>
                <w:p>
                  <w:pPr>
                    <w:pStyle w:val="9"/>
                    <w:ind w:right="0"/>
                    <w:jc w:val="center"/>
                    <w:rPr>
                      <w:color w:val="auto"/>
                      <w:szCs w:val="18"/>
                    </w:rPr>
                  </w:pPr>
                  <w:r>
                    <w:rPr>
                      <w:rFonts w:hint="eastAsia"/>
                      <w:color w:val="auto"/>
                      <w:szCs w:val="18"/>
                    </w:rPr>
                    <w:t>60</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8</w:t>
                  </w:r>
                </w:p>
              </w:tc>
              <w:tc>
                <w:tcPr>
                  <w:tcW w:w="666" w:type="pct"/>
                  <w:shd w:val="clear" w:color="auto" w:fill="auto"/>
                  <w:vAlign w:val="center"/>
                </w:tcPr>
                <w:p>
                  <w:pPr>
                    <w:pStyle w:val="9"/>
                    <w:ind w:right="0"/>
                    <w:jc w:val="center"/>
                    <w:rPr>
                      <w:color w:val="auto"/>
                      <w:szCs w:val="18"/>
                    </w:rPr>
                  </w:pPr>
                  <w:r>
                    <w:rPr>
                      <w:rFonts w:hint="eastAsia"/>
                      <w:color w:val="auto"/>
                      <w:szCs w:val="18"/>
                    </w:rPr>
                    <w:t>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rFonts w:hint="eastAsia"/>
                      <w:color w:val="auto"/>
                      <w:szCs w:val="18"/>
                    </w:rPr>
                    <w:t>达标</w:t>
                  </w:r>
                  <w:r>
                    <w:rPr>
                      <w:color w:val="auto"/>
                      <w:szCs w:val="18"/>
                    </w:rPr>
                    <w:t>分析</w:t>
                  </w:r>
                </w:p>
              </w:tc>
              <w:tc>
                <w:tcPr>
                  <w:tcW w:w="385" w:type="pct"/>
                  <w:shd w:val="clear" w:color="auto" w:fill="auto"/>
                  <w:vAlign w:val="center"/>
                </w:tcPr>
                <w:p>
                  <w:pPr>
                    <w:pStyle w:val="9"/>
                    <w:ind w:right="-58"/>
                    <w:jc w:val="center"/>
                    <w:rPr>
                      <w:color w:val="auto"/>
                      <w:szCs w:val="18"/>
                    </w:rPr>
                  </w:pPr>
                  <w:r>
                    <w:rPr>
                      <w:rFonts w:hint="eastAsia"/>
                      <w:color w:val="auto"/>
                      <w:szCs w:val="18"/>
                    </w:rPr>
                    <w:t>达标</w:t>
                  </w:r>
                </w:p>
              </w:tc>
              <w:tc>
                <w:tcPr>
                  <w:tcW w:w="472" w:type="pct"/>
                  <w:shd w:val="clear" w:color="auto" w:fill="auto"/>
                  <w:vAlign w:val="center"/>
                </w:tcPr>
                <w:p>
                  <w:pPr>
                    <w:pStyle w:val="9"/>
                    <w:ind w:right="0"/>
                    <w:jc w:val="center"/>
                    <w:rPr>
                      <w:color w:val="auto"/>
                      <w:szCs w:val="18"/>
                    </w:rPr>
                  </w:pPr>
                  <w:r>
                    <w:rPr>
                      <w:rFonts w:hint="eastAsia"/>
                      <w:color w:val="auto"/>
                      <w:szCs w:val="18"/>
                    </w:rPr>
                    <w:t>达标</w:t>
                  </w:r>
                </w:p>
              </w:tc>
              <w:tc>
                <w:tcPr>
                  <w:tcW w:w="472" w:type="pct"/>
                  <w:shd w:val="clear" w:color="auto" w:fill="auto"/>
                  <w:vAlign w:val="center"/>
                </w:tcPr>
                <w:p>
                  <w:pPr>
                    <w:pStyle w:val="9"/>
                    <w:ind w:right="0"/>
                    <w:jc w:val="center"/>
                    <w:rPr>
                      <w:color w:val="auto"/>
                      <w:szCs w:val="18"/>
                    </w:rPr>
                  </w:pPr>
                  <w:r>
                    <w:rPr>
                      <w:rFonts w:hint="eastAsia"/>
                      <w:color w:val="auto"/>
                      <w:szCs w:val="18"/>
                    </w:rPr>
                    <w:t>达标</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达标</w:t>
                  </w:r>
                </w:p>
              </w:tc>
              <w:tc>
                <w:tcPr>
                  <w:tcW w:w="666" w:type="pct"/>
                  <w:shd w:val="clear" w:color="auto" w:fill="auto"/>
                  <w:vAlign w:val="center"/>
                </w:tcPr>
                <w:p>
                  <w:pPr>
                    <w:pStyle w:val="9"/>
                    <w:ind w:right="0"/>
                    <w:jc w:val="center"/>
                    <w:rPr>
                      <w:color w:val="auto"/>
                      <w:szCs w:val="18"/>
                    </w:rPr>
                  </w:pPr>
                  <w:r>
                    <w:rPr>
                      <w:rFonts w:hint="eastAsia"/>
                      <w:color w:val="auto"/>
                      <w:szCs w:val="18"/>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restart"/>
                  <w:shd w:val="clear" w:color="auto" w:fill="auto"/>
                  <w:vAlign w:val="center"/>
                </w:tcPr>
                <w:p>
                  <w:pPr>
                    <w:pStyle w:val="9"/>
                    <w:spacing w:line="240" w:lineRule="auto"/>
                    <w:ind w:right="0"/>
                    <w:jc w:val="center"/>
                    <w:rPr>
                      <w:color w:val="auto"/>
                      <w:szCs w:val="18"/>
                    </w:rPr>
                  </w:pPr>
                  <w:r>
                    <w:rPr>
                      <w:rFonts w:hint="eastAsia"/>
                      <w:color w:val="auto"/>
                      <w:szCs w:val="18"/>
                    </w:rPr>
                    <w:t>洗浴</w:t>
                  </w:r>
                  <w:r>
                    <w:rPr>
                      <w:color w:val="auto"/>
                      <w:szCs w:val="18"/>
                    </w:rPr>
                    <w:t>废水</w:t>
                  </w:r>
                  <w:r>
                    <w:rPr>
                      <w:rFonts w:hint="eastAsia"/>
                      <w:color w:val="auto"/>
                      <w:szCs w:val="18"/>
                    </w:rPr>
                    <w:t>105.6</w:t>
                  </w:r>
                  <w:r>
                    <w:rPr>
                      <w:color w:val="auto"/>
                      <w:szCs w:val="18"/>
                    </w:rPr>
                    <w:t>m</w:t>
                  </w:r>
                  <w:r>
                    <w:rPr>
                      <w:color w:val="auto"/>
                      <w:szCs w:val="18"/>
                      <w:vertAlign w:val="superscript"/>
                    </w:rPr>
                    <w:t>3</w:t>
                  </w:r>
                  <w:r>
                    <w:rPr>
                      <w:color w:val="auto"/>
                      <w:szCs w:val="18"/>
                    </w:rPr>
                    <w:t>/a</w:t>
                  </w:r>
                </w:p>
              </w:tc>
              <w:tc>
                <w:tcPr>
                  <w:tcW w:w="865" w:type="pct"/>
                  <w:shd w:val="clear" w:color="auto" w:fill="auto"/>
                  <w:vAlign w:val="center"/>
                </w:tcPr>
                <w:p>
                  <w:pPr>
                    <w:pStyle w:val="9"/>
                    <w:ind w:right="0"/>
                    <w:jc w:val="center"/>
                    <w:rPr>
                      <w:color w:val="auto"/>
                      <w:szCs w:val="18"/>
                    </w:rPr>
                  </w:pPr>
                  <w:r>
                    <w:rPr>
                      <w:rFonts w:hint="eastAsia"/>
                      <w:color w:val="auto"/>
                      <w:szCs w:val="18"/>
                    </w:rPr>
                    <w:t>产生</w:t>
                  </w:r>
                  <w:r>
                    <w:rPr>
                      <w:color w:val="auto"/>
                      <w:szCs w:val="18"/>
                    </w:rPr>
                    <w:t>浓度</w:t>
                  </w:r>
                  <w:r>
                    <w:rPr>
                      <w:rFonts w:hint="eastAsia"/>
                      <w:color w:val="auto"/>
                      <w:szCs w:val="18"/>
                    </w:rPr>
                    <w:t>mg/L</w:t>
                  </w:r>
                </w:p>
              </w:tc>
              <w:tc>
                <w:tcPr>
                  <w:tcW w:w="385" w:type="pct"/>
                  <w:shd w:val="clear" w:color="auto" w:fill="auto"/>
                  <w:vAlign w:val="center"/>
                </w:tcPr>
                <w:p>
                  <w:pPr>
                    <w:pStyle w:val="9"/>
                    <w:ind w:right="-58"/>
                    <w:jc w:val="center"/>
                    <w:rPr>
                      <w:color w:val="auto"/>
                      <w:szCs w:val="18"/>
                    </w:rPr>
                  </w:pPr>
                  <w:r>
                    <w:rPr>
                      <w:rFonts w:hint="eastAsia"/>
                      <w:color w:val="auto"/>
                      <w:szCs w:val="18"/>
                    </w:rPr>
                    <w:t>300</w:t>
                  </w:r>
                </w:p>
              </w:tc>
              <w:tc>
                <w:tcPr>
                  <w:tcW w:w="472" w:type="pct"/>
                  <w:shd w:val="clear" w:color="auto" w:fill="auto"/>
                  <w:vAlign w:val="center"/>
                </w:tcPr>
                <w:p>
                  <w:pPr>
                    <w:pStyle w:val="9"/>
                    <w:ind w:right="0"/>
                    <w:jc w:val="center"/>
                    <w:rPr>
                      <w:color w:val="auto"/>
                      <w:szCs w:val="18"/>
                    </w:rPr>
                  </w:pPr>
                  <w:r>
                    <w:rPr>
                      <w:rFonts w:hint="eastAsia"/>
                      <w:color w:val="auto"/>
                      <w:szCs w:val="18"/>
                    </w:rPr>
                    <w:t>150</w:t>
                  </w:r>
                </w:p>
              </w:tc>
              <w:tc>
                <w:tcPr>
                  <w:tcW w:w="472" w:type="pct"/>
                  <w:shd w:val="clear" w:color="auto" w:fill="auto"/>
                  <w:vAlign w:val="center"/>
                </w:tcPr>
                <w:p>
                  <w:pPr>
                    <w:pStyle w:val="9"/>
                    <w:ind w:right="0"/>
                    <w:jc w:val="center"/>
                    <w:rPr>
                      <w:color w:val="auto"/>
                      <w:szCs w:val="18"/>
                    </w:rPr>
                  </w:pPr>
                  <w:r>
                    <w:rPr>
                      <w:rFonts w:hint="eastAsia"/>
                      <w:color w:val="auto"/>
                      <w:szCs w:val="18"/>
                    </w:rPr>
                    <w:t>120</w:t>
                  </w:r>
                </w:p>
              </w:tc>
              <w:tc>
                <w:tcPr>
                  <w:tcW w:w="323" w:type="pct"/>
                  <w:shd w:val="clear" w:color="auto" w:fill="auto"/>
                  <w:vAlign w:val="center"/>
                </w:tcPr>
                <w:p>
                  <w:pPr>
                    <w:pStyle w:val="9"/>
                    <w:ind w:right="0"/>
                    <w:jc w:val="center"/>
                    <w:rPr>
                      <w:color w:val="auto"/>
                      <w:szCs w:val="18"/>
                    </w:rPr>
                  </w:pPr>
                  <w:r>
                    <w:rPr>
                      <w:rFonts w:hint="eastAsia"/>
                      <w:color w:val="auto"/>
                      <w:szCs w:val="18"/>
                    </w:rPr>
                    <w:t>30</w:t>
                  </w:r>
                </w:p>
              </w:tc>
              <w:tc>
                <w:tcPr>
                  <w:tcW w:w="342" w:type="pct"/>
                  <w:vAlign w:val="center"/>
                </w:tcPr>
                <w:p>
                  <w:pPr>
                    <w:pStyle w:val="9"/>
                    <w:ind w:right="0"/>
                    <w:jc w:val="center"/>
                    <w:rPr>
                      <w:color w:val="auto"/>
                      <w:szCs w:val="18"/>
                    </w:rPr>
                  </w:pPr>
                  <w:r>
                    <w:rPr>
                      <w:rFonts w:hint="eastAsia"/>
                      <w:color w:val="auto"/>
                      <w:szCs w:val="18"/>
                    </w:rPr>
                    <w:t>5</w:t>
                  </w:r>
                </w:p>
              </w:tc>
              <w:tc>
                <w:tcPr>
                  <w:tcW w:w="343" w:type="pct"/>
                  <w:vAlign w:val="center"/>
                </w:tcPr>
                <w:p>
                  <w:pPr>
                    <w:pStyle w:val="9"/>
                    <w:ind w:right="0"/>
                    <w:jc w:val="center"/>
                    <w:rPr>
                      <w:color w:val="auto"/>
                      <w:szCs w:val="18"/>
                    </w:rPr>
                  </w:pPr>
                  <w:r>
                    <w:rPr>
                      <w:rFonts w:hint="eastAsia"/>
                      <w:color w:val="auto"/>
                      <w:szCs w:val="18"/>
                    </w:rPr>
                    <w:t>35</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产生</w:t>
                  </w:r>
                  <w:r>
                    <w:rPr>
                      <w:color w:val="auto"/>
                      <w:szCs w:val="18"/>
                    </w:rPr>
                    <w:t>量t/a</w:t>
                  </w:r>
                </w:p>
              </w:tc>
              <w:tc>
                <w:tcPr>
                  <w:tcW w:w="385" w:type="pct"/>
                  <w:shd w:val="clear" w:color="auto" w:fill="auto"/>
                  <w:vAlign w:val="center"/>
                </w:tcPr>
                <w:p>
                  <w:pPr>
                    <w:pStyle w:val="9"/>
                    <w:ind w:right="-58"/>
                    <w:jc w:val="center"/>
                    <w:rPr>
                      <w:color w:val="auto"/>
                      <w:szCs w:val="18"/>
                    </w:rPr>
                  </w:pPr>
                  <w:r>
                    <w:rPr>
                      <w:rFonts w:hint="eastAsia"/>
                      <w:color w:val="auto"/>
                      <w:szCs w:val="18"/>
                    </w:rPr>
                    <w:t>0.032</w:t>
                  </w:r>
                </w:p>
              </w:tc>
              <w:tc>
                <w:tcPr>
                  <w:tcW w:w="472" w:type="pct"/>
                  <w:shd w:val="clear" w:color="auto" w:fill="auto"/>
                  <w:vAlign w:val="center"/>
                </w:tcPr>
                <w:p>
                  <w:pPr>
                    <w:pStyle w:val="9"/>
                    <w:ind w:right="0"/>
                    <w:jc w:val="center"/>
                    <w:rPr>
                      <w:color w:val="auto"/>
                      <w:szCs w:val="18"/>
                    </w:rPr>
                  </w:pPr>
                  <w:r>
                    <w:rPr>
                      <w:rFonts w:hint="eastAsia"/>
                      <w:color w:val="auto"/>
                      <w:szCs w:val="18"/>
                    </w:rPr>
                    <w:t>0.016</w:t>
                  </w:r>
                </w:p>
              </w:tc>
              <w:tc>
                <w:tcPr>
                  <w:tcW w:w="472" w:type="pct"/>
                  <w:shd w:val="clear" w:color="auto" w:fill="auto"/>
                  <w:vAlign w:val="center"/>
                </w:tcPr>
                <w:p>
                  <w:pPr>
                    <w:pStyle w:val="9"/>
                    <w:ind w:right="0"/>
                    <w:jc w:val="center"/>
                    <w:rPr>
                      <w:color w:val="auto"/>
                      <w:szCs w:val="18"/>
                    </w:rPr>
                  </w:pPr>
                  <w:r>
                    <w:rPr>
                      <w:rFonts w:hint="eastAsia"/>
                      <w:color w:val="auto"/>
                      <w:szCs w:val="18"/>
                    </w:rPr>
                    <w:t>0.013</w:t>
                  </w:r>
                </w:p>
              </w:tc>
              <w:tc>
                <w:tcPr>
                  <w:tcW w:w="323" w:type="pct"/>
                  <w:shd w:val="clear" w:color="auto" w:fill="auto"/>
                  <w:vAlign w:val="center"/>
                </w:tcPr>
                <w:p>
                  <w:pPr>
                    <w:pStyle w:val="9"/>
                    <w:ind w:right="0"/>
                    <w:jc w:val="center"/>
                    <w:rPr>
                      <w:color w:val="auto"/>
                      <w:szCs w:val="18"/>
                    </w:rPr>
                  </w:pPr>
                  <w:r>
                    <w:rPr>
                      <w:rFonts w:hint="eastAsia"/>
                      <w:color w:val="auto"/>
                      <w:szCs w:val="18"/>
                    </w:rPr>
                    <w:t>0.003</w:t>
                  </w:r>
                </w:p>
              </w:tc>
              <w:tc>
                <w:tcPr>
                  <w:tcW w:w="342" w:type="pct"/>
                  <w:vAlign w:val="center"/>
                </w:tcPr>
                <w:p>
                  <w:pPr>
                    <w:pStyle w:val="9"/>
                    <w:ind w:right="0"/>
                    <w:jc w:val="center"/>
                    <w:rPr>
                      <w:color w:val="auto"/>
                      <w:szCs w:val="18"/>
                    </w:rPr>
                  </w:pPr>
                  <w:r>
                    <w:rPr>
                      <w:rFonts w:hint="eastAsia"/>
                      <w:color w:val="auto"/>
                      <w:szCs w:val="18"/>
                    </w:rPr>
                    <w:t>0.0005</w:t>
                  </w:r>
                </w:p>
              </w:tc>
              <w:tc>
                <w:tcPr>
                  <w:tcW w:w="343" w:type="pct"/>
                  <w:vAlign w:val="center"/>
                </w:tcPr>
                <w:p>
                  <w:pPr>
                    <w:pStyle w:val="9"/>
                    <w:ind w:right="0"/>
                    <w:jc w:val="center"/>
                    <w:rPr>
                      <w:color w:val="auto"/>
                      <w:szCs w:val="18"/>
                    </w:rPr>
                  </w:pPr>
                  <w:r>
                    <w:rPr>
                      <w:rFonts w:hint="eastAsia"/>
                      <w:color w:val="auto"/>
                      <w:szCs w:val="18"/>
                    </w:rPr>
                    <w:t>0.0037</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restart"/>
                  <w:shd w:val="clear" w:color="auto" w:fill="auto"/>
                  <w:vAlign w:val="center"/>
                </w:tcPr>
                <w:p>
                  <w:pPr>
                    <w:pStyle w:val="9"/>
                    <w:ind w:right="0"/>
                    <w:jc w:val="center"/>
                    <w:rPr>
                      <w:color w:val="auto"/>
                      <w:szCs w:val="18"/>
                    </w:rPr>
                  </w:pPr>
                  <w:r>
                    <w:rPr>
                      <w:rFonts w:hint="eastAsia"/>
                      <w:color w:val="auto"/>
                      <w:szCs w:val="18"/>
                    </w:rPr>
                    <w:t>生活</w:t>
                  </w:r>
                  <w:r>
                    <w:rPr>
                      <w:color w:val="auto"/>
                      <w:szCs w:val="18"/>
                    </w:rPr>
                    <w:t>污水</w:t>
                  </w:r>
                  <w:r>
                    <w:rPr>
                      <w:rFonts w:hint="eastAsia"/>
                      <w:color w:val="auto"/>
                      <w:szCs w:val="18"/>
                    </w:rPr>
                    <w:t>87.12</w:t>
                  </w:r>
                  <w:r>
                    <w:rPr>
                      <w:color w:val="auto"/>
                      <w:szCs w:val="18"/>
                    </w:rPr>
                    <w:t>m</w:t>
                  </w:r>
                  <w:r>
                    <w:rPr>
                      <w:color w:val="auto"/>
                      <w:szCs w:val="18"/>
                      <w:vertAlign w:val="superscript"/>
                    </w:rPr>
                    <w:t>3</w:t>
                  </w:r>
                  <w:r>
                    <w:rPr>
                      <w:color w:val="auto"/>
                      <w:szCs w:val="18"/>
                    </w:rPr>
                    <w:t>/a</w:t>
                  </w:r>
                </w:p>
              </w:tc>
              <w:tc>
                <w:tcPr>
                  <w:tcW w:w="865" w:type="pct"/>
                  <w:shd w:val="clear" w:color="auto" w:fill="auto"/>
                  <w:vAlign w:val="center"/>
                </w:tcPr>
                <w:p>
                  <w:pPr>
                    <w:pStyle w:val="9"/>
                    <w:ind w:right="0"/>
                    <w:jc w:val="center"/>
                    <w:rPr>
                      <w:color w:val="auto"/>
                      <w:szCs w:val="18"/>
                    </w:rPr>
                  </w:pPr>
                  <w:r>
                    <w:rPr>
                      <w:rFonts w:hint="eastAsia"/>
                      <w:color w:val="auto"/>
                      <w:szCs w:val="18"/>
                    </w:rPr>
                    <w:t>产生</w:t>
                  </w:r>
                  <w:r>
                    <w:rPr>
                      <w:color w:val="auto"/>
                      <w:szCs w:val="18"/>
                    </w:rPr>
                    <w:t>浓度</w:t>
                  </w:r>
                  <w:r>
                    <w:rPr>
                      <w:rFonts w:hint="eastAsia"/>
                      <w:color w:val="auto"/>
                      <w:szCs w:val="18"/>
                    </w:rPr>
                    <w:t>mg/L</w:t>
                  </w:r>
                </w:p>
              </w:tc>
              <w:tc>
                <w:tcPr>
                  <w:tcW w:w="385" w:type="pct"/>
                  <w:shd w:val="clear" w:color="auto" w:fill="auto"/>
                  <w:vAlign w:val="center"/>
                </w:tcPr>
                <w:p>
                  <w:pPr>
                    <w:pStyle w:val="9"/>
                    <w:ind w:right="-58"/>
                    <w:jc w:val="center"/>
                    <w:rPr>
                      <w:color w:val="auto"/>
                      <w:szCs w:val="18"/>
                    </w:rPr>
                  </w:pPr>
                  <w:r>
                    <w:rPr>
                      <w:rFonts w:hint="eastAsia"/>
                      <w:color w:val="auto"/>
                      <w:szCs w:val="18"/>
                    </w:rPr>
                    <w:t>400</w:t>
                  </w:r>
                </w:p>
              </w:tc>
              <w:tc>
                <w:tcPr>
                  <w:tcW w:w="472" w:type="pct"/>
                  <w:shd w:val="clear" w:color="auto" w:fill="auto"/>
                  <w:vAlign w:val="center"/>
                </w:tcPr>
                <w:p>
                  <w:pPr>
                    <w:pStyle w:val="9"/>
                    <w:ind w:right="0"/>
                    <w:jc w:val="center"/>
                    <w:rPr>
                      <w:color w:val="auto"/>
                      <w:szCs w:val="18"/>
                    </w:rPr>
                  </w:pPr>
                  <w:r>
                    <w:rPr>
                      <w:color w:val="auto"/>
                      <w:szCs w:val="18"/>
                    </w:rPr>
                    <w:t>200</w:t>
                  </w:r>
                </w:p>
              </w:tc>
              <w:tc>
                <w:tcPr>
                  <w:tcW w:w="472" w:type="pct"/>
                  <w:shd w:val="clear" w:color="auto" w:fill="auto"/>
                  <w:vAlign w:val="center"/>
                </w:tcPr>
                <w:p>
                  <w:pPr>
                    <w:pStyle w:val="9"/>
                    <w:ind w:right="0"/>
                    <w:jc w:val="center"/>
                    <w:rPr>
                      <w:color w:val="auto"/>
                      <w:szCs w:val="18"/>
                    </w:rPr>
                  </w:pPr>
                  <w:r>
                    <w:rPr>
                      <w:rFonts w:hint="eastAsia"/>
                      <w:color w:val="auto"/>
                      <w:szCs w:val="18"/>
                    </w:rPr>
                    <w:t>100</w:t>
                  </w:r>
                </w:p>
              </w:tc>
              <w:tc>
                <w:tcPr>
                  <w:tcW w:w="323" w:type="pct"/>
                  <w:shd w:val="clear" w:color="auto" w:fill="auto"/>
                  <w:vAlign w:val="center"/>
                </w:tcPr>
                <w:p>
                  <w:pPr>
                    <w:pStyle w:val="9"/>
                    <w:ind w:right="0"/>
                    <w:jc w:val="center"/>
                    <w:rPr>
                      <w:color w:val="auto"/>
                      <w:szCs w:val="18"/>
                    </w:rPr>
                  </w:pPr>
                  <w:r>
                    <w:rPr>
                      <w:rFonts w:hint="eastAsia"/>
                      <w:color w:val="auto"/>
                      <w:szCs w:val="18"/>
                    </w:rPr>
                    <w:t>40</w:t>
                  </w:r>
                </w:p>
              </w:tc>
              <w:tc>
                <w:tcPr>
                  <w:tcW w:w="342" w:type="pct"/>
                  <w:vAlign w:val="center"/>
                </w:tcPr>
                <w:p>
                  <w:pPr>
                    <w:pStyle w:val="9"/>
                    <w:ind w:right="0"/>
                    <w:jc w:val="center"/>
                    <w:rPr>
                      <w:color w:val="auto"/>
                      <w:szCs w:val="18"/>
                    </w:rPr>
                  </w:pPr>
                  <w:r>
                    <w:rPr>
                      <w:rFonts w:hint="eastAsia"/>
                      <w:color w:val="auto"/>
                      <w:szCs w:val="18"/>
                    </w:rPr>
                    <w:t>6</w:t>
                  </w:r>
                </w:p>
              </w:tc>
              <w:tc>
                <w:tcPr>
                  <w:tcW w:w="343" w:type="pct"/>
                  <w:vAlign w:val="center"/>
                </w:tcPr>
                <w:p>
                  <w:pPr>
                    <w:pStyle w:val="9"/>
                    <w:ind w:right="0"/>
                    <w:jc w:val="center"/>
                    <w:rPr>
                      <w:color w:val="auto"/>
                      <w:szCs w:val="18"/>
                    </w:rPr>
                  </w:pPr>
                  <w:r>
                    <w:rPr>
                      <w:rFonts w:hint="eastAsia"/>
                      <w:color w:val="auto"/>
                      <w:szCs w:val="18"/>
                    </w:rPr>
                    <w:t>60</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产生</w:t>
                  </w:r>
                  <w:r>
                    <w:rPr>
                      <w:color w:val="auto"/>
                      <w:szCs w:val="18"/>
                    </w:rPr>
                    <w:t>量t/a</w:t>
                  </w:r>
                </w:p>
              </w:tc>
              <w:tc>
                <w:tcPr>
                  <w:tcW w:w="385" w:type="pct"/>
                  <w:shd w:val="clear" w:color="auto" w:fill="auto"/>
                  <w:vAlign w:val="center"/>
                </w:tcPr>
                <w:p>
                  <w:pPr>
                    <w:pStyle w:val="9"/>
                    <w:ind w:right="-58"/>
                    <w:jc w:val="center"/>
                    <w:rPr>
                      <w:color w:val="auto"/>
                      <w:szCs w:val="18"/>
                    </w:rPr>
                  </w:pPr>
                  <w:r>
                    <w:rPr>
                      <w:rFonts w:hint="eastAsia"/>
                      <w:color w:val="auto"/>
                      <w:szCs w:val="18"/>
                    </w:rPr>
                    <w:t>0.035</w:t>
                  </w:r>
                </w:p>
              </w:tc>
              <w:tc>
                <w:tcPr>
                  <w:tcW w:w="472" w:type="pct"/>
                  <w:shd w:val="clear" w:color="auto" w:fill="auto"/>
                  <w:vAlign w:val="center"/>
                </w:tcPr>
                <w:p>
                  <w:pPr>
                    <w:pStyle w:val="9"/>
                    <w:ind w:right="0"/>
                    <w:jc w:val="center"/>
                    <w:rPr>
                      <w:color w:val="auto"/>
                      <w:szCs w:val="18"/>
                    </w:rPr>
                  </w:pPr>
                  <w:r>
                    <w:rPr>
                      <w:rFonts w:hint="eastAsia"/>
                      <w:color w:val="auto"/>
                      <w:szCs w:val="18"/>
                    </w:rPr>
                    <w:t>0.017</w:t>
                  </w:r>
                </w:p>
              </w:tc>
              <w:tc>
                <w:tcPr>
                  <w:tcW w:w="472" w:type="pct"/>
                  <w:shd w:val="clear" w:color="auto" w:fill="auto"/>
                  <w:vAlign w:val="center"/>
                </w:tcPr>
                <w:p>
                  <w:pPr>
                    <w:pStyle w:val="9"/>
                    <w:ind w:right="0"/>
                    <w:jc w:val="center"/>
                    <w:rPr>
                      <w:color w:val="auto"/>
                      <w:szCs w:val="18"/>
                    </w:rPr>
                  </w:pPr>
                  <w:r>
                    <w:rPr>
                      <w:rFonts w:hint="eastAsia"/>
                      <w:color w:val="auto"/>
                      <w:szCs w:val="18"/>
                    </w:rPr>
                    <w:t>0.009</w:t>
                  </w:r>
                </w:p>
              </w:tc>
              <w:tc>
                <w:tcPr>
                  <w:tcW w:w="323" w:type="pct"/>
                  <w:shd w:val="clear" w:color="auto" w:fill="auto"/>
                  <w:vAlign w:val="center"/>
                </w:tcPr>
                <w:p>
                  <w:pPr>
                    <w:pStyle w:val="9"/>
                    <w:ind w:right="0"/>
                    <w:jc w:val="center"/>
                    <w:rPr>
                      <w:color w:val="auto"/>
                      <w:szCs w:val="18"/>
                    </w:rPr>
                  </w:pPr>
                  <w:r>
                    <w:rPr>
                      <w:rFonts w:hint="eastAsia"/>
                      <w:color w:val="auto"/>
                      <w:szCs w:val="18"/>
                    </w:rPr>
                    <w:t>0.003</w:t>
                  </w:r>
                </w:p>
              </w:tc>
              <w:tc>
                <w:tcPr>
                  <w:tcW w:w="342" w:type="pct"/>
                  <w:vAlign w:val="center"/>
                </w:tcPr>
                <w:p>
                  <w:pPr>
                    <w:pStyle w:val="9"/>
                    <w:ind w:right="0"/>
                    <w:jc w:val="center"/>
                    <w:rPr>
                      <w:color w:val="auto"/>
                      <w:szCs w:val="18"/>
                    </w:rPr>
                  </w:pPr>
                  <w:r>
                    <w:rPr>
                      <w:rFonts w:hint="eastAsia"/>
                      <w:color w:val="auto"/>
                      <w:szCs w:val="18"/>
                    </w:rPr>
                    <w:t>0.0005</w:t>
                  </w:r>
                </w:p>
              </w:tc>
              <w:tc>
                <w:tcPr>
                  <w:tcW w:w="343" w:type="pct"/>
                  <w:vAlign w:val="center"/>
                </w:tcPr>
                <w:p>
                  <w:pPr>
                    <w:pStyle w:val="9"/>
                    <w:ind w:right="0"/>
                    <w:jc w:val="center"/>
                    <w:rPr>
                      <w:color w:val="auto"/>
                      <w:szCs w:val="18"/>
                    </w:rPr>
                  </w:pPr>
                  <w:r>
                    <w:rPr>
                      <w:rFonts w:hint="eastAsia"/>
                      <w:color w:val="auto"/>
                      <w:szCs w:val="18"/>
                    </w:rPr>
                    <w:t>0.005</w:t>
                  </w:r>
                  <w:r>
                    <w:rPr>
                      <w:color w:val="auto"/>
                      <w:szCs w:val="18"/>
                    </w:rPr>
                    <w:t>2</w:t>
                  </w:r>
                </w:p>
              </w:tc>
              <w:tc>
                <w:tcPr>
                  <w:tcW w:w="464" w:type="pct"/>
                  <w:shd w:val="clear" w:color="auto" w:fill="auto"/>
                  <w:vAlign w:val="center"/>
                </w:tcPr>
                <w:p>
                  <w:pPr>
                    <w:pStyle w:val="9"/>
                    <w:ind w:right="-14"/>
                    <w:jc w:val="center"/>
                    <w:rPr>
                      <w:color w:val="auto"/>
                      <w:szCs w:val="18"/>
                    </w:rPr>
                  </w:pPr>
                </w:p>
              </w:tc>
              <w:tc>
                <w:tcPr>
                  <w:tcW w:w="666" w:type="pct"/>
                  <w:shd w:val="clear" w:color="auto" w:fill="auto"/>
                  <w:vAlign w:val="center"/>
                </w:tcPr>
                <w:p>
                  <w:pPr>
                    <w:pStyle w:val="9"/>
                    <w:ind w:right="0"/>
                    <w:jc w:val="center"/>
                    <w:rPr>
                      <w:color w:val="auto"/>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rFonts w:hint="eastAsia"/>
                      <w:color w:val="auto"/>
                      <w:szCs w:val="18"/>
                    </w:rPr>
                    <w:t>处置</w:t>
                  </w:r>
                  <w:r>
                    <w:rPr>
                      <w:color w:val="auto"/>
                      <w:szCs w:val="18"/>
                    </w:rPr>
                    <w:t>措施</w:t>
                  </w:r>
                </w:p>
              </w:tc>
              <w:tc>
                <w:tcPr>
                  <w:tcW w:w="3468" w:type="pct"/>
                  <w:gridSpan w:val="8"/>
                  <w:shd w:val="clear" w:color="auto" w:fill="auto"/>
                  <w:vAlign w:val="center"/>
                </w:tcPr>
                <w:p>
                  <w:pPr>
                    <w:pStyle w:val="9"/>
                    <w:ind w:right="0"/>
                    <w:jc w:val="center"/>
                    <w:rPr>
                      <w:color w:val="auto"/>
                      <w:szCs w:val="18"/>
                    </w:rPr>
                  </w:pPr>
                  <w:r>
                    <w:rPr>
                      <w:rFonts w:hint="eastAsia"/>
                      <w:color w:val="auto"/>
                      <w:szCs w:val="18"/>
                    </w:rPr>
                    <w:t>宠物</w:t>
                  </w:r>
                  <w:r>
                    <w:rPr>
                      <w:color w:val="auto"/>
                      <w:szCs w:val="18"/>
                    </w:rPr>
                    <w:t>洗浴废水经滤网过滤毛发后，与生活</w:t>
                  </w:r>
                  <w:r>
                    <w:rPr>
                      <w:rFonts w:hint="eastAsia"/>
                      <w:color w:val="auto"/>
                      <w:szCs w:val="18"/>
                    </w:rPr>
                    <w:t>污水进入</w:t>
                  </w:r>
                  <w:r>
                    <w:rPr>
                      <w:color w:val="auto"/>
                      <w:szCs w:val="18"/>
                    </w:rPr>
                    <w:t>丰和坊一期</w:t>
                  </w:r>
                  <w:r>
                    <w:rPr>
                      <w:rFonts w:hint="eastAsia"/>
                      <w:color w:val="auto"/>
                      <w:szCs w:val="18"/>
                    </w:rPr>
                    <w:t>15幢</w:t>
                  </w:r>
                  <w:r>
                    <w:rPr>
                      <w:color w:val="auto"/>
                      <w:szCs w:val="18"/>
                    </w:rPr>
                    <w:t>公用化粪池处理</w:t>
                  </w:r>
                  <w:r>
                    <w:rPr>
                      <w:rFonts w:hint="eastAsia"/>
                      <w:color w:val="auto"/>
                      <w:szCs w:val="18"/>
                    </w:rPr>
                    <w:t>，</w:t>
                  </w:r>
                  <w:r>
                    <w:rPr>
                      <w:color w:val="auto"/>
                      <w:szCs w:val="18"/>
                    </w:rPr>
                    <w:t>后经丰禾路市政污水管网排入邓家村污水处理厂。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restart"/>
                  <w:shd w:val="clear" w:color="auto" w:fill="auto"/>
                  <w:vAlign w:val="center"/>
                </w:tcPr>
                <w:p>
                  <w:pPr>
                    <w:pStyle w:val="9"/>
                    <w:ind w:right="0"/>
                    <w:jc w:val="center"/>
                    <w:rPr>
                      <w:color w:val="auto"/>
                      <w:szCs w:val="18"/>
                    </w:rPr>
                  </w:pPr>
                  <w:r>
                    <w:rPr>
                      <w:rFonts w:hint="eastAsia"/>
                      <w:color w:val="auto"/>
                      <w:szCs w:val="18"/>
                    </w:rPr>
                    <w:t>综合</w:t>
                  </w:r>
                  <w:r>
                    <w:rPr>
                      <w:color w:val="auto"/>
                      <w:szCs w:val="18"/>
                    </w:rPr>
                    <w:t>废水</w:t>
                  </w:r>
                  <w:r>
                    <w:rPr>
                      <w:rFonts w:hint="eastAsia"/>
                      <w:color w:val="auto"/>
                      <w:szCs w:val="18"/>
                    </w:rPr>
                    <w:t>202.224</w:t>
                  </w:r>
                  <w:r>
                    <w:rPr>
                      <w:color w:val="auto"/>
                      <w:szCs w:val="18"/>
                    </w:rPr>
                    <w:t>m</w:t>
                  </w:r>
                  <w:r>
                    <w:rPr>
                      <w:color w:val="auto"/>
                      <w:szCs w:val="18"/>
                      <w:vertAlign w:val="superscript"/>
                    </w:rPr>
                    <w:t>3</w:t>
                  </w:r>
                  <w:r>
                    <w:rPr>
                      <w:color w:val="auto"/>
                      <w:szCs w:val="18"/>
                    </w:rPr>
                    <w:t>/a</w:t>
                  </w:r>
                </w:p>
              </w:tc>
              <w:tc>
                <w:tcPr>
                  <w:tcW w:w="865" w:type="pct"/>
                  <w:shd w:val="clear" w:color="auto" w:fill="auto"/>
                  <w:vAlign w:val="center"/>
                </w:tcPr>
                <w:p>
                  <w:pPr>
                    <w:pStyle w:val="9"/>
                    <w:ind w:right="0"/>
                    <w:jc w:val="center"/>
                    <w:rPr>
                      <w:color w:val="auto"/>
                      <w:szCs w:val="18"/>
                    </w:rPr>
                  </w:pPr>
                  <w:r>
                    <w:rPr>
                      <w:rFonts w:hint="eastAsia"/>
                      <w:color w:val="auto"/>
                      <w:szCs w:val="18"/>
                    </w:rPr>
                    <w:t>排放</w:t>
                  </w:r>
                  <w:r>
                    <w:rPr>
                      <w:color w:val="auto"/>
                      <w:szCs w:val="18"/>
                    </w:rPr>
                    <w:t>浓度</w:t>
                  </w:r>
                </w:p>
              </w:tc>
              <w:tc>
                <w:tcPr>
                  <w:tcW w:w="385" w:type="pct"/>
                  <w:shd w:val="clear" w:color="auto" w:fill="auto"/>
                  <w:vAlign w:val="center"/>
                </w:tcPr>
                <w:p>
                  <w:pPr>
                    <w:pStyle w:val="9"/>
                    <w:ind w:right="-58"/>
                    <w:jc w:val="center"/>
                    <w:rPr>
                      <w:color w:val="auto"/>
                      <w:szCs w:val="18"/>
                    </w:rPr>
                  </w:pPr>
                  <w:r>
                    <w:rPr>
                      <w:rFonts w:hint="eastAsia"/>
                      <w:color w:val="auto"/>
                      <w:szCs w:val="18"/>
                    </w:rPr>
                    <w:t>342</w:t>
                  </w:r>
                </w:p>
              </w:tc>
              <w:tc>
                <w:tcPr>
                  <w:tcW w:w="472" w:type="pct"/>
                  <w:shd w:val="clear" w:color="auto" w:fill="auto"/>
                  <w:vAlign w:val="center"/>
                </w:tcPr>
                <w:p>
                  <w:pPr>
                    <w:pStyle w:val="9"/>
                    <w:ind w:right="0"/>
                    <w:jc w:val="center"/>
                    <w:rPr>
                      <w:color w:val="auto"/>
                      <w:szCs w:val="18"/>
                    </w:rPr>
                  </w:pPr>
                  <w:r>
                    <w:rPr>
                      <w:rFonts w:hint="eastAsia"/>
                      <w:color w:val="auto"/>
                      <w:szCs w:val="18"/>
                    </w:rPr>
                    <w:t>167</w:t>
                  </w:r>
                </w:p>
              </w:tc>
              <w:tc>
                <w:tcPr>
                  <w:tcW w:w="472" w:type="pct"/>
                  <w:shd w:val="clear" w:color="auto" w:fill="auto"/>
                  <w:vAlign w:val="center"/>
                </w:tcPr>
                <w:p>
                  <w:pPr>
                    <w:pStyle w:val="9"/>
                    <w:ind w:right="0"/>
                    <w:jc w:val="center"/>
                    <w:rPr>
                      <w:color w:val="auto"/>
                      <w:szCs w:val="18"/>
                    </w:rPr>
                  </w:pPr>
                  <w:r>
                    <w:rPr>
                      <w:color w:val="auto"/>
                      <w:szCs w:val="18"/>
                    </w:rPr>
                    <w:t>111</w:t>
                  </w:r>
                </w:p>
              </w:tc>
              <w:tc>
                <w:tcPr>
                  <w:tcW w:w="323" w:type="pct"/>
                  <w:shd w:val="clear" w:color="auto" w:fill="auto"/>
                  <w:vAlign w:val="center"/>
                </w:tcPr>
                <w:p>
                  <w:pPr>
                    <w:pStyle w:val="9"/>
                    <w:ind w:right="0"/>
                    <w:jc w:val="center"/>
                    <w:rPr>
                      <w:color w:val="auto"/>
                      <w:szCs w:val="18"/>
                    </w:rPr>
                  </w:pPr>
                  <w:r>
                    <w:rPr>
                      <w:rFonts w:hint="eastAsia"/>
                      <w:color w:val="auto"/>
                      <w:szCs w:val="18"/>
                    </w:rPr>
                    <w:t>30</w:t>
                  </w:r>
                </w:p>
              </w:tc>
              <w:tc>
                <w:tcPr>
                  <w:tcW w:w="342" w:type="pct"/>
                  <w:vAlign w:val="center"/>
                </w:tcPr>
                <w:p>
                  <w:pPr>
                    <w:pStyle w:val="9"/>
                    <w:ind w:right="0"/>
                    <w:jc w:val="center"/>
                    <w:rPr>
                      <w:color w:val="auto"/>
                      <w:szCs w:val="18"/>
                    </w:rPr>
                  </w:pPr>
                  <w:r>
                    <w:rPr>
                      <w:rFonts w:hint="eastAsia"/>
                      <w:color w:val="auto"/>
                      <w:szCs w:val="18"/>
                    </w:rPr>
                    <w:t>5</w:t>
                  </w:r>
                </w:p>
              </w:tc>
              <w:tc>
                <w:tcPr>
                  <w:tcW w:w="343" w:type="pct"/>
                  <w:vAlign w:val="center"/>
                </w:tcPr>
                <w:p>
                  <w:pPr>
                    <w:pStyle w:val="9"/>
                    <w:ind w:right="0"/>
                    <w:jc w:val="center"/>
                    <w:rPr>
                      <w:color w:val="auto"/>
                      <w:szCs w:val="18"/>
                    </w:rPr>
                  </w:pPr>
                  <w:r>
                    <w:rPr>
                      <w:rFonts w:hint="eastAsia"/>
                      <w:color w:val="auto"/>
                      <w:szCs w:val="18"/>
                    </w:rPr>
                    <w:t>44</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668" w:type="pct"/>
                  <w:vMerge w:val="continue"/>
                  <w:shd w:val="clear" w:color="auto" w:fill="auto"/>
                  <w:vAlign w:val="center"/>
                </w:tcPr>
                <w:p>
                  <w:pPr>
                    <w:pStyle w:val="9"/>
                    <w:ind w:right="0"/>
                    <w:jc w:val="center"/>
                    <w:rPr>
                      <w:color w:val="auto"/>
                      <w:szCs w:val="18"/>
                    </w:rPr>
                  </w:pPr>
                </w:p>
              </w:tc>
              <w:tc>
                <w:tcPr>
                  <w:tcW w:w="865" w:type="pct"/>
                  <w:shd w:val="clear" w:color="auto" w:fill="auto"/>
                  <w:vAlign w:val="center"/>
                </w:tcPr>
                <w:p>
                  <w:pPr>
                    <w:pStyle w:val="9"/>
                    <w:ind w:right="0"/>
                    <w:jc w:val="center"/>
                    <w:rPr>
                      <w:color w:val="auto"/>
                      <w:szCs w:val="18"/>
                    </w:rPr>
                  </w:pPr>
                  <w:r>
                    <w:rPr>
                      <w:rFonts w:hint="eastAsia"/>
                      <w:color w:val="auto"/>
                      <w:szCs w:val="18"/>
                    </w:rPr>
                    <w:t>排放</w:t>
                  </w:r>
                  <w:r>
                    <w:rPr>
                      <w:color w:val="auto"/>
                      <w:szCs w:val="18"/>
                    </w:rPr>
                    <w:t>量</w:t>
                  </w:r>
                </w:p>
              </w:tc>
              <w:tc>
                <w:tcPr>
                  <w:tcW w:w="385" w:type="pct"/>
                  <w:shd w:val="clear" w:color="auto" w:fill="auto"/>
                  <w:vAlign w:val="center"/>
                </w:tcPr>
                <w:p>
                  <w:pPr>
                    <w:pStyle w:val="9"/>
                    <w:ind w:right="-58"/>
                    <w:jc w:val="center"/>
                    <w:rPr>
                      <w:color w:val="auto"/>
                      <w:szCs w:val="18"/>
                    </w:rPr>
                  </w:pPr>
                  <w:r>
                    <w:rPr>
                      <w:rFonts w:hint="eastAsia"/>
                      <w:color w:val="auto"/>
                      <w:szCs w:val="18"/>
                    </w:rPr>
                    <w:t>0.0691</w:t>
                  </w:r>
                </w:p>
              </w:tc>
              <w:tc>
                <w:tcPr>
                  <w:tcW w:w="472" w:type="pct"/>
                  <w:shd w:val="clear" w:color="auto" w:fill="auto"/>
                  <w:vAlign w:val="center"/>
                </w:tcPr>
                <w:p>
                  <w:pPr>
                    <w:pStyle w:val="9"/>
                    <w:ind w:right="0"/>
                    <w:jc w:val="center"/>
                    <w:rPr>
                      <w:color w:val="auto"/>
                      <w:szCs w:val="18"/>
                    </w:rPr>
                  </w:pPr>
                  <w:r>
                    <w:rPr>
                      <w:rFonts w:hint="eastAsia"/>
                      <w:color w:val="auto"/>
                      <w:szCs w:val="18"/>
                    </w:rPr>
                    <w:t>0.0338</w:t>
                  </w:r>
                </w:p>
              </w:tc>
              <w:tc>
                <w:tcPr>
                  <w:tcW w:w="472" w:type="pct"/>
                  <w:shd w:val="clear" w:color="auto" w:fill="auto"/>
                  <w:vAlign w:val="center"/>
                </w:tcPr>
                <w:p>
                  <w:pPr>
                    <w:pStyle w:val="9"/>
                    <w:ind w:right="0"/>
                    <w:jc w:val="center"/>
                    <w:rPr>
                      <w:color w:val="auto"/>
                      <w:szCs w:val="18"/>
                    </w:rPr>
                  </w:pPr>
                  <w:r>
                    <w:rPr>
                      <w:rFonts w:hint="eastAsia"/>
                      <w:color w:val="auto"/>
                      <w:szCs w:val="18"/>
                    </w:rPr>
                    <w:t>0.022</w:t>
                  </w:r>
                  <w:r>
                    <w:rPr>
                      <w:color w:val="auto"/>
                      <w:szCs w:val="18"/>
                    </w:rPr>
                    <w:t>5</w:t>
                  </w:r>
                </w:p>
              </w:tc>
              <w:tc>
                <w:tcPr>
                  <w:tcW w:w="323" w:type="pct"/>
                  <w:shd w:val="clear" w:color="auto" w:fill="auto"/>
                  <w:vAlign w:val="center"/>
                </w:tcPr>
                <w:p>
                  <w:pPr>
                    <w:pStyle w:val="9"/>
                    <w:ind w:right="0"/>
                    <w:jc w:val="center"/>
                    <w:rPr>
                      <w:color w:val="auto"/>
                      <w:szCs w:val="18"/>
                    </w:rPr>
                  </w:pPr>
                  <w:r>
                    <w:rPr>
                      <w:rFonts w:hint="eastAsia"/>
                      <w:color w:val="auto"/>
                      <w:szCs w:val="18"/>
                    </w:rPr>
                    <w:t>0.006</w:t>
                  </w:r>
                </w:p>
              </w:tc>
              <w:tc>
                <w:tcPr>
                  <w:tcW w:w="342" w:type="pct"/>
                  <w:vAlign w:val="center"/>
                </w:tcPr>
                <w:p>
                  <w:pPr>
                    <w:pStyle w:val="9"/>
                    <w:ind w:right="0"/>
                    <w:jc w:val="center"/>
                    <w:rPr>
                      <w:color w:val="auto"/>
                      <w:szCs w:val="18"/>
                    </w:rPr>
                  </w:pPr>
                  <w:r>
                    <w:rPr>
                      <w:rFonts w:hint="eastAsia"/>
                      <w:color w:val="auto"/>
                      <w:szCs w:val="18"/>
                    </w:rPr>
                    <w:t>0.001</w:t>
                  </w:r>
                </w:p>
              </w:tc>
              <w:tc>
                <w:tcPr>
                  <w:tcW w:w="343" w:type="pct"/>
                  <w:vAlign w:val="center"/>
                </w:tcPr>
                <w:p>
                  <w:pPr>
                    <w:pStyle w:val="9"/>
                    <w:ind w:right="0"/>
                    <w:jc w:val="center"/>
                    <w:rPr>
                      <w:color w:val="auto"/>
                      <w:szCs w:val="18"/>
                    </w:rPr>
                  </w:pPr>
                  <w:r>
                    <w:rPr>
                      <w:rFonts w:hint="eastAsia"/>
                      <w:color w:val="auto"/>
                      <w:szCs w:val="18"/>
                    </w:rPr>
                    <w:t>0.0089</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rFonts w:hint="eastAsia"/>
                      <w:color w:val="auto"/>
                      <w:szCs w:val="18"/>
                    </w:rPr>
                    <w:t>《</w:t>
                  </w:r>
                  <w:r>
                    <w:rPr>
                      <w:color w:val="auto"/>
                      <w:szCs w:val="18"/>
                    </w:rPr>
                    <w:t>污水综合排放标准》（GB 8978-1996）三级标准</w:t>
                  </w:r>
                </w:p>
              </w:tc>
              <w:tc>
                <w:tcPr>
                  <w:tcW w:w="385" w:type="pct"/>
                  <w:shd w:val="clear" w:color="auto" w:fill="auto"/>
                  <w:vAlign w:val="center"/>
                </w:tcPr>
                <w:p>
                  <w:pPr>
                    <w:pStyle w:val="9"/>
                    <w:ind w:right="-58"/>
                    <w:jc w:val="center"/>
                    <w:rPr>
                      <w:color w:val="auto"/>
                      <w:szCs w:val="18"/>
                    </w:rPr>
                  </w:pPr>
                  <w:r>
                    <w:rPr>
                      <w:rFonts w:hint="eastAsia"/>
                      <w:color w:val="auto"/>
                      <w:szCs w:val="18"/>
                    </w:rPr>
                    <w:t>500</w:t>
                  </w:r>
                </w:p>
              </w:tc>
              <w:tc>
                <w:tcPr>
                  <w:tcW w:w="472" w:type="pct"/>
                  <w:shd w:val="clear" w:color="auto" w:fill="auto"/>
                  <w:vAlign w:val="center"/>
                </w:tcPr>
                <w:p>
                  <w:pPr>
                    <w:pStyle w:val="9"/>
                    <w:ind w:right="0"/>
                    <w:jc w:val="center"/>
                    <w:rPr>
                      <w:color w:val="auto"/>
                      <w:szCs w:val="18"/>
                    </w:rPr>
                  </w:pPr>
                  <w:r>
                    <w:rPr>
                      <w:rFonts w:hint="eastAsia"/>
                      <w:color w:val="auto"/>
                      <w:szCs w:val="18"/>
                    </w:rPr>
                    <w:t>300</w:t>
                  </w:r>
                </w:p>
              </w:tc>
              <w:tc>
                <w:tcPr>
                  <w:tcW w:w="472" w:type="pct"/>
                  <w:shd w:val="clear" w:color="auto" w:fill="auto"/>
                  <w:vAlign w:val="center"/>
                </w:tcPr>
                <w:p>
                  <w:pPr>
                    <w:pStyle w:val="9"/>
                    <w:ind w:right="0"/>
                    <w:jc w:val="center"/>
                    <w:rPr>
                      <w:color w:val="auto"/>
                      <w:szCs w:val="18"/>
                    </w:rPr>
                  </w:pPr>
                  <w:r>
                    <w:rPr>
                      <w:rFonts w:hint="eastAsia"/>
                      <w:color w:val="auto"/>
                      <w:szCs w:val="18"/>
                    </w:rPr>
                    <w:t>400</w:t>
                  </w:r>
                </w:p>
              </w:tc>
              <w:tc>
                <w:tcPr>
                  <w:tcW w:w="323" w:type="pct"/>
                  <w:shd w:val="clear" w:color="auto" w:fill="auto"/>
                  <w:vAlign w:val="center"/>
                </w:tcPr>
                <w:p>
                  <w:pPr>
                    <w:pStyle w:val="9"/>
                    <w:ind w:right="0"/>
                    <w:jc w:val="center"/>
                    <w:rPr>
                      <w:color w:val="auto"/>
                      <w:szCs w:val="18"/>
                    </w:rPr>
                  </w:pPr>
                  <w:r>
                    <w:rPr>
                      <w:rFonts w:hint="eastAsia"/>
                      <w:color w:val="auto"/>
                      <w:szCs w:val="18"/>
                    </w:rPr>
                    <w:t>—</w:t>
                  </w:r>
                </w:p>
              </w:tc>
              <w:tc>
                <w:tcPr>
                  <w:tcW w:w="342" w:type="pct"/>
                  <w:vAlign w:val="center"/>
                </w:tcPr>
                <w:p>
                  <w:pPr>
                    <w:pStyle w:val="9"/>
                    <w:ind w:right="0"/>
                    <w:jc w:val="center"/>
                    <w:rPr>
                      <w:color w:val="auto"/>
                      <w:szCs w:val="18"/>
                    </w:rPr>
                  </w:pPr>
                  <w:r>
                    <w:rPr>
                      <w:rFonts w:hint="eastAsia"/>
                      <w:color w:val="auto"/>
                      <w:szCs w:val="18"/>
                    </w:rPr>
                    <w:t>—</w:t>
                  </w:r>
                </w:p>
              </w:tc>
              <w:tc>
                <w:tcPr>
                  <w:tcW w:w="343" w:type="pct"/>
                  <w:vAlign w:val="center"/>
                </w:tcPr>
                <w:p>
                  <w:pPr>
                    <w:pStyle w:val="9"/>
                    <w:ind w:right="0"/>
                    <w:jc w:val="center"/>
                    <w:rPr>
                      <w:color w:val="auto"/>
                      <w:szCs w:val="18"/>
                    </w:rPr>
                  </w:pPr>
                  <w:r>
                    <w:rPr>
                      <w:rFonts w:hint="eastAsia"/>
                      <w:color w:val="auto"/>
                      <w:szCs w:val="18"/>
                    </w:rPr>
                    <w:t>—</w:t>
                  </w:r>
                </w:p>
              </w:tc>
              <w:tc>
                <w:tcPr>
                  <w:tcW w:w="464" w:type="pct"/>
                  <w:shd w:val="clear" w:color="auto" w:fill="auto"/>
                  <w:vAlign w:val="center"/>
                </w:tcPr>
                <w:p>
                  <w:pPr>
                    <w:pStyle w:val="9"/>
                    <w:ind w:right="-14"/>
                    <w:jc w:val="center"/>
                    <w:rPr>
                      <w:color w:val="auto"/>
                      <w:szCs w:val="18"/>
                    </w:rPr>
                  </w:pPr>
                  <w:r>
                    <w:rPr>
                      <w:rFonts w:hint="eastAsia"/>
                      <w:color w:val="auto"/>
                      <w:szCs w:val="18"/>
                    </w:rPr>
                    <w:t>—</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color w:val="auto"/>
                      <w:szCs w:val="18"/>
                    </w:rPr>
                    <w:t>《污水排入城镇下水道水质标准》（GB/T31962-2015）中A级标准</w:t>
                  </w:r>
                </w:p>
              </w:tc>
              <w:tc>
                <w:tcPr>
                  <w:tcW w:w="385" w:type="pct"/>
                  <w:shd w:val="clear" w:color="auto" w:fill="auto"/>
                  <w:vAlign w:val="center"/>
                </w:tcPr>
                <w:p>
                  <w:pPr>
                    <w:pStyle w:val="9"/>
                    <w:ind w:right="-58"/>
                    <w:jc w:val="center"/>
                    <w:rPr>
                      <w:color w:val="auto"/>
                      <w:szCs w:val="18"/>
                    </w:rPr>
                  </w:pPr>
                  <w:r>
                    <w:rPr>
                      <w:rFonts w:hint="eastAsia"/>
                      <w:color w:val="auto"/>
                      <w:szCs w:val="18"/>
                    </w:rPr>
                    <w:t>500</w:t>
                  </w:r>
                </w:p>
              </w:tc>
              <w:tc>
                <w:tcPr>
                  <w:tcW w:w="472" w:type="pct"/>
                  <w:shd w:val="clear" w:color="auto" w:fill="auto"/>
                  <w:vAlign w:val="center"/>
                </w:tcPr>
                <w:p>
                  <w:pPr>
                    <w:pStyle w:val="9"/>
                    <w:ind w:right="0"/>
                    <w:jc w:val="center"/>
                    <w:rPr>
                      <w:color w:val="auto"/>
                      <w:szCs w:val="18"/>
                    </w:rPr>
                  </w:pPr>
                  <w:r>
                    <w:rPr>
                      <w:rFonts w:hint="eastAsia"/>
                      <w:color w:val="auto"/>
                      <w:szCs w:val="18"/>
                    </w:rPr>
                    <w:t>350</w:t>
                  </w:r>
                </w:p>
              </w:tc>
              <w:tc>
                <w:tcPr>
                  <w:tcW w:w="472" w:type="pct"/>
                  <w:shd w:val="clear" w:color="auto" w:fill="auto"/>
                  <w:vAlign w:val="center"/>
                </w:tcPr>
                <w:p>
                  <w:pPr>
                    <w:pStyle w:val="9"/>
                    <w:ind w:right="0"/>
                    <w:jc w:val="center"/>
                    <w:rPr>
                      <w:color w:val="auto"/>
                      <w:szCs w:val="18"/>
                    </w:rPr>
                  </w:pPr>
                  <w:r>
                    <w:rPr>
                      <w:rFonts w:hint="eastAsia"/>
                      <w:color w:val="auto"/>
                      <w:szCs w:val="18"/>
                    </w:rPr>
                    <w:t>400</w:t>
                  </w:r>
                </w:p>
              </w:tc>
              <w:tc>
                <w:tcPr>
                  <w:tcW w:w="323" w:type="pct"/>
                  <w:shd w:val="clear" w:color="auto" w:fill="auto"/>
                  <w:vAlign w:val="center"/>
                </w:tcPr>
                <w:p>
                  <w:pPr>
                    <w:pStyle w:val="9"/>
                    <w:ind w:right="0"/>
                    <w:jc w:val="center"/>
                    <w:rPr>
                      <w:color w:val="auto"/>
                      <w:szCs w:val="18"/>
                    </w:rPr>
                  </w:pPr>
                  <w:r>
                    <w:rPr>
                      <w:rFonts w:hint="eastAsia"/>
                      <w:color w:val="auto"/>
                      <w:szCs w:val="18"/>
                    </w:rPr>
                    <w:t>45</w:t>
                  </w:r>
                </w:p>
              </w:tc>
              <w:tc>
                <w:tcPr>
                  <w:tcW w:w="342" w:type="pct"/>
                  <w:vAlign w:val="center"/>
                </w:tcPr>
                <w:p>
                  <w:pPr>
                    <w:pStyle w:val="9"/>
                    <w:ind w:right="0"/>
                    <w:jc w:val="center"/>
                    <w:rPr>
                      <w:color w:val="auto"/>
                      <w:szCs w:val="18"/>
                    </w:rPr>
                  </w:pPr>
                  <w:r>
                    <w:rPr>
                      <w:rFonts w:hint="eastAsia"/>
                      <w:color w:val="auto"/>
                      <w:szCs w:val="18"/>
                    </w:rPr>
                    <w:t>8</w:t>
                  </w:r>
                </w:p>
              </w:tc>
              <w:tc>
                <w:tcPr>
                  <w:tcW w:w="343" w:type="pct"/>
                  <w:vAlign w:val="center"/>
                </w:tcPr>
                <w:p>
                  <w:pPr>
                    <w:pStyle w:val="9"/>
                    <w:ind w:right="0"/>
                    <w:jc w:val="center"/>
                    <w:rPr>
                      <w:color w:val="auto"/>
                      <w:szCs w:val="18"/>
                    </w:rPr>
                  </w:pPr>
                  <w:r>
                    <w:rPr>
                      <w:rFonts w:hint="eastAsia"/>
                      <w:color w:val="auto"/>
                      <w:szCs w:val="18"/>
                    </w:rPr>
                    <w:t>70</w:t>
                  </w:r>
                </w:p>
              </w:tc>
              <w:tc>
                <w:tcPr>
                  <w:tcW w:w="464" w:type="pct"/>
                  <w:shd w:val="clear" w:color="auto" w:fill="auto"/>
                  <w:vAlign w:val="center"/>
                </w:tcPr>
                <w:p>
                  <w:pPr>
                    <w:pStyle w:val="9"/>
                    <w:ind w:right="-14"/>
                    <w:jc w:val="center"/>
                    <w:rPr>
                      <w:color w:val="auto"/>
                      <w:szCs w:val="18"/>
                    </w:rPr>
                  </w:pPr>
                  <w:r>
                    <w:rPr>
                      <w:rFonts w:hint="eastAsia"/>
                      <w:color w:val="auto"/>
                      <w:szCs w:val="18"/>
                    </w:rPr>
                    <w:t>8</w:t>
                  </w:r>
                </w:p>
              </w:tc>
              <w:tc>
                <w:tcPr>
                  <w:tcW w:w="666" w:type="pct"/>
                  <w:shd w:val="clear" w:color="auto" w:fill="auto"/>
                  <w:vAlign w:val="center"/>
                </w:tcPr>
                <w:p>
                  <w:pPr>
                    <w:pStyle w:val="9"/>
                    <w:ind w:right="0"/>
                    <w:jc w:val="center"/>
                    <w:rPr>
                      <w:color w:val="auto"/>
                      <w:szCs w:val="18"/>
                    </w:rPr>
                  </w:pPr>
                  <w:r>
                    <w:rPr>
                      <w:rFonts w:hint="eastAsia"/>
                      <w:color w:val="auto"/>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1532" w:type="pct"/>
                  <w:gridSpan w:val="2"/>
                  <w:shd w:val="clear" w:color="auto" w:fill="auto"/>
                  <w:vAlign w:val="center"/>
                </w:tcPr>
                <w:p>
                  <w:pPr>
                    <w:pStyle w:val="9"/>
                    <w:ind w:right="0"/>
                    <w:jc w:val="center"/>
                    <w:rPr>
                      <w:color w:val="auto"/>
                      <w:szCs w:val="18"/>
                    </w:rPr>
                  </w:pPr>
                  <w:r>
                    <w:rPr>
                      <w:rFonts w:hint="eastAsia"/>
                      <w:color w:val="auto"/>
                      <w:szCs w:val="18"/>
                    </w:rPr>
                    <w:t>达标</w:t>
                  </w:r>
                  <w:r>
                    <w:rPr>
                      <w:color w:val="auto"/>
                      <w:szCs w:val="18"/>
                    </w:rPr>
                    <w:t>分析</w:t>
                  </w:r>
                </w:p>
              </w:tc>
              <w:tc>
                <w:tcPr>
                  <w:tcW w:w="385" w:type="pct"/>
                  <w:shd w:val="clear" w:color="auto" w:fill="auto"/>
                  <w:vAlign w:val="center"/>
                </w:tcPr>
                <w:p>
                  <w:pPr>
                    <w:pStyle w:val="9"/>
                    <w:ind w:right="-58"/>
                    <w:jc w:val="center"/>
                    <w:rPr>
                      <w:color w:val="auto"/>
                      <w:szCs w:val="18"/>
                    </w:rPr>
                  </w:pPr>
                  <w:r>
                    <w:rPr>
                      <w:rFonts w:hint="eastAsia"/>
                      <w:color w:val="auto"/>
                      <w:szCs w:val="18"/>
                    </w:rPr>
                    <w:t>达标</w:t>
                  </w:r>
                </w:p>
              </w:tc>
              <w:tc>
                <w:tcPr>
                  <w:tcW w:w="472" w:type="pct"/>
                  <w:shd w:val="clear" w:color="auto" w:fill="auto"/>
                  <w:vAlign w:val="center"/>
                </w:tcPr>
                <w:p>
                  <w:pPr>
                    <w:pStyle w:val="9"/>
                    <w:ind w:right="0"/>
                    <w:jc w:val="center"/>
                    <w:rPr>
                      <w:color w:val="auto"/>
                      <w:szCs w:val="18"/>
                    </w:rPr>
                  </w:pPr>
                  <w:r>
                    <w:rPr>
                      <w:rFonts w:hint="eastAsia"/>
                      <w:color w:val="auto"/>
                      <w:szCs w:val="18"/>
                    </w:rPr>
                    <w:t>达标</w:t>
                  </w:r>
                </w:p>
              </w:tc>
              <w:tc>
                <w:tcPr>
                  <w:tcW w:w="472" w:type="pct"/>
                  <w:shd w:val="clear" w:color="auto" w:fill="auto"/>
                  <w:vAlign w:val="center"/>
                </w:tcPr>
                <w:p>
                  <w:pPr>
                    <w:pStyle w:val="9"/>
                    <w:ind w:right="0"/>
                    <w:jc w:val="center"/>
                    <w:rPr>
                      <w:color w:val="auto"/>
                      <w:szCs w:val="18"/>
                    </w:rPr>
                  </w:pPr>
                  <w:r>
                    <w:rPr>
                      <w:rFonts w:hint="eastAsia"/>
                      <w:color w:val="auto"/>
                      <w:szCs w:val="18"/>
                    </w:rPr>
                    <w:t>达标</w:t>
                  </w:r>
                </w:p>
              </w:tc>
              <w:tc>
                <w:tcPr>
                  <w:tcW w:w="323" w:type="pct"/>
                  <w:shd w:val="clear" w:color="auto" w:fill="auto"/>
                  <w:vAlign w:val="center"/>
                </w:tcPr>
                <w:p>
                  <w:pPr>
                    <w:pStyle w:val="9"/>
                    <w:ind w:right="0"/>
                    <w:jc w:val="center"/>
                    <w:rPr>
                      <w:color w:val="auto"/>
                      <w:szCs w:val="18"/>
                    </w:rPr>
                  </w:pPr>
                  <w:r>
                    <w:rPr>
                      <w:rFonts w:hint="eastAsia"/>
                      <w:color w:val="auto"/>
                      <w:szCs w:val="18"/>
                    </w:rPr>
                    <w:t>达标</w:t>
                  </w:r>
                </w:p>
              </w:tc>
              <w:tc>
                <w:tcPr>
                  <w:tcW w:w="342" w:type="pct"/>
                  <w:vAlign w:val="center"/>
                </w:tcPr>
                <w:p>
                  <w:pPr>
                    <w:pStyle w:val="9"/>
                    <w:ind w:right="0"/>
                    <w:jc w:val="center"/>
                    <w:rPr>
                      <w:color w:val="auto"/>
                      <w:szCs w:val="18"/>
                    </w:rPr>
                  </w:pPr>
                  <w:r>
                    <w:rPr>
                      <w:rFonts w:hint="eastAsia"/>
                      <w:color w:val="auto"/>
                      <w:szCs w:val="18"/>
                    </w:rPr>
                    <w:t>达标</w:t>
                  </w:r>
                </w:p>
              </w:tc>
              <w:tc>
                <w:tcPr>
                  <w:tcW w:w="343" w:type="pct"/>
                  <w:vAlign w:val="center"/>
                </w:tcPr>
                <w:p>
                  <w:pPr>
                    <w:pStyle w:val="9"/>
                    <w:ind w:right="0"/>
                    <w:jc w:val="center"/>
                    <w:rPr>
                      <w:color w:val="auto"/>
                      <w:szCs w:val="18"/>
                    </w:rPr>
                  </w:pPr>
                  <w:r>
                    <w:rPr>
                      <w:rFonts w:hint="eastAsia"/>
                      <w:color w:val="auto"/>
                      <w:szCs w:val="18"/>
                    </w:rPr>
                    <w:t>达标</w:t>
                  </w:r>
                </w:p>
              </w:tc>
              <w:tc>
                <w:tcPr>
                  <w:tcW w:w="464" w:type="pct"/>
                  <w:shd w:val="clear" w:color="auto" w:fill="auto"/>
                  <w:vAlign w:val="center"/>
                </w:tcPr>
                <w:p>
                  <w:pPr>
                    <w:pStyle w:val="9"/>
                    <w:ind w:right="-14"/>
                    <w:jc w:val="center"/>
                    <w:rPr>
                      <w:color w:val="auto"/>
                      <w:szCs w:val="18"/>
                    </w:rPr>
                  </w:pPr>
                  <w:r>
                    <w:rPr>
                      <w:rFonts w:hint="eastAsia"/>
                      <w:color w:val="auto"/>
                      <w:szCs w:val="18"/>
                    </w:rPr>
                    <w:t>达标</w:t>
                  </w:r>
                </w:p>
              </w:tc>
              <w:tc>
                <w:tcPr>
                  <w:tcW w:w="666" w:type="pct"/>
                  <w:shd w:val="clear" w:color="auto" w:fill="auto"/>
                  <w:vAlign w:val="center"/>
                </w:tcPr>
                <w:p>
                  <w:pPr>
                    <w:pStyle w:val="9"/>
                    <w:ind w:right="0"/>
                    <w:jc w:val="center"/>
                    <w:rPr>
                      <w:color w:val="auto"/>
                      <w:szCs w:val="18"/>
                    </w:rPr>
                  </w:pPr>
                  <w:r>
                    <w:rPr>
                      <w:rFonts w:hint="eastAsia"/>
                      <w:color w:val="auto"/>
                      <w:szCs w:val="18"/>
                    </w:rPr>
                    <w:t>达标</w:t>
                  </w:r>
                </w:p>
              </w:tc>
            </w:tr>
          </w:tbl>
          <w:p>
            <w:pPr>
              <w:pStyle w:val="2"/>
              <w:ind w:firstLine="28" w:firstLineChars="16"/>
              <w:rPr>
                <w:rFonts w:ascii="Times New Roman" w:hAnsi="宋体" w:cs="Times New Roman"/>
                <w:bCs/>
                <w:color w:val="auto"/>
                <w:sz w:val="18"/>
                <w:szCs w:val="18"/>
              </w:rPr>
            </w:pPr>
            <w:r>
              <w:rPr>
                <w:rFonts w:hint="eastAsia" w:ascii="Times New Roman" w:hAnsi="宋体" w:cs="Times New Roman"/>
                <w:bCs/>
                <w:color w:val="auto"/>
                <w:sz w:val="18"/>
                <w:szCs w:val="18"/>
              </w:rPr>
              <w:t>注：本项目</w:t>
            </w:r>
            <w:r>
              <w:rPr>
                <w:rFonts w:ascii="Times New Roman" w:hAnsi="宋体" w:cs="Times New Roman"/>
                <w:bCs/>
                <w:color w:val="auto"/>
                <w:sz w:val="18"/>
                <w:szCs w:val="18"/>
              </w:rPr>
              <w:t>废水水质参考</w:t>
            </w:r>
            <w:r>
              <w:rPr>
                <w:rFonts w:hint="eastAsia" w:ascii="Times New Roman" w:hAnsi="宋体" w:cs="Times New Roman"/>
                <w:bCs/>
                <w:color w:val="auto"/>
                <w:sz w:val="18"/>
                <w:szCs w:val="18"/>
              </w:rPr>
              <w:t>《医院</w:t>
            </w:r>
            <w:r>
              <w:rPr>
                <w:rFonts w:ascii="Times New Roman" w:hAnsi="宋体" w:cs="Times New Roman"/>
                <w:bCs/>
                <w:color w:val="auto"/>
                <w:sz w:val="18"/>
                <w:szCs w:val="18"/>
              </w:rPr>
              <w:t>污水处理</w:t>
            </w:r>
            <w:r>
              <w:rPr>
                <w:rFonts w:hint="eastAsia" w:ascii="Times New Roman" w:hAnsi="宋体" w:cs="Times New Roman"/>
                <w:bCs/>
                <w:color w:val="auto"/>
                <w:sz w:val="18"/>
                <w:szCs w:val="18"/>
              </w:rPr>
              <w:t>工程</w:t>
            </w:r>
            <w:r>
              <w:rPr>
                <w:rFonts w:ascii="Times New Roman" w:hAnsi="宋体" w:cs="Times New Roman"/>
                <w:bCs/>
                <w:color w:val="auto"/>
                <w:sz w:val="18"/>
                <w:szCs w:val="18"/>
              </w:rPr>
              <w:t>技术</w:t>
            </w:r>
            <w:r>
              <w:rPr>
                <w:rFonts w:hint="eastAsia" w:ascii="Times New Roman" w:hAnsi="宋体" w:cs="Times New Roman"/>
                <w:bCs/>
                <w:color w:val="auto"/>
                <w:sz w:val="18"/>
                <w:szCs w:val="18"/>
              </w:rPr>
              <w:t>规范》（HJ2019</w:t>
            </w:r>
            <w:r>
              <w:rPr>
                <w:rFonts w:ascii="Times New Roman" w:hAnsi="宋体" w:cs="Times New Roman"/>
                <w:bCs/>
                <w:color w:val="auto"/>
                <w:sz w:val="18"/>
                <w:szCs w:val="18"/>
              </w:rPr>
              <w:t>-2013</w:t>
            </w:r>
            <w:r>
              <w:rPr>
                <w:rFonts w:hint="eastAsia" w:ascii="Times New Roman" w:hAnsi="宋体" w:cs="Times New Roman"/>
                <w:bCs/>
                <w:color w:val="auto"/>
                <w:sz w:val="18"/>
                <w:szCs w:val="18"/>
              </w:rPr>
              <w:t>）中医疗</w:t>
            </w:r>
            <w:r>
              <w:rPr>
                <w:rFonts w:ascii="Times New Roman" w:hAnsi="宋体" w:cs="Times New Roman"/>
                <w:bCs/>
                <w:color w:val="auto"/>
                <w:sz w:val="18"/>
                <w:szCs w:val="18"/>
              </w:rPr>
              <w:t>废水相关数据</w:t>
            </w:r>
            <w:r>
              <w:rPr>
                <w:rFonts w:hint="eastAsia" w:ascii="Times New Roman" w:hAnsi="宋体" w:cs="Times New Roman"/>
                <w:bCs/>
                <w:color w:val="auto"/>
                <w:sz w:val="18"/>
                <w:szCs w:val="18"/>
              </w:rPr>
              <w:t>及</w:t>
            </w:r>
            <w:r>
              <w:rPr>
                <w:rFonts w:ascii="Times New Roman" w:hAnsi="宋体" w:cs="Times New Roman"/>
                <w:bCs/>
                <w:color w:val="auto"/>
                <w:sz w:val="18"/>
                <w:szCs w:val="18"/>
              </w:rPr>
              <w:t>同类</w:t>
            </w:r>
            <w:r>
              <w:rPr>
                <w:rFonts w:hint="eastAsia" w:ascii="Times New Roman" w:hAnsi="宋体" w:cs="Times New Roman"/>
                <w:bCs/>
                <w:color w:val="auto"/>
                <w:sz w:val="18"/>
                <w:szCs w:val="18"/>
              </w:rPr>
              <w:t>宠物医院</w:t>
            </w:r>
            <w:r>
              <w:rPr>
                <w:rFonts w:ascii="Times New Roman" w:hAnsi="宋体" w:cs="Times New Roman"/>
                <w:bCs/>
                <w:color w:val="auto"/>
                <w:sz w:val="18"/>
                <w:szCs w:val="18"/>
              </w:rPr>
              <w:t>（</w:t>
            </w:r>
            <w:r>
              <w:rPr>
                <w:rFonts w:hint="eastAsia" w:ascii="Times New Roman" w:hAnsi="宋体" w:cs="Times New Roman"/>
                <w:bCs/>
                <w:color w:val="auto"/>
                <w:sz w:val="18"/>
                <w:szCs w:val="18"/>
              </w:rPr>
              <w:t>西</w:t>
            </w:r>
            <w:r>
              <w:rPr>
                <w:rFonts w:ascii="Times New Roman" w:hAnsi="宋体" w:cs="Times New Roman"/>
                <w:bCs/>
                <w:color w:val="auto"/>
                <w:sz w:val="18"/>
                <w:szCs w:val="18"/>
              </w:rPr>
              <w:t>安瑞鹏宠物</w:t>
            </w:r>
            <w:r>
              <w:rPr>
                <w:rFonts w:hint="eastAsia" w:ascii="Times New Roman" w:hAnsi="宋体" w:cs="Times New Roman"/>
                <w:bCs/>
                <w:color w:val="auto"/>
                <w:sz w:val="18"/>
                <w:szCs w:val="18"/>
              </w:rPr>
              <w:t>医院</w:t>
            </w:r>
            <w:r>
              <w:rPr>
                <w:rFonts w:ascii="Times New Roman" w:hAnsi="宋体" w:cs="Times New Roman"/>
                <w:bCs/>
                <w:color w:val="auto"/>
                <w:sz w:val="18"/>
                <w:szCs w:val="18"/>
              </w:rPr>
              <w:t>太白南路分院建设项目）</w:t>
            </w:r>
            <w:r>
              <w:rPr>
                <w:rFonts w:hint="eastAsia" w:ascii="Times New Roman" w:hAnsi="宋体" w:cs="Times New Roman"/>
                <w:bCs/>
                <w:color w:val="auto"/>
                <w:sz w:val="18"/>
                <w:szCs w:val="18"/>
              </w:rPr>
              <w:t>验收</w:t>
            </w:r>
            <w:r>
              <w:rPr>
                <w:rFonts w:ascii="Times New Roman" w:hAnsi="宋体" w:cs="Times New Roman"/>
                <w:bCs/>
                <w:color w:val="auto"/>
                <w:sz w:val="18"/>
                <w:szCs w:val="18"/>
              </w:rPr>
              <w:t>数据。</w:t>
            </w:r>
          </w:p>
          <w:p>
            <w:pPr>
              <w:pStyle w:val="2"/>
              <w:ind w:firstLine="34" w:firstLineChars="16"/>
              <w:jc w:val="center"/>
              <w:rPr>
                <w:rFonts w:ascii="Times New Roman" w:hAnsi="宋体" w:cs="Times New Roman"/>
                <w:b/>
                <w:bCs/>
                <w:color w:val="auto"/>
                <w:sz w:val="21"/>
                <w:szCs w:val="21"/>
              </w:rPr>
            </w:pPr>
            <w:r>
              <w:rPr>
                <w:rFonts w:hint="eastAsia" w:ascii="Times New Roman" w:hAnsi="宋体" w:cs="Times New Roman"/>
                <w:b/>
                <w:bCs/>
                <w:color w:val="auto"/>
                <w:sz w:val="21"/>
                <w:szCs w:val="21"/>
              </w:rPr>
              <w:t>表4-3    项目废水类别、污染物及污染治理设施信息表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7"/>
              <w:gridCol w:w="456"/>
              <w:gridCol w:w="1153"/>
              <w:gridCol w:w="895"/>
              <w:gridCol w:w="1124"/>
              <w:gridCol w:w="804"/>
              <w:gridCol w:w="502"/>
              <w:gridCol w:w="671"/>
              <w:gridCol w:w="810"/>
              <w:gridCol w:w="573"/>
              <w:gridCol w:w="10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0"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序号</w:t>
                  </w:r>
                </w:p>
              </w:tc>
              <w:tc>
                <w:tcPr>
                  <w:tcW w:w="269"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废水类别</w:t>
                  </w:r>
                </w:p>
              </w:tc>
              <w:tc>
                <w:tcPr>
                  <w:tcW w:w="680"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污染物种类</w:t>
                  </w:r>
                </w:p>
              </w:tc>
              <w:tc>
                <w:tcPr>
                  <w:tcW w:w="528"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排放去向</w:t>
                  </w:r>
                </w:p>
              </w:tc>
              <w:tc>
                <w:tcPr>
                  <w:tcW w:w="663"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排放规律</w:t>
                  </w:r>
                </w:p>
              </w:tc>
              <w:tc>
                <w:tcPr>
                  <w:tcW w:w="1166" w:type="pct"/>
                  <w:gridSpan w:val="3"/>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污染设施治理</w:t>
                  </w:r>
                </w:p>
              </w:tc>
              <w:tc>
                <w:tcPr>
                  <w:tcW w:w="478"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排放口编号</w:t>
                  </w:r>
                </w:p>
              </w:tc>
              <w:tc>
                <w:tcPr>
                  <w:tcW w:w="338"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排放口设置是否符合要求</w:t>
                  </w:r>
                </w:p>
              </w:tc>
              <w:tc>
                <w:tcPr>
                  <w:tcW w:w="637" w:type="pct"/>
                  <w:vMerge w:val="restar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排放口</w:t>
                  </w:r>
                </w:p>
                <w:p>
                  <w:pPr>
                    <w:autoSpaceDE w:val="0"/>
                    <w:autoSpaceDN w:val="0"/>
                    <w:adjustRightInd w:val="0"/>
                    <w:jc w:val="center"/>
                    <w:rPr>
                      <w:bCs/>
                      <w:color w:val="auto"/>
                      <w:kern w:val="0"/>
                      <w:sz w:val="18"/>
                      <w:szCs w:val="18"/>
                    </w:rPr>
                  </w:pPr>
                  <w:r>
                    <w:rPr>
                      <w:bCs/>
                      <w:color w:val="auto"/>
                      <w:kern w:val="0"/>
                      <w:sz w:val="18"/>
                      <w:szCs w:val="18"/>
                    </w:rPr>
                    <w:t>类型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0"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269"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680"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528"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663"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474" w:type="pc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污染治理设施编号</w:t>
                  </w:r>
                </w:p>
              </w:tc>
              <w:tc>
                <w:tcPr>
                  <w:tcW w:w="296" w:type="pc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污染治理设施名称</w:t>
                  </w:r>
                </w:p>
              </w:tc>
              <w:tc>
                <w:tcPr>
                  <w:tcW w:w="396" w:type="pct"/>
                  <w:tcBorders>
                    <w:tl2br w:val="nil"/>
                    <w:tr2bl w:val="nil"/>
                  </w:tcBorders>
                  <w:shd w:val="clear" w:color="auto" w:fill="auto"/>
                  <w:vAlign w:val="center"/>
                </w:tcPr>
                <w:p>
                  <w:pPr>
                    <w:autoSpaceDE w:val="0"/>
                    <w:autoSpaceDN w:val="0"/>
                    <w:adjustRightInd w:val="0"/>
                    <w:jc w:val="center"/>
                    <w:rPr>
                      <w:bCs/>
                      <w:color w:val="auto"/>
                      <w:kern w:val="0"/>
                      <w:sz w:val="18"/>
                      <w:szCs w:val="18"/>
                    </w:rPr>
                  </w:pPr>
                  <w:r>
                    <w:rPr>
                      <w:bCs/>
                      <w:color w:val="auto"/>
                      <w:kern w:val="0"/>
                      <w:sz w:val="18"/>
                      <w:szCs w:val="18"/>
                    </w:rPr>
                    <w:t>污染治理设施工艺</w:t>
                  </w:r>
                </w:p>
              </w:tc>
              <w:tc>
                <w:tcPr>
                  <w:tcW w:w="478"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338"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c>
                <w:tcPr>
                  <w:tcW w:w="637" w:type="pct"/>
                  <w:vMerge w:val="continue"/>
                  <w:tcBorders>
                    <w:tl2br w:val="nil"/>
                    <w:tr2bl w:val="nil"/>
                  </w:tcBorders>
                  <w:shd w:val="clear" w:color="auto" w:fill="auto"/>
                  <w:vAlign w:val="center"/>
                </w:tcPr>
                <w:p>
                  <w:pPr>
                    <w:autoSpaceDE w:val="0"/>
                    <w:autoSpaceDN w:val="0"/>
                    <w:adjustRightInd w:val="0"/>
                    <w:jc w:val="center"/>
                    <w:rPr>
                      <w:bCs/>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0"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1</w:t>
                  </w:r>
                </w:p>
              </w:tc>
              <w:tc>
                <w:tcPr>
                  <w:tcW w:w="269"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医疗废水</w:t>
                  </w:r>
                </w:p>
              </w:tc>
              <w:tc>
                <w:tcPr>
                  <w:tcW w:w="680"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COD、SS、总余氯、粪大肠菌群</w:t>
                  </w:r>
                </w:p>
              </w:tc>
              <w:tc>
                <w:tcPr>
                  <w:tcW w:w="528" w:type="pct"/>
                  <w:vMerge w:val="restart"/>
                  <w:tcBorders>
                    <w:tl2br w:val="nil"/>
                    <w:tr2bl w:val="nil"/>
                  </w:tcBorders>
                  <w:shd w:val="clear" w:color="auto" w:fill="auto"/>
                  <w:vAlign w:val="center"/>
                </w:tcPr>
                <w:p>
                  <w:pPr>
                    <w:autoSpaceDE w:val="0"/>
                    <w:autoSpaceDN w:val="0"/>
                    <w:adjustRightInd w:val="0"/>
                    <w:jc w:val="center"/>
                    <w:rPr>
                      <w:color w:val="auto"/>
                      <w:kern w:val="0"/>
                      <w:sz w:val="18"/>
                      <w:szCs w:val="18"/>
                    </w:rPr>
                  </w:pPr>
                  <w:r>
                    <w:rPr>
                      <w:rFonts w:hint="eastAsia"/>
                      <w:color w:val="auto"/>
                      <w:kern w:val="0"/>
                      <w:sz w:val="18"/>
                      <w:szCs w:val="18"/>
                    </w:rPr>
                    <w:t>医疗废水经HB-50废水缓释消毒器消毒处理后，与生活污水、宠物洗浴废水</w:t>
                  </w:r>
                  <w:r>
                    <w:rPr>
                      <w:color w:val="auto"/>
                      <w:kern w:val="0"/>
                      <w:sz w:val="18"/>
                      <w:szCs w:val="18"/>
                    </w:rPr>
                    <w:t>进入</w:t>
                  </w:r>
                  <w:r>
                    <w:rPr>
                      <w:rFonts w:hint="eastAsia"/>
                      <w:color w:val="auto"/>
                      <w:kern w:val="0"/>
                      <w:sz w:val="18"/>
                      <w:szCs w:val="18"/>
                    </w:rPr>
                    <w:t>丰</w:t>
                  </w:r>
                  <w:r>
                    <w:rPr>
                      <w:color w:val="auto"/>
                      <w:kern w:val="0"/>
                      <w:sz w:val="18"/>
                      <w:szCs w:val="18"/>
                    </w:rPr>
                    <w:t>和坊一期</w:t>
                  </w:r>
                  <w:r>
                    <w:rPr>
                      <w:rFonts w:hint="eastAsia"/>
                      <w:color w:val="auto"/>
                      <w:kern w:val="0"/>
                      <w:sz w:val="18"/>
                      <w:szCs w:val="18"/>
                    </w:rPr>
                    <w:t>15幢</w:t>
                  </w:r>
                  <w:r>
                    <w:rPr>
                      <w:color w:val="auto"/>
                      <w:kern w:val="0"/>
                      <w:sz w:val="18"/>
                      <w:szCs w:val="18"/>
                    </w:rPr>
                    <w:t>化粪池处理，</w:t>
                  </w:r>
                  <w:r>
                    <w:rPr>
                      <w:rFonts w:hint="eastAsia"/>
                      <w:color w:val="auto"/>
                      <w:kern w:val="0"/>
                      <w:sz w:val="18"/>
                      <w:szCs w:val="18"/>
                    </w:rPr>
                    <w:t>经市政管网排入邓家村污水处理厂</w:t>
                  </w:r>
                </w:p>
              </w:tc>
              <w:tc>
                <w:tcPr>
                  <w:tcW w:w="663"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间接排放，排放期间流量不稳定，但有规律，且不属于冲击型排放</w:t>
                  </w:r>
                </w:p>
              </w:tc>
              <w:tc>
                <w:tcPr>
                  <w:tcW w:w="474"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TW001</w:t>
                  </w:r>
                </w:p>
              </w:tc>
              <w:tc>
                <w:tcPr>
                  <w:tcW w:w="296"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废水缓释消毒器</w:t>
                  </w:r>
                </w:p>
              </w:tc>
              <w:tc>
                <w:tcPr>
                  <w:tcW w:w="396"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消毒</w:t>
                  </w:r>
                </w:p>
                <w:p>
                  <w:pPr>
                    <w:autoSpaceDE w:val="0"/>
                    <w:autoSpaceDN w:val="0"/>
                    <w:adjustRightInd w:val="0"/>
                    <w:jc w:val="center"/>
                    <w:rPr>
                      <w:color w:val="auto"/>
                      <w:kern w:val="0"/>
                      <w:sz w:val="18"/>
                      <w:szCs w:val="18"/>
                    </w:rPr>
                  </w:pPr>
                  <w:r>
                    <w:rPr>
                      <w:color w:val="auto"/>
                      <w:kern w:val="0"/>
                      <w:sz w:val="18"/>
                      <w:szCs w:val="18"/>
                    </w:rPr>
                    <w:t>处理</w:t>
                  </w:r>
                </w:p>
              </w:tc>
              <w:tc>
                <w:tcPr>
                  <w:tcW w:w="478" w:type="pct"/>
                  <w:vMerge w:val="restart"/>
                  <w:tcBorders>
                    <w:tl2br w:val="nil"/>
                    <w:tr2bl w:val="nil"/>
                  </w:tcBorders>
                  <w:shd w:val="clear" w:color="auto" w:fill="auto"/>
                  <w:vAlign w:val="center"/>
                </w:tcPr>
                <w:p>
                  <w:pPr>
                    <w:autoSpaceDE w:val="0"/>
                    <w:autoSpaceDN w:val="0"/>
                    <w:adjustRightInd w:val="0"/>
                    <w:jc w:val="center"/>
                    <w:rPr>
                      <w:color w:val="auto"/>
                      <w:kern w:val="0"/>
                      <w:sz w:val="18"/>
                      <w:szCs w:val="18"/>
                    </w:rPr>
                  </w:pPr>
                  <w:r>
                    <w:rPr>
                      <w:rFonts w:hint="eastAsia"/>
                      <w:color w:val="auto"/>
                      <w:kern w:val="0"/>
                      <w:sz w:val="18"/>
                      <w:szCs w:val="18"/>
                    </w:rPr>
                    <w:t>DW001</w:t>
                  </w:r>
                </w:p>
              </w:tc>
              <w:tc>
                <w:tcPr>
                  <w:tcW w:w="338" w:type="pct"/>
                  <w:vMerge w:val="restart"/>
                  <w:tcBorders>
                    <w:tl2br w:val="nil"/>
                    <w:tr2bl w:val="nil"/>
                  </w:tcBorders>
                  <w:shd w:val="clear" w:color="auto" w:fill="auto"/>
                  <w:vAlign w:val="center"/>
                </w:tcPr>
                <w:p>
                  <w:pPr>
                    <w:spacing w:line="300" w:lineRule="exact"/>
                    <w:jc w:val="center"/>
                    <w:rPr>
                      <w:color w:val="auto"/>
                      <w:kern w:val="0"/>
                      <w:sz w:val="18"/>
                      <w:szCs w:val="18"/>
                    </w:rPr>
                  </w:pPr>
                  <w:r>
                    <w:rPr>
                      <w:color w:val="auto"/>
                      <w:kern w:val="0"/>
                      <w:sz w:val="18"/>
                      <w:szCs w:val="18"/>
                    </w:rPr>
                    <w:t>☑ 是</w:t>
                  </w:r>
                </w:p>
                <w:p>
                  <w:pPr>
                    <w:autoSpaceDE w:val="0"/>
                    <w:autoSpaceDN w:val="0"/>
                    <w:adjustRightInd w:val="0"/>
                    <w:jc w:val="center"/>
                    <w:rPr>
                      <w:color w:val="auto"/>
                      <w:kern w:val="0"/>
                      <w:sz w:val="18"/>
                      <w:szCs w:val="18"/>
                    </w:rPr>
                  </w:pPr>
                  <w:r>
                    <w:rPr>
                      <w:color w:val="auto"/>
                      <w:kern w:val="0"/>
                      <w:sz w:val="18"/>
                      <w:szCs w:val="18"/>
                    </w:rPr>
                    <w:t>□ 否</w:t>
                  </w:r>
                </w:p>
              </w:tc>
              <w:tc>
                <w:tcPr>
                  <w:tcW w:w="637" w:type="pct"/>
                  <w:vMerge w:val="restart"/>
                  <w:tcBorders>
                    <w:tl2br w:val="nil"/>
                    <w:tr2bl w:val="nil"/>
                  </w:tcBorders>
                  <w:shd w:val="clear" w:color="auto" w:fill="auto"/>
                  <w:vAlign w:val="center"/>
                </w:tcPr>
                <w:p>
                  <w:pPr>
                    <w:spacing w:line="300" w:lineRule="exact"/>
                    <w:rPr>
                      <w:color w:val="auto"/>
                      <w:kern w:val="0"/>
                      <w:sz w:val="18"/>
                      <w:szCs w:val="18"/>
                    </w:rPr>
                  </w:pPr>
                  <w:r>
                    <w:rPr>
                      <w:color w:val="auto"/>
                      <w:kern w:val="0"/>
                      <w:sz w:val="18"/>
                      <w:szCs w:val="18"/>
                    </w:rPr>
                    <w:sym w:font="Wingdings 2" w:char="0052"/>
                  </w:r>
                  <w:r>
                    <w:rPr>
                      <w:color w:val="auto"/>
                      <w:kern w:val="0"/>
                      <w:sz w:val="18"/>
                      <w:szCs w:val="18"/>
                    </w:rPr>
                    <w:t>企业总排</w:t>
                  </w:r>
                </w:p>
                <w:p>
                  <w:pPr>
                    <w:spacing w:line="300" w:lineRule="exact"/>
                    <w:rPr>
                      <w:color w:val="auto"/>
                      <w:kern w:val="0"/>
                      <w:sz w:val="18"/>
                      <w:szCs w:val="18"/>
                    </w:rPr>
                  </w:pPr>
                  <w:r>
                    <w:rPr>
                      <w:color w:val="auto"/>
                      <w:kern w:val="0"/>
                      <w:sz w:val="18"/>
                      <w:szCs w:val="18"/>
                    </w:rPr>
                    <w:t>□雨水排放</w:t>
                  </w:r>
                </w:p>
                <w:p>
                  <w:pPr>
                    <w:spacing w:line="300" w:lineRule="exact"/>
                    <w:rPr>
                      <w:color w:val="auto"/>
                      <w:kern w:val="0"/>
                      <w:sz w:val="18"/>
                      <w:szCs w:val="18"/>
                    </w:rPr>
                  </w:pPr>
                  <w:r>
                    <w:rPr>
                      <w:color w:val="auto"/>
                      <w:kern w:val="0"/>
                      <w:sz w:val="18"/>
                      <w:szCs w:val="18"/>
                    </w:rPr>
                    <w:t>□清净下水排放</w:t>
                  </w:r>
                </w:p>
                <w:p>
                  <w:pPr>
                    <w:spacing w:line="300" w:lineRule="exact"/>
                    <w:rPr>
                      <w:color w:val="auto"/>
                      <w:kern w:val="0"/>
                      <w:sz w:val="18"/>
                      <w:szCs w:val="18"/>
                    </w:rPr>
                  </w:pPr>
                  <w:r>
                    <w:rPr>
                      <w:color w:val="auto"/>
                      <w:kern w:val="0"/>
                      <w:sz w:val="18"/>
                      <w:szCs w:val="18"/>
                    </w:rPr>
                    <w:t>□温排水排放</w:t>
                  </w:r>
                </w:p>
                <w:p>
                  <w:pPr>
                    <w:autoSpaceDE w:val="0"/>
                    <w:autoSpaceDN w:val="0"/>
                    <w:adjustRightInd w:val="0"/>
                    <w:jc w:val="center"/>
                    <w:rPr>
                      <w:color w:val="auto"/>
                      <w:kern w:val="0"/>
                      <w:sz w:val="18"/>
                      <w:szCs w:val="18"/>
                    </w:rPr>
                  </w:pPr>
                  <w:r>
                    <w:rPr>
                      <w:color w:val="auto"/>
                      <w:kern w:val="0"/>
                      <w:sz w:val="18"/>
                      <w:szCs w:val="18"/>
                    </w:rPr>
                    <w:t>□车间或车间处理设施排放口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0"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2</w:t>
                  </w:r>
                </w:p>
              </w:tc>
              <w:tc>
                <w:tcPr>
                  <w:tcW w:w="269"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宠物洗浴废水</w:t>
                  </w:r>
                </w:p>
              </w:tc>
              <w:tc>
                <w:tcPr>
                  <w:tcW w:w="680" w:type="pct"/>
                  <w:tcBorders>
                    <w:tl2br w:val="nil"/>
                    <w:tr2bl w:val="nil"/>
                  </w:tcBorders>
                  <w:shd w:val="clear" w:color="auto" w:fill="auto"/>
                  <w:vAlign w:val="center"/>
                </w:tcPr>
                <w:p>
                  <w:pPr>
                    <w:autoSpaceDE w:val="0"/>
                    <w:autoSpaceDN w:val="0"/>
                    <w:adjustRightInd w:val="0"/>
                    <w:jc w:val="center"/>
                    <w:rPr>
                      <w:color w:val="auto"/>
                      <w:sz w:val="18"/>
                      <w:szCs w:val="18"/>
                    </w:rPr>
                  </w:pPr>
                  <w:r>
                    <w:rPr>
                      <w:color w:val="auto"/>
                      <w:sz w:val="18"/>
                      <w:szCs w:val="18"/>
                    </w:rPr>
                    <w:t>COD、</w:t>
                  </w:r>
                  <w:r>
                    <w:rPr>
                      <w:rFonts w:hint="eastAsia"/>
                      <w:color w:val="auto"/>
                      <w:sz w:val="18"/>
                      <w:szCs w:val="18"/>
                    </w:rPr>
                    <w:t>BOD</w:t>
                  </w:r>
                  <w:r>
                    <w:rPr>
                      <w:rFonts w:hint="eastAsia"/>
                      <w:color w:val="auto"/>
                      <w:sz w:val="18"/>
                      <w:szCs w:val="18"/>
                      <w:vertAlign w:val="subscript"/>
                    </w:rPr>
                    <w:t>5</w:t>
                  </w:r>
                  <w:r>
                    <w:rPr>
                      <w:rFonts w:hint="eastAsia"/>
                      <w:color w:val="auto"/>
                      <w:sz w:val="18"/>
                      <w:szCs w:val="18"/>
                    </w:rPr>
                    <w:t>、</w:t>
                  </w:r>
                  <w:r>
                    <w:rPr>
                      <w:color w:val="auto"/>
                      <w:sz w:val="18"/>
                      <w:szCs w:val="18"/>
                    </w:rPr>
                    <w:t>SS、氨氮、总氮、总磷、阴离子表面活性剂</w:t>
                  </w:r>
                </w:p>
              </w:tc>
              <w:tc>
                <w:tcPr>
                  <w:tcW w:w="528"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c>
                <w:tcPr>
                  <w:tcW w:w="663"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连续排放，流量不稳定，但有周期规律性</w:t>
                  </w:r>
                </w:p>
              </w:tc>
              <w:tc>
                <w:tcPr>
                  <w:tcW w:w="474"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TW002</w:t>
                  </w:r>
                </w:p>
              </w:tc>
              <w:tc>
                <w:tcPr>
                  <w:tcW w:w="296"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化粪池</w:t>
                  </w:r>
                </w:p>
              </w:tc>
              <w:tc>
                <w:tcPr>
                  <w:tcW w:w="396"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一级处理-沉淀</w:t>
                  </w:r>
                </w:p>
              </w:tc>
              <w:tc>
                <w:tcPr>
                  <w:tcW w:w="478"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c>
                <w:tcPr>
                  <w:tcW w:w="338"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c>
                <w:tcPr>
                  <w:tcW w:w="637"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0"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3</w:t>
                  </w:r>
                </w:p>
              </w:tc>
              <w:tc>
                <w:tcPr>
                  <w:tcW w:w="269"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生活污水</w:t>
                  </w:r>
                </w:p>
              </w:tc>
              <w:tc>
                <w:tcPr>
                  <w:tcW w:w="680"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sz w:val="18"/>
                      <w:szCs w:val="18"/>
                    </w:rPr>
                    <w:t>COD、</w:t>
                  </w:r>
                  <w:r>
                    <w:rPr>
                      <w:rFonts w:hint="eastAsia"/>
                      <w:color w:val="auto"/>
                      <w:sz w:val="18"/>
                      <w:szCs w:val="18"/>
                    </w:rPr>
                    <w:t>BOD</w:t>
                  </w:r>
                  <w:r>
                    <w:rPr>
                      <w:rFonts w:hint="eastAsia"/>
                      <w:color w:val="auto"/>
                      <w:sz w:val="18"/>
                      <w:szCs w:val="18"/>
                      <w:vertAlign w:val="subscript"/>
                    </w:rPr>
                    <w:t>5</w:t>
                  </w:r>
                  <w:r>
                    <w:rPr>
                      <w:rFonts w:hint="eastAsia"/>
                      <w:color w:val="auto"/>
                      <w:sz w:val="18"/>
                      <w:szCs w:val="18"/>
                    </w:rPr>
                    <w:t>、</w:t>
                  </w:r>
                  <w:r>
                    <w:rPr>
                      <w:color w:val="auto"/>
                      <w:sz w:val="18"/>
                      <w:szCs w:val="18"/>
                    </w:rPr>
                    <w:t>SS、氨氮、总氮、总磷</w:t>
                  </w:r>
                </w:p>
              </w:tc>
              <w:tc>
                <w:tcPr>
                  <w:tcW w:w="528"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c>
                <w:tcPr>
                  <w:tcW w:w="663"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连续排放，流量不稳定，但有周期规律性</w:t>
                  </w:r>
                </w:p>
              </w:tc>
              <w:tc>
                <w:tcPr>
                  <w:tcW w:w="474"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TW002</w:t>
                  </w:r>
                </w:p>
              </w:tc>
              <w:tc>
                <w:tcPr>
                  <w:tcW w:w="296"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化粪池</w:t>
                  </w:r>
                </w:p>
              </w:tc>
              <w:tc>
                <w:tcPr>
                  <w:tcW w:w="396" w:type="pct"/>
                  <w:tcBorders>
                    <w:tl2br w:val="nil"/>
                    <w:tr2bl w:val="nil"/>
                  </w:tcBorders>
                  <w:shd w:val="clear" w:color="auto" w:fill="auto"/>
                  <w:vAlign w:val="center"/>
                </w:tcPr>
                <w:p>
                  <w:pPr>
                    <w:autoSpaceDE w:val="0"/>
                    <w:autoSpaceDN w:val="0"/>
                    <w:adjustRightInd w:val="0"/>
                    <w:jc w:val="center"/>
                    <w:rPr>
                      <w:color w:val="auto"/>
                      <w:kern w:val="0"/>
                      <w:sz w:val="18"/>
                      <w:szCs w:val="18"/>
                    </w:rPr>
                  </w:pPr>
                  <w:r>
                    <w:rPr>
                      <w:color w:val="auto"/>
                      <w:kern w:val="0"/>
                      <w:sz w:val="18"/>
                      <w:szCs w:val="18"/>
                    </w:rPr>
                    <w:t>一级处理-沉淀</w:t>
                  </w:r>
                </w:p>
              </w:tc>
              <w:tc>
                <w:tcPr>
                  <w:tcW w:w="478"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c>
                <w:tcPr>
                  <w:tcW w:w="338"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c>
                <w:tcPr>
                  <w:tcW w:w="637" w:type="pct"/>
                  <w:vMerge w:val="continue"/>
                  <w:tcBorders>
                    <w:tl2br w:val="nil"/>
                    <w:tr2bl w:val="nil"/>
                  </w:tcBorders>
                  <w:shd w:val="clear" w:color="auto" w:fill="auto"/>
                  <w:vAlign w:val="center"/>
                </w:tcPr>
                <w:p>
                  <w:pPr>
                    <w:autoSpaceDE w:val="0"/>
                    <w:autoSpaceDN w:val="0"/>
                    <w:adjustRightInd w:val="0"/>
                    <w:jc w:val="center"/>
                    <w:rPr>
                      <w:color w:val="auto"/>
                      <w:kern w:val="0"/>
                      <w:sz w:val="18"/>
                      <w:szCs w:val="18"/>
                    </w:rPr>
                  </w:pPr>
                </w:p>
              </w:tc>
            </w:tr>
          </w:tbl>
          <w:p>
            <w:pPr>
              <w:pStyle w:val="2"/>
              <w:ind w:firstLine="34" w:firstLineChars="16"/>
              <w:jc w:val="center"/>
              <w:rPr>
                <w:rFonts w:ascii="Times New Roman" w:hAnsi="宋体" w:cs="Times New Roman"/>
                <w:b/>
                <w:bCs/>
                <w:color w:val="auto"/>
                <w:sz w:val="21"/>
                <w:szCs w:val="21"/>
              </w:rPr>
            </w:pPr>
            <w:r>
              <w:rPr>
                <w:rFonts w:hint="eastAsia" w:ascii="Times New Roman" w:hAnsi="宋体" w:cs="Times New Roman"/>
                <w:b/>
                <w:bCs/>
                <w:color w:val="auto"/>
                <w:sz w:val="21"/>
                <w:szCs w:val="21"/>
              </w:rPr>
              <w:t>表4-4    废水间接排放口基本情况表</w:t>
            </w:r>
          </w:p>
          <w:tbl>
            <w:tblPr>
              <w:tblStyle w:val="2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96"/>
              <w:gridCol w:w="474"/>
              <w:gridCol w:w="1251"/>
              <w:gridCol w:w="1155"/>
              <w:gridCol w:w="888"/>
              <w:gridCol w:w="539"/>
              <w:gridCol w:w="793"/>
              <w:gridCol w:w="630"/>
              <w:gridCol w:w="662"/>
              <w:gridCol w:w="16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250" w:type="pct"/>
                  <w:vMerge w:val="restart"/>
                  <w:vAlign w:val="center"/>
                </w:tcPr>
                <w:p>
                  <w:pPr>
                    <w:autoSpaceDE w:val="0"/>
                    <w:autoSpaceDN w:val="0"/>
                    <w:adjustRightInd w:val="0"/>
                    <w:jc w:val="center"/>
                    <w:rPr>
                      <w:color w:val="auto"/>
                      <w:sz w:val="18"/>
                      <w:szCs w:val="18"/>
                    </w:rPr>
                  </w:pPr>
                  <w:r>
                    <w:rPr>
                      <w:color w:val="auto"/>
                      <w:sz w:val="18"/>
                      <w:szCs w:val="18"/>
                    </w:rPr>
                    <w:t>序号</w:t>
                  </w:r>
                </w:p>
              </w:tc>
              <w:tc>
                <w:tcPr>
                  <w:tcW w:w="303" w:type="pct"/>
                  <w:vMerge w:val="restart"/>
                  <w:vAlign w:val="center"/>
                </w:tcPr>
                <w:p>
                  <w:pPr>
                    <w:autoSpaceDE w:val="0"/>
                    <w:autoSpaceDN w:val="0"/>
                    <w:adjustRightInd w:val="0"/>
                    <w:jc w:val="center"/>
                    <w:rPr>
                      <w:color w:val="auto"/>
                      <w:sz w:val="18"/>
                      <w:szCs w:val="18"/>
                    </w:rPr>
                  </w:pPr>
                  <w:r>
                    <w:rPr>
                      <w:color w:val="auto"/>
                      <w:sz w:val="18"/>
                      <w:szCs w:val="18"/>
                    </w:rPr>
                    <w:t>排放口编号</w:t>
                  </w:r>
                </w:p>
              </w:tc>
              <w:tc>
                <w:tcPr>
                  <w:tcW w:w="1261" w:type="pct"/>
                  <w:gridSpan w:val="2"/>
                  <w:vAlign w:val="center"/>
                </w:tcPr>
                <w:p>
                  <w:pPr>
                    <w:autoSpaceDE w:val="0"/>
                    <w:autoSpaceDN w:val="0"/>
                    <w:adjustRightInd w:val="0"/>
                    <w:jc w:val="center"/>
                    <w:rPr>
                      <w:color w:val="auto"/>
                      <w:sz w:val="18"/>
                      <w:szCs w:val="18"/>
                    </w:rPr>
                  </w:pPr>
                  <w:r>
                    <w:rPr>
                      <w:color w:val="auto"/>
                      <w:sz w:val="18"/>
                      <w:szCs w:val="18"/>
                    </w:rPr>
                    <w:t>排放口地理坐标</w:t>
                  </w:r>
                </w:p>
              </w:tc>
              <w:tc>
                <w:tcPr>
                  <w:tcW w:w="544" w:type="pct"/>
                  <w:vMerge w:val="restart"/>
                  <w:vAlign w:val="center"/>
                </w:tcPr>
                <w:p>
                  <w:pPr>
                    <w:autoSpaceDE w:val="0"/>
                    <w:autoSpaceDN w:val="0"/>
                    <w:adjustRightInd w:val="0"/>
                    <w:jc w:val="center"/>
                    <w:rPr>
                      <w:color w:val="auto"/>
                      <w:sz w:val="18"/>
                      <w:szCs w:val="18"/>
                    </w:rPr>
                  </w:pPr>
                  <w:r>
                    <w:rPr>
                      <w:color w:val="auto"/>
                      <w:sz w:val="18"/>
                      <w:szCs w:val="18"/>
                    </w:rPr>
                    <w:t>废水排放量（万t/a）</w:t>
                  </w:r>
                </w:p>
              </w:tc>
              <w:tc>
                <w:tcPr>
                  <w:tcW w:w="338" w:type="pct"/>
                  <w:vMerge w:val="restart"/>
                  <w:vAlign w:val="center"/>
                </w:tcPr>
                <w:p>
                  <w:pPr>
                    <w:autoSpaceDE w:val="0"/>
                    <w:autoSpaceDN w:val="0"/>
                    <w:adjustRightInd w:val="0"/>
                    <w:jc w:val="center"/>
                    <w:rPr>
                      <w:color w:val="auto"/>
                      <w:sz w:val="18"/>
                      <w:szCs w:val="18"/>
                    </w:rPr>
                  </w:pPr>
                  <w:r>
                    <w:rPr>
                      <w:color w:val="auto"/>
                      <w:sz w:val="18"/>
                      <w:szCs w:val="18"/>
                    </w:rPr>
                    <w:t>排放去向</w:t>
                  </w:r>
                </w:p>
              </w:tc>
              <w:tc>
                <w:tcPr>
                  <w:tcW w:w="488" w:type="pct"/>
                  <w:vMerge w:val="restart"/>
                  <w:vAlign w:val="center"/>
                </w:tcPr>
                <w:p>
                  <w:pPr>
                    <w:autoSpaceDE w:val="0"/>
                    <w:autoSpaceDN w:val="0"/>
                    <w:adjustRightInd w:val="0"/>
                    <w:jc w:val="center"/>
                    <w:rPr>
                      <w:color w:val="auto"/>
                      <w:sz w:val="18"/>
                      <w:szCs w:val="18"/>
                    </w:rPr>
                  </w:pPr>
                  <w:r>
                    <w:rPr>
                      <w:color w:val="auto"/>
                      <w:sz w:val="18"/>
                      <w:szCs w:val="18"/>
                    </w:rPr>
                    <w:t>排放规律间歇排放时段</w:t>
                  </w:r>
                </w:p>
              </w:tc>
              <w:tc>
                <w:tcPr>
                  <w:tcW w:w="1816" w:type="pct"/>
                  <w:gridSpan w:val="3"/>
                  <w:vAlign w:val="center"/>
                </w:tcPr>
                <w:p>
                  <w:pPr>
                    <w:autoSpaceDE w:val="0"/>
                    <w:autoSpaceDN w:val="0"/>
                    <w:adjustRightInd w:val="0"/>
                    <w:jc w:val="center"/>
                    <w:rPr>
                      <w:color w:val="auto"/>
                      <w:sz w:val="18"/>
                      <w:szCs w:val="18"/>
                    </w:rPr>
                  </w:pPr>
                  <w:r>
                    <w:rPr>
                      <w:color w:val="auto"/>
                      <w:sz w:val="18"/>
                      <w:szCs w:val="18"/>
                    </w:rPr>
                    <w:t>收纳污水处理厂信息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atLeast"/>
              </w:trPr>
              <w:tc>
                <w:tcPr>
                  <w:tcW w:w="250" w:type="pct"/>
                  <w:vMerge w:val="continue"/>
                  <w:vAlign w:val="center"/>
                </w:tcPr>
                <w:p>
                  <w:pPr>
                    <w:autoSpaceDE w:val="0"/>
                    <w:autoSpaceDN w:val="0"/>
                    <w:adjustRightInd w:val="0"/>
                    <w:jc w:val="center"/>
                    <w:rPr>
                      <w:color w:val="auto"/>
                      <w:sz w:val="18"/>
                      <w:szCs w:val="18"/>
                    </w:rPr>
                  </w:pPr>
                </w:p>
              </w:tc>
              <w:tc>
                <w:tcPr>
                  <w:tcW w:w="303" w:type="pct"/>
                  <w:vMerge w:val="continue"/>
                  <w:vAlign w:val="center"/>
                </w:tcPr>
                <w:p>
                  <w:pPr>
                    <w:autoSpaceDE w:val="0"/>
                    <w:autoSpaceDN w:val="0"/>
                    <w:adjustRightInd w:val="0"/>
                    <w:jc w:val="center"/>
                    <w:rPr>
                      <w:color w:val="auto"/>
                      <w:sz w:val="18"/>
                      <w:szCs w:val="18"/>
                    </w:rPr>
                  </w:pPr>
                </w:p>
              </w:tc>
              <w:tc>
                <w:tcPr>
                  <w:tcW w:w="659" w:type="pct"/>
                  <w:vAlign w:val="center"/>
                </w:tcPr>
                <w:p>
                  <w:pPr>
                    <w:autoSpaceDE w:val="0"/>
                    <w:autoSpaceDN w:val="0"/>
                    <w:adjustRightInd w:val="0"/>
                    <w:jc w:val="center"/>
                    <w:rPr>
                      <w:color w:val="auto"/>
                      <w:sz w:val="18"/>
                      <w:szCs w:val="18"/>
                    </w:rPr>
                  </w:pPr>
                  <w:r>
                    <w:rPr>
                      <w:color w:val="auto"/>
                      <w:sz w:val="18"/>
                      <w:szCs w:val="18"/>
                    </w:rPr>
                    <w:t>经度</w:t>
                  </w:r>
                </w:p>
              </w:tc>
              <w:tc>
                <w:tcPr>
                  <w:tcW w:w="602" w:type="pct"/>
                  <w:vAlign w:val="center"/>
                </w:tcPr>
                <w:p>
                  <w:pPr>
                    <w:autoSpaceDE w:val="0"/>
                    <w:autoSpaceDN w:val="0"/>
                    <w:adjustRightInd w:val="0"/>
                    <w:jc w:val="center"/>
                    <w:rPr>
                      <w:color w:val="auto"/>
                      <w:sz w:val="18"/>
                      <w:szCs w:val="18"/>
                    </w:rPr>
                  </w:pPr>
                  <w:r>
                    <w:rPr>
                      <w:color w:val="auto"/>
                      <w:sz w:val="18"/>
                      <w:szCs w:val="18"/>
                    </w:rPr>
                    <w:t>纬度</w:t>
                  </w:r>
                </w:p>
              </w:tc>
              <w:tc>
                <w:tcPr>
                  <w:tcW w:w="544" w:type="pct"/>
                  <w:vMerge w:val="continue"/>
                  <w:vAlign w:val="center"/>
                </w:tcPr>
                <w:p>
                  <w:pPr>
                    <w:autoSpaceDE w:val="0"/>
                    <w:autoSpaceDN w:val="0"/>
                    <w:adjustRightInd w:val="0"/>
                    <w:jc w:val="center"/>
                    <w:rPr>
                      <w:color w:val="auto"/>
                      <w:sz w:val="18"/>
                      <w:szCs w:val="18"/>
                    </w:rPr>
                  </w:pPr>
                </w:p>
              </w:tc>
              <w:tc>
                <w:tcPr>
                  <w:tcW w:w="338" w:type="pct"/>
                  <w:vMerge w:val="continue"/>
                  <w:vAlign w:val="center"/>
                </w:tcPr>
                <w:p>
                  <w:pPr>
                    <w:autoSpaceDE w:val="0"/>
                    <w:autoSpaceDN w:val="0"/>
                    <w:adjustRightInd w:val="0"/>
                    <w:jc w:val="center"/>
                    <w:rPr>
                      <w:color w:val="auto"/>
                      <w:sz w:val="18"/>
                      <w:szCs w:val="18"/>
                    </w:rPr>
                  </w:pPr>
                </w:p>
              </w:tc>
              <w:tc>
                <w:tcPr>
                  <w:tcW w:w="488" w:type="pct"/>
                  <w:vMerge w:val="continue"/>
                  <w:vAlign w:val="center"/>
                </w:tcPr>
                <w:p>
                  <w:pPr>
                    <w:autoSpaceDE w:val="0"/>
                    <w:autoSpaceDN w:val="0"/>
                    <w:adjustRightInd w:val="0"/>
                    <w:jc w:val="center"/>
                    <w:rPr>
                      <w:color w:val="auto"/>
                      <w:sz w:val="18"/>
                      <w:szCs w:val="18"/>
                    </w:rPr>
                  </w:pPr>
                </w:p>
              </w:tc>
              <w:tc>
                <w:tcPr>
                  <w:tcW w:w="391" w:type="pct"/>
                  <w:vAlign w:val="center"/>
                </w:tcPr>
                <w:p>
                  <w:pPr>
                    <w:autoSpaceDE w:val="0"/>
                    <w:autoSpaceDN w:val="0"/>
                    <w:adjustRightInd w:val="0"/>
                    <w:jc w:val="center"/>
                    <w:rPr>
                      <w:color w:val="auto"/>
                      <w:sz w:val="18"/>
                      <w:szCs w:val="18"/>
                    </w:rPr>
                  </w:pPr>
                  <w:r>
                    <w:rPr>
                      <w:color w:val="auto"/>
                      <w:sz w:val="18"/>
                      <w:szCs w:val="18"/>
                    </w:rPr>
                    <w:t>名称</w:t>
                  </w:r>
                </w:p>
              </w:tc>
              <w:tc>
                <w:tcPr>
                  <w:tcW w:w="410" w:type="pct"/>
                  <w:vAlign w:val="center"/>
                </w:tcPr>
                <w:p>
                  <w:pPr>
                    <w:autoSpaceDE w:val="0"/>
                    <w:autoSpaceDN w:val="0"/>
                    <w:adjustRightInd w:val="0"/>
                    <w:jc w:val="center"/>
                    <w:rPr>
                      <w:color w:val="auto"/>
                      <w:sz w:val="18"/>
                      <w:szCs w:val="18"/>
                    </w:rPr>
                  </w:pPr>
                  <w:r>
                    <w:rPr>
                      <w:color w:val="auto"/>
                      <w:sz w:val="18"/>
                      <w:szCs w:val="18"/>
                    </w:rPr>
                    <w:t>污染物种类</w:t>
                  </w:r>
                </w:p>
              </w:tc>
              <w:tc>
                <w:tcPr>
                  <w:tcW w:w="1015" w:type="pct"/>
                  <w:vAlign w:val="center"/>
                </w:tcPr>
                <w:p>
                  <w:pPr>
                    <w:autoSpaceDE w:val="0"/>
                    <w:autoSpaceDN w:val="0"/>
                    <w:adjustRightInd w:val="0"/>
                    <w:jc w:val="center"/>
                    <w:rPr>
                      <w:color w:val="auto"/>
                      <w:sz w:val="18"/>
                      <w:szCs w:val="18"/>
                    </w:rPr>
                  </w:pPr>
                  <w:r>
                    <w:rPr>
                      <w:color w:val="auto"/>
                      <w:sz w:val="18"/>
                      <w:szCs w:val="18"/>
                    </w:rPr>
                    <w:t>国家或地方污染物排放标准浓度限值（mg/L）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4" w:hRule="atLeast"/>
              </w:trPr>
              <w:tc>
                <w:tcPr>
                  <w:tcW w:w="250" w:type="pct"/>
                  <w:vMerge w:val="restart"/>
                  <w:vAlign w:val="center"/>
                </w:tcPr>
                <w:p>
                  <w:pPr>
                    <w:autoSpaceDE w:val="0"/>
                    <w:autoSpaceDN w:val="0"/>
                    <w:adjustRightInd w:val="0"/>
                    <w:jc w:val="center"/>
                    <w:rPr>
                      <w:color w:val="auto"/>
                      <w:sz w:val="18"/>
                      <w:szCs w:val="18"/>
                    </w:rPr>
                  </w:pPr>
                  <w:r>
                    <w:rPr>
                      <w:color w:val="auto"/>
                      <w:sz w:val="18"/>
                      <w:szCs w:val="18"/>
                    </w:rPr>
                    <w:t>1</w:t>
                  </w:r>
                </w:p>
              </w:tc>
              <w:tc>
                <w:tcPr>
                  <w:tcW w:w="303" w:type="pct"/>
                  <w:vMerge w:val="restart"/>
                  <w:vAlign w:val="center"/>
                </w:tcPr>
                <w:p>
                  <w:pPr>
                    <w:autoSpaceDE w:val="0"/>
                    <w:autoSpaceDN w:val="0"/>
                    <w:adjustRightInd w:val="0"/>
                    <w:jc w:val="center"/>
                    <w:rPr>
                      <w:color w:val="auto"/>
                      <w:sz w:val="18"/>
                      <w:szCs w:val="18"/>
                    </w:rPr>
                  </w:pPr>
                  <w:r>
                    <w:rPr>
                      <w:color w:val="auto"/>
                      <w:sz w:val="18"/>
                      <w:szCs w:val="18"/>
                    </w:rPr>
                    <w:t>1#总排口</w:t>
                  </w:r>
                </w:p>
              </w:tc>
              <w:tc>
                <w:tcPr>
                  <w:tcW w:w="659" w:type="pct"/>
                  <w:vMerge w:val="restart"/>
                  <w:vAlign w:val="center"/>
                </w:tcPr>
                <w:p>
                  <w:pPr>
                    <w:autoSpaceDE w:val="0"/>
                    <w:autoSpaceDN w:val="0"/>
                    <w:adjustRightInd w:val="0"/>
                    <w:jc w:val="center"/>
                    <w:rPr>
                      <w:color w:val="auto"/>
                      <w:sz w:val="18"/>
                      <w:szCs w:val="18"/>
                    </w:rPr>
                  </w:pPr>
                  <w:r>
                    <w:rPr>
                      <w:color w:val="auto"/>
                      <w:sz w:val="18"/>
                      <w:szCs w:val="18"/>
                    </w:rPr>
                    <w:t>东经108.89695644</w:t>
                  </w:r>
                </w:p>
              </w:tc>
              <w:tc>
                <w:tcPr>
                  <w:tcW w:w="602" w:type="pct"/>
                  <w:vMerge w:val="restart"/>
                  <w:vAlign w:val="center"/>
                </w:tcPr>
                <w:p>
                  <w:pPr>
                    <w:autoSpaceDE w:val="0"/>
                    <w:autoSpaceDN w:val="0"/>
                    <w:adjustRightInd w:val="0"/>
                    <w:jc w:val="center"/>
                    <w:rPr>
                      <w:color w:val="auto"/>
                      <w:sz w:val="18"/>
                      <w:szCs w:val="18"/>
                    </w:rPr>
                  </w:pPr>
                  <w:r>
                    <w:rPr>
                      <w:color w:val="auto"/>
                      <w:sz w:val="18"/>
                      <w:szCs w:val="18"/>
                    </w:rPr>
                    <w:t>北纬34.28119098</w:t>
                  </w:r>
                </w:p>
              </w:tc>
              <w:tc>
                <w:tcPr>
                  <w:tcW w:w="544" w:type="pct"/>
                  <w:vMerge w:val="restart"/>
                  <w:vAlign w:val="center"/>
                </w:tcPr>
                <w:p>
                  <w:pPr>
                    <w:autoSpaceDE w:val="0"/>
                    <w:autoSpaceDN w:val="0"/>
                    <w:adjustRightInd w:val="0"/>
                    <w:jc w:val="center"/>
                    <w:rPr>
                      <w:color w:val="auto"/>
                      <w:sz w:val="18"/>
                      <w:szCs w:val="18"/>
                    </w:rPr>
                  </w:pPr>
                  <w:r>
                    <w:rPr>
                      <w:rFonts w:hint="eastAsia"/>
                      <w:color w:val="auto"/>
                      <w:sz w:val="18"/>
                      <w:szCs w:val="18"/>
                    </w:rPr>
                    <w:t>0.021</w:t>
                  </w:r>
                </w:p>
              </w:tc>
              <w:tc>
                <w:tcPr>
                  <w:tcW w:w="338" w:type="pct"/>
                  <w:vMerge w:val="restart"/>
                  <w:vAlign w:val="center"/>
                </w:tcPr>
                <w:p>
                  <w:pPr>
                    <w:autoSpaceDE w:val="0"/>
                    <w:autoSpaceDN w:val="0"/>
                    <w:adjustRightInd w:val="0"/>
                    <w:jc w:val="center"/>
                    <w:rPr>
                      <w:color w:val="auto"/>
                      <w:sz w:val="18"/>
                      <w:szCs w:val="18"/>
                    </w:rPr>
                  </w:pPr>
                  <w:r>
                    <w:rPr>
                      <w:color w:val="auto"/>
                      <w:sz w:val="18"/>
                      <w:szCs w:val="18"/>
                    </w:rPr>
                    <w:t>进入污水处理厂</w:t>
                  </w:r>
                </w:p>
              </w:tc>
              <w:tc>
                <w:tcPr>
                  <w:tcW w:w="488" w:type="pct"/>
                  <w:vMerge w:val="restart"/>
                  <w:vAlign w:val="center"/>
                </w:tcPr>
                <w:p>
                  <w:pPr>
                    <w:autoSpaceDE w:val="0"/>
                    <w:autoSpaceDN w:val="0"/>
                    <w:adjustRightInd w:val="0"/>
                    <w:jc w:val="center"/>
                    <w:rPr>
                      <w:color w:val="auto"/>
                      <w:sz w:val="18"/>
                      <w:szCs w:val="18"/>
                    </w:rPr>
                  </w:pPr>
                  <w:r>
                    <w:rPr>
                      <w:color w:val="auto"/>
                      <w:sz w:val="18"/>
                      <w:szCs w:val="18"/>
                    </w:rPr>
                    <w:t>连续排放，流量稳定</w:t>
                  </w:r>
                </w:p>
              </w:tc>
              <w:tc>
                <w:tcPr>
                  <w:tcW w:w="391" w:type="pct"/>
                  <w:vMerge w:val="restart"/>
                  <w:vAlign w:val="center"/>
                </w:tcPr>
                <w:p>
                  <w:pPr>
                    <w:autoSpaceDE w:val="0"/>
                    <w:autoSpaceDN w:val="0"/>
                    <w:adjustRightInd w:val="0"/>
                    <w:jc w:val="center"/>
                    <w:rPr>
                      <w:color w:val="auto"/>
                      <w:sz w:val="18"/>
                      <w:szCs w:val="18"/>
                    </w:rPr>
                  </w:pPr>
                  <w:r>
                    <w:rPr>
                      <w:rFonts w:hint="eastAsia"/>
                      <w:color w:val="auto"/>
                      <w:sz w:val="18"/>
                      <w:szCs w:val="18"/>
                    </w:rPr>
                    <w:t>邓家村 污水</w:t>
                  </w:r>
                  <w:r>
                    <w:rPr>
                      <w:color w:val="auto"/>
                      <w:sz w:val="18"/>
                      <w:szCs w:val="18"/>
                    </w:rPr>
                    <w:t>处理厂</w:t>
                  </w:r>
                </w:p>
              </w:tc>
              <w:tc>
                <w:tcPr>
                  <w:tcW w:w="410" w:type="pct"/>
                  <w:vAlign w:val="center"/>
                </w:tcPr>
                <w:p>
                  <w:pPr>
                    <w:autoSpaceDE w:val="0"/>
                    <w:autoSpaceDN w:val="0"/>
                    <w:adjustRightInd w:val="0"/>
                    <w:jc w:val="center"/>
                    <w:rPr>
                      <w:color w:val="auto"/>
                      <w:sz w:val="18"/>
                      <w:szCs w:val="18"/>
                    </w:rPr>
                  </w:pPr>
                  <w:r>
                    <w:rPr>
                      <w:color w:val="auto"/>
                      <w:sz w:val="18"/>
                      <w:szCs w:val="18"/>
                    </w:rPr>
                    <w:t>COD</w:t>
                  </w:r>
                </w:p>
              </w:tc>
              <w:tc>
                <w:tcPr>
                  <w:tcW w:w="1015" w:type="pct"/>
                  <w:vAlign w:val="center"/>
                </w:tcPr>
                <w:p>
                  <w:pPr>
                    <w:autoSpaceDE w:val="0"/>
                    <w:autoSpaceDN w:val="0"/>
                    <w:adjustRightInd w:val="0"/>
                    <w:jc w:val="center"/>
                    <w:rPr>
                      <w:color w:val="auto"/>
                      <w:sz w:val="18"/>
                      <w:szCs w:val="18"/>
                    </w:rPr>
                  </w:pPr>
                  <w:r>
                    <w:rPr>
                      <w:color w:val="auto"/>
                      <w:sz w:val="18"/>
                      <w:szCs w:val="18"/>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0" w:hRule="atLeast"/>
              </w:trPr>
              <w:tc>
                <w:tcPr>
                  <w:tcW w:w="250" w:type="pct"/>
                  <w:vMerge w:val="continue"/>
                  <w:vAlign w:val="center"/>
                </w:tcPr>
                <w:p>
                  <w:pPr>
                    <w:autoSpaceDE w:val="0"/>
                    <w:autoSpaceDN w:val="0"/>
                    <w:adjustRightInd w:val="0"/>
                    <w:jc w:val="center"/>
                    <w:rPr>
                      <w:color w:val="auto"/>
                      <w:sz w:val="18"/>
                      <w:szCs w:val="18"/>
                    </w:rPr>
                  </w:pPr>
                </w:p>
              </w:tc>
              <w:tc>
                <w:tcPr>
                  <w:tcW w:w="303" w:type="pct"/>
                  <w:vMerge w:val="continue"/>
                  <w:vAlign w:val="center"/>
                </w:tcPr>
                <w:p>
                  <w:pPr>
                    <w:autoSpaceDE w:val="0"/>
                    <w:autoSpaceDN w:val="0"/>
                    <w:adjustRightInd w:val="0"/>
                    <w:jc w:val="center"/>
                    <w:rPr>
                      <w:color w:val="auto"/>
                      <w:sz w:val="18"/>
                      <w:szCs w:val="18"/>
                    </w:rPr>
                  </w:pPr>
                </w:p>
              </w:tc>
              <w:tc>
                <w:tcPr>
                  <w:tcW w:w="659" w:type="pct"/>
                  <w:vMerge w:val="continue"/>
                  <w:vAlign w:val="center"/>
                </w:tcPr>
                <w:p>
                  <w:pPr>
                    <w:autoSpaceDE w:val="0"/>
                    <w:autoSpaceDN w:val="0"/>
                    <w:adjustRightInd w:val="0"/>
                    <w:jc w:val="center"/>
                    <w:rPr>
                      <w:color w:val="auto"/>
                      <w:sz w:val="18"/>
                      <w:szCs w:val="18"/>
                    </w:rPr>
                  </w:pPr>
                </w:p>
              </w:tc>
              <w:tc>
                <w:tcPr>
                  <w:tcW w:w="602" w:type="pct"/>
                  <w:vMerge w:val="continue"/>
                  <w:vAlign w:val="center"/>
                </w:tcPr>
                <w:p>
                  <w:pPr>
                    <w:autoSpaceDE w:val="0"/>
                    <w:autoSpaceDN w:val="0"/>
                    <w:adjustRightInd w:val="0"/>
                    <w:jc w:val="center"/>
                    <w:rPr>
                      <w:color w:val="auto"/>
                      <w:sz w:val="18"/>
                      <w:szCs w:val="18"/>
                    </w:rPr>
                  </w:pPr>
                </w:p>
              </w:tc>
              <w:tc>
                <w:tcPr>
                  <w:tcW w:w="544" w:type="pct"/>
                  <w:vMerge w:val="continue"/>
                  <w:vAlign w:val="center"/>
                </w:tcPr>
                <w:p>
                  <w:pPr>
                    <w:autoSpaceDE w:val="0"/>
                    <w:autoSpaceDN w:val="0"/>
                    <w:adjustRightInd w:val="0"/>
                    <w:jc w:val="center"/>
                    <w:rPr>
                      <w:color w:val="auto"/>
                      <w:sz w:val="18"/>
                      <w:szCs w:val="18"/>
                    </w:rPr>
                  </w:pPr>
                </w:p>
              </w:tc>
              <w:tc>
                <w:tcPr>
                  <w:tcW w:w="338" w:type="pct"/>
                  <w:vMerge w:val="continue"/>
                  <w:vAlign w:val="center"/>
                </w:tcPr>
                <w:p>
                  <w:pPr>
                    <w:autoSpaceDE w:val="0"/>
                    <w:autoSpaceDN w:val="0"/>
                    <w:adjustRightInd w:val="0"/>
                    <w:jc w:val="center"/>
                    <w:rPr>
                      <w:color w:val="auto"/>
                      <w:sz w:val="18"/>
                      <w:szCs w:val="18"/>
                    </w:rPr>
                  </w:pPr>
                </w:p>
              </w:tc>
              <w:tc>
                <w:tcPr>
                  <w:tcW w:w="488" w:type="pct"/>
                  <w:vMerge w:val="continue"/>
                  <w:vAlign w:val="center"/>
                </w:tcPr>
                <w:p>
                  <w:pPr>
                    <w:autoSpaceDE w:val="0"/>
                    <w:autoSpaceDN w:val="0"/>
                    <w:adjustRightInd w:val="0"/>
                    <w:jc w:val="center"/>
                    <w:rPr>
                      <w:color w:val="auto"/>
                      <w:sz w:val="18"/>
                      <w:szCs w:val="18"/>
                    </w:rPr>
                  </w:pPr>
                </w:p>
              </w:tc>
              <w:tc>
                <w:tcPr>
                  <w:tcW w:w="391" w:type="pct"/>
                  <w:vMerge w:val="continue"/>
                  <w:vAlign w:val="center"/>
                </w:tcPr>
                <w:p>
                  <w:pPr>
                    <w:autoSpaceDE w:val="0"/>
                    <w:autoSpaceDN w:val="0"/>
                    <w:adjustRightInd w:val="0"/>
                    <w:jc w:val="center"/>
                    <w:rPr>
                      <w:color w:val="auto"/>
                      <w:sz w:val="18"/>
                      <w:szCs w:val="18"/>
                    </w:rPr>
                  </w:pPr>
                </w:p>
              </w:tc>
              <w:tc>
                <w:tcPr>
                  <w:tcW w:w="410" w:type="pct"/>
                  <w:vAlign w:val="center"/>
                </w:tcPr>
                <w:p>
                  <w:pPr>
                    <w:autoSpaceDE w:val="0"/>
                    <w:autoSpaceDN w:val="0"/>
                    <w:adjustRightInd w:val="0"/>
                    <w:jc w:val="center"/>
                    <w:rPr>
                      <w:color w:val="auto"/>
                      <w:sz w:val="18"/>
                      <w:szCs w:val="18"/>
                    </w:rPr>
                  </w:pPr>
                  <w:r>
                    <w:rPr>
                      <w:color w:val="auto"/>
                      <w:sz w:val="18"/>
                      <w:szCs w:val="18"/>
                    </w:rPr>
                    <w:t>SS</w:t>
                  </w:r>
                </w:p>
              </w:tc>
              <w:tc>
                <w:tcPr>
                  <w:tcW w:w="1015" w:type="pct"/>
                  <w:vAlign w:val="center"/>
                </w:tcPr>
                <w:p>
                  <w:pPr>
                    <w:autoSpaceDE w:val="0"/>
                    <w:autoSpaceDN w:val="0"/>
                    <w:adjustRightInd w:val="0"/>
                    <w:jc w:val="center"/>
                    <w:rPr>
                      <w:color w:val="auto"/>
                      <w:sz w:val="18"/>
                      <w:szCs w:val="18"/>
                    </w:rPr>
                  </w:pPr>
                  <w:r>
                    <w:rPr>
                      <w:color w:val="auto"/>
                      <w:sz w:val="18"/>
                      <w:szCs w:val="18"/>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8" w:hRule="atLeast"/>
              </w:trPr>
              <w:tc>
                <w:tcPr>
                  <w:tcW w:w="250" w:type="pct"/>
                  <w:vMerge w:val="continue"/>
                  <w:vAlign w:val="center"/>
                </w:tcPr>
                <w:p>
                  <w:pPr>
                    <w:autoSpaceDE w:val="0"/>
                    <w:autoSpaceDN w:val="0"/>
                    <w:adjustRightInd w:val="0"/>
                    <w:jc w:val="center"/>
                    <w:rPr>
                      <w:color w:val="auto"/>
                      <w:sz w:val="18"/>
                      <w:szCs w:val="18"/>
                    </w:rPr>
                  </w:pPr>
                </w:p>
              </w:tc>
              <w:tc>
                <w:tcPr>
                  <w:tcW w:w="303" w:type="pct"/>
                  <w:vMerge w:val="continue"/>
                  <w:vAlign w:val="center"/>
                </w:tcPr>
                <w:p>
                  <w:pPr>
                    <w:autoSpaceDE w:val="0"/>
                    <w:autoSpaceDN w:val="0"/>
                    <w:adjustRightInd w:val="0"/>
                    <w:jc w:val="center"/>
                    <w:rPr>
                      <w:color w:val="auto"/>
                      <w:sz w:val="18"/>
                      <w:szCs w:val="18"/>
                    </w:rPr>
                  </w:pPr>
                </w:p>
              </w:tc>
              <w:tc>
                <w:tcPr>
                  <w:tcW w:w="659" w:type="pct"/>
                  <w:vMerge w:val="continue"/>
                  <w:vAlign w:val="center"/>
                </w:tcPr>
                <w:p>
                  <w:pPr>
                    <w:autoSpaceDE w:val="0"/>
                    <w:autoSpaceDN w:val="0"/>
                    <w:adjustRightInd w:val="0"/>
                    <w:jc w:val="center"/>
                    <w:rPr>
                      <w:color w:val="auto"/>
                      <w:sz w:val="18"/>
                      <w:szCs w:val="18"/>
                    </w:rPr>
                  </w:pPr>
                </w:p>
              </w:tc>
              <w:tc>
                <w:tcPr>
                  <w:tcW w:w="602" w:type="pct"/>
                  <w:vMerge w:val="continue"/>
                  <w:vAlign w:val="center"/>
                </w:tcPr>
                <w:p>
                  <w:pPr>
                    <w:autoSpaceDE w:val="0"/>
                    <w:autoSpaceDN w:val="0"/>
                    <w:adjustRightInd w:val="0"/>
                    <w:jc w:val="center"/>
                    <w:rPr>
                      <w:color w:val="auto"/>
                      <w:sz w:val="18"/>
                      <w:szCs w:val="18"/>
                    </w:rPr>
                  </w:pPr>
                </w:p>
              </w:tc>
              <w:tc>
                <w:tcPr>
                  <w:tcW w:w="544" w:type="pct"/>
                  <w:vMerge w:val="continue"/>
                  <w:vAlign w:val="center"/>
                </w:tcPr>
                <w:p>
                  <w:pPr>
                    <w:autoSpaceDE w:val="0"/>
                    <w:autoSpaceDN w:val="0"/>
                    <w:adjustRightInd w:val="0"/>
                    <w:jc w:val="center"/>
                    <w:rPr>
                      <w:color w:val="auto"/>
                      <w:sz w:val="18"/>
                      <w:szCs w:val="18"/>
                    </w:rPr>
                  </w:pPr>
                </w:p>
              </w:tc>
              <w:tc>
                <w:tcPr>
                  <w:tcW w:w="338" w:type="pct"/>
                  <w:vMerge w:val="continue"/>
                  <w:vAlign w:val="center"/>
                </w:tcPr>
                <w:p>
                  <w:pPr>
                    <w:autoSpaceDE w:val="0"/>
                    <w:autoSpaceDN w:val="0"/>
                    <w:adjustRightInd w:val="0"/>
                    <w:jc w:val="center"/>
                    <w:rPr>
                      <w:color w:val="auto"/>
                      <w:sz w:val="18"/>
                      <w:szCs w:val="18"/>
                    </w:rPr>
                  </w:pPr>
                </w:p>
              </w:tc>
              <w:tc>
                <w:tcPr>
                  <w:tcW w:w="488" w:type="pct"/>
                  <w:vMerge w:val="continue"/>
                  <w:vAlign w:val="center"/>
                </w:tcPr>
                <w:p>
                  <w:pPr>
                    <w:autoSpaceDE w:val="0"/>
                    <w:autoSpaceDN w:val="0"/>
                    <w:adjustRightInd w:val="0"/>
                    <w:jc w:val="center"/>
                    <w:rPr>
                      <w:color w:val="auto"/>
                      <w:sz w:val="18"/>
                      <w:szCs w:val="18"/>
                    </w:rPr>
                  </w:pPr>
                </w:p>
              </w:tc>
              <w:tc>
                <w:tcPr>
                  <w:tcW w:w="391" w:type="pct"/>
                  <w:vMerge w:val="continue"/>
                  <w:vAlign w:val="center"/>
                </w:tcPr>
                <w:p>
                  <w:pPr>
                    <w:autoSpaceDE w:val="0"/>
                    <w:autoSpaceDN w:val="0"/>
                    <w:adjustRightInd w:val="0"/>
                    <w:jc w:val="center"/>
                    <w:rPr>
                      <w:color w:val="auto"/>
                      <w:sz w:val="18"/>
                      <w:szCs w:val="18"/>
                    </w:rPr>
                  </w:pPr>
                </w:p>
              </w:tc>
              <w:tc>
                <w:tcPr>
                  <w:tcW w:w="410" w:type="pct"/>
                  <w:vAlign w:val="center"/>
                </w:tcPr>
                <w:p>
                  <w:pPr>
                    <w:autoSpaceDE w:val="0"/>
                    <w:autoSpaceDN w:val="0"/>
                    <w:adjustRightInd w:val="0"/>
                    <w:jc w:val="center"/>
                    <w:rPr>
                      <w:color w:val="auto"/>
                      <w:sz w:val="18"/>
                      <w:szCs w:val="18"/>
                    </w:rPr>
                  </w:pPr>
                  <w:r>
                    <w:rPr>
                      <w:color w:val="auto"/>
                      <w:sz w:val="18"/>
                      <w:szCs w:val="18"/>
                    </w:rPr>
                    <w:t>氨氮</w:t>
                  </w:r>
                </w:p>
              </w:tc>
              <w:tc>
                <w:tcPr>
                  <w:tcW w:w="1015" w:type="pct"/>
                  <w:vAlign w:val="center"/>
                </w:tcPr>
                <w:p>
                  <w:pPr>
                    <w:autoSpaceDE w:val="0"/>
                    <w:autoSpaceDN w:val="0"/>
                    <w:adjustRightInd w:val="0"/>
                    <w:jc w:val="center"/>
                    <w:rPr>
                      <w:color w:val="auto"/>
                      <w:sz w:val="18"/>
                      <w:szCs w:val="18"/>
                    </w:rPr>
                  </w:pPr>
                  <w:r>
                    <w:rPr>
                      <w:color w:val="auto"/>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2" w:hRule="atLeast"/>
              </w:trPr>
              <w:tc>
                <w:tcPr>
                  <w:tcW w:w="250" w:type="pct"/>
                  <w:vMerge w:val="continue"/>
                  <w:vAlign w:val="center"/>
                </w:tcPr>
                <w:p>
                  <w:pPr>
                    <w:autoSpaceDE w:val="0"/>
                    <w:autoSpaceDN w:val="0"/>
                    <w:adjustRightInd w:val="0"/>
                    <w:jc w:val="center"/>
                    <w:rPr>
                      <w:color w:val="auto"/>
                      <w:sz w:val="18"/>
                      <w:szCs w:val="18"/>
                    </w:rPr>
                  </w:pPr>
                </w:p>
              </w:tc>
              <w:tc>
                <w:tcPr>
                  <w:tcW w:w="303" w:type="pct"/>
                  <w:vMerge w:val="continue"/>
                  <w:vAlign w:val="center"/>
                </w:tcPr>
                <w:p>
                  <w:pPr>
                    <w:autoSpaceDE w:val="0"/>
                    <w:autoSpaceDN w:val="0"/>
                    <w:adjustRightInd w:val="0"/>
                    <w:jc w:val="center"/>
                    <w:rPr>
                      <w:color w:val="auto"/>
                      <w:sz w:val="18"/>
                      <w:szCs w:val="18"/>
                    </w:rPr>
                  </w:pPr>
                </w:p>
              </w:tc>
              <w:tc>
                <w:tcPr>
                  <w:tcW w:w="659" w:type="pct"/>
                  <w:vMerge w:val="continue"/>
                  <w:vAlign w:val="center"/>
                </w:tcPr>
                <w:p>
                  <w:pPr>
                    <w:autoSpaceDE w:val="0"/>
                    <w:autoSpaceDN w:val="0"/>
                    <w:adjustRightInd w:val="0"/>
                    <w:jc w:val="center"/>
                    <w:rPr>
                      <w:color w:val="auto"/>
                      <w:sz w:val="18"/>
                      <w:szCs w:val="18"/>
                    </w:rPr>
                  </w:pPr>
                </w:p>
              </w:tc>
              <w:tc>
                <w:tcPr>
                  <w:tcW w:w="602" w:type="pct"/>
                  <w:vMerge w:val="continue"/>
                  <w:vAlign w:val="center"/>
                </w:tcPr>
                <w:p>
                  <w:pPr>
                    <w:autoSpaceDE w:val="0"/>
                    <w:autoSpaceDN w:val="0"/>
                    <w:adjustRightInd w:val="0"/>
                    <w:jc w:val="center"/>
                    <w:rPr>
                      <w:color w:val="auto"/>
                      <w:sz w:val="18"/>
                      <w:szCs w:val="18"/>
                    </w:rPr>
                  </w:pPr>
                </w:p>
              </w:tc>
              <w:tc>
                <w:tcPr>
                  <w:tcW w:w="544" w:type="pct"/>
                  <w:vMerge w:val="continue"/>
                  <w:vAlign w:val="center"/>
                </w:tcPr>
                <w:p>
                  <w:pPr>
                    <w:autoSpaceDE w:val="0"/>
                    <w:autoSpaceDN w:val="0"/>
                    <w:adjustRightInd w:val="0"/>
                    <w:jc w:val="center"/>
                    <w:rPr>
                      <w:color w:val="auto"/>
                      <w:sz w:val="18"/>
                      <w:szCs w:val="18"/>
                    </w:rPr>
                  </w:pPr>
                </w:p>
              </w:tc>
              <w:tc>
                <w:tcPr>
                  <w:tcW w:w="338" w:type="pct"/>
                  <w:vMerge w:val="continue"/>
                  <w:vAlign w:val="center"/>
                </w:tcPr>
                <w:p>
                  <w:pPr>
                    <w:autoSpaceDE w:val="0"/>
                    <w:autoSpaceDN w:val="0"/>
                    <w:adjustRightInd w:val="0"/>
                    <w:jc w:val="center"/>
                    <w:rPr>
                      <w:color w:val="auto"/>
                      <w:sz w:val="18"/>
                      <w:szCs w:val="18"/>
                    </w:rPr>
                  </w:pPr>
                </w:p>
              </w:tc>
              <w:tc>
                <w:tcPr>
                  <w:tcW w:w="488" w:type="pct"/>
                  <w:vMerge w:val="continue"/>
                  <w:vAlign w:val="center"/>
                </w:tcPr>
                <w:p>
                  <w:pPr>
                    <w:autoSpaceDE w:val="0"/>
                    <w:autoSpaceDN w:val="0"/>
                    <w:adjustRightInd w:val="0"/>
                    <w:jc w:val="center"/>
                    <w:rPr>
                      <w:color w:val="auto"/>
                      <w:sz w:val="18"/>
                      <w:szCs w:val="18"/>
                    </w:rPr>
                  </w:pPr>
                </w:p>
              </w:tc>
              <w:tc>
                <w:tcPr>
                  <w:tcW w:w="391" w:type="pct"/>
                  <w:vMerge w:val="continue"/>
                  <w:vAlign w:val="center"/>
                </w:tcPr>
                <w:p>
                  <w:pPr>
                    <w:autoSpaceDE w:val="0"/>
                    <w:autoSpaceDN w:val="0"/>
                    <w:adjustRightInd w:val="0"/>
                    <w:jc w:val="center"/>
                    <w:rPr>
                      <w:color w:val="auto"/>
                      <w:sz w:val="18"/>
                      <w:szCs w:val="18"/>
                    </w:rPr>
                  </w:pPr>
                </w:p>
              </w:tc>
              <w:tc>
                <w:tcPr>
                  <w:tcW w:w="410" w:type="pct"/>
                  <w:vAlign w:val="center"/>
                </w:tcPr>
                <w:p>
                  <w:pPr>
                    <w:autoSpaceDE w:val="0"/>
                    <w:autoSpaceDN w:val="0"/>
                    <w:adjustRightInd w:val="0"/>
                    <w:jc w:val="center"/>
                    <w:rPr>
                      <w:color w:val="auto"/>
                      <w:sz w:val="18"/>
                      <w:szCs w:val="18"/>
                    </w:rPr>
                  </w:pPr>
                  <w:r>
                    <w:rPr>
                      <w:color w:val="auto"/>
                      <w:sz w:val="18"/>
                      <w:szCs w:val="18"/>
                    </w:rPr>
                    <w:t>总氮</w:t>
                  </w:r>
                </w:p>
              </w:tc>
              <w:tc>
                <w:tcPr>
                  <w:tcW w:w="1015" w:type="pct"/>
                  <w:vAlign w:val="center"/>
                </w:tcPr>
                <w:p>
                  <w:pPr>
                    <w:autoSpaceDE w:val="0"/>
                    <w:autoSpaceDN w:val="0"/>
                    <w:adjustRightInd w:val="0"/>
                    <w:jc w:val="center"/>
                    <w:rPr>
                      <w:color w:val="auto"/>
                      <w:sz w:val="18"/>
                      <w:szCs w:val="18"/>
                    </w:rPr>
                  </w:pPr>
                  <w:r>
                    <w:rPr>
                      <w:color w:val="auto"/>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250" w:type="pct"/>
                  <w:vMerge w:val="continue"/>
                  <w:vAlign w:val="center"/>
                </w:tcPr>
                <w:p>
                  <w:pPr>
                    <w:autoSpaceDE w:val="0"/>
                    <w:autoSpaceDN w:val="0"/>
                    <w:adjustRightInd w:val="0"/>
                    <w:jc w:val="center"/>
                    <w:rPr>
                      <w:color w:val="auto"/>
                      <w:sz w:val="18"/>
                      <w:szCs w:val="18"/>
                    </w:rPr>
                  </w:pPr>
                </w:p>
              </w:tc>
              <w:tc>
                <w:tcPr>
                  <w:tcW w:w="303" w:type="pct"/>
                  <w:vMerge w:val="continue"/>
                  <w:vAlign w:val="center"/>
                </w:tcPr>
                <w:p>
                  <w:pPr>
                    <w:autoSpaceDE w:val="0"/>
                    <w:autoSpaceDN w:val="0"/>
                    <w:adjustRightInd w:val="0"/>
                    <w:jc w:val="center"/>
                    <w:rPr>
                      <w:color w:val="auto"/>
                      <w:sz w:val="18"/>
                      <w:szCs w:val="18"/>
                    </w:rPr>
                  </w:pPr>
                </w:p>
              </w:tc>
              <w:tc>
                <w:tcPr>
                  <w:tcW w:w="659" w:type="pct"/>
                  <w:vMerge w:val="continue"/>
                  <w:vAlign w:val="center"/>
                </w:tcPr>
                <w:p>
                  <w:pPr>
                    <w:autoSpaceDE w:val="0"/>
                    <w:autoSpaceDN w:val="0"/>
                    <w:adjustRightInd w:val="0"/>
                    <w:jc w:val="center"/>
                    <w:rPr>
                      <w:color w:val="auto"/>
                      <w:sz w:val="18"/>
                      <w:szCs w:val="18"/>
                    </w:rPr>
                  </w:pPr>
                </w:p>
              </w:tc>
              <w:tc>
                <w:tcPr>
                  <w:tcW w:w="602" w:type="pct"/>
                  <w:vMerge w:val="continue"/>
                  <w:vAlign w:val="center"/>
                </w:tcPr>
                <w:p>
                  <w:pPr>
                    <w:autoSpaceDE w:val="0"/>
                    <w:autoSpaceDN w:val="0"/>
                    <w:adjustRightInd w:val="0"/>
                    <w:jc w:val="center"/>
                    <w:rPr>
                      <w:color w:val="auto"/>
                      <w:sz w:val="18"/>
                      <w:szCs w:val="18"/>
                    </w:rPr>
                  </w:pPr>
                </w:p>
              </w:tc>
              <w:tc>
                <w:tcPr>
                  <w:tcW w:w="544" w:type="pct"/>
                  <w:vMerge w:val="continue"/>
                  <w:vAlign w:val="center"/>
                </w:tcPr>
                <w:p>
                  <w:pPr>
                    <w:autoSpaceDE w:val="0"/>
                    <w:autoSpaceDN w:val="0"/>
                    <w:adjustRightInd w:val="0"/>
                    <w:jc w:val="center"/>
                    <w:rPr>
                      <w:color w:val="auto"/>
                      <w:sz w:val="18"/>
                      <w:szCs w:val="18"/>
                    </w:rPr>
                  </w:pPr>
                </w:p>
              </w:tc>
              <w:tc>
                <w:tcPr>
                  <w:tcW w:w="338" w:type="pct"/>
                  <w:vMerge w:val="continue"/>
                  <w:vAlign w:val="center"/>
                </w:tcPr>
                <w:p>
                  <w:pPr>
                    <w:autoSpaceDE w:val="0"/>
                    <w:autoSpaceDN w:val="0"/>
                    <w:adjustRightInd w:val="0"/>
                    <w:jc w:val="center"/>
                    <w:rPr>
                      <w:color w:val="auto"/>
                      <w:sz w:val="18"/>
                      <w:szCs w:val="18"/>
                    </w:rPr>
                  </w:pPr>
                </w:p>
              </w:tc>
              <w:tc>
                <w:tcPr>
                  <w:tcW w:w="488" w:type="pct"/>
                  <w:vMerge w:val="continue"/>
                  <w:vAlign w:val="center"/>
                </w:tcPr>
                <w:p>
                  <w:pPr>
                    <w:autoSpaceDE w:val="0"/>
                    <w:autoSpaceDN w:val="0"/>
                    <w:adjustRightInd w:val="0"/>
                    <w:jc w:val="center"/>
                    <w:rPr>
                      <w:color w:val="auto"/>
                      <w:sz w:val="18"/>
                      <w:szCs w:val="18"/>
                    </w:rPr>
                  </w:pPr>
                </w:p>
              </w:tc>
              <w:tc>
                <w:tcPr>
                  <w:tcW w:w="391" w:type="pct"/>
                  <w:vMerge w:val="continue"/>
                  <w:vAlign w:val="center"/>
                </w:tcPr>
                <w:p>
                  <w:pPr>
                    <w:autoSpaceDE w:val="0"/>
                    <w:autoSpaceDN w:val="0"/>
                    <w:adjustRightInd w:val="0"/>
                    <w:jc w:val="center"/>
                    <w:rPr>
                      <w:color w:val="auto"/>
                      <w:sz w:val="18"/>
                      <w:szCs w:val="18"/>
                    </w:rPr>
                  </w:pPr>
                </w:p>
              </w:tc>
              <w:tc>
                <w:tcPr>
                  <w:tcW w:w="410" w:type="pct"/>
                  <w:vAlign w:val="center"/>
                </w:tcPr>
                <w:p>
                  <w:pPr>
                    <w:autoSpaceDE w:val="0"/>
                    <w:autoSpaceDN w:val="0"/>
                    <w:adjustRightInd w:val="0"/>
                    <w:jc w:val="center"/>
                    <w:rPr>
                      <w:color w:val="auto"/>
                      <w:sz w:val="18"/>
                      <w:szCs w:val="18"/>
                    </w:rPr>
                  </w:pPr>
                  <w:r>
                    <w:rPr>
                      <w:color w:val="auto"/>
                      <w:sz w:val="18"/>
                      <w:szCs w:val="18"/>
                    </w:rPr>
                    <w:t>总磷</w:t>
                  </w:r>
                </w:p>
              </w:tc>
              <w:tc>
                <w:tcPr>
                  <w:tcW w:w="1015" w:type="pct"/>
                  <w:vAlign w:val="center"/>
                </w:tcPr>
                <w:p>
                  <w:pPr>
                    <w:autoSpaceDE w:val="0"/>
                    <w:autoSpaceDN w:val="0"/>
                    <w:adjustRightInd w:val="0"/>
                    <w:jc w:val="center"/>
                    <w:rPr>
                      <w:color w:val="auto"/>
                      <w:sz w:val="18"/>
                      <w:szCs w:val="18"/>
                    </w:rPr>
                  </w:pPr>
                  <w:r>
                    <w:rPr>
                      <w:color w:val="auto"/>
                      <w:sz w:val="18"/>
                      <w:szCs w:val="18"/>
                    </w:rPr>
                    <w:t>0.5</w:t>
                  </w:r>
                </w:p>
              </w:tc>
            </w:tr>
          </w:tbl>
          <w:p>
            <w:pPr>
              <w:pStyle w:val="11"/>
              <w:spacing w:line="360" w:lineRule="auto"/>
              <w:ind w:firstLine="420" w:firstLineChars="200"/>
              <w:rPr>
                <w:rFonts w:ascii="Times New Roman" w:hAnsi="Times New Roman"/>
                <w:color w:val="auto"/>
              </w:rPr>
            </w:pPr>
            <w:r>
              <w:rPr>
                <w:rFonts w:hint="eastAsia" w:ascii="Times New Roman" w:hAnsi="Times New Roman"/>
                <w:color w:val="auto"/>
              </w:rPr>
              <w:t>（2）医疗</w:t>
            </w:r>
            <w:r>
              <w:rPr>
                <w:rFonts w:ascii="Times New Roman" w:hAnsi="Times New Roman"/>
                <w:color w:val="auto"/>
              </w:rPr>
              <w:t>废水</w:t>
            </w:r>
            <w:r>
              <w:rPr>
                <w:rFonts w:hint="eastAsia" w:ascii="Times New Roman" w:hAnsi="Times New Roman"/>
                <w:color w:val="auto"/>
              </w:rPr>
              <w:t>措施可行性分析</w:t>
            </w:r>
          </w:p>
          <w:p>
            <w:pPr>
              <w:pStyle w:val="11"/>
              <w:spacing w:line="360" w:lineRule="auto"/>
              <w:ind w:firstLine="420" w:firstLineChars="200"/>
              <w:rPr>
                <w:rFonts w:ascii="Times New Roman" w:hAnsi="Times New Roman"/>
                <w:color w:val="auto"/>
              </w:rPr>
            </w:pPr>
            <w:r>
              <w:rPr>
                <w:rFonts w:ascii="Times New Roman" w:hAnsi="Times New Roman"/>
                <w:color w:val="auto"/>
              </w:rPr>
              <w:t>医院污水处理设备采用HB-50废水缓释消毒</w:t>
            </w:r>
            <w:r>
              <w:rPr>
                <w:rFonts w:hint="eastAsia" w:ascii="Times New Roman" w:hAnsi="Times New Roman"/>
                <w:color w:val="auto"/>
              </w:rPr>
              <w:t>器</w:t>
            </w:r>
            <w:r>
              <w:rPr>
                <w:rFonts w:ascii="Times New Roman" w:hAnsi="Times New Roman"/>
                <w:color w:val="auto"/>
              </w:rPr>
              <w:t>对项目产生的医疗废水进行消毒，废水缓释器箱体规格为30cm*30cm*30cm，设计日处理能力为0.5m</w:t>
            </w:r>
            <w:r>
              <w:rPr>
                <w:rFonts w:ascii="Times New Roman" w:hAnsi="Times New Roman"/>
                <w:color w:val="auto"/>
                <w:vertAlign w:val="superscript"/>
              </w:rPr>
              <w:t>3</w:t>
            </w:r>
            <w:r>
              <w:rPr>
                <w:rFonts w:ascii="Times New Roman" w:hAnsi="Times New Roman"/>
                <w:color w:val="auto"/>
              </w:rPr>
              <w:t>/d，项目医疗废水实际产生量为</w:t>
            </w:r>
            <w:r>
              <w:rPr>
                <w:rFonts w:ascii="Times New Roman" w:hAnsi="Times New Roman"/>
                <w:color w:val="auto"/>
                <w:szCs w:val="22"/>
              </w:rPr>
              <w:t>0.0288m</w:t>
            </w:r>
            <w:r>
              <w:rPr>
                <w:rFonts w:ascii="Times New Roman" w:hAnsi="Times New Roman"/>
                <w:color w:val="auto"/>
                <w:szCs w:val="22"/>
                <w:vertAlign w:val="superscript"/>
              </w:rPr>
              <w:t>3</w:t>
            </w:r>
            <w:r>
              <w:rPr>
                <w:rFonts w:ascii="Times New Roman" w:hAnsi="Times New Roman"/>
                <w:color w:val="auto"/>
                <w:szCs w:val="22"/>
              </w:rPr>
              <w:t>/d，小于废水缓释消毒器设计处理能力，能够满足医疗废水达标排放需求。</w:t>
            </w:r>
            <w:r>
              <w:rPr>
                <w:rFonts w:ascii="Times New Roman" w:hAnsi="Times New Roman"/>
                <w:color w:val="auto"/>
              </w:rPr>
              <w:t>缓释消毒器又称管式消毒器，是采用化学反应，自动稀释延时压力加氯工艺，以含氯</w:t>
            </w:r>
            <w:r>
              <w:rPr>
                <w:rFonts w:ascii="Times New Roman" w:hAnsi="宋体"/>
                <w:color w:val="auto"/>
              </w:rPr>
              <w:t>消毒片（固体药剂，主要成分为三氯异氰尿酸和二氯异氰尿酸钠）</w:t>
            </w:r>
            <w:r>
              <w:rPr>
                <w:rFonts w:ascii="Times New Roman" w:hAnsi="Times New Roman"/>
                <w:color w:val="auto"/>
              </w:rPr>
              <w:t>为主要原料，水与药剂合理混合后所产生的消毒杀菌液，对医疗废水达到消毒灭菌的作用，保证出水满足《医疗机构水污染物排放标准》（GB18466-2005）的预处理标准要求。项目采用的废水缓释消毒器操作原理见图3。</w:t>
            </w:r>
          </w:p>
          <w:p>
            <w:pPr>
              <w:pStyle w:val="11"/>
              <w:spacing w:line="360" w:lineRule="auto"/>
              <w:ind w:firstLine="21" w:firstLineChars="10"/>
              <w:jc w:val="center"/>
              <w:rPr>
                <w:rFonts w:ascii="Times New Roman" w:hAnsi="Times New Roman"/>
                <w:color w:val="auto"/>
              </w:rPr>
            </w:pPr>
            <w:r>
              <w:rPr>
                <w:rFonts w:hint="eastAsia" w:ascii="Times New Roman" w:hAnsi="Times New Roman"/>
                <w:color w:val="auto"/>
              </w:rPr>
              <w:drawing>
                <wp:inline distT="0" distB="0" distL="0" distR="0">
                  <wp:extent cx="3048000" cy="2143125"/>
                  <wp:effectExtent l="19050" t="19050" r="19050" b="2857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noChangeArrowheads="1"/>
                          </pic:cNvPicPr>
                        </pic:nvPicPr>
                        <pic:blipFill>
                          <a:blip r:embed="rId9" cstate="print"/>
                          <a:srcRect/>
                          <a:stretch>
                            <a:fillRect/>
                          </a:stretch>
                        </pic:blipFill>
                        <pic:spPr>
                          <a:xfrm>
                            <a:off x="0" y="0"/>
                            <a:ext cx="3051703" cy="2145729"/>
                          </a:xfrm>
                          <a:prstGeom prst="rect">
                            <a:avLst/>
                          </a:prstGeom>
                          <a:noFill/>
                          <a:ln w="9525">
                            <a:solidFill>
                              <a:schemeClr val="tx1"/>
                            </a:solidFill>
                            <a:miter lim="800000"/>
                            <a:headEnd/>
                            <a:tailEnd/>
                          </a:ln>
                        </pic:spPr>
                      </pic:pic>
                    </a:graphicData>
                  </a:graphic>
                </wp:inline>
              </w:drawing>
            </w:r>
          </w:p>
          <w:p>
            <w:pPr>
              <w:pStyle w:val="11"/>
              <w:spacing w:line="360" w:lineRule="auto"/>
              <w:ind w:firstLine="21" w:firstLineChars="10"/>
              <w:jc w:val="center"/>
              <w:rPr>
                <w:rFonts w:ascii="Times New Roman" w:hAnsi="Times New Roman"/>
                <w:b/>
                <w:color w:val="auto"/>
              </w:rPr>
            </w:pPr>
            <w:r>
              <w:rPr>
                <w:rFonts w:ascii="Times New Roman" w:hAnsi="Times New Roman"/>
                <w:b/>
                <w:color w:val="auto"/>
              </w:rPr>
              <w:t>图3    废水缓释消毒器操作原理</w:t>
            </w:r>
          </w:p>
          <w:p>
            <w:pPr>
              <w:spacing w:line="360" w:lineRule="auto"/>
              <w:ind w:firstLine="420" w:firstLineChars="200"/>
              <w:jc w:val="left"/>
              <w:rPr>
                <w:color w:val="auto"/>
                <w:szCs w:val="21"/>
              </w:rPr>
            </w:pPr>
            <w:r>
              <w:rPr>
                <w:rFonts w:hint="eastAsia"/>
                <w:color w:val="auto"/>
                <w:szCs w:val="21"/>
              </w:rPr>
              <w:t>根据《排污许可证申请核发与技术规范 医疗机构》（HJ1105-2020）附录A，医疗废水排入城镇污水处理厂可行技术为：一级处理/一级强化处理+消毒工艺。</w:t>
            </w:r>
          </w:p>
          <w:p>
            <w:pPr>
              <w:spacing w:line="360" w:lineRule="auto"/>
              <w:ind w:firstLine="420" w:firstLineChars="200"/>
              <w:jc w:val="left"/>
              <w:rPr>
                <w:color w:val="auto"/>
                <w:szCs w:val="21"/>
              </w:rPr>
            </w:pPr>
            <w:r>
              <w:rPr>
                <w:rFonts w:hint="eastAsia"/>
                <w:color w:val="auto"/>
                <w:szCs w:val="21"/>
              </w:rPr>
              <w:t>本项目</w:t>
            </w:r>
            <w:r>
              <w:rPr>
                <w:color w:val="auto"/>
                <w:szCs w:val="21"/>
              </w:rPr>
              <w:t>产生的医疗废水经消毒处理后，与生活污水、宠物洗浴废水一起进</w:t>
            </w:r>
            <w:r>
              <w:rPr>
                <w:rFonts w:hint="eastAsia"/>
                <w:color w:val="auto"/>
                <w:szCs w:val="21"/>
              </w:rPr>
              <w:t>丰</w:t>
            </w:r>
            <w:r>
              <w:rPr>
                <w:color w:val="auto"/>
                <w:szCs w:val="21"/>
              </w:rPr>
              <w:t>和</w:t>
            </w:r>
            <w:r>
              <w:rPr>
                <w:rFonts w:hint="eastAsia"/>
                <w:color w:val="auto"/>
                <w:szCs w:val="21"/>
              </w:rPr>
              <w:t>坊</w:t>
            </w:r>
            <w:r>
              <w:rPr>
                <w:color w:val="auto"/>
                <w:szCs w:val="21"/>
              </w:rPr>
              <w:t>一期</w:t>
            </w:r>
            <w:r>
              <w:rPr>
                <w:rFonts w:hint="eastAsia"/>
                <w:color w:val="auto"/>
                <w:szCs w:val="21"/>
              </w:rPr>
              <w:t>15幢</w:t>
            </w:r>
            <w:r>
              <w:rPr>
                <w:color w:val="auto"/>
                <w:szCs w:val="21"/>
              </w:rPr>
              <w:t>公用化粪池</w:t>
            </w:r>
            <w:r>
              <w:rPr>
                <w:rFonts w:hint="eastAsia"/>
                <w:color w:val="auto"/>
                <w:szCs w:val="21"/>
              </w:rPr>
              <w:t>，处理</w:t>
            </w:r>
            <w:r>
              <w:rPr>
                <w:color w:val="auto"/>
                <w:szCs w:val="21"/>
              </w:rPr>
              <w:t>工艺为：消毒工艺</w:t>
            </w:r>
            <w:r>
              <w:rPr>
                <w:rFonts w:hint="eastAsia"/>
                <w:color w:val="auto"/>
                <w:szCs w:val="21"/>
              </w:rPr>
              <w:t>（加</w:t>
            </w:r>
            <w:r>
              <w:rPr>
                <w:color w:val="auto"/>
                <w:szCs w:val="21"/>
              </w:rPr>
              <w:t>氯消毒</w:t>
            </w:r>
            <w:r>
              <w:rPr>
                <w:rFonts w:hint="eastAsia"/>
                <w:color w:val="auto"/>
                <w:szCs w:val="21"/>
              </w:rPr>
              <w:t>）</w:t>
            </w:r>
            <w:r>
              <w:rPr>
                <w:color w:val="auto"/>
                <w:szCs w:val="21"/>
              </w:rPr>
              <w:t>+一级处理（</w:t>
            </w:r>
            <w:r>
              <w:rPr>
                <w:rFonts w:hint="eastAsia"/>
                <w:color w:val="auto"/>
                <w:szCs w:val="21"/>
              </w:rPr>
              <w:t>化粪池</w:t>
            </w:r>
            <w:r>
              <w:rPr>
                <w:color w:val="auto"/>
                <w:szCs w:val="21"/>
              </w:rPr>
              <w:t>）</w:t>
            </w:r>
            <w:r>
              <w:rPr>
                <w:rFonts w:hint="eastAsia"/>
                <w:color w:val="auto"/>
                <w:szCs w:val="21"/>
              </w:rPr>
              <w:t>，废水</w:t>
            </w:r>
            <w:r>
              <w:rPr>
                <w:color w:val="auto"/>
                <w:szCs w:val="21"/>
              </w:rPr>
              <w:t>经处理后排入</w:t>
            </w:r>
            <w:r>
              <w:rPr>
                <w:rFonts w:hint="eastAsia"/>
                <w:color w:val="auto"/>
                <w:szCs w:val="21"/>
              </w:rPr>
              <w:t>丰禾</w:t>
            </w:r>
            <w:r>
              <w:rPr>
                <w:color w:val="auto"/>
                <w:szCs w:val="21"/>
              </w:rPr>
              <w:t>路市政污水管网，最终进入</w:t>
            </w:r>
            <w:r>
              <w:rPr>
                <w:rFonts w:hint="eastAsia"/>
                <w:color w:val="auto"/>
                <w:szCs w:val="21"/>
              </w:rPr>
              <w:t>邓家村</w:t>
            </w:r>
            <w:r>
              <w:rPr>
                <w:color w:val="auto"/>
                <w:szCs w:val="21"/>
              </w:rPr>
              <w:t>污水处理厂处理。项目医疗废水</w:t>
            </w:r>
            <w:r>
              <w:rPr>
                <w:rFonts w:hint="eastAsia"/>
                <w:color w:val="auto"/>
                <w:szCs w:val="21"/>
              </w:rPr>
              <w:t>处理符合《排污许可证申请核发与技术规范 医疗机构》（HJ1105-2020）可行性技术要求，</w:t>
            </w:r>
            <w:r>
              <w:rPr>
                <w:color w:val="auto"/>
                <w:szCs w:val="21"/>
              </w:rPr>
              <w:t>满足《医疗机构水污染物排放标准》（GB18466-2005）中的预处理标准</w:t>
            </w:r>
            <w:r>
              <w:rPr>
                <w:rFonts w:hint="eastAsia"/>
                <w:color w:val="auto"/>
                <w:szCs w:val="21"/>
              </w:rPr>
              <w:t>。</w:t>
            </w:r>
          </w:p>
          <w:p>
            <w:pPr>
              <w:spacing w:line="360" w:lineRule="auto"/>
              <w:ind w:firstLine="420" w:firstLineChars="200"/>
              <w:jc w:val="left"/>
              <w:rPr>
                <w:rFonts w:hint="eastAsia"/>
                <w:color w:val="auto"/>
                <w:szCs w:val="21"/>
              </w:rPr>
            </w:pPr>
            <w:r>
              <w:rPr>
                <w:rFonts w:hint="eastAsia"/>
                <w:color w:val="auto"/>
                <w:szCs w:val="21"/>
              </w:rPr>
              <w:t>（3）医疗</w:t>
            </w:r>
            <w:r>
              <w:rPr>
                <w:color w:val="auto"/>
                <w:szCs w:val="21"/>
              </w:rPr>
              <w:t>废水与生活污水同管排放的合规性分析</w:t>
            </w:r>
          </w:p>
          <w:p>
            <w:pPr>
              <w:spacing w:line="360" w:lineRule="auto"/>
              <w:ind w:firstLine="420" w:firstLineChars="200"/>
              <w:jc w:val="left"/>
              <w:rPr>
                <w:color w:val="auto"/>
                <w:szCs w:val="21"/>
              </w:rPr>
            </w:pPr>
            <w:r>
              <w:rPr>
                <w:rFonts w:hint="eastAsia"/>
                <w:color w:val="auto"/>
                <w:szCs w:val="21"/>
              </w:rPr>
              <w:t>本</w:t>
            </w:r>
            <w:r>
              <w:rPr>
                <w:color w:val="auto"/>
                <w:szCs w:val="21"/>
              </w:rPr>
              <w:t>项目</w:t>
            </w:r>
            <w:r>
              <w:rPr>
                <w:rFonts w:hint="eastAsia"/>
                <w:color w:val="auto"/>
                <w:szCs w:val="21"/>
              </w:rPr>
              <w:t>行业类别为“五十、社会事业与服务业、123宠物医院”，与医疗机构所属的行业类别“四十九、卫生”分属于不同的行业类别。本项目动物诊疗产生的废水执行标准参照《医疗机构水污染物排放标准》（GB18466-2005）执行</w:t>
            </w:r>
            <w:r>
              <w:rPr>
                <w:color w:val="auto"/>
                <w:szCs w:val="21"/>
              </w:rPr>
              <w:t>。</w:t>
            </w:r>
            <w:r>
              <w:rPr>
                <w:rFonts w:hint="eastAsia"/>
                <w:color w:val="auto"/>
                <w:szCs w:val="21"/>
              </w:rPr>
              <w:t>根据该标准适用</w:t>
            </w:r>
            <w:r>
              <w:rPr>
                <w:color w:val="auto"/>
                <w:szCs w:val="21"/>
              </w:rPr>
              <w:t>范围相关</w:t>
            </w:r>
            <w:r>
              <w:rPr>
                <w:rFonts w:hint="eastAsia"/>
                <w:color w:val="auto"/>
                <w:szCs w:val="21"/>
              </w:rPr>
              <w:t>要求，医疗废水与生活污水可</w:t>
            </w:r>
            <w:r>
              <w:rPr>
                <w:color w:val="auto"/>
                <w:szCs w:val="21"/>
              </w:rPr>
              <w:t>进行</w:t>
            </w:r>
            <w:r>
              <w:rPr>
                <w:rFonts w:hint="eastAsia"/>
                <w:color w:val="auto"/>
                <w:szCs w:val="21"/>
              </w:rPr>
              <w:t>混合收集。另外本项目的医疗废水在与生活污水、宠物洗浴废水混合之前先经过了消毒处理，因此</w:t>
            </w:r>
            <w:r>
              <w:rPr>
                <w:color w:val="auto"/>
                <w:szCs w:val="21"/>
              </w:rPr>
              <w:t>，</w:t>
            </w:r>
            <w:r>
              <w:rPr>
                <w:rFonts w:hint="eastAsia"/>
                <w:color w:val="auto"/>
                <w:szCs w:val="21"/>
              </w:rPr>
              <w:t>本项目</w:t>
            </w:r>
            <w:r>
              <w:rPr>
                <w:color w:val="auto"/>
                <w:szCs w:val="21"/>
              </w:rPr>
              <w:t>医疗废水</w:t>
            </w:r>
            <w:r>
              <w:rPr>
                <w:rFonts w:hint="eastAsia"/>
                <w:color w:val="auto"/>
                <w:szCs w:val="21"/>
              </w:rPr>
              <w:t>经</w:t>
            </w:r>
            <w:r>
              <w:rPr>
                <w:color w:val="auto"/>
                <w:szCs w:val="21"/>
              </w:rPr>
              <w:t>消毒后与生活污水</w:t>
            </w:r>
            <w:r>
              <w:rPr>
                <w:rFonts w:hint="eastAsia"/>
                <w:color w:val="auto"/>
                <w:szCs w:val="21"/>
              </w:rPr>
              <w:t>一同</w:t>
            </w:r>
            <w:r>
              <w:rPr>
                <w:color w:val="auto"/>
                <w:szCs w:val="21"/>
              </w:rPr>
              <w:t>排入凤锦苑小区公用化粪池是合规</w:t>
            </w:r>
            <w:r>
              <w:rPr>
                <w:rFonts w:hint="eastAsia"/>
                <w:color w:val="auto"/>
                <w:szCs w:val="21"/>
              </w:rPr>
              <w:t>可行</w:t>
            </w:r>
            <w:r>
              <w:rPr>
                <w:color w:val="auto"/>
                <w:szCs w:val="21"/>
              </w:rPr>
              <w:t>的。</w:t>
            </w:r>
          </w:p>
          <w:p>
            <w:pPr>
              <w:spacing w:line="360" w:lineRule="auto"/>
              <w:ind w:firstLine="420" w:firstLineChars="200"/>
              <w:jc w:val="left"/>
              <w:rPr>
                <w:color w:val="auto"/>
                <w:szCs w:val="21"/>
              </w:rPr>
            </w:pPr>
            <w:r>
              <w:rPr>
                <w:rFonts w:hint="eastAsia"/>
                <w:color w:val="auto"/>
                <w:szCs w:val="21"/>
              </w:rPr>
              <w:t>（</w:t>
            </w:r>
            <w:r>
              <w:rPr>
                <w:color w:val="auto"/>
                <w:szCs w:val="21"/>
              </w:rPr>
              <w:t>4</w:t>
            </w:r>
            <w:r>
              <w:rPr>
                <w:rFonts w:hint="eastAsia"/>
                <w:color w:val="auto"/>
                <w:szCs w:val="21"/>
              </w:rPr>
              <w:t>）依托</w:t>
            </w:r>
            <w:r>
              <w:rPr>
                <w:color w:val="auto"/>
                <w:szCs w:val="21"/>
              </w:rPr>
              <w:t>化粪池、污水处理厂可行性分析</w:t>
            </w:r>
          </w:p>
          <w:p>
            <w:pPr>
              <w:spacing w:line="360" w:lineRule="auto"/>
              <w:ind w:firstLine="420" w:firstLineChars="200"/>
              <w:jc w:val="left"/>
              <w:rPr>
                <w:color w:val="auto"/>
                <w:szCs w:val="21"/>
              </w:rPr>
            </w:pPr>
            <w:r>
              <w:rPr>
                <w:rFonts w:hint="eastAsia"/>
                <w:color w:val="auto"/>
                <w:szCs w:val="21"/>
              </w:rPr>
              <w:t>本项目</w:t>
            </w:r>
            <w:r>
              <w:rPr>
                <w:color w:val="auto"/>
                <w:szCs w:val="21"/>
              </w:rPr>
              <w:t>产生的医疗废水经消毒处理后与生活污水一同进入</w:t>
            </w:r>
            <w:r>
              <w:rPr>
                <w:rFonts w:hint="eastAsia"/>
                <w:color w:val="auto"/>
                <w:szCs w:val="21"/>
              </w:rPr>
              <w:t>丰和</w:t>
            </w:r>
            <w:r>
              <w:rPr>
                <w:color w:val="auto"/>
                <w:szCs w:val="21"/>
              </w:rPr>
              <w:t>坊一期</w:t>
            </w:r>
            <w:r>
              <w:rPr>
                <w:rFonts w:hint="eastAsia"/>
                <w:color w:val="auto"/>
                <w:szCs w:val="21"/>
              </w:rPr>
              <w:t>15幢</w:t>
            </w:r>
            <w:r>
              <w:rPr>
                <w:color w:val="auto"/>
                <w:szCs w:val="21"/>
              </w:rPr>
              <w:t>公用化粪池</w:t>
            </w:r>
            <w:r>
              <w:rPr>
                <w:rFonts w:hint="eastAsia"/>
                <w:color w:val="auto"/>
                <w:szCs w:val="21"/>
              </w:rPr>
              <w:t>，</w:t>
            </w:r>
            <w:r>
              <w:rPr>
                <w:color w:val="auto"/>
                <w:szCs w:val="21"/>
              </w:rPr>
              <w:t>经走访调查，</w:t>
            </w:r>
            <w:r>
              <w:rPr>
                <w:rFonts w:hint="eastAsia"/>
                <w:color w:val="auto"/>
                <w:szCs w:val="21"/>
              </w:rPr>
              <w:t>丰和</w:t>
            </w:r>
            <w:r>
              <w:rPr>
                <w:color w:val="auto"/>
                <w:szCs w:val="21"/>
              </w:rPr>
              <w:t>坊一期</w:t>
            </w:r>
            <w:r>
              <w:rPr>
                <w:rFonts w:hint="eastAsia"/>
                <w:color w:val="auto"/>
                <w:szCs w:val="21"/>
              </w:rPr>
              <w:t>15幢</w:t>
            </w:r>
            <w:r>
              <w:rPr>
                <w:color w:val="auto"/>
                <w:szCs w:val="21"/>
              </w:rPr>
              <w:t>目前共计</w:t>
            </w:r>
            <w:r>
              <w:rPr>
                <w:rFonts w:hint="eastAsia"/>
                <w:color w:val="auto"/>
                <w:szCs w:val="21"/>
              </w:rPr>
              <w:t>约</w:t>
            </w:r>
            <w:r>
              <w:rPr>
                <w:color w:val="auto"/>
                <w:szCs w:val="21"/>
              </w:rPr>
              <w:t>120</w:t>
            </w:r>
            <w:r>
              <w:rPr>
                <w:rFonts w:hint="eastAsia"/>
                <w:color w:val="auto"/>
                <w:szCs w:val="21"/>
              </w:rPr>
              <w:t>户</w:t>
            </w:r>
            <w:r>
              <w:rPr>
                <w:color w:val="auto"/>
                <w:szCs w:val="21"/>
              </w:rPr>
              <w:t>，临街商铺约</w:t>
            </w:r>
            <w:r>
              <w:rPr>
                <w:rFonts w:hint="eastAsia"/>
                <w:color w:val="auto"/>
                <w:szCs w:val="21"/>
              </w:rPr>
              <w:t>10户</w:t>
            </w:r>
            <w:r>
              <w:rPr>
                <w:color w:val="auto"/>
                <w:szCs w:val="21"/>
              </w:rPr>
              <w:t>，</w:t>
            </w:r>
            <w:r>
              <w:rPr>
                <w:rFonts w:hint="eastAsia"/>
                <w:color w:val="auto"/>
                <w:szCs w:val="21"/>
              </w:rPr>
              <w:t>每户</w:t>
            </w:r>
            <w:r>
              <w:rPr>
                <w:color w:val="auto"/>
                <w:szCs w:val="21"/>
              </w:rPr>
              <w:t>平均</w:t>
            </w:r>
            <w:r>
              <w:rPr>
                <w:rFonts w:hint="eastAsia"/>
                <w:color w:val="auto"/>
                <w:szCs w:val="21"/>
              </w:rPr>
              <w:t>3</w:t>
            </w:r>
            <w:r>
              <w:rPr>
                <w:color w:val="auto"/>
                <w:szCs w:val="21"/>
              </w:rPr>
              <w:t>-5</w:t>
            </w:r>
            <w:r>
              <w:rPr>
                <w:rFonts w:hint="eastAsia"/>
                <w:color w:val="auto"/>
                <w:szCs w:val="21"/>
              </w:rPr>
              <w:t>人</w:t>
            </w:r>
            <w:r>
              <w:rPr>
                <w:color w:val="auto"/>
                <w:szCs w:val="21"/>
              </w:rPr>
              <w:t>，根据</w:t>
            </w:r>
            <w:r>
              <w:rPr>
                <w:rFonts w:hint="eastAsia"/>
                <w:color w:val="auto"/>
                <w:szCs w:val="21"/>
              </w:rPr>
              <w:t>陕西省</w:t>
            </w:r>
            <w:r>
              <w:rPr>
                <w:color w:val="auto"/>
                <w:szCs w:val="21"/>
              </w:rPr>
              <w:t>行业用水</w:t>
            </w:r>
            <w:r>
              <w:rPr>
                <w:rFonts w:hint="eastAsia"/>
                <w:color w:val="auto"/>
                <w:szCs w:val="21"/>
              </w:rPr>
              <w:t>定额</w:t>
            </w:r>
            <w:r>
              <w:rPr>
                <w:color w:val="auto"/>
                <w:szCs w:val="21"/>
              </w:rPr>
              <w:t>（</w:t>
            </w:r>
            <w:r>
              <w:rPr>
                <w:rFonts w:hint="eastAsia"/>
                <w:color w:val="auto"/>
                <w:szCs w:val="21"/>
              </w:rPr>
              <w:t>DB61/T943-2020</w:t>
            </w:r>
            <w:r>
              <w:rPr>
                <w:color w:val="auto"/>
                <w:szCs w:val="21"/>
              </w:rPr>
              <w:t>）</w:t>
            </w:r>
            <w:r>
              <w:rPr>
                <w:rFonts w:hint="eastAsia"/>
                <w:color w:val="auto"/>
                <w:szCs w:val="21"/>
              </w:rPr>
              <w:t>中</w:t>
            </w:r>
            <w:r>
              <w:rPr>
                <w:color w:val="auto"/>
                <w:szCs w:val="21"/>
              </w:rPr>
              <w:t>表</w:t>
            </w:r>
            <w:r>
              <w:rPr>
                <w:rFonts w:hint="eastAsia"/>
                <w:color w:val="auto"/>
                <w:szCs w:val="21"/>
              </w:rPr>
              <w:t>B.1城镇</w:t>
            </w:r>
            <w:r>
              <w:rPr>
                <w:color w:val="auto"/>
                <w:szCs w:val="21"/>
              </w:rPr>
              <w:t>居民生活特大城市</w:t>
            </w:r>
            <w:r>
              <w:rPr>
                <w:rFonts w:hint="eastAsia"/>
                <w:color w:val="auto"/>
                <w:szCs w:val="21"/>
              </w:rPr>
              <w:t>140L/人</w:t>
            </w:r>
            <w:r>
              <w:rPr>
                <w:color w:val="auto"/>
                <w:szCs w:val="21"/>
              </w:rPr>
              <w:t>·d</w:t>
            </w:r>
            <w:r>
              <w:rPr>
                <w:rFonts w:hint="eastAsia"/>
                <w:color w:val="auto"/>
                <w:szCs w:val="21"/>
              </w:rPr>
              <w:t>，</w:t>
            </w:r>
            <w:r>
              <w:rPr>
                <w:color w:val="auto"/>
                <w:szCs w:val="21"/>
              </w:rPr>
              <w:t>污水排放量取用水量</w:t>
            </w:r>
            <w:r>
              <w:rPr>
                <w:rFonts w:hint="eastAsia"/>
                <w:color w:val="auto"/>
                <w:szCs w:val="21"/>
              </w:rPr>
              <w:t>80</w:t>
            </w:r>
            <w:r>
              <w:rPr>
                <w:color w:val="auto"/>
                <w:szCs w:val="21"/>
              </w:rPr>
              <w:t>%，初步估算</w:t>
            </w:r>
            <w:r>
              <w:rPr>
                <w:rFonts w:hint="eastAsia"/>
                <w:color w:val="auto"/>
                <w:szCs w:val="21"/>
              </w:rPr>
              <w:t>丰和</w:t>
            </w:r>
            <w:r>
              <w:rPr>
                <w:color w:val="auto"/>
                <w:szCs w:val="21"/>
              </w:rPr>
              <w:t>坊一期</w:t>
            </w:r>
            <w:r>
              <w:rPr>
                <w:rFonts w:hint="eastAsia"/>
                <w:color w:val="auto"/>
                <w:szCs w:val="21"/>
              </w:rPr>
              <w:t>15幢</w:t>
            </w:r>
            <w:r>
              <w:rPr>
                <w:color w:val="auto"/>
                <w:szCs w:val="21"/>
              </w:rPr>
              <w:t>污水排放量约为72.8</w:t>
            </w:r>
            <w:r>
              <w:rPr>
                <w:rFonts w:hint="eastAsia"/>
                <w:color w:val="auto"/>
                <w:szCs w:val="21"/>
              </w:rPr>
              <w:t>m</w:t>
            </w:r>
            <w:r>
              <w:rPr>
                <w:rFonts w:hint="eastAsia"/>
                <w:color w:val="auto"/>
                <w:szCs w:val="21"/>
                <w:vertAlign w:val="superscript"/>
              </w:rPr>
              <w:t>3</w:t>
            </w:r>
            <w:r>
              <w:rPr>
                <w:rFonts w:hint="eastAsia"/>
                <w:color w:val="auto"/>
                <w:szCs w:val="21"/>
              </w:rPr>
              <w:t>/d，</w:t>
            </w:r>
            <w:r>
              <w:rPr>
                <w:color w:val="auto"/>
                <w:szCs w:val="21"/>
              </w:rPr>
              <w:t>经</w:t>
            </w:r>
            <w:r>
              <w:rPr>
                <w:rFonts w:hint="eastAsia"/>
                <w:color w:val="auto"/>
                <w:szCs w:val="21"/>
              </w:rPr>
              <w:t>调查</w:t>
            </w:r>
            <w:r>
              <w:rPr>
                <w:color w:val="auto"/>
                <w:szCs w:val="21"/>
              </w:rPr>
              <w:t>走访，目前丰</w:t>
            </w:r>
            <w:r>
              <w:rPr>
                <w:rFonts w:hint="eastAsia"/>
                <w:color w:val="auto"/>
                <w:szCs w:val="21"/>
              </w:rPr>
              <w:t>和</w:t>
            </w:r>
            <w:r>
              <w:rPr>
                <w:color w:val="auto"/>
                <w:szCs w:val="21"/>
              </w:rPr>
              <w:t>坊一期</w:t>
            </w:r>
            <w:r>
              <w:rPr>
                <w:rFonts w:hint="eastAsia"/>
                <w:color w:val="auto"/>
                <w:szCs w:val="21"/>
              </w:rPr>
              <w:t>15幢</w:t>
            </w:r>
            <w:r>
              <w:rPr>
                <w:color w:val="auto"/>
                <w:szCs w:val="21"/>
              </w:rPr>
              <w:t>入住率约为</w:t>
            </w:r>
            <w:r>
              <w:rPr>
                <w:rFonts w:hint="eastAsia"/>
                <w:color w:val="auto"/>
                <w:szCs w:val="21"/>
              </w:rPr>
              <w:t>85</w:t>
            </w:r>
            <w:r>
              <w:rPr>
                <w:color w:val="auto"/>
                <w:szCs w:val="21"/>
              </w:rPr>
              <w:t>%，化粪池</w:t>
            </w:r>
            <w:r>
              <w:rPr>
                <w:rFonts w:hint="eastAsia"/>
                <w:color w:val="auto"/>
                <w:szCs w:val="21"/>
              </w:rPr>
              <w:t>负荷约75</w:t>
            </w:r>
            <w:r>
              <w:rPr>
                <w:color w:val="auto"/>
                <w:szCs w:val="21"/>
              </w:rPr>
              <w:t>%</w:t>
            </w:r>
            <w:r>
              <w:rPr>
                <w:rFonts w:hint="eastAsia"/>
                <w:color w:val="auto"/>
                <w:szCs w:val="21"/>
              </w:rPr>
              <w:t>。本项目</w:t>
            </w:r>
            <w:r>
              <w:rPr>
                <w:color w:val="auto"/>
                <w:szCs w:val="21"/>
              </w:rPr>
              <w:t>污水排放量0.6128</w:t>
            </w:r>
            <w:r>
              <w:rPr>
                <w:rFonts w:hint="eastAsia"/>
                <w:color w:val="auto"/>
                <w:szCs w:val="21"/>
              </w:rPr>
              <w:t>m</w:t>
            </w:r>
            <w:r>
              <w:rPr>
                <w:rFonts w:hint="eastAsia"/>
                <w:color w:val="auto"/>
                <w:szCs w:val="21"/>
                <w:vertAlign w:val="superscript"/>
              </w:rPr>
              <w:t>3</w:t>
            </w:r>
            <w:r>
              <w:rPr>
                <w:rFonts w:hint="eastAsia"/>
                <w:color w:val="auto"/>
                <w:szCs w:val="21"/>
              </w:rPr>
              <w:t>/d，</w:t>
            </w:r>
            <w:r>
              <w:rPr>
                <w:color w:val="auto"/>
                <w:szCs w:val="21"/>
              </w:rPr>
              <w:t>仅</w:t>
            </w:r>
            <w:r>
              <w:rPr>
                <w:rFonts w:hint="eastAsia"/>
                <w:color w:val="auto"/>
                <w:szCs w:val="21"/>
              </w:rPr>
              <w:t>占项目</w:t>
            </w:r>
            <w:r>
              <w:rPr>
                <w:color w:val="auto"/>
                <w:szCs w:val="21"/>
              </w:rPr>
              <w:t>所在建筑</w:t>
            </w:r>
            <w:r>
              <w:rPr>
                <w:rFonts w:hint="eastAsia"/>
                <w:color w:val="auto"/>
                <w:szCs w:val="21"/>
              </w:rPr>
              <w:t>废水</w:t>
            </w:r>
            <w:r>
              <w:rPr>
                <w:color w:val="auto"/>
                <w:szCs w:val="21"/>
              </w:rPr>
              <w:t>产生量的0.84%，所占比例很小，本项目废水排入所在建筑的化粪池容积可以满足</w:t>
            </w:r>
            <w:r>
              <w:rPr>
                <w:rFonts w:hint="eastAsia"/>
                <w:color w:val="auto"/>
                <w:szCs w:val="21"/>
              </w:rPr>
              <w:t>。</w:t>
            </w:r>
          </w:p>
          <w:p>
            <w:pPr>
              <w:spacing w:line="360" w:lineRule="auto"/>
              <w:ind w:firstLine="420" w:firstLineChars="200"/>
              <w:jc w:val="left"/>
              <w:rPr>
                <w:color w:val="auto"/>
                <w:szCs w:val="21"/>
              </w:rPr>
            </w:pPr>
            <w:r>
              <w:rPr>
                <w:rFonts w:hint="eastAsia"/>
                <w:color w:val="auto"/>
                <w:szCs w:val="21"/>
              </w:rPr>
              <w:t>西</w:t>
            </w:r>
            <w:r>
              <w:rPr>
                <w:color w:val="auto"/>
                <w:szCs w:val="21"/>
              </w:rPr>
              <w:t>安市第一污水处理厂（</w:t>
            </w:r>
            <w:r>
              <w:rPr>
                <w:rFonts w:hint="eastAsia"/>
                <w:color w:val="auto"/>
                <w:szCs w:val="21"/>
              </w:rPr>
              <w:t>邓家村</w:t>
            </w:r>
            <w:r>
              <w:rPr>
                <w:color w:val="auto"/>
                <w:szCs w:val="21"/>
              </w:rPr>
              <w:t>污水处理厂）</w:t>
            </w:r>
            <w:r>
              <w:rPr>
                <w:rFonts w:hint="eastAsia"/>
                <w:color w:val="auto"/>
                <w:szCs w:val="21"/>
              </w:rPr>
              <w:t>始建于1956年</w:t>
            </w:r>
            <w:r>
              <w:rPr>
                <w:color w:val="auto"/>
                <w:szCs w:val="21"/>
              </w:rPr>
              <w:t>，</w:t>
            </w:r>
            <w:r>
              <w:rPr>
                <w:rFonts w:hint="eastAsia"/>
                <w:color w:val="auto"/>
                <w:szCs w:val="21"/>
              </w:rPr>
              <w:t>位于</w:t>
            </w:r>
            <w:r>
              <w:rPr>
                <w:color w:val="auto"/>
                <w:szCs w:val="21"/>
              </w:rPr>
              <w:t>西安市莲湖区大兴西路</w:t>
            </w:r>
            <w:r>
              <w:rPr>
                <w:rFonts w:hint="eastAsia"/>
                <w:color w:val="auto"/>
                <w:szCs w:val="21"/>
              </w:rPr>
              <w:t>19号</w:t>
            </w:r>
            <w:r>
              <w:rPr>
                <w:color w:val="auto"/>
                <w:szCs w:val="21"/>
              </w:rPr>
              <w:t>，</w:t>
            </w:r>
            <w:r>
              <w:rPr>
                <w:rFonts w:hint="eastAsia"/>
                <w:color w:val="auto"/>
                <w:szCs w:val="21"/>
              </w:rPr>
              <w:t>设计</w:t>
            </w:r>
            <w:r>
              <w:rPr>
                <w:color w:val="auto"/>
                <w:szCs w:val="21"/>
              </w:rPr>
              <w:t>能力日处理污水</w:t>
            </w:r>
            <w:r>
              <w:rPr>
                <w:rFonts w:hint="eastAsia"/>
                <w:color w:val="auto"/>
                <w:szCs w:val="21"/>
              </w:rPr>
              <w:t>12万m</w:t>
            </w:r>
            <w:r>
              <w:rPr>
                <w:rFonts w:hint="eastAsia"/>
                <w:color w:val="auto"/>
                <w:szCs w:val="21"/>
                <w:vertAlign w:val="superscript"/>
              </w:rPr>
              <w:t>3</w:t>
            </w:r>
            <w:r>
              <w:rPr>
                <w:rFonts w:hint="eastAsia"/>
                <w:color w:val="auto"/>
                <w:szCs w:val="21"/>
              </w:rPr>
              <w:t>/d，服务</w:t>
            </w:r>
            <w:r>
              <w:rPr>
                <w:color w:val="auto"/>
                <w:szCs w:val="21"/>
              </w:rPr>
              <w:t>面积</w:t>
            </w:r>
            <w:r>
              <w:rPr>
                <w:rFonts w:hint="eastAsia"/>
                <w:color w:val="auto"/>
                <w:szCs w:val="21"/>
              </w:rPr>
              <w:t>41.68</w:t>
            </w:r>
            <w:r>
              <w:rPr>
                <w:color w:val="auto"/>
                <w:szCs w:val="21"/>
              </w:rPr>
              <w:t>km</w:t>
            </w:r>
            <w:r>
              <w:rPr>
                <w:color w:val="auto"/>
                <w:szCs w:val="21"/>
                <w:vertAlign w:val="superscript"/>
              </w:rPr>
              <w:t>2</w:t>
            </w:r>
            <w:r>
              <w:rPr>
                <w:rFonts w:hint="eastAsia"/>
                <w:color w:val="auto"/>
                <w:szCs w:val="21"/>
              </w:rPr>
              <w:t>，主要接收西安</w:t>
            </w:r>
            <w:r>
              <w:rPr>
                <w:color w:val="auto"/>
                <w:szCs w:val="21"/>
              </w:rPr>
              <w:t>市环城西路以西、</w:t>
            </w:r>
            <w:r>
              <w:rPr>
                <w:rFonts w:hint="eastAsia"/>
                <w:color w:val="auto"/>
                <w:szCs w:val="21"/>
              </w:rPr>
              <w:t>三桥</w:t>
            </w:r>
            <w:r>
              <w:rPr>
                <w:color w:val="auto"/>
                <w:szCs w:val="21"/>
              </w:rPr>
              <w:t>皂</w:t>
            </w:r>
            <w:r>
              <w:rPr>
                <w:rFonts w:hint="eastAsia"/>
                <w:color w:val="auto"/>
                <w:szCs w:val="21"/>
              </w:rPr>
              <w:t>河</w:t>
            </w:r>
            <w:r>
              <w:rPr>
                <w:color w:val="auto"/>
                <w:szCs w:val="21"/>
              </w:rPr>
              <w:t>以东、</w:t>
            </w:r>
            <w:r>
              <w:rPr>
                <w:rFonts w:hint="eastAsia"/>
                <w:color w:val="auto"/>
                <w:szCs w:val="21"/>
              </w:rPr>
              <w:t>南</w:t>
            </w:r>
            <w:r>
              <w:rPr>
                <w:color w:val="auto"/>
                <w:szCs w:val="21"/>
              </w:rPr>
              <w:t>至大环</w:t>
            </w:r>
            <w:r>
              <w:rPr>
                <w:rFonts w:hint="eastAsia"/>
                <w:color w:val="auto"/>
                <w:szCs w:val="21"/>
              </w:rPr>
              <w:t>河区域</w:t>
            </w:r>
            <w:r>
              <w:rPr>
                <w:color w:val="auto"/>
                <w:szCs w:val="21"/>
              </w:rPr>
              <w:t>居民的生活污水。</w:t>
            </w:r>
            <w:r>
              <w:rPr>
                <w:rFonts w:hint="eastAsia"/>
                <w:color w:val="auto"/>
                <w:szCs w:val="21"/>
              </w:rPr>
              <w:t>厂区</w:t>
            </w:r>
            <w:r>
              <w:rPr>
                <w:color w:val="auto"/>
                <w:szCs w:val="21"/>
              </w:rPr>
              <w:t>主体工艺采用：</w:t>
            </w:r>
            <w:r>
              <w:rPr>
                <w:rFonts w:hint="eastAsia"/>
                <w:color w:val="auto"/>
                <w:szCs w:val="21"/>
              </w:rPr>
              <w:t>多段多级AO除磷</w:t>
            </w:r>
            <w:r>
              <w:rPr>
                <w:color w:val="auto"/>
                <w:szCs w:val="21"/>
              </w:rPr>
              <w:t>脱</w:t>
            </w:r>
            <w:r>
              <w:rPr>
                <w:rFonts w:hint="eastAsia"/>
                <w:color w:val="auto"/>
                <w:szCs w:val="21"/>
              </w:rPr>
              <w:t>氮+</w:t>
            </w:r>
            <w:r>
              <w:rPr>
                <w:color w:val="auto"/>
                <w:szCs w:val="21"/>
              </w:rPr>
              <w:t>微絮凝过滤，出水水质满足《</w:t>
            </w:r>
            <w:r>
              <w:rPr>
                <w:rFonts w:hint="eastAsia"/>
                <w:color w:val="auto"/>
                <w:szCs w:val="21"/>
              </w:rPr>
              <w:t>陕西省黄河</w:t>
            </w:r>
            <w:r>
              <w:rPr>
                <w:color w:val="auto"/>
                <w:szCs w:val="21"/>
              </w:rPr>
              <w:t>流域污水综合排放标准》</w:t>
            </w:r>
            <w:r>
              <w:rPr>
                <w:rFonts w:hint="eastAsia"/>
                <w:color w:val="auto"/>
                <w:szCs w:val="21"/>
              </w:rPr>
              <w:t>（DB</w:t>
            </w:r>
            <w:r>
              <w:rPr>
                <w:color w:val="auto"/>
                <w:szCs w:val="21"/>
              </w:rPr>
              <w:t>61</w:t>
            </w:r>
            <w:r>
              <w:rPr>
                <w:rFonts w:hint="eastAsia"/>
                <w:color w:val="auto"/>
                <w:szCs w:val="21"/>
              </w:rPr>
              <w:t>/224</w:t>
            </w:r>
            <w:r>
              <w:rPr>
                <w:color w:val="auto"/>
                <w:szCs w:val="21"/>
              </w:rPr>
              <w:t>-2018</w:t>
            </w:r>
            <w:r>
              <w:rPr>
                <w:rFonts w:hint="eastAsia"/>
                <w:color w:val="auto"/>
                <w:szCs w:val="21"/>
              </w:rPr>
              <w:t>）表1污水</w:t>
            </w:r>
            <w:r>
              <w:rPr>
                <w:color w:val="auto"/>
                <w:szCs w:val="21"/>
              </w:rPr>
              <w:t>处理厂污染物排放浓度限值，排入皂河。本项目位于</w:t>
            </w:r>
            <w:r>
              <w:rPr>
                <w:rFonts w:hint="eastAsia"/>
                <w:color w:val="auto"/>
                <w:szCs w:val="21"/>
              </w:rPr>
              <w:t>邓家村</w:t>
            </w:r>
            <w:r>
              <w:rPr>
                <w:color w:val="auto"/>
                <w:szCs w:val="21"/>
              </w:rPr>
              <w:t>污水处理厂服务范围内，经预处理后项目废水水质满足该污水处理厂接管标准，且产生量小，</w:t>
            </w:r>
            <w:r>
              <w:rPr>
                <w:rFonts w:hint="eastAsia"/>
                <w:color w:val="auto"/>
                <w:szCs w:val="21"/>
              </w:rPr>
              <w:t>目前</w:t>
            </w:r>
            <w:r>
              <w:rPr>
                <w:color w:val="auto"/>
                <w:szCs w:val="21"/>
              </w:rPr>
              <w:t>已排入该污水处理厂，不会对污水处理厂产生冲击，因此，本项目废水排入</w:t>
            </w:r>
            <w:r>
              <w:rPr>
                <w:rFonts w:hint="eastAsia"/>
                <w:color w:val="auto"/>
                <w:szCs w:val="21"/>
              </w:rPr>
              <w:t>邓家村</w:t>
            </w:r>
            <w:r>
              <w:rPr>
                <w:color w:val="auto"/>
                <w:szCs w:val="21"/>
              </w:rPr>
              <w:t>污水处理厂可行。</w:t>
            </w:r>
          </w:p>
          <w:p>
            <w:pPr>
              <w:spacing w:line="360" w:lineRule="auto"/>
              <w:ind w:firstLine="420" w:firstLineChars="200"/>
              <w:jc w:val="left"/>
              <w:rPr>
                <w:color w:val="auto"/>
                <w:szCs w:val="21"/>
              </w:rPr>
            </w:pPr>
            <w:r>
              <w:rPr>
                <w:color w:val="auto"/>
                <w:szCs w:val="21"/>
              </w:rPr>
              <w:t>（4）监测</w:t>
            </w:r>
            <w:r>
              <w:rPr>
                <w:rFonts w:hint="eastAsia"/>
                <w:color w:val="auto"/>
                <w:szCs w:val="21"/>
              </w:rPr>
              <w:t>计划</w:t>
            </w:r>
          </w:p>
          <w:p>
            <w:pPr>
              <w:spacing w:line="360" w:lineRule="auto"/>
              <w:ind w:firstLine="420" w:firstLineChars="200"/>
              <w:jc w:val="left"/>
              <w:rPr>
                <w:color w:val="auto"/>
                <w:szCs w:val="21"/>
              </w:rPr>
            </w:pPr>
            <w:r>
              <w:rPr>
                <w:color w:val="auto"/>
                <w:szCs w:val="21"/>
              </w:rPr>
              <w:t>根据《排污单位自行监测技术指南 总则》HJ819-2017表2中“废水监测指标的最低监测频次”相关要求，</w:t>
            </w:r>
            <w:r>
              <w:rPr>
                <w:rFonts w:hint="eastAsia"/>
                <w:color w:val="auto"/>
                <w:szCs w:val="21"/>
              </w:rPr>
              <w:t>项目</w:t>
            </w:r>
            <w:r>
              <w:rPr>
                <w:color w:val="auto"/>
                <w:szCs w:val="21"/>
              </w:rPr>
              <w:t>运营期废水监测计划</w:t>
            </w:r>
            <w:r>
              <w:rPr>
                <w:rFonts w:hint="eastAsia"/>
                <w:color w:val="auto"/>
                <w:szCs w:val="21"/>
              </w:rPr>
              <w:t>见</w:t>
            </w:r>
            <w:r>
              <w:rPr>
                <w:color w:val="auto"/>
                <w:szCs w:val="21"/>
              </w:rPr>
              <w:t>表</w:t>
            </w:r>
            <w:r>
              <w:rPr>
                <w:rFonts w:hint="eastAsia"/>
                <w:color w:val="auto"/>
                <w:szCs w:val="21"/>
              </w:rPr>
              <w:t>4</w:t>
            </w:r>
            <w:r>
              <w:rPr>
                <w:color w:val="auto"/>
                <w:szCs w:val="21"/>
              </w:rPr>
              <w:t>-5。</w:t>
            </w:r>
          </w:p>
          <w:p>
            <w:pPr>
              <w:pStyle w:val="2"/>
              <w:ind w:firstLine="34" w:firstLineChars="16"/>
              <w:jc w:val="center"/>
              <w:rPr>
                <w:rFonts w:ascii="Times New Roman" w:hAnsi="宋体" w:cs="Times New Roman"/>
                <w:b/>
                <w:bCs/>
                <w:color w:val="auto"/>
                <w:sz w:val="21"/>
                <w:szCs w:val="21"/>
              </w:rPr>
            </w:pPr>
            <w:r>
              <w:rPr>
                <w:rFonts w:hint="eastAsia" w:ascii="Times New Roman" w:hAnsi="宋体" w:cs="Times New Roman"/>
                <w:b/>
                <w:bCs/>
                <w:color w:val="auto"/>
                <w:sz w:val="21"/>
                <w:szCs w:val="21"/>
              </w:rPr>
              <w:t>表4-5    运营期废水监测计划</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39"/>
              <w:gridCol w:w="1312"/>
              <w:gridCol w:w="1899"/>
              <w:gridCol w:w="1168"/>
              <w:gridCol w:w="33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436"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类别</w:t>
                  </w:r>
                </w:p>
              </w:tc>
              <w:tc>
                <w:tcPr>
                  <w:tcW w:w="774" w:type="pct"/>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排放口</w:t>
                  </w:r>
                </w:p>
              </w:tc>
              <w:tc>
                <w:tcPr>
                  <w:tcW w:w="1120" w:type="pct"/>
                  <w:tcBorders>
                    <w:right w:val="single" w:color="auto" w:sz="4" w:space="0"/>
                  </w:tcBorders>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监测指标</w:t>
                  </w:r>
                </w:p>
              </w:tc>
              <w:tc>
                <w:tcPr>
                  <w:tcW w:w="689" w:type="pct"/>
                  <w:tcBorders>
                    <w:left w:val="single" w:color="auto" w:sz="4" w:space="0"/>
                    <w:right w:val="single" w:color="auto" w:sz="4" w:space="0"/>
                  </w:tcBorders>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监测频次</w:t>
                  </w:r>
                </w:p>
              </w:tc>
              <w:tc>
                <w:tcPr>
                  <w:tcW w:w="1981" w:type="pct"/>
                  <w:tcBorders>
                    <w:left w:val="single" w:color="auto" w:sz="4" w:space="0"/>
                  </w:tcBorders>
                  <w:vAlign w:val="center"/>
                </w:tcPr>
                <w:p>
                  <w:pPr>
                    <w:pStyle w:val="2"/>
                    <w:jc w:val="center"/>
                    <w:rPr>
                      <w:rFonts w:ascii="Times New Roman" w:cs="Times New Roman"/>
                      <w:color w:val="auto"/>
                      <w:sz w:val="18"/>
                      <w:szCs w:val="18"/>
                    </w:rPr>
                  </w:pPr>
                  <w:r>
                    <w:rPr>
                      <w:rFonts w:hint="eastAsia" w:ascii="Times New Roman" w:cs="Times New Roman"/>
                      <w:color w:val="auto"/>
                      <w:sz w:val="18"/>
                      <w:szCs w:val="18"/>
                    </w:rPr>
                    <w:t>排放标准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6" w:hRule="exact"/>
                <w:jc w:val="center"/>
              </w:trPr>
              <w:tc>
                <w:tcPr>
                  <w:tcW w:w="436" w:type="pct"/>
                  <w:vAlign w:val="center"/>
                </w:tcPr>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医疗</w:t>
                  </w:r>
                </w:p>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废水</w:t>
                  </w:r>
                </w:p>
              </w:tc>
              <w:tc>
                <w:tcPr>
                  <w:tcW w:w="774" w:type="pct"/>
                  <w:vAlign w:val="center"/>
                </w:tcPr>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HB-</w:t>
                  </w:r>
                  <w:r>
                    <w:rPr>
                      <w:rFonts w:ascii="Times New Roman" w:hAnsi="宋体" w:cs="Times New Roman"/>
                      <w:color w:val="auto"/>
                      <w:sz w:val="18"/>
                      <w:szCs w:val="18"/>
                    </w:rPr>
                    <w:t>50</w:t>
                  </w:r>
                  <w:r>
                    <w:rPr>
                      <w:rFonts w:hint="eastAsia" w:ascii="Times New Roman" w:hAnsi="宋体" w:cs="Times New Roman"/>
                      <w:color w:val="auto"/>
                      <w:sz w:val="18"/>
                      <w:szCs w:val="18"/>
                    </w:rPr>
                    <w:t>消毒</w:t>
                  </w:r>
                </w:p>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器出口</w:t>
                  </w:r>
                </w:p>
              </w:tc>
              <w:tc>
                <w:tcPr>
                  <w:tcW w:w="1120" w:type="pct"/>
                  <w:tcBorders>
                    <w:right w:val="single" w:color="auto" w:sz="4" w:space="0"/>
                  </w:tcBorders>
                  <w:vAlign w:val="center"/>
                </w:tcPr>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COD、SS、总余氯、粪大肠菌群</w:t>
                  </w:r>
                </w:p>
              </w:tc>
              <w:tc>
                <w:tcPr>
                  <w:tcW w:w="689" w:type="pct"/>
                  <w:tcBorders>
                    <w:left w:val="single" w:color="auto" w:sz="4" w:space="0"/>
                    <w:right w:val="single" w:color="auto" w:sz="4" w:space="0"/>
                  </w:tcBorders>
                  <w:vAlign w:val="center"/>
                </w:tcPr>
                <w:p>
                  <w:pPr>
                    <w:pStyle w:val="2"/>
                    <w:jc w:val="center"/>
                    <w:rPr>
                      <w:rFonts w:ascii="Times New Roman" w:hAnsi="宋体" w:cs="Times New Roman"/>
                      <w:color w:val="auto"/>
                      <w:sz w:val="18"/>
                      <w:szCs w:val="18"/>
                    </w:rPr>
                  </w:pPr>
                  <w:r>
                    <w:rPr>
                      <w:rFonts w:hint="eastAsia" w:ascii="Times New Roman" w:hAnsi="宋体" w:cs="Times New Roman"/>
                      <w:color w:val="auto"/>
                      <w:sz w:val="18"/>
                      <w:szCs w:val="18"/>
                    </w:rPr>
                    <w:t>1次/季度</w:t>
                  </w:r>
                </w:p>
              </w:tc>
              <w:tc>
                <w:tcPr>
                  <w:tcW w:w="1981" w:type="pct"/>
                  <w:tcBorders>
                    <w:left w:val="single" w:color="auto" w:sz="4" w:space="0"/>
                  </w:tcBorders>
                  <w:vAlign w:val="center"/>
                </w:tcPr>
                <w:p>
                  <w:pPr>
                    <w:pStyle w:val="2"/>
                    <w:jc w:val="center"/>
                    <w:rPr>
                      <w:rFonts w:ascii="Times New Roman" w:hAnsi="宋体" w:cs="Times New Roman"/>
                      <w:color w:val="auto"/>
                      <w:sz w:val="18"/>
                      <w:szCs w:val="18"/>
                    </w:rPr>
                  </w:pPr>
                  <w:r>
                    <w:rPr>
                      <w:color w:val="auto"/>
                      <w:sz w:val="18"/>
                      <w:szCs w:val="18"/>
                    </w:rPr>
                    <w:t>《</w:t>
                  </w:r>
                  <w:r>
                    <w:rPr>
                      <w:rFonts w:ascii="Times New Roman" w:cs="Times New Roman"/>
                      <w:color w:val="auto"/>
                      <w:sz w:val="18"/>
                      <w:szCs w:val="18"/>
                    </w:rPr>
                    <w:t>医疗机构水污染物排放标准》（GB18466-2005）预处理标准</w:t>
                  </w:r>
                </w:p>
              </w:tc>
            </w:tr>
          </w:tbl>
          <w:p>
            <w:pPr>
              <w:spacing w:line="360" w:lineRule="auto"/>
              <w:ind w:firstLine="422" w:firstLineChars="200"/>
              <w:jc w:val="left"/>
              <w:rPr>
                <w:b/>
                <w:color w:val="auto"/>
                <w:szCs w:val="21"/>
              </w:rPr>
            </w:pPr>
            <w:r>
              <w:rPr>
                <w:rFonts w:hint="eastAsia"/>
                <w:b/>
                <w:color w:val="auto"/>
                <w:szCs w:val="21"/>
              </w:rPr>
              <w:t>3、噪声</w:t>
            </w:r>
          </w:p>
          <w:p>
            <w:pPr>
              <w:spacing w:line="360" w:lineRule="auto"/>
              <w:ind w:firstLine="420" w:firstLineChars="200"/>
              <w:jc w:val="left"/>
              <w:rPr>
                <w:color w:val="auto"/>
                <w:szCs w:val="21"/>
              </w:rPr>
            </w:pPr>
            <w:r>
              <w:rPr>
                <w:rFonts w:hint="eastAsia"/>
                <w:color w:val="auto"/>
                <w:szCs w:val="21"/>
              </w:rPr>
              <w:t>（1）本项目对外环境噪声影响</w:t>
            </w:r>
          </w:p>
          <w:p>
            <w:pPr>
              <w:spacing w:line="360" w:lineRule="auto"/>
              <w:ind w:firstLine="420" w:firstLineChars="200"/>
              <w:jc w:val="left"/>
              <w:rPr>
                <w:color w:val="auto"/>
                <w:szCs w:val="21"/>
              </w:rPr>
            </w:pPr>
            <w:r>
              <w:rPr>
                <w:rFonts w:hint="eastAsia"/>
                <w:color w:val="auto"/>
                <w:szCs w:val="21"/>
              </w:rPr>
              <w:t>1）源强分析</w:t>
            </w:r>
          </w:p>
          <w:p>
            <w:pPr>
              <w:spacing w:line="360" w:lineRule="auto"/>
              <w:ind w:firstLine="420" w:firstLineChars="200"/>
              <w:jc w:val="left"/>
              <w:rPr>
                <w:color w:val="auto"/>
                <w:szCs w:val="21"/>
              </w:rPr>
            </w:pPr>
            <w:r>
              <w:rPr>
                <w:color w:val="auto"/>
                <w:szCs w:val="21"/>
              </w:rPr>
              <w:t>本项目不寄养动物，不留宿动物过夜，医院夜间不营业。运营期噪声源主要为空调室外机的运行噪声及就诊动物叫声。根据类比调查，项目运营期间主要噪声源是空调外机：70～75dB(A)。动物均在室内，就诊动物的叫声噪声强度为50～5</w:t>
            </w:r>
            <w:r>
              <w:rPr>
                <w:rFonts w:hint="eastAsia"/>
                <w:color w:val="auto"/>
                <w:szCs w:val="21"/>
              </w:rPr>
              <w:t>5</w:t>
            </w:r>
            <w:r>
              <w:rPr>
                <w:color w:val="auto"/>
                <w:szCs w:val="21"/>
              </w:rPr>
              <w:t>dB(A)，属于间歇性噪声。</w:t>
            </w:r>
          </w:p>
          <w:p>
            <w:pPr>
              <w:spacing w:line="360" w:lineRule="auto"/>
              <w:ind w:firstLine="420" w:firstLineChars="200"/>
              <w:jc w:val="left"/>
              <w:rPr>
                <w:color w:val="auto"/>
                <w:szCs w:val="21"/>
              </w:rPr>
            </w:pPr>
            <w:r>
              <w:rPr>
                <w:rFonts w:hint="eastAsia"/>
                <w:color w:val="auto"/>
                <w:szCs w:val="21"/>
              </w:rPr>
              <w:t>2）噪声防治措施</w:t>
            </w:r>
          </w:p>
          <w:p>
            <w:pPr>
              <w:spacing w:line="360" w:lineRule="auto"/>
              <w:ind w:firstLine="420" w:firstLineChars="200"/>
              <w:jc w:val="left"/>
              <w:rPr>
                <w:rFonts w:hAnsi="宋体"/>
                <w:bCs/>
                <w:color w:val="auto"/>
                <w:kern w:val="0"/>
                <w:szCs w:val="21"/>
              </w:rPr>
            </w:pPr>
            <w:r>
              <w:rPr>
                <w:rFonts w:hint="eastAsia" w:hAnsi="宋体"/>
                <w:bCs/>
                <w:color w:val="auto"/>
                <w:kern w:val="0"/>
                <w:szCs w:val="21"/>
              </w:rPr>
              <w:t>为进一步降低噪声污染，建设单位拟采取如下防治措施：</w:t>
            </w:r>
          </w:p>
          <w:p>
            <w:pPr>
              <w:spacing w:line="360" w:lineRule="auto"/>
              <w:ind w:firstLine="420" w:firstLineChars="200"/>
              <w:jc w:val="left"/>
              <w:rPr>
                <w:rFonts w:hAnsi="宋体"/>
                <w:bCs/>
                <w:color w:val="auto"/>
                <w:kern w:val="0"/>
                <w:szCs w:val="21"/>
              </w:rPr>
            </w:pPr>
            <w:r>
              <w:rPr>
                <w:rFonts w:hint="eastAsia" w:hAnsi="宋体"/>
                <w:bCs/>
                <w:color w:val="auto"/>
                <w:kern w:val="0"/>
                <w:szCs w:val="21"/>
              </w:rPr>
              <w:t>①选用低噪声设备，并定期维护保养，保证设备处于良好运行状态。</w:t>
            </w:r>
          </w:p>
          <w:p>
            <w:pPr>
              <w:spacing w:line="360" w:lineRule="auto"/>
              <w:ind w:firstLine="420" w:firstLineChars="200"/>
              <w:jc w:val="left"/>
              <w:rPr>
                <w:color w:val="auto"/>
                <w:szCs w:val="21"/>
              </w:rPr>
            </w:pPr>
            <w:r>
              <w:rPr>
                <w:rFonts w:hint="eastAsia"/>
                <w:color w:val="auto"/>
                <w:szCs w:val="21"/>
              </w:rPr>
              <w:t>②空调室外机放置于医院出入口临丰禾路一侧，通过采用隔声方式，使用屏障围住空调机组，降低空气性噪音对周围影响；采用弹性支架/底部安装减振底座，降低振动噪声对外界影响。</w:t>
            </w:r>
          </w:p>
          <w:p>
            <w:pPr>
              <w:spacing w:line="360" w:lineRule="auto"/>
              <w:ind w:firstLine="420" w:firstLineChars="200"/>
              <w:jc w:val="left"/>
              <w:rPr>
                <w:bCs/>
                <w:color w:val="auto"/>
                <w:kern w:val="0"/>
                <w:szCs w:val="21"/>
              </w:rPr>
            </w:pPr>
            <w:r>
              <w:rPr>
                <w:color w:val="auto"/>
                <w:szCs w:val="21"/>
              </w:rPr>
              <w:t>②动物就诊时安排在密闭诊室内及对犬类动物施行套嘴等措施，在宠物诊疗安排专业医护人员对宠物进行安抚工作，防止动物叫声对周围环境</w:t>
            </w:r>
            <w:r>
              <w:rPr>
                <w:rFonts w:hint="eastAsia"/>
                <w:color w:val="auto"/>
                <w:szCs w:val="21"/>
              </w:rPr>
              <w:t>（特别是丰和</w:t>
            </w:r>
            <w:r>
              <w:rPr>
                <w:color w:val="auto"/>
                <w:szCs w:val="21"/>
              </w:rPr>
              <w:t>坊一期</w:t>
            </w:r>
            <w:r>
              <w:rPr>
                <w:rFonts w:hint="eastAsia"/>
                <w:color w:val="auto"/>
                <w:szCs w:val="21"/>
              </w:rPr>
              <w:t>15幢居民生活）</w:t>
            </w:r>
            <w:r>
              <w:rPr>
                <w:color w:val="auto"/>
                <w:szCs w:val="21"/>
              </w:rPr>
              <w:t>造成影响。</w:t>
            </w:r>
          </w:p>
          <w:p>
            <w:pPr>
              <w:spacing w:line="360" w:lineRule="auto"/>
              <w:ind w:firstLine="420" w:firstLineChars="200"/>
              <w:jc w:val="left"/>
              <w:rPr>
                <w:rFonts w:hAnsi="宋体"/>
                <w:bCs/>
                <w:color w:val="auto"/>
                <w:kern w:val="0"/>
                <w:szCs w:val="21"/>
              </w:rPr>
            </w:pPr>
            <w:r>
              <w:rPr>
                <w:rFonts w:hint="eastAsia" w:hAnsi="宋体"/>
                <w:bCs/>
                <w:color w:val="auto"/>
                <w:kern w:val="0"/>
                <w:szCs w:val="21"/>
              </w:rPr>
              <w:t>3）预测模式及预测结果</w:t>
            </w:r>
          </w:p>
          <w:p>
            <w:pPr>
              <w:spacing w:line="360" w:lineRule="auto"/>
              <w:ind w:firstLine="420" w:firstLineChars="200"/>
              <w:jc w:val="left"/>
              <w:rPr>
                <w:rFonts w:hAnsi="宋体"/>
                <w:bCs/>
                <w:color w:val="auto"/>
                <w:kern w:val="0"/>
                <w:szCs w:val="21"/>
              </w:rPr>
            </w:pPr>
            <w:r>
              <w:rPr>
                <w:rFonts w:hint="eastAsia" w:hAnsi="宋体"/>
                <w:bCs/>
                <w:color w:val="auto"/>
                <w:kern w:val="0"/>
                <w:szCs w:val="21"/>
              </w:rPr>
              <w:t>根据《环境影响评价技术导则 声环境》（HJ2.4-20</w:t>
            </w:r>
            <w:r>
              <w:rPr>
                <w:rFonts w:hAnsi="宋体"/>
                <w:bCs/>
                <w:color w:val="auto"/>
                <w:kern w:val="0"/>
                <w:szCs w:val="21"/>
              </w:rPr>
              <w:t>21</w:t>
            </w:r>
            <w:r>
              <w:rPr>
                <w:rFonts w:hint="eastAsia" w:hAnsi="宋体"/>
                <w:bCs/>
                <w:color w:val="auto"/>
                <w:kern w:val="0"/>
                <w:szCs w:val="21"/>
              </w:rPr>
              <w:t>），采用单个室外的点声源在预测点产生的声级计算基本公式。运营期间厂界噪声及敏感点声环境预测结果见表4-6、4-7。</w:t>
            </w:r>
          </w:p>
          <w:p>
            <w:pPr>
              <w:pStyle w:val="2"/>
              <w:jc w:val="center"/>
              <w:rPr>
                <w:rFonts w:ascii="Times New Roman" w:hAnsi="宋体" w:cs="Times New Roman"/>
                <w:b/>
                <w:bCs/>
                <w:color w:val="auto"/>
                <w:sz w:val="21"/>
                <w:szCs w:val="21"/>
              </w:rPr>
            </w:pPr>
            <w:r>
              <w:rPr>
                <w:rFonts w:hint="eastAsia" w:ascii="Times New Roman" w:hAnsi="宋体" w:cs="Times New Roman"/>
                <w:b/>
                <w:bCs/>
                <w:color w:val="auto"/>
                <w:sz w:val="21"/>
                <w:szCs w:val="21"/>
              </w:rPr>
              <w:t>表4-6    运营期厂界噪声预测结果</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27"/>
              <w:gridCol w:w="1392"/>
              <w:gridCol w:w="1502"/>
              <w:gridCol w:w="1656"/>
              <w:gridCol w:w="17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1255" w:type="pct"/>
                  <w:vMerge w:val="restart"/>
                  <w:vAlign w:val="center"/>
                </w:tcPr>
                <w:p>
                  <w:pPr>
                    <w:widowControl/>
                    <w:jc w:val="center"/>
                    <w:rPr>
                      <w:bCs/>
                      <w:color w:val="auto"/>
                      <w:sz w:val="18"/>
                      <w:szCs w:val="18"/>
                    </w:rPr>
                  </w:pPr>
                  <w:r>
                    <w:rPr>
                      <w:rFonts w:hAnsi="宋体"/>
                      <w:bCs/>
                      <w:color w:val="auto"/>
                      <w:sz w:val="18"/>
                      <w:szCs w:val="18"/>
                    </w:rPr>
                    <w:t>预测点位</w:t>
                  </w:r>
                </w:p>
              </w:tc>
              <w:tc>
                <w:tcPr>
                  <w:tcW w:w="821" w:type="pct"/>
                  <w:vAlign w:val="center"/>
                </w:tcPr>
                <w:p>
                  <w:pPr>
                    <w:widowControl/>
                    <w:jc w:val="center"/>
                    <w:rPr>
                      <w:bCs/>
                      <w:color w:val="auto"/>
                      <w:sz w:val="18"/>
                      <w:szCs w:val="18"/>
                    </w:rPr>
                  </w:pPr>
                  <w:r>
                    <w:rPr>
                      <w:rFonts w:hAnsi="宋体"/>
                      <w:bCs/>
                      <w:color w:val="auto"/>
                      <w:sz w:val="18"/>
                      <w:szCs w:val="18"/>
                    </w:rPr>
                    <w:t>东厂界</w:t>
                  </w:r>
                </w:p>
              </w:tc>
              <w:tc>
                <w:tcPr>
                  <w:tcW w:w="886" w:type="pct"/>
                  <w:vAlign w:val="center"/>
                </w:tcPr>
                <w:p>
                  <w:pPr>
                    <w:widowControl/>
                    <w:jc w:val="center"/>
                    <w:rPr>
                      <w:bCs/>
                      <w:color w:val="auto"/>
                      <w:sz w:val="18"/>
                      <w:szCs w:val="18"/>
                    </w:rPr>
                  </w:pPr>
                  <w:r>
                    <w:rPr>
                      <w:rFonts w:hAnsi="宋体"/>
                      <w:bCs/>
                      <w:color w:val="auto"/>
                      <w:sz w:val="18"/>
                      <w:szCs w:val="18"/>
                    </w:rPr>
                    <w:t>南厂界</w:t>
                  </w:r>
                </w:p>
              </w:tc>
              <w:tc>
                <w:tcPr>
                  <w:tcW w:w="977" w:type="pct"/>
                  <w:vAlign w:val="center"/>
                </w:tcPr>
                <w:p>
                  <w:pPr>
                    <w:widowControl/>
                    <w:jc w:val="center"/>
                    <w:rPr>
                      <w:bCs/>
                      <w:color w:val="auto"/>
                      <w:sz w:val="18"/>
                      <w:szCs w:val="18"/>
                    </w:rPr>
                  </w:pPr>
                  <w:r>
                    <w:rPr>
                      <w:rFonts w:hAnsi="宋体"/>
                      <w:bCs/>
                      <w:color w:val="auto"/>
                      <w:sz w:val="18"/>
                      <w:szCs w:val="18"/>
                    </w:rPr>
                    <w:t>西厂界</w:t>
                  </w:r>
                </w:p>
              </w:tc>
              <w:tc>
                <w:tcPr>
                  <w:tcW w:w="1061" w:type="pct"/>
                  <w:vAlign w:val="center"/>
                </w:tcPr>
                <w:p>
                  <w:pPr>
                    <w:widowControl/>
                    <w:jc w:val="center"/>
                    <w:rPr>
                      <w:bCs/>
                      <w:color w:val="auto"/>
                      <w:sz w:val="18"/>
                      <w:szCs w:val="18"/>
                    </w:rPr>
                  </w:pPr>
                  <w:r>
                    <w:rPr>
                      <w:rFonts w:hAnsi="宋体"/>
                      <w:bCs/>
                      <w:color w:val="auto"/>
                      <w:sz w:val="18"/>
                      <w:szCs w:val="18"/>
                    </w:rPr>
                    <w:t>北厂界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55" w:type="pct"/>
                  <w:vMerge w:val="continue"/>
                  <w:vAlign w:val="center"/>
                </w:tcPr>
                <w:p>
                  <w:pPr>
                    <w:widowControl/>
                    <w:jc w:val="center"/>
                    <w:rPr>
                      <w:bCs/>
                      <w:color w:val="auto"/>
                      <w:sz w:val="18"/>
                      <w:szCs w:val="18"/>
                    </w:rPr>
                  </w:pPr>
                </w:p>
              </w:tc>
              <w:tc>
                <w:tcPr>
                  <w:tcW w:w="821" w:type="pct"/>
                  <w:vAlign w:val="center"/>
                </w:tcPr>
                <w:p>
                  <w:pPr>
                    <w:widowControl/>
                    <w:jc w:val="center"/>
                    <w:rPr>
                      <w:bCs/>
                      <w:color w:val="auto"/>
                      <w:sz w:val="18"/>
                      <w:szCs w:val="18"/>
                    </w:rPr>
                  </w:pPr>
                  <w:r>
                    <w:rPr>
                      <w:rFonts w:hAnsi="宋体"/>
                      <w:bCs/>
                      <w:color w:val="auto"/>
                      <w:sz w:val="18"/>
                      <w:szCs w:val="18"/>
                    </w:rPr>
                    <w:t>昼间</w:t>
                  </w:r>
                </w:p>
              </w:tc>
              <w:tc>
                <w:tcPr>
                  <w:tcW w:w="886" w:type="pct"/>
                  <w:vAlign w:val="center"/>
                </w:tcPr>
                <w:p>
                  <w:pPr>
                    <w:widowControl/>
                    <w:jc w:val="center"/>
                    <w:rPr>
                      <w:bCs/>
                      <w:color w:val="auto"/>
                      <w:sz w:val="18"/>
                      <w:szCs w:val="18"/>
                    </w:rPr>
                  </w:pPr>
                  <w:r>
                    <w:rPr>
                      <w:rFonts w:hAnsi="宋体"/>
                      <w:bCs/>
                      <w:color w:val="auto"/>
                      <w:sz w:val="18"/>
                      <w:szCs w:val="18"/>
                    </w:rPr>
                    <w:t>昼间</w:t>
                  </w:r>
                </w:p>
              </w:tc>
              <w:tc>
                <w:tcPr>
                  <w:tcW w:w="977" w:type="pct"/>
                  <w:vAlign w:val="center"/>
                </w:tcPr>
                <w:p>
                  <w:pPr>
                    <w:widowControl/>
                    <w:jc w:val="center"/>
                    <w:rPr>
                      <w:bCs/>
                      <w:color w:val="auto"/>
                      <w:sz w:val="18"/>
                      <w:szCs w:val="18"/>
                    </w:rPr>
                  </w:pPr>
                  <w:r>
                    <w:rPr>
                      <w:rFonts w:hAnsi="宋体"/>
                      <w:bCs/>
                      <w:color w:val="auto"/>
                      <w:sz w:val="18"/>
                      <w:szCs w:val="18"/>
                    </w:rPr>
                    <w:t>昼间</w:t>
                  </w:r>
                </w:p>
              </w:tc>
              <w:tc>
                <w:tcPr>
                  <w:tcW w:w="1061" w:type="pct"/>
                  <w:vAlign w:val="center"/>
                </w:tcPr>
                <w:p>
                  <w:pPr>
                    <w:widowControl/>
                    <w:jc w:val="center"/>
                    <w:rPr>
                      <w:bCs/>
                      <w:color w:val="auto"/>
                      <w:sz w:val="18"/>
                      <w:szCs w:val="18"/>
                    </w:rPr>
                  </w:pPr>
                  <w:r>
                    <w:rPr>
                      <w:rFonts w:hAnsi="宋体"/>
                      <w:bCs/>
                      <w:color w:val="auto"/>
                      <w:sz w:val="18"/>
                      <w:szCs w:val="18"/>
                    </w:rPr>
                    <w:t>昼间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55" w:type="pct"/>
                  <w:vAlign w:val="center"/>
                </w:tcPr>
                <w:p>
                  <w:pPr>
                    <w:widowControl/>
                    <w:jc w:val="center"/>
                    <w:rPr>
                      <w:bCs/>
                      <w:color w:val="auto"/>
                      <w:sz w:val="18"/>
                      <w:szCs w:val="18"/>
                    </w:rPr>
                  </w:pPr>
                  <w:r>
                    <w:rPr>
                      <w:rFonts w:hAnsi="宋体"/>
                      <w:bCs/>
                      <w:color w:val="auto"/>
                      <w:sz w:val="18"/>
                      <w:szCs w:val="18"/>
                    </w:rPr>
                    <w:t>贡献值</w:t>
                  </w:r>
                  <w:r>
                    <w:rPr>
                      <w:bCs/>
                      <w:color w:val="auto"/>
                      <w:sz w:val="18"/>
                      <w:szCs w:val="18"/>
                    </w:rPr>
                    <w:t>(dB)</w:t>
                  </w:r>
                </w:p>
              </w:tc>
              <w:tc>
                <w:tcPr>
                  <w:tcW w:w="821" w:type="pct"/>
                  <w:vAlign w:val="center"/>
                </w:tcPr>
                <w:p>
                  <w:pPr>
                    <w:widowControl/>
                    <w:jc w:val="center"/>
                    <w:rPr>
                      <w:color w:val="auto"/>
                      <w:sz w:val="18"/>
                      <w:szCs w:val="18"/>
                    </w:rPr>
                  </w:pPr>
                  <w:r>
                    <w:rPr>
                      <w:rFonts w:hint="eastAsia"/>
                      <w:color w:val="auto"/>
                      <w:sz w:val="18"/>
                      <w:szCs w:val="18"/>
                    </w:rPr>
                    <w:t>48</w:t>
                  </w:r>
                </w:p>
              </w:tc>
              <w:tc>
                <w:tcPr>
                  <w:tcW w:w="886" w:type="pct"/>
                  <w:vAlign w:val="center"/>
                </w:tcPr>
                <w:p>
                  <w:pPr>
                    <w:widowControl/>
                    <w:jc w:val="center"/>
                    <w:rPr>
                      <w:color w:val="auto"/>
                      <w:sz w:val="18"/>
                      <w:szCs w:val="18"/>
                    </w:rPr>
                  </w:pPr>
                  <w:r>
                    <w:rPr>
                      <w:color w:val="auto"/>
                      <w:sz w:val="18"/>
                      <w:szCs w:val="18"/>
                    </w:rPr>
                    <w:t>58</w:t>
                  </w:r>
                </w:p>
              </w:tc>
              <w:tc>
                <w:tcPr>
                  <w:tcW w:w="977" w:type="pct"/>
                  <w:vAlign w:val="center"/>
                </w:tcPr>
                <w:p>
                  <w:pPr>
                    <w:widowControl/>
                    <w:jc w:val="center"/>
                    <w:rPr>
                      <w:color w:val="auto"/>
                      <w:sz w:val="18"/>
                      <w:szCs w:val="18"/>
                    </w:rPr>
                  </w:pPr>
                  <w:r>
                    <w:rPr>
                      <w:rFonts w:hint="eastAsia"/>
                      <w:color w:val="auto"/>
                      <w:sz w:val="18"/>
                      <w:szCs w:val="18"/>
                    </w:rPr>
                    <w:t>47</w:t>
                  </w:r>
                </w:p>
              </w:tc>
              <w:tc>
                <w:tcPr>
                  <w:tcW w:w="1061" w:type="pct"/>
                  <w:vAlign w:val="center"/>
                </w:tcPr>
                <w:p>
                  <w:pPr>
                    <w:widowControl/>
                    <w:jc w:val="center"/>
                    <w:rPr>
                      <w:color w:val="auto"/>
                      <w:sz w:val="18"/>
                      <w:szCs w:val="18"/>
                    </w:rPr>
                  </w:pPr>
                  <w:r>
                    <w:rPr>
                      <w:color w:val="auto"/>
                      <w:sz w:val="18"/>
                      <w:szCs w:val="18"/>
                    </w:rPr>
                    <w:t>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55" w:type="pct"/>
                  <w:vAlign w:val="center"/>
                </w:tcPr>
                <w:p>
                  <w:pPr>
                    <w:widowControl/>
                    <w:jc w:val="center"/>
                    <w:rPr>
                      <w:bCs/>
                      <w:color w:val="auto"/>
                      <w:sz w:val="18"/>
                      <w:szCs w:val="18"/>
                    </w:rPr>
                  </w:pPr>
                  <w:r>
                    <w:rPr>
                      <w:rFonts w:hAnsi="宋体"/>
                      <w:bCs/>
                      <w:color w:val="auto"/>
                      <w:sz w:val="18"/>
                      <w:szCs w:val="18"/>
                    </w:rPr>
                    <w:t>标准值</w:t>
                  </w:r>
                  <w:r>
                    <w:rPr>
                      <w:bCs/>
                      <w:color w:val="auto"/>
                      <w:sz w:val="18"/>
                      <w:szCs w:val="18"/>
                    </w:rPr>
                    <w:t>(dB)</w:t>
                  </w:r>
                </w:p>
              </w:tc>
              <w:tc>
                <w:tcPr>
                  <w:tcW w:w="821" w:type="pct"/>
                  <w:vAlign w:val="center"/>
                </w:tcPr>
                <w:p>
                  <w:pPr>
                    <w:widowControl/>
                    <w:jc w:val="center"/>
                    <w:rPr>
                      <w:color w:val="auto"/>
                      <w:sz w:val="18"/>
                      <w:szCs w:val="18"/>
                    </w:rPr>
                  </w:pPr>
                  <w:r>
                    <w:rPr>
                      <w:color w:val="auto"/>
                      <w:sz w:val="18"/>
                      <w:szCs w:val="18"/>
                    </w:rPr>
                    <w:t>60</w:t>
                  </w:r>
                </w:p>
              </w:tc>
              <w:tc>
                <w:tcPr>
                  <w:tcW w:w="886" w:type="pct"/>
                  <w:vAlign w:val="center"/>
                </w:tcPr>
                <w:p>
                  <w:pPr>
                    <w:widowControl/>
                    <w:jc w:val="center"/>
                    <w:rPr>
                      <w:color w:val="auto"/>
                      <w:sz w:val="18"/>
                      <w:szCs w:val="18"/>
                    </w:rPr>
                  </w:pPr>
                  <w:r>
                    <w:rPr>
                      <w:color w:val="auto"/>
                      <w:sz w:val="18"/>
                      <w:szCs w:val="18"/>
                    </w:rPr>
                    <w:t>60</w:t>
                  </w:r>
                </w:p>
              </w:tc>
              <w:tc>
                <w:tcPr>
                  <w:tcW w:w="977" w:type="pct"/>
                  <w:vAlign w:val="center"/>
                </w:tcPr>
                <w:p>
                  <w:pPr>
                    <w:widowControl/>
                    <w:jc w:val="center"/>
                    <w:rPr>
                      <w:color w:val="auto"/>
                      <w:sz w:val="18"/>
                      <w:szCs w:val="18"/>
                    </w:rPr>
                  </w:pPr>
                  <w:r>
                    <w:rPr>
                      <w:color w:val="auto"/>
                      <w:sz w:val="18"/>
                      <w:szCs w:val="18"/>
                    </w:rPr>
                    <w:t>60</w:t>
                  </w:r>
                </w:p>
              </w:tc>
              <w:tc>
                <w:tcPr>
                  <w:tcW w:w="1061" w:type="pct"/>
                  <w:vAlign w:val="center"/>
                </w:tcPr>
                <w:p>
                  <w:pPr>
                    <w:widowControl/>
                    <w:jc w:val="center"/>
                    <w:rPr>
                      <w:color w:val="auto"/>
                      <w:sz w:val="18"/>
                      <w:szCs w:val="18"/>
                    </w:rPr>
                  </w:pPr>
                  <w:r>
                    <w:rPr>
                      <w:color w:val="auto"/>
                      <w:sz w:val="18"/>
                      <w:szCs w:val="18"/>
                    </w:rPr>
                    <w:t>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1255" w:type="pct"/>
                  <w:vAlign w:val="center"/>
                </w:tcPr>
                <w:p>
                  <w:pPr>
                    <w:widowControl/>
                    <w:jc w:val="center"/>
                    <w:rPr>
                      <w:bCs/>
                      <w:color w:val="auto"/>
                      <w:sz w:val="18"/>
                      <w:szCs w:val="18"/>
                    </w:rPr>
                  </w:pPr>
                  <w:r>
                    <w:rPr>
                      <w:rFonts w:hAnsi="宋体"/>
                      <w:bCs/>
                      <w:color w:val="auto"/>
                      <w:sz w:val="18"/>
                      <w:szCs w:val="18"/>
                    </w:rPr>
                    <w:t>达标分析</w:t>
                  </w:r>
                </w:p>
              </w:tc>
              <w:tc>
                <w:tcPr>
                  <w:tcW w:w="821" w:type="pct"/>
                  <w:vAlign w:val="center"/>
                </w:tcPr>
                <w:p>
                  <w:pPr>
                    <w:widowControl/>
                    <w:jc w:val="center"/>
                    <w:rPr>
                      <w:color w:val="auto"/>
                      <w:sz w:val="18"/>
                      <w:szCs w:val="18"/>
                    </w:rPr>
                  </w:pPr>
                  <w:r>
                    <w:rPr>
                      <w:rFonts w:hAnsi="宋体"/>
                      <w:color w:val="auto"/>
                      <w:sz w:val="18"/>
                      <w:szCs w:val="18"/>
                    </w:rPr>
                    <w:t>达标</w:t>
                  </w:r>
                </w:p>
              </w:tc>
              <w:tc>
                <w:tcPr>
                  <w:tcW w:w="886" w:type="pct"/>
                  <w:vAlign w:val="center"/>
                </w:tcPr>
                <w:p>
                  <w:pPr>
                    <w:widowControl/>
                    <w:jc w:val="center"/>
                    <w:rPr>
                      <w:color w:val="auto"/>
                      <w:sz w:val="18"/>
                      <w:szCs w:val="18"/>
                    </w:rPr>
                  </w:pPr>
                  <w:r>
                    <w:rPr>
                      <w:rFonts w:hAnsi="宋体"/>
                      <w:color w:val="auto"/>
                      <w:sz w:val="18"/>
                      <w:szCs w:val="18"/>
                    </w:rPr>
                    <w:t>达标</w:t>
                  </w:r>
                </w:p>
              </w:tc>
              <w:tc>
                <w:tcPr>
                  <w:tcW w:w="977" w:type="pct"/>
                  <w:vAlign w:val="center"/>
                </w:tcPr>
                <w:p>
                  <w:pPr>
                    <w:widowControl/>
                    <w:jc w:val="center"/>
                    <w:rPr>
                      <w:color w:val="auto"/>
                      <w:sz w:val="18"/>
                      <w:szCs w:val="18"/>
                    </w:rPr>
                  </w:pPr>
                  <w:r>
                    <w:rPr>
                      <w:rFonts w:hAnsi="宋体"/>
                      <w:color w:val="auto"/>
                      <w:sz w:val="18"/>
                      <w:szCs w:val="18"/>
                    </w:rPr>
                    <w:t>达标</w:t>
                  </w:r>
                </w:p>
              </w:tc>
              <w:tc>
                <w:tcPr>
                  <w:tcW w:w="1061" w:type="pct"/>
                  <w:vAlign w:val="center"/>
                </w:tcPr>
                <w:p>
                  <w:pPr>
                    <w:widowControl/>
                    <w:jc w:val="center"/>
                    <w:rPr>
                      <w:color w:val="auto"/>
                      <w:sz w:val="18"/>
                      <w:szCs w:val="18"/>
                    </w:rPr>
                  </w:pPr>
                  <w:r>
                    <w:rPr>
                      <w:rFonts w:hAnsi="宋体"/>
                      <w:color w:val="auto"/>
                      <w:sz w:val="18"/>
                      <w:szCs w:val="18"/>
                    </w:rPr>
                    <w:t>达标</w:t>
                  </w:r>
                </w:p>
              </w:tc>
            </w:tr>
          </w:tbl>
          <w:p>
            <w:pPr>
              <w:pStyle w:val="2"/>
              <w:jc w:val="center"/>
              <w:rPr>
                <w:rFonts w:ascii="Times New Roman" w:hAnsi="宋体" w:cs="Times New Roman"/>
                <w:b/>
                <w:bCs/>
                <w:color w:val="auto"/>
                <w:sz w:val="21"/>
                <w:szCs w:val="21"/>
              </w:rPr>
            </w:pPr>
            <w:r>
              <w:rPr>
                <w:rFonts w:hint="eastAsia" w:ascii="Times New Roman" w:hAnsi="宋体" w:cs="Times New Roman"/>
                <w:b/>
                <w:bCs/>
                <w:color w:val="auto"/>
                <w:sz w:val="21"/>
                <w:szCs w:val="21"/>
              </w:rPr>
              <w:t>表4-7    运营期敏感点声环境预测结果</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39"/>
              <w:gridCol w:w="1583"/>
              <w:gridCol w:w="1585"/>
              <w:gridCol w:w="1585"/>
              <w:gridCol w:w="15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1262" w:type="pct"/>
                  <w:vMerge w:val="restart"/>
                  <w:vAlign w:val="center"/>
                </w:tcPr>
                <w:p>
                  <w:pPr>
                    <w:widowControl/>
                    <w:jc w:val="center"/>
                    <w:rPr>
                      <w:bCs/>
                      <w:color w:val="auto"/>
                      <w:sz w:val="18"/>
                      <w:szCs w:val="18"/>
                    </w:rPr>
                  </w:pPr>
                  <w:r>
                    <w:rPr>
                      <w:rFonts w:hAnsi="宋体"/>
                      <w:bCs/>
                      <w:color w:val="auto"/>
                      <w:sz w:val="18"/>
                      <w:szCs w:val="18"/>
                    </w:rPr>
                    <w:t>预测点位</w:t>
                  </w:r>
                </w:p>
              </w:tc>
              <w:tc>
                <w:tcPr>
                  <w:tcW w:w="1869" w:type="pct"/>
                  <w:gridSpan w:val="2"/>
                  <w:vAlign w:val="center"/>
                </w:tcPr>
                <w:p>
                  <w:pPr>
                    <w:widowControl/>
                    <w:jc w:val="center"/>
                    <w:rPr>
                      <w:bCs/>
                      <w:color w:val="auto"/>
                      <w:sz w:val="18"/>
                      <w:szCs w:val="18"/>
                    </w:rPr>
                  </w:pPr>
                  <w:r>
                    <w:rPr>
                      <w:rFonts w:hint="eastAsia"/>
                      <w:bCs/>
                      <w:color w:val="auto"/>
                      <w:sz w:val="18"/>
                      <w:szCs w:val="18"/>
                    </w:rPr>
                    <w:t>丰和</w:t>
                  </w:r>
                  <w:r>
                    <w:rPr>
                      <w:bCs/>
                      <w:color w:val="auto"/>
                      <w:sz w:val="18"/>
                      <w:szCs w:val="18"/>
                    </w:rPr>
                    <w:t>坊一期</w:t>
                  </w:r>
                  <w:r>
                    <w:rPr>
                      <w:rFonts w:hint="eastAsia"/>
                      <w:bCs/>
                      <w:color w:val="auto"/>
                      <w:sz w:val="18"/>
                      <w:szCs w:val="18"/>
                    </w:rPr>
                    <w:t>15幢</w:t>
                  </w:r>
                  <w:r>
                    <w:rPr>
                      <w:bCs/>
                      <w:color w:val="auto"/>
                      <w:sz w:val="18"/>
                      <w:szCs w:val="18"/>
                    </w:rPr>
                    <w:t>南侧楼外</w:t>
                  </w:r>
                  <w:r>
                    <w:rPr>
                      <w:rFonts w:hint="eastAsia"/>
                      <w:bCs/>
                      <w:color w:val="auto"/>
                      <w:sz w:val="18"/>
                      <w:szCs w:val="18"/>
                    </w:rPr>
                    <w:t>1m</w:t>
                  </w:r>
                </w:p>
              </w:tc>
              <w:tc>
                <w:tcPr>
                  <w:tcW w:w="1869" w:type="pct"/>
                  <w:gridSpan w:val="2"/>
                  <w:vAlign w:val="center"/>
                </w:tcPr>
                <w:p>
                  <w:pPr>
                    <w:widowControl/>
                    <w:jc w:val="center"/>
                    <w:rPr>
                      <w:bCs/>
                      <w:color w:val="auto"/>
                      <w:sz w:val="18"/>
                      <w:szCs w:val="18"/>
                    </w:rPr>
                  </w:pPr>
                  <w:r>
                    <w:rPr>
                      <w:rFonts w:hint="eastAsia"/>
                      <w:bCs/>
                      <w:color w:val="auto"/>
                      <w:sz w:val="18"/>
                      <w:szCs w:val="18"/>
                    </w:rPr>
                    <w:t>丰</w:t>
                  </w:r>
                  <w:r>
                    <w:rPr>
                      <w:bCs/>
                      <w:color w:val="auto"/>
                      <w:sz w:val="18"/>
                      <w:szCs w:val="18"/>
                    </w:rPr>
                    <w:t>和坊一期</w:t>
                  </w:r>
                  <w:r>
                    <w:rPr>
                      <w:rFonts w:hint="eastAsia"/>
                      <w:bCs/>
                      <w:color w:val="auto"/>
                      <w:sz w:val="18"/>
                      <w:szCs w:val="18"/>
                    </w:rPr>
                    <w:t>15幢</w:t>
                  </w:r>
                  <w:r>
                    <w:rPr>
                      <w:bCs/>
                      <w:color w:val="auto"/>
                      <w:sz w:val="18"/>
                      <w:szCs w:val="18"/>
                    </w:rPr>
                    <w:t>北侧楼外</w:t>
                  </w:r>
                  <w:r>
                    <w:rPr>
                      <w:rFonts w:hint="eastAsia"/>
                      <w:bCs/>
                      <w:color w:val="auto"/>
                      <w:sz w:val="18"/>
                      <w:szCs w:val="18"/>
                    </w:rPr>
                    <w:t>1m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62" w:type="pct"/>
                  <w:vMerge w:val="continue"/>
                  <w:vAlign w:val="center"/>
                </w:tcPr>
                <w:p>
                  <w:pPr>
                    <w:widowControl/>
                    <w:jc w:val="center"/>
                    <w:rPr>
                      <w:bCs/>
                      <w:color w:val="auto"/>
                      <w:sz w:val="18"/>
                      <w:szCs w:val="18"/>
                    </w:rPr>
                  </w:pPr>
                </w:p>
              </w:tc>
              <w:tc>
                <w:tcPr>
                  <w:tcW w:w="934" w:type="pct"/>
                  <w:tcBorders>
                    <w:right w:val="single" w:color="auto" w:sz="4" w:space="0"/>
                  </w:tcBorders>
                  <w:vAlign w:val="center"/>
                </w:tcPr>
                <w:p>
                  <w:pPr>
                    <w:widowControl/>
                    <w:jc w:val="center"/>
                    <w:rPr>
                      <w:bCs/>
                      <w:color w:val="auto"/>
                      <w:sz w:val="18"/>
                      <w:szCs w:val="18"/>
                    </w:rPr>
                  </w:pPr>
                  <w:r>
                    <w:rPr>
                      <w:rFonts w:hAnsi="宋体"/>
                      <w:bCs/>
                      <w:color w:val="auto"/>
                      <w:sz w:val="18"/>
                      <w:szCs w:val="18"/>
                    </w:rPr>
                    <w:t>昼间</w:t>
                  </w:r>
                </w:p>
              </w:tc>
              <w:tc>
                <w:tcPr>
                  <w:tcW w:w="935" w:type="pct"/>
                  <w:tcBorders>
                    <w:left w:val="single" w:color="auto" w:sz="4" w:space="0"/>
                  </w:tcBorders>
                  <w:vAlign w:val="center"/>
                </w:tcPr>
                <w:p>
                  <w:pPr>
                    <w:widowControl/>
                    <w:jc w:val="center"/>
                    <w:rPr>
                      <w:bCs/>
                      <w:color w:val="auto"/>
                      <w:sz w:val="18"/>
                      <w:szCs w:val="18"/>
                    </w:rPr>
                  </w:pPr>
                  <w:r>
                    <w:rPr>
                      <w:rFonts w:hint="eastAsia"/>
                      <w:bCs/>
                      <w:color w:val="auto"/>
                      <w:sz w:val="18"/>
                      <w:szCs w:val="18"/>
                    </w:rPr>
                    <w:t>夜间</w:t>
                  </w:r>
                </w:p>
              </w:tc>
              <w:tc>
                <w:tcPr>
                  <w:tcW w:w="935" w:type="pct"/>
                  <w:tcBorders>
                    <w:right w:val="single" w:color="auto" w:sz="4" w:space="0"/>
                  </w:tcBorders>
                  <w:vAlign w:val="center"/>
                </w:tcPr>
                <w:p>
                  <w:pPr>
                    <w:widowControl/>
                    <w:jc w:val="center"/>
                    <w:rPr>
                      <w:bCs/>
                      <w:color w:val="auto"/>
                      <w:sz w:val="18"/>
                      <w:szCs w:val="18"/>
                    </w:rPr>
                  </w:pPr>
                  <w:r>
                    <w:rPr>
                      <w:rFonts w:hAnsi="宋体"/>
                      <w:bCs/>
                      <w:color w:val="auto"/>
                      <w:sz w:val="18"/>
                      <w:szCs w:val="18"/>
                    </w:rPr>
                    <w:t>昼间</w:t>
                  </w:r>
                </w:p>
              </w:tc>
              <w:tc>
                <w:tcPr>
                  <w:tcW w:w="934" w:type="pct"/>
                  <w:tcBorders>
                    <w:left w:val="single" w:color="auto" w:sz="4" w:space="0"/>
                  </w:tcBorders>
                  <w:vAlign w:val="center"/>
                </w:tcPr>
                <w:p>
                  <w:pPr>
                    <w:widowControl/>
                    <w:jc w:val="center"/>
                    <w:rPr>
                      <w:bCs/>
                      <w:color w:val="auto"/>
                      <w:sz w:val="18"/>
                      <w:szCs w:val="18"/>
                    </w:rPr>
                  </w:pPr>
                  <w:r>
                    <w:rPr>
                      <w:rFonts w:hint="eastAsia"/>
                      <w:bCs/>
                      <w:color w:val="auto"/>
                      <w:sz w:val="18"/>
                      <w:szCs w:val="18"/>
                    </w:rPr>
                    <w:t>夜间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62" w:type="pct"/>
                  <w:vAlign w:val="center"/>
                </w:tcPr>
                <w:p>
                  <w:pPr>
                    <w:widowControl/>
                    <w:jc w:val="center"/>
                    <w:rPr>
                      <w:bCs/>
                      <w:color w:val="auto"/>
                      <w:sz w:val="18"/>
                      <w:szCs w:val="18"/>
                    </w:rPr>
                  </w:pPr>
                  <w:r>
                    <w:rPr>
                      <w:rFonts w:hAnsi="宋体"/>
                      <w:bCs/>
                      <w:color w:val="auto"/>
                      <w:sz w:val="18"/>
                      <w:szCs w:val="18"/>
                    </w:rPr>
                    <w:t>贡献值</w:t>
                  </w:r>
                  <w:r>
                    <w:rPr>
                      <w:bCs/>
                      <w:color w:val="auto"/>
                      <w:sz w:val="18"/>
                      <w:szCs w:val="18"/>
                    </w:rPr>
                    <w:t>(dB)</w:t>
                  </w:r>
                </w:p>
              </w:tc>
              <w:tc>
                <w:tcPr>
                  <w:tcW w:w="934" w:type="pct"/>
                  <w:tcBorders>
                    <w:right w:val="single" w:color="auto" w:sz="4" w:space="0"/>
                  </w:tcBorders>
                  <w:vAlign w:val="center"/>
                </w:tcPr>
                <w:p>
                  <w:pPr>
                    <w:widowControl/>
                    <w:jc w:val="center"/>
                    <w:rPr>
                      <w:color w:val="auto"/>
                      <w:sz w:val="18"/>
                      <w:szCs w:val="18"/>
                    </w:rPr>
                  </w:pPr>
                  <w:r>
                    <w:rPr>
                      <w:color w:val="auto"/>
                      <w:sz w:val="18"/>
                      <w:szCs w:val="18"/>
                    </w:rPr>
                    <w:t>58</w:t>
                  </w:r>
                </w:p>
              </w:tc>
              <w:tc>
                <w:tcPr>
                  <w:tcW w:w="935"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c>
                <w:tcPr>
                  <w:tcW w:w="935" w:type="pct"/>
                  <w:tcBorders>
                    <w:right w:val="single" w:color="auto" w:sz="4" w:space="0"/>
                  </w:tcBorders>
                  <w:vAlign w:val="center"/>
                </w:tcPr>
                <w:p>
                  <w:pPr>
                    <w:widowControl/>
                    <w:jc w:val="center"/>
                    <w:rPr>
                      <w:color w:val="auto"/>
                      <w:sz w:val="18"/>
                      <w:szCs w:val="18"/>
                    </w:rPr>
                  </w:pPr>
                  <w:r>
                    <w:rPr>
                      <w:color w:val="auto"/>
                      <w:sz w:val="18"/>
                      <w:szCs w:val="18"/>
                    </w:rPr>
                    <w:t>46</w:t>
                  </w:r>
                </w:p>
              </w:tc>
              <w:tc>
                <w:tcPr>
                  <w:tcW w:w="934"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62" w:type="pct"/>
                  <w:vAlign w:val="center"/>
                </w:tcPr>
                <w:p>
                  <w:pPr>
                    <w:widowControl/>
                    <w:jc w:val="center"/>
                    <w:rPr>
                      <w:rFonts w:hAnsi="宋体"/>
                      <w:bCs/>
                      <w:color w:val="auto"/>
                      <w:sz w:val="18"/>
                      <w:szCs w:val="18"/>
                    </w:rPr>
                  </w:pPr>
                  <w:r>
                    <w:rPr>
                      <w:rFonts w:hint="eastAsia" w:hAnsi="宋体"/>
                      <w:bCs/>
                      <w:color w:val="auto"/>
                      <w:sz w:val="18"/>
                      <w:szCs w:val="18"/>
                    </w:rPr>
                    <w:t>背景值</w:t>
                  </w:r>
                  <w:r>
                    <w:rPr>
                      <w:bCs/>
                      <w:color w:val="auto"/>
                      <w:sz w:val="18"/>
                      <w:szCs w:val="18"/>
                    </w:rPr>
                    <w:t>(dB)</w:t>
                  </w:r>
                </w:p>
              </w:tc>
              <w:tc>
                <w:tcPr>
                  <w:tcW w:w="934" w:type="pct"/>
                  <w:tcBorders>
                    <w:right w:val="single" w:color="auto" w:sz="4" w:space="0"/>
                  </w:tcBorders>
                  <w:vAlign w:val="center"/>
                </w:tcPr>
                <w:p>
                  <w:pPr>
                    <w:widowControl/>
                    <w:jc w:val="center"/>
                    <w:rPr>
                      <w:color w:val="auto"/>
                      <w:sz w:val="18"/>
                      <w:szCs w:val="18"/>
                    </w:rPr>
                  </w:pPr>
                  <w:r>
                    <w:rPr>
                      <w:color w:val="auto"/>
                      <w:sz w:val="18"/>
                      <w:szCs w:val="18"/>
                    </w:rPr>
                    <w:t>53</w:t>
                  </w:r>
                </w:p>
              </w:tc>
              <w:tc>
                <w:tcPr>
                  <w:tcW w:w="935"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c>
                <w:tcPr>
                  <w:tcW w:w="935" w:type="pct"/>
                  <w:tcBorders>
                    <w:right w:val="single" w:color="auto" w:sz="4" w:space="0"/>
                  </w:tcBorders>
                  <w:vAlign w:val="center"/>
                </w:tcPr>
                <w:p>
                  <w:pPr>
                    <w:widowControl/>
                    <w:jc w:val="center"/>
                    <w:rPr>
                      <w:color w:val="auto"/>
                      <w:sz w:val="18"/>
                      <w:szCs w:val="18"/>
                    </w:rPr>
                  </w:pPr>
                  <w:r>
                    <w:rPr>
                      <w:color w:val="auto"/>
                      <w:sz w:val="18"/>
                      <w:szCs w:val="18"/>
                    </w:rPr>
                    <w:t>53</w:t>
                  </w:r>
                </w:p>
              </w:tc>
              <w:tc>
                <w:tcPr>
                  <w:tcW w:w="934"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62" w:type="pct"/>
                  <w:vAlign w:val="center"/>
                </w:tcPr>
                <w:p>
                  <w:pPr>
                    <w:widowControl/>
                    <w:jc w:val="center"/>
                    <w:rPr>
                      <w:rFonts w:hAnsi="宋体"/>
                      <w:bCs/>
                      <w:color w:val="auto"/>
                      <w:sz w:val="18"/>
                      <w:szCs w:val="18"/>
                    </w:rPr>
                  </w:pPr>
                  <w:r>
                    <w:rPr>
                      <w:rFonts w:hint="eastAsia" w:hAnsi="宋体"/>
                      <w:bCs/>
                      <w:color w:val="auto"/>
                      <w:sz w:val="18"/>
                      <w:szCs w:val="18"/>
                    </w:rPr>
                    <w:t>预测值</w:t>
                  </w:r>
                  <w:r>
                    <w:rPr>
                      <w:bCs/>
                      <w:color w:val="auto"/>
                      <w:sz w:val="18"/>
                      <w:szCs w:val="18"/>
                    </w:rPr>
                    <w:t>(dB)</w:t>
                  </w:r>
                </w:p>
              </w:tc>
              <w:tc>
                <w:tcPr>
                  <w:tcW w:w="934" w:type="pct"/>
                  <w:tcBorders>
                    <w:right w:val="single" w:color="auto" w:sz="4" w:space="0"/>
                  </w:tcBorders>
                  <w:vAlign w:val="center"/>
                </w:tcPr>
                <w:p>
                  <w:pPr>
                    <w:widowControl/>
                    <w:jc w:val="center"/>
                    <w:rPr>
                      <w:color w:val="auto"/>
                      <w:sz w:val="18"/>
                      <w:szCs w:val="18"/>
                    </w:rPr>
                  </w:pPr>
                  <w:r>
                    <w:rPr>
                      <w:color w:val="auto"/>
                      <w:sz w:val="18"/>
                      <w:szCs w:val="18"/>
                    </w:rPr>
                    <w:t>59</w:t>
                  </w:r>
                </w:p>
              </w:tc>
              <w:tc>
                <w:tcPr>
                  <w:tcW w:w="935"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c>
                <w:tcPr>
                  <w:tcW w:w="935" w:type="pct"/>
                  <w:tcBorders>
                    <w:right w:val="single" w:color="auto" w:sz="4" w:space="0"/>
                  </w:tcBorders>
                  <w:vAlign w:val="center"/>
                </w:tcPr>
                <w:p>
                  <w:pPr>
                    <w:widowControl/>
                    <w:jc w:val="center"/>
                    <w:rPr>
                      <w:color w:val="auto"/>
                      <w:sz w:val="18"/>
                      <w:szCs w:val="18"/>
                    </w:rPr>
                  </w:pPr>
                  <w:r>
                    <w:rPr>
                      <w:color w:val="auto"/>
                      <w:sz w:val="18"/>
                      <w:szCs w:val="18"/>
                    </w:rPr>
                    <w:t>54</w:t>
                  </w:r>
                </w:p>
              </w:tc>
              <w:tc>
                <w:tcPr>
                  <w:tcW w:w="934"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262" w:type="pct"/>
                  <w:vAlign w:val="center"/>
                </w:tcPr>
                <w:p>
                  <w:pPr>
                    <w:widowControl/>
                    <w:jc w:val="center"/>
                    <w:rPr>
                      <w:bCs/>
                      <w:color w:val="auto"/>
                      <w:sz w:val="18"/>
                      <w:szCs w:val="18"/>
                    </w:rPr>
                  </w:pPr>
                  <w:r>
                    <w:rPr>
                      <w:rFonts w:hAnsi="宋体"/>
                      <w:bCs/>
                      <w:color w:val="auto"/>
                      <w:sz w:val="18"/>
                      <w:szCs w:val="18"/>
                    </w:rPr>
                    <w:t>标准值</w:t>
                  </w:r>
                  <w:r>
                    <w:rPr>
                      <w:bCs/>
                      <w:color w:val="auto"/>
                      <w:sz w:val="18"/>
                      <w:szCs w:val="18"/>
                    </w:rPr>
                    <w:t>(dB)</w:t>
                  </w:r>
                </w:p>
              </w:tc>
              <w:tc>
                <w:tcPr>
                  <w:tcW w:w="934" w:type="pct"/>
                  <w:tcBorders>
                    <w:right w:val="single" w:color="auto" w:sz="4" w:space="0"/>
                  </w:tcBorders>
                  <w:vAlign w:val="center"/>
                </w:tcPr>
                <w:p>
                  <w:pPr>
                    <w:widowControl/>
                    <w:jc w:val="center"/>
                    <w:rPr>
                      <w:color w:val="auto"/>
                      <w:sz w:val="18"/>
                      <w:szCs w:val="18"/>
                    </w:rPr>
                  </w:pPr>
                  <w:r>
                    <w:rPr>
                      <w:color w:val="auto"/>
                      <w:sz w:val="18"/>
                      <w:szCs w:val="18"/>
                    </w:rPr>
                    <w:t>60</w:t>
                  </w:r>
                </w:p>
              </w:tc>
              <w:tc>
                <w:tcPr>
                  <w:tcW w:w="935" w:type="pct"/>
                  <w:tcBorders>
                    <w:left w:val="single" w:color="auto" w:sz="4" w:space="0"/>
                  </w:tcBorders>
                  <w:vAlign w:val="center"/>
                </w:tcPr>
                <w:p>
                  <w:pPr>
                    <w:widowControl/>
                    <w:jc w:val="center"/>
                    <w:rPr>
                      <w:color w:val="auto"/>
                      <w:sz w:val="18"/>
                      <w:szCs w:val="18"/>
                    </w:rPr>
                  </w:pPr>
                  <w:r>
                    <w:rPr>
                      <w:rFonts w:hint="eastAsia"/>
                      <w:color w:val="auto"/>
                      <w:sz w:val="18"/>
                      <w:szCs w:val="18"/>
                    </w:rPr>
                    <w:t>50</w:t>
                  </w:r>
                </w:p>
              </w:tc>
              <w:tc>
                <w:tcPr>
                  <w:tcW w:w="935" w:type="pct"/>
                  <w:tcBorders>
                    <w:right w:val="single" w:color="auto" w:sz="4" w:space="0"/>
                  </w:tcBorders>
                  <w:vAlign w:val="center"/>
                </w:tcPr>
                <w:p>
                  <w:pPr>
                    <w:widowControl/>
                    <w:jc w:val="center"/>
                    <w:rPr>
                      <w:color w:val="auto"/>
                      <w:sz w:val="18"/>
                      <w:szCs w:val="18"/>
                    </w:rPr>
                  </w:pPr>
                  <w:r>
                    <w:rPr>
                      <w:color w:val="auto"/>
                      <w:sz w:val="18"/>
                      <w:szCs w:val="18"/>
                    </w:rPr>
                    <w:t>60</w:t>
                  </w:r>
                </w:p>
              </w:tc>
              <w:tc>
                <w:tcPr>
                  <w:tcW w:w="934" w:type="pct"/>
                  <w:tcBorders>
                    <w:left w:val="single" w:color="auto" w:sz="4" w:space="0"/>
                  </w:tcBorders>
                  <w:vAlign w:val="center"/>
                </w:tcPr>
                <w:p>
                  <w:pPr>
                    <w:widowControl/>
                    <w:jc w:val="center"/>
                    <w:rPr>
                      <w:color w:val="auto"/>
                      <w:sz w:val="18"/>
                      <w:szCs w:val="18"/>
                    </w:rPr>
                  </w:pPr>
                  <w:r>
                    <w:rPr>
                      <w:rFonts w:hint="eastAsia"/>
                      <w:color w:val="auto"/>
                      <w:sz w:val="18"/>
                      <w:szCs w:val="18"/>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1262" w:type="pct"/>
                  <w:vAlign w:val="center"/>
                </w:tcPr>
                <w:p>
                  <w:pPr>
                    <w:widowControl/>
                    <w:jc w:val="center"/>
                    <w:rPr>
                      <w:bCs/>
                      <w:color w:val="auto"/>
                      <w:sz w:val="18"/>
                      <w:szCs w:val="18"/>
                    </w:rPr>
                  </w:pPr>
                  <w:r>
                    <w:rPr>
                      <w:rFonts w:hAnsi="宋体"/>
                      <w:bCs/>
                      <w:color w:val="auto"/>
                      <w:sz w:val="18"/>
                      <w:szCs w:val="18"/>
                    </w:rPr>
                    <w:t>达标分析</w:t>
                  </w:r>
                </w:p>
              </w:tc>
              <w:tc>
                <w:tcPr>
                  <w:tcW w:w="934" w:type="pct"/>
                  <w:tcBorders>
                    <w:right w:val="single" w:color="auto" w:sz="4" w:space="0"/>
                  </w:tcBorders>
                  <w:vAlign w:val="center"/>
                </w:tcPr>
                <w:p>
                  <w:pPr>
                    <w:widowControl/>
                    <w:jc w:val="center"/>
                    <w:rPr>
                      <w:color w:val="auto"/>
                      <w:sz w:val="18"/>
                      <w:szCs w:val="18"/>
                    </w:rPr>
                  </w:pPr>
                  <w:r>
                    <w:rPr>
                      <w:rFonts w:hAnsi="宋体"/>
                      <w:color w:val="auto"/>
                      <w:sz w:val="18"/>
                      <w:szCs w:val="18"/>
                    </w:rPr>
                    <w:t>达标</w:t>
                  </w:r>
                </w:p>
              </w:tc>
              <w:tc>
                <w:tcPr>
                  <w:tcW w:w="935"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c>
                <w:tcPr>
                  <w:tcW w:w="935" w:type="pct"/>
                  <w:tcBorders>
                    <w:right w:val="single" w:color="auto" w:sz="4" w:space="0"/>
                  </w:tcBorders>
                  <w:vAlign w:val="center"/>
                </w:tcPr>
                <w:p>
                  <w:pPr>
                    <w:widowControl/>
                    <w:jc w:val="center"/>
                    <w:rPr>
                      <w:color w:val="auto"/>
                      <w:sz w:val="18"/>
                      <w:szCs w:val="18"/>
                    </w:rPr>
                  </w:pPr>
                  <w:r>
                    <w:rPr>
                      <w:rFonts w:hAnsi="宋体"/>
                      <w:color w:val="auto"/>
                      <w:sz w:val="18"/>
                      <w:szCs w:val="18"/>
                    </w:rPr>
                    <w:t>达标</w:t>
                  </w:r>
                </w:p>
              </w:tc>
              <w:tc>
                <w:tcPr>
                  <w:tcW w:w="934" w:type="pct"/>
                  <w:tcBorders>
                    <w:left w:val="single" w:color="auto" w:sz="4" w:space="0"/>
                  </w:tcBorders>
                  <w:vAlign w:val="center"/>
                </w:tcPr>
                <w:p>
                  <w:pPr>
                    <w:widowControl/>
                    <w:jc w:val="center"/>
                    <w:rPr>
                      <w:color w:val="auto"/>
                      <w:sz w:val="18"/>
                      <w:szCs w:val="18"/>
                    </w:rPr>
                  </w:pPr>
                  <w:r>
                    <w:rPr>
                      <w:rFonts w:hint="eastAsia"/>
                      <w:color w:val="auto"/>
                      <w:sz w:val="18"/>
                      <w:szCs w:val="18"/>
                    </w:rPr>
                    <w:t>/</w:t>
                  </w:r>
                </w:p>
              </w:tc>
            </w:tr>
          </w:tbl>
          <w:p>
            <w:pPr>
              <w:spacing w:line="360" w:lineRule="auto"/>
              <w:ind w:firstLine="420" w:firstLineChars="200"/>
              <w:jc w:val="left"/>
              <w:rPr>
                <w:bCs/>
                <w:color w:val="auto"/>
                <w:kern w:val="0"/>
                <w:szCs w:val="21"/>
              </w:rPr>
            </w:pPr>
            <w:r>
              <w:rPr>
                <w:bCs/>
                <w:color w:val="auto"/>
                <w:kern w:val="0"/>
                <w:szCs w:val="21"/>
              </w:rPr>
              <w:t>经预测，项目运营后厂界噪声满足</w:t>
            </w:r>
            <w:r>
              <w:rPr>
                <w:bCs/>
                <w:color w:val="auto"/>
                <w:szCs w:val="21"/>
              </w:rPr>
              <w:t>《</w:t>
            </w:r>
            <w:r>
              <w:rPr>
                <w:color w:val="auto"/>
                <w:szCs w:val="21"/>
              </w:rPr>
              <w:t>社会生活环境噪声排放标准</w:t>
            </w:r>
            <w:r>
              <w:rPr>
                <w:bCs/>
                <w:color w:val="auto"/>
                <w:szCs w:val="21"/>
              </w:rPr>
              <w:t>》（</w:t>
            </w:r>
            <w:r>
              <w:rPr>
                <w:color w:val="auto"/>
                <w:szCs w:val="21"/>
              </w:rPr>
              <w:t>GB22337-2008</w:t>
            </w:r>
            <w:r>
              <w:rPr>
                <w:bCs/>
                <w:color w:val="auto"/>
                <w:szCs w:val="21"/>
              </w:rPr>
              <w:t>）2</w:t>
            </w:r>
            <w:r>
              <w:rPr>
                <w:rFonts w:hint="eastAsia"/>
                <w:bCs/>
                <w:color w:val="auto"/>
                <w:szCs w:val="21"/>
              </w:rPr>
              <w:t>类</w:t>
            </w:r>
            <w:r>
              <w:rPr>
                <w:bCs/>
                <w:color w:val="auto"/>
                <w:szCs w:val="21"/>
              </w:rPr>
              <w:t>标准</w:t>
            </w:r>
            <w:r>
              <w:rPr>
                <w:rFonts w:hint="eastAsia"/>
                <w:bCs/>
                <w:color w:val="auto"/>
                <w:szCs w:val="21"/>
              </w:rPr>
              <w:t>；</w:t>
            </w:r>
            <w:r>
              <w:rPr>
                <w:bCs/>
                <w:color w:val="auto"/>
                <w:szCs w:val="21"/>
              </w:rPr>
              <w:t>敏感点声环境质量满足</w:t>
            </w:r>
            <w:r>
              <w:rPr>
                <w:rFonts w:hint="eastAsia"/>
                <w:bCs/>
                <w:color w:val="auto"/>
                <w:szCs w:val="21"/>
              </w:rPr>
              <w:t>《</w:t>
            </w:r>
            <w:r>
              <w:rPr>
                <w:color w:val="auto"/>
                <w:szCs w:val="21"/>
              </w:rPr>
              <w:t>声环境质量标准》（GB3096-2008）2类标准。</w:t>
            </w:r>
          </w:p>
          <w:p>
            <w:pPr>
              <w:spacing w:line="360" w:lineRule="auto"/>
              <w:ind w:firstLine="420" w:firstLineChars="200"/>
              <w:jc w:val="left"/>
              <w:rPr>
                <w:rFonts w:hAnsi="宋体"/>
                <w:bCs/>
                <w:color w:val="auto"/>
                <w:kern w:val="0"/>
                <w:szCs w:val="21"/>
              </w:rPr>
            </w:pPr>
            <w:r>
              <w:rPr>
                <w:rFonts w:hint="eastAsia" w:hAnsi="宋体"/>
                <w:bCs/>
                <w:color w:val="auto"/>
                <w:kern w:val="0"/>
                <w:szCs w:val="21"/>
              </w:rPr>
              <w:t>（2）外环境对本项目影响</w:t>
            </w:r>
          </w:p>
          <w:p>
            <w:pPr>
              <w:spacing w:line="360" w:lineRule="auto"/>
              <w:ind w:firstLine="420" w:firstLineChars="200"/>
              <w:jc w:val="left"/>
              <w:rPr>
                <w:rFonts w:hAnsi="宋体"/>
                <w:bCs/>
                <w:color w:val="auto"/>
                <w:kern w:val="0"/>
                <w:szCs w:val="21"/>
              </w:rPr>
            </w:pPr>
            <w:r>
              <w:rPr>
                <w:rFonts w:hint="eastAsia" w:hAnsi="宋体"/>
                <w:bCs/>
                <w:color w:val="auto"/>
                <w:kern w:val="0"/>
                <w:szCs w:val="21"/>
              </w:rPr>
              <w:t>本项目位于居住、商业混杂区，经现场踏勘，</w:t>
            </w:r>
            <w:r>
              <w:rPr>
                <w:color w:val="auto"/>
                <w:szCs w:val="21"/>
              </w:rPr>
              <w:t>医院所在的丰和坊一期</w:t>
            </w:r>
            <w:r>
              <w:rPr>
                <w:rFonts w:hint="eastAsia"/>
                <w:color w:val="auto"/>
                <w:szCs w:val="21"/>
              </w:rPr>
              <w:t>15幢</w:t>
            </w:r>
            <w:r>
              <w:rPr>
                <w:color w:val="auto"/>
                <w:szCs w:val="21"/>
              </w:rPr>
              <w:t>南侧临</w:t>
            </w:r>
            <w:r>
              <w:rPr>
                <w:rFonts w:hint="eastAsia"/>
                <w:color w:val="auto"/>
                <w:szCs w:val="21"/>
              </w:rPr>
              <w:t>丰</w:t>
            </w:r>
            <w:r>
              <w:rPr>
                <w:color w:val="auto"/>
                <w:szCs w:val="21"/>
              </w:rPr>
              <w:t>禾路，东侧临</w:t>
            </w:r>
            <w:r>
              <w:rPr>
                <w:rFonts w:hint="eastAsia"/>
                <w:color w:val="auto"/>
                <w:szCs w:val="21"/>
              </w:rPr>
              <w:t>杏园路</w:t>
            </w:r>
            <w:r>
              <w:rPr>
                <w:color w:val="auto"/>
                <w:szCs w:val="21"/>
              </w:rPr>
              <w:t>，北侧和西侧为小区内小路</w:t>
            </w:r>
            <w:r>
              <w:rPr>
                <w:rFonts w:hint="eastAsia"/>
                <w:color w:val="auto"/>
                <w:szCs w:val="21"/>
              </w:rPr>
              <w:t>；</w:t>
            </w:r>
            <w:r>
              <w:rPr>
                <w:color w:val="auto"/>
                <w:szCs w:val="21"/>
              </w:rPr>
              <w:t>医院</w:t>
            </w:r>
            <w:r>
              <w:rPr>
                <w:rFonts w:hint="eastAsia"/>
                <w:color w:val="auto"/>
                <w:szCs w:val="21"/>
              </w:rPr>
              <w:t>西侧</w:t>
            </w:r>
            <w:r>
              <w:rPr>
                <w:color w:val="auto"/>
                <w:szCs w:val="21"/>
              </w:rPr>
              <w:t>为国酒茅台商铺，东侧为大秦酒市商铺，南侧紧邻丰</w:t>
            </w:r>
            <w:r>
              <w:rPr>
                <w:rFonts w:hint="eastAsia"/>
                <w:color w:val="auto"/>
                <w:szCs w:val="21"/>
              </w:rPr>
              <w:t>禾</w:t>
            </w:r>
            <w:r>
              <w:rPr>
                <w:color w:val="auto"/>
                <w:szCs w:val="21"/>
              </w:rPr>
              <w:t>路，</w:t>
            </w:r>
            <w:r>
              <w:rPr>
                <w:rFonts w:hint="eastAsia"/>
                <w:color w:val="auto"/>
                <w:szCs w:val="21"/>
              </w:rPr>
              <w:t>隔路68m为</w:t>
            </w:r>
            <w:r>
              <w:rPr>
                <w:color w:val="auto"/>
                <w:szCs w:val="21"/>
              </w:rPr>
              <w:t>丰</w:t>
            </w:r>
            <w:r>
              <w:rPr>
                <w:rFonts w:hint="eastAsia"/>
                <w:color w:val="auto"/>
                <w:szCs w:val="21"/>
              </w:rPr>
              <w:t>和</w:t>
            </w:r>
            <w:r>
              <w:rPr>
                <w:color w:val="auto"/>
                <w:szCs w:val="21"/>
              </w:rPr>
              <w:t>坊南区。</w:t>
            </w:r>
            <w:r>
              <w:rPr>
                <w:rFonts w:hint="eastAsia"/>
                <w:color w:val="auto"/>
                <w:szCs w:val="21"/>
              </w:rPr>
              <w:t>根据声环境质量监测结果，项目地声环境质量满足</w:t>
            </w:r>
            <w:r>
              <w:rPr>
                <w:rFonts w:hint="eastAsia"/>
                <w:bCs/>
                <w:color w:val="auto"/>
                <w:szCs w:val="21"/>
              </w:rPr>
              <w:t>《声环境质量标准》（GB3096－2008）中2类标准。医院南部</w:t>
            </w:r>
            <w:r>
              <w:rPr>
                <w:bCs/>
                <w:color w:val="auto"/>
                <w:szCs w:val="21"/>
              </w:rPr>
              <w:t>区域</w:t>
            </w:r>
            <w:r>
              <w:rPr>
                <w:rFonts w:hint="eastAsia"/>
                <w:bCs/>
                <w:color w:val="auto"/>
                <w:szCs w:val="21"/>
              </w:rPr>
              <w:t>不进行诊疗，仅作为商品展示及宠物美容使用；根据平面布置图，本项目诊室、手术室均位于北部区域，且为独立封闭房间，因为，南侧道路交通噪声对项目影响较小。</w:t>
            </w:r>
          </w:p>
          <w:p>
            <w:pPr>
              <w:spacing w:line="360" w:lineRule="auto"/>
              <w:ind w:firstLine="420" w:firstLineChars="200"/>
              <w:jc w:val="left"/>
              <w:rPr>
                <w:rFonts w:hAnsi="宋体"/>
                <w:bCs/>
                <w:color w:val="auto"/>
                <w:kern w:val="0"/>
                <w:szCs w:val="21"/>
              </w:rPr>
            </w:pPr>
            <w:r>
              <w:rPr>
                <w:rFonts w:hint="eastAsia" w:hAnsi="宋体"/>
                <w:bCs/>
                <w:color w:val="auto"/>
                <w:kern w:val="0"/>
                <w:szCs w:val="21"/>
              </w:rPr>
              <w:t>（3）项目自行监测计划</w:t>
            </w:r>
          </w:p>
          <w:p>
            <w:pPr>
              <w:spacing w:line="360" w:lineRule="auto"/>
              <w:ind w:firstLine="420" w:firstLineChars="200"/>
              <w:rPr>
                <w:rFonts w:ascii="宋体" w:hAnsi="宋体" w:cs="宋体"/>
                <w:color w:val="auto"/>
                <w:szCs w:val="21"/>
              </w:rPr>
            </w:pPr>
            <w:r>
              <w:rPr>
                <w:rFonts w:hAnsi="宋体"/>
                <w:color w:val="auto"/>
                <w:szCs w:val="21"/>
              </w:rPr>
              <w:t>本项目营运期的环境监测项目由建设单位委托有资质的环境监测单位开展。运营期应重点在污染物排放方面进行监控，而且是以监控各污染源的污染物排放为主，以周围环境监测为辅。根据《排污单位自行监测技术指南</w:t>
            </w:r>
            <w:r>
              <w:rPr>
                <w:rFonts w:hint="eastAsia" w:hAnsi="宋体"/>
                <w:color w:val="auto"/>
                <w:szCs w:val="21"/>
              </w:rPr>
              <w:t xml:space="preserve"> </w:t>
            </w:r>
            <w:r>
              <w:rPr>
                <w:rFonts w:hAnsi="宋体"/>
                <w:color w:val="auto"/>
                <w:szCs w:val="21"/>
              </w:rPr>
              <w:t>总则》（</w:t>
            </w:r>
            <w:r>
              <w:rPr>
                <w:color w:val="auto"/>
                <w:szCs w:val="21"/>
              </w:rPr>
              <w:t>HJ 819-2017</w:t>
            </w:r>
            <w:r>
              <w:rPr>
                <w:rFonts w:hAnsi="宋体"/>
                <w:color w:val="auto"/>
                <w:szCs w:val="21"/>
              </w:rPr>
              <w:t>），项目营运期的</w:t>
            </w:r>
            <w:r>
              <w:rPr>
                <w:rFonts w:hint="eastAsia" w:hAnsi="宋体"/>
                <w:color w:val="auto"/>
                <w:szCs w:val="21"/>
              </w:rPr>
              <w:t>噪声</w:t>
            </w:r>
            <w:r>
              <w:rPr>
                <w:rFonts w:hAnsi="宋体"/>
                <w:color w:val="auto"/>
                <w:szCs w:val="21"/>
              </w:rPr>
              <w:t>环境监测计划见表</w:t>
            </w:r>
            <w:r>
              <w:rPr>
                <w:color w:val="auto"/>
                <w:szCs w:val="21"/>
              </w:rPr>
              <w:t>4-</w:t>
            </w:r>
            <w:r>
              <w:rPr>
                <w:rFonts w:hint="eastAsia"/>
                <w:color w:val="auto"/>
                <w:szCs w:val="21"/>
              </w:rPr>
              <w:t>8</w:t>
            </w:r>
            <w:r>
              <w:rPr>
                <w:rFonts w:hAnsi="宋体"/>
                <w:color w:val="auto"/>
                <w:szCs w:val="21"/>
              </w:rPr>
              <w:t>。</w:t>
            </w:r>
            <w:r>
              <w:rPr>
                <w:rFonts w:hint="eastAsia" w:ascii="宋体" w:hAnsi="宋体" w:cs="宋体"/>
                <w:color w:val="auto"/>
                <w:szCs w:val="21"/>
              </w:rPr>
              <w:t xml:space="preserve"> </w:t>
            </w:r>
          </w:p>
          <w:p>
            <w:pPr>
              <w:ind w:firstLine="422" w:firstLineChars="200"/>
              <w:jc w:val="center"/>
              <w:rPr>
                <w:b/>
                <w:bCs/>
                <w:color w:val="auto"/>
                <w:szCs w:val="21"/>
              </w:rPr>
            </w:pPr>
            <w:r>
              <w:rPr>
                <w:rFonts w:hAnsi="宋体"/>
                <w:b/>
                <w:bCs/>
                <w:color w:val="auto"/>
                <w:szCs w:val="21"/>
              </w:rPr>
              <w:t>表</w:t>
            </w:r>
            <w:r>
              <w:rPr>
                <w:b/>
                <w:bCs/>
                <w:color w:val="auto"/>
                <w:szCs w:val="21"/>
              </w:rPr>
              <w:t>4-</w:t>
            </w:r>
            <w:r>
              <w:rPr>
                <w:rFonts w:hint="eastAsia"/>
                <w:b/>
                <w:bCs/>
                <w:color w:val="auto"/>
                <w:szCs w:val="21"/>
              </w:rPr>
              <w:t>7</w:t>
            </w:r>
            <w:r>
              <w:rPr>
                <w:b/>
                <w:bCs/>
                <w:color w:val="auto"/>
                <w:szCs w:val="21"/>
              </w:rPr>
              <w:t xml:space="preserve">    </w:t>
            </w:r>
            <w:r>
              <w:rPr>
                <w:rFonts w:hAnsi="宋体"/>
                <w:b/>
                <w:bCs/>
                <w:color w:val="auto"/>
                <w:szCs w:val="21"/>
              </w:rPr>
              <w:t>噪声监测计划一览表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24"/>
              <w:gridCol w:w="1838"/>
              <w:gridCol w:w="1158"/>
              <w:gridCol w:w="33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31" w:type="pct"/>
                  <w:vAlign w:val="center"/>
                </w:tcPr>
                <w:p>
                  <w:pPr>
                    <w:adjustRightInd w:val="0"/>
                    <w:snapToGrid w:val="0"/>
                    <w:jc w:val="center"/>
                    <w:rPr>
                      <w:bCs/>
                      <w:color w:val="auto"/>
                      <w:sz w:val="18"/>
                      <w:szCs w:val="18"/>
                    </w:rPr>
                  </w:pPr>
                  <w:r>
                    <w:rPr>
                      <w:rFonts w:hAnsi="宋体"/>
                      <w:bCs/>
                      <w:color w:val="auto"/>
                      <w:sz w:val="18"/>
                      <w:szCs w:val="18"/>
                    </w:rPr>
                    <w:t>类别</w:t>
                  </w:r>
                </w:p>
              </w:tc>
              <w:tc>
                <w:tcPr>
                  <w:tcW w:w="722" w:type="pct"/>
                  <w:vAlign w:val="center"/>
                </w:tcPr>
                <w:p>
                  <w:pPr>
                    <w:adjustRightInd w:val="0"/>
                    <w:snapToGrid w:val="0"/>
                    <w:jc w:val="center"/>
                    <w:rPr>
                      <w:bCs/>
                      <w:color w:val="auto"/>
                      <w:sz w:val="18"/>
                      <w:szCs w:val="18"/>
                    </w:rPr>
                  </w:pPr>
                  <w:r>
                    <w:rPr>
                      <w:rFonts w:hAnsi="宋体"/>
                      <w:bCs/>
                      <w:color w:val="auto"/>
                      <w:sz w:val="18"/>
                      <w:szCs w:val="18"/>
                    </w:rPr>
                    <w:t>监测项目</w:t>
                  </w:r>
                </w:p>
              </w:tc>
              <w:tc>
                <w:tcPr>
                  <w:tcW w:w="1084" w:type="pct"/>
                  <w:vAlign w:val="center"/>
                </w:tcPr>
                <w:p>
                  <w:pPr>
                    <w:pStyle w:val="15"/>
                    <w:pBdr>
                      <w:bottom w:val="none" w:color="auto" w:sz="0" w:space="0"/>
                    </w:pBdr>
                    <w:tabs>
                      <w:tab w:val="left" w:pos="420"/>
                    </w:tabs>
                    <w:adjustRightInd w:val="0"/>
                    <w:rPr>
                      <w:bCs/>
                      <w:color w:val="auto"/>
                      <w:szCs w:val="18"/>
                    </w:rPr>
                  </w:pPr>
                  <w:r>
                    <w:rPr>
                      <w:rFonts w:hAnsi="宋体"/>
                      <w:bCs/>
                      <w:color w:val="auto"/>
                      <w:szCs w:val="18"/>
                    </w:rPr>
                    <w:t>监测点位</w:t>
                  </w:r>
                </w:p>
              </w:tc>
              <w:tc>
                <w:tcPr>
                  <w:tcW w:w="683" w:type="pct"/>
                  <w:vAlign w:val="center"/>
                </w:tcPr>
                <w:p>
                  <w:pPr>
                    <w:pStyle w:val="15"/>
                    <w:pBdr>
                      <w:bottom w:val="none" w:color="auto" w:sz="0" w:space="0"/>
                    </w:pBdr>
                    <w:tabs>
                      <w:tab w:val="clear" w:pos="4153"/>
                      <w:tab w:val="clear" w:pos="8306"/>
                    </w:tabs>
                    <w:adjustRightInd w:val="0"/>
                    <w:rPr>
                      <w:bCs/>
                      <w:color w:val="auto"/>
                      <w:szCs w:val="18"/>
                    </w:rPr>
                  </w:pPr>
                  <w:r>
                    <w:rPr>
                      <w:rFonts w:hAnsi="宋体"/>
                      <w:bCs/>
                      <w:color w:val="auto"/>
                      <w:szCs w:val="18"/>
                    </w:rPr>
                    <w:t>监测频率</w:t>
                  </w:r>
                </w:p>
              </w:tc>
              <w:tc>
                <w:tcPr>
                  <w:tcW w:w="1981" w:type="pct"/>
                  <w:vAlign w:val="center"/>
                </w:tcPr>
                <w:p>
                  <w:pPr>
                    <w:adjustRightInd w:val="0"/>
                    <w:snapToGrid w:val="0"/>
                    <w:jc w:val="center"/>
                    <w:rPr>
                      <w:bCs/>
                      <w:color w:val="auto"/>
                      <w:sz w:val="18"/>
                      <w:szCs w:val="18"/>
                    </w:rPr>
                  </w:pPr>
                  <w:r>
                    <w:rPr>
                      <w:rFonts w:hAnsi="宋体"/>
                      <w:bCs/>
                      <w:color w:val="auto"/>
                      <w:sz w:val="18"/>
                      <w:szCs w:val="18"/>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31" w:type="pct"/>
                  <w:vAlign w:val="center"/>
                </w:tcPr>
                <w:p>
                  <w:pPr>
                    <w:adjustRightInd w:val="0"/>
                    <w:snapToGrid w:val="0"/>
                    <w:jc w:val="center"/>
                    <w:rPr>
                      <w:bCs/>
                      <w:color w:val="auto"/>
                      <w:sz w:val="18"/>
                      <w:szCs w:val="18"/>
                    </w:rPr>
                  </w:pPr>
                  <w:r>
                    <w:rPr>
                      <w:rFonts w:hAnsi="宋体"/>
                      <w:bCs/>
                      <w:color w:val="auto"/>
                      <w:sz w:val="18"/>
                      <w:szCs w:val="18"/>
                    </w:rPr>
                    <w:t>噪声</w:t>
                  </w:r>
                </w:p>
              </w:tc>
              <w:tc>
                <w:tcPr>
                  <w:tcW w:w="722" w:type="pct"/>
                  <w:vAlign w:val="center"/>
                </w:tcPr>
                <w:p>
                  <w:pPr>
                    <w:adjustRightInd w:val="0"/>
                    <w:snapToGrid w:val="0"/>
                    <w:jc w:val="center"/>
                    <w:rPr>
                      <w:bCs/>
                      <w:color w:val="auto"/>
                      <w:sz w:val="18"/>
                      <w:szCs w:val="18"/>
                    </w:rPr>
                  </w:pPr>
                  <w:r>
                    <w:rPr>
                      <w:rFonts w:hint="eastAsia" w:hAnsi="宋体"/>
                      <w:bCs/>
                      <w:color w:val="auto"/>
                      <w:sz w:val="18"/>
                      <w:szCs w:val="18"/>
                    </w:rPr>
                    <w:t>场界</w:t>
                  </w:r>
                </w:p>
              </w:tc>
              <w:tc>
                <w:tcPr>
                  <w:tcW w:w="1084" w:type="pct"/>
                  <w:vAlign w:val="center"/>
                </w:tcPr>
                <w:p>
                  <w:pPr>
                    <w:adjustRightInd w:val="0"/>
                    <w:snapToGrid w:val="0"/>
                    <w:jc w:val="center"/>
                    <w:rPr>
                      <w:bCs/>
                      <w:color w:val="auto"/>
                      <w:sz w:val="18"/>
                      <w:szCs w:val="18"/>
                    </w:rPr>
                  </w:pPr>
                  <w:r>
                    <w:rPr>
                      <w:rFonts w:hAnsi="宋体"/>
                      <w:bCs/>
                      <w:color w:val="auto"/>
                      <w:sz w:val="18"/>
                      <w:szCs w:val="18"/>
                    </w:rPr>
                    <w:t>东、西、南、北</w:t>
                  </w:r>
                  <w:r>
                    <w:rPr>
                      <w:rFonts w:hint="eastAsia" w:hAnsi="宋体"/>
                      <w:bCs/>
                      <w:color w:val="auto"/>
                      <w:sz w:val="18"/>
                      <w:szCs w:val="18"/>
                    </w:rPr>
                    <w:t>场</w:t>
                  </w:r>
                  <w:r>
                    <w:rPr>
                      <w:rFonts w:hAnsi="宋体"/>
                      <w:bCs/>
                      <w:color w:val="auto"/>
                      <w:sz w:val="18"/>
                      <w:szCs w:val="18"/>
                    </w:rPr>
                    <w:t>界外</w:t>
                  </w:r>
                  <w:r>
                    <w:rPr>
                      <w:bCs/>
                      <w:color w:val="auto"/>
                      <w:sz w:val="18"/>
                      <w:szCs w:val="18"/>
                    </w:rPr>
                    <w:t>1m</w:t>
                  </w:r>
                  <w:r>
                    <w:rPr>
                      <w:rFonts w:hAnsi="宋体"/>
                      <w:bCs/>
                      <w:color w:val="auto"/>
                      <w:sz w:val="18"/>
                      <w:szCs w:val="18"/>
                    </w:rPr>
                    <w:t>处</w:t>
                  </w:r>
                </w:p>
              </w:tc>
              <w:tc>
                <w:tcPr>
                  <w:tcW w:w="683" w:type="pct"/>
                  <w:vAlign w:val="center"/>
                </w:tcPr>
                <w:p>
                  <w:pPr>
                    <w:adjustRightInd w:val="0"/>
                    <w:snapToGrid w:val="0"/>
                    <w:jc w:val="center"/>
                    <w:rPr>
                      <w:bCs/>
                      <w:color w:val="auto"/>
                      <w:sz w:val="18"/>
                      <w:szCs w:val="18"/>
                    </w:rPr>
                  </w:pPr>
                  <w:r>
                    <w:rPr>
                      <w:bCs/>
                      <w:color w:val="auto"/>
                      <w:sz w:val="18"/>
                      <w:szCs w:val="18"/>
                    </w:rPr>
                    <w:t>1</w:t>
                  </w:r>
                  <w:r>
                    <w:rPr>
                      <w:rFonts w:hAnsi="宋体"/>
                      <w:bCs/>
                      <w:color w:val="auto"/>
                      <w:sz w:val="18"/>
                      <w:szCs w:val="18"/>
                    </w:rPr>
                    <w:t>次</w:t>
                  </w:r>
                  <w:r>
                    <w:rPr>
                      <w:bCs/>
                      <w:color w:val="auto"/>
                      <w:sz w:val="18"/>
                      <w:szCs w:val="18"/>
                    </w:rPr>
                    <w:t>/</w:t>
                  </w:r>
                  <w:r>
                    <w:rPr>
                      <w:rFonts w:hint="eastAsia" w:hAnsi="宋体"/>
                      <w:bCs/>
                      <w:color w:val="auto"/>
                      <w:sz w:val="18"/>
                      <w:szCs w:val="18"/>
                    </w:rPr>
                    <w:t>季度</w:t>
                  </w:r>
                </w:p>
              </w:tc>
              <w:tc>
                <w:tcPr>
                  <w:tcW w:w="1981" w:type="pct"/>
                  <w:vAlign w:val="center"/>
                </w:tcPr>
                <w:p>
                  <w:pPr>
                    <w:pStyle w:val="2"/>
                    <w:jc w:val="center"/>
                    <w:rPr>
                      <w:rFonts w:ascii="Times New Roman" w:cs="Times New Roman"/>
                      <w:bCs/>
                      <w:color w:val="auto"/>
                      <w:sz w:val="18"/>
                      <w:szCs w:val="18"/>
                    </w:rPr>
                  </w:pPr>
                  <w:r>
                    <w:rPr>
                      <w:rFonts w:ascii="Times New Roman" w:hAnsi="宋体" w:cs="Times New Roman"/>
                      <w:bCs/>
                      <w:color w:val="auto"/>
                      <w:sz w:val="18"/>
                      <w:szCs w:val="18"/>
                    </w:rPr>
                    <w:t>《</w:t>
                  </w:r>
                  <w:r>
                    <w:rPr>
                      <w:rFonts w:ascii="Times New Roman" w:cs="Times New Roman"/>
                      <w:color w:val="auto"/>
                      <w:sz w:val="18"/>
                      <w:szCs w:val="18"/>
                    </w:rPr>
                    <w:t>社会生活环境噪声排放标准</w:t>
                  </w:r>
                  <w:r>
                    <w:rPr>
                      <w:rFonts w:ascii="Times New Roman" w:hAnsi="宋体" w:cs="Times New Roman"/>
                      <w:bCs/>
                      <w:color w:val="auto"/>
                      <w:sz w:val="18"/>
                      <w:szCs w:val="18"/>
                    </w:rPr>
                    <w:t>》（</w:t>
                  </w:r>
                  <w:r>
                    <w:rPr>
                      <w:rFonts w:ascii="Times New Roman" w:cs="Times New Roman"/>
                      <w:color w:val="auto"/>
                      <w:sz w:val="18"/>
                      <w:szCs w:val="18"/>
                    </w:rPr>
                    <w:t>GB22337-2008</w:t>
                  </w:r>
                  <w:r>
                    <w:rPr>
                      <w:rFonts w:ascii="Times New Roman" w:hAnsi="宋体" w:cs="Times New Roman"/>
                      <w:bCs/>
                      <w:color w:val="auto"/>
                      <w:sz w:val="18"/>
                      <w:szCs w:val="18"/>
                    </w:rPr>
                    <w:t>）</w:t>
                  </w:r>
                  <w:r>
                    <w:rPr>
                      <w:rFonts w:ascii="Times New Roman" w:cs="Times New Roman"/>
                      <w:bCs/>
                      <w:color w:val="auto"/>
                      <w:sz w:val="18"/>
                      <w:szCs w:val="18"/>
                    </w:rPr>
                    <w:t>2</w:t>
                  </w:r>
                  <w:r>
                    <w:rPr>
                      <w:rFonts w:ascii="Times New Roman" w:hAnsi="宋体" w:cs="Times New Roman"/>
                      <w:bCs/>
                      <w:color w:val="auto"/>
                      <w:sz w:val="18"/>
                      <w:szCs w:val="18"/>
                    </w:rPr>
                    <w:t>类标准</w:t>
                  </w:r>
                </w:p>
              </w:tc>
            </w:tr>
          </w:tbl>
          <w:p>
            <w:pPr>
              <w:spacing w:line="360" w:lineRule="auto"/>
              <w:rPr>
                <w:rFonts w:hint="eastAsia"/>
                <w:color w:val="auto"/>
                <w:sz w:val="18"/>
                <w:szCs w:val="18"/>
              </w:rPr>
            </w:pPr>
            <w:r>
              <w:rPr>
                <w:rFonts w:hint="eastAsia"/>
                <w:color w:val="auto"/>
                <w:sz w:val="18"/>
                <w:szCs w:val="18"/>
              </w:rPr>
              <w:t>注：由于</w:t>
            </w:r>
            <w:r>
              <w:rPr>
                <w:color w:val="auto"/>
                <w:sz w:val="18"/>
                <w:szCs w:val="18"/>
              </w:rPr>
              <w:t>噪声非</w:t>
            </w:r>
            <w:r>
              <w:rPr>
                <w:rFonts w:hint="eastAsia"/>
                <w:color w:val="auto"/>
                <w:sz w:val="18"/>
                <w:szCs w:val="18"/>
              </w:rPr>
              <w:t>本项目</w:t>
            </w:r>
            <w:r>
              <w:rPr>
                <w:color w:val="auto"/>
                <w:sz w:val="18"/>
                <w:szCs w:val="18"/>
              </w:rPr>
              <w:t>主要</w:t>
            </w:r>
            <w:r>
              <w:rPr>
                <w:rFonts w:hint="eastAsia"/>
                <w:color w:val="auto"/>
                <w:sz w:val="18"/>
                <w:szCs w:val="18"/>
              </w:rPr>
              <w:t>环境</w:t>
            </w:r>
            <w:r>
              <w:rPr>
                <w:color w:val="auto"/>
                <w:sz w:val="18"/>
                <w:szCs w:val="18"/>
              </w:rPr>
              <w:t>污染，在取得相关环保管理部门同意后，</w:t>
            </w:r>
            <w:r>
              <w:rPr>
                <w:rFonts w:hint="eastAsia"/>
                <w:color w:val="auto"/>
                <w:sz w:val="18"/>
                <w:szCs w:val="18"/>
              </w:rPr>
              <w:t>建议</w:t>
            </w:r>
            <w:r>
              <w:rPr>
                <w:color w:val="auto"/>
                <w:sz w:val="18"/>
                <w:szCs w:val="18"/>
              </w:rPr>
              <w:t>本项目运营期</w:t>
            </w:r>
            <w:r>
              <w:rPr>
                <w:rFonts w:hint="eastAsia"/>
                <w:color w:val="auto"/>
                <w:sz w:val="18"/>
                <w:szCs w:val="18"/>
              </w:rPr>
              <w:t>噪声</w:t>
            </w:r>
            <w:r>
              <w:rPr>
                <w:color w:val="auto"/>
                <w:sz w:val="18"/>
                <w:szCs w:val="18"/>
              </w:rPr>
              <w:t>监测频次可适当延长。</w:t>
            </w:r>
          </w:p>
          <w:p>
            <w:pPr>
              <w:spacing w:line="360" w:lineRule="auto"/>
              <w:ind w:firstLine="422" w:firstLineChars="200"/>
              <w:rPr>
                <w:b/>
                <w:color w:val="auto"/>
              </w:rPr>
            </w:pPr>
            <w:r>
              <w:rPr>
                <w:b/>
                <w:color w:val="auto"/>
              </w:rPr>
              <w:t>4</w:t>
            </w:r>
            <w:r>
              <w:rPr>
                <w:rFonts w:hAnsi="宋体"/>
                <w:b/>
                <w:color w:val="auto"/>
              </w:rPr>
              <w:t>、固体废物</w:t>
            </w:r>
          </w:p>
          <w:p>
            <w:pPr>
              <w:spacing w:line="360" w:lineRule="auto"/>
              <w:ind w:firstLine="420" w:firstLineChars="200"/>
              <w:rPr>
                <w:color w:val="auto"/>
                <w:szCs w:val="21"/>
              </w:rPr>
            </w:pPr>
            <w:r>
              <w:rPr>
                <w:rFonts w:hint="eastAsia"/>
                <w:color w:val="auto"/>
                <w:szCs w:val="21"/>
              </w:rPr>
              <w:t>（1）源强核算</w:t>
            </w:r>
          </w:p>
          <w:p>
            <w:pPr>
              <w:spacing w:line="360" w:lineRule="auto"/>
              <w:ind w:firstLine="420" w:firstLineChars="200"/>
              <w:rPr>
                <w:color w:val="auto"/>
                <w:szCs w:val="21"/>
              </w:rPr>
            </w:pPr>
            <w:r>
              <w:rPr>
                <w:color w:val="auto"/>
                <w:szCs w:val="21"/>
              </w:rPr>
              <w:t>本项目运营期</w:t>
            </w:r>
            <w:r>
              <w:rPr>
                <w:color w:val="auto"/>
                <w:kern w:val="0"/>
                <w:szCs w:val="21"/>
              </w:rPr>
              <w:t>产生的固体废物主要为员工生活垃圾、宠物美容垃圾、宠物粪便和医疗废物。</w:t>
            </w:r>
          </w:p>
          <w:p>
            <w:pPr>
              <w:spacing w:line="360" w:lineRule="auto"/>
              <w:ind w:firstLine="420" w:firstLineChars="200"/>
              <w:rPr>
                <w:color w:val="auto"/>
                <w:szCs w:val="21"/>
              </w:rPr>
            </w:pPr>
            <w:r>
              <w:rPr>
                <w:rFonts w:hint="eastAsia"/>
                <w:color w:val="auto"/>
                <w:kern w:val="0"/>
                <w:szCs w:val="21"/>
              </w:rPr>
              <w:t>①</w:t>
            </w:r>
            <w:r>
              <w:rPr>
                <w:color w:val="auto"/>
                <w:kern w:val="0"/>
                <w:szCs w:val="21"/>
              </w:rPr>
              <w:t>生活垃圾</w:t>
            </w:r>
          </w:p>
          <w:p>
            <w:pPr>
              <w:spacing w:line="360" w:lineRule="auto"/>
              <w:ind w:firstLine="420" w:firstLineChars="200"/>
              <w:rPr>
                <w:color w:val="auto"/>
                <w:kern w:val="0"/>
                <w:szCs w:val="21"/>
              </w:rPr>
            </w:pPr>
            <w:r>
              <w:rPr>
                <w:color w:val="auto"/>
                <w:kern w:val="0"/>
                <w:szCs w:val="21"/>
              </w:rPr>
              <w:t>项目劳动定员</w:t>
            </w:r>
            <w:r>
              <w:rPr>
                <w:rFonts w:hint="eastAsia"/>
                <w:color w:val="auto"/>
                <w:kern w:val="0"/>
                <w:szCs w:val="21"/>
              </w:rPr>
              <w:t>6</w:t>
            </w:r>
            <w:r>
              <w:rPr>
                <w:color w:val="auto"/>
                <w:kern w:val="0"/>
                <w:szCs w:val="21"/>
              </w:rPr>
              <w:t>人，员工生活垃圾产生量按0.5kg/（人·d）计，年运营</w:t>
            </w:r>
            <w:r>
              <w:rPr>
                <w:rFonts w:hint="eastAsia"/>
                <w:color w:val="auto"/>
                <w:kern w:val="0"/>
                <w:szCs w:val="21"/>
              </w:rPr>
              <w:t>330</w:t>
            </w:r>
            <w:r>
              <w:rPr>
                <w:color w:val="auto"/>
                <w:kern w:val="0"/>
                <w:szCs w:val="21"/>
              </w:rPr>
              <w:t>d，员工生活垃圾产生量为</w:t>
            </w:r>
            <w:r>
              <w:rPr>
                <w:rFonts w:hint="eastAsia"/>
                <w:color w:val="auto"/>
                <w:kern w:val="0"/>
                <w:szCs w:val="21"/>
              </w:rPr>
              <w:t>0.99</w:t>
            </w:r>
            <w:r>
              <w:rPr>
                <w:color w:val="auto"/>
                <w:kern w:val="0"/>
                <w:szCs w:val="21"/>
              </w:rPr>
              <w:t>t/a。项目就诊及美容宠物的主人以单人单宠物计算</w:t>
            </w:r>
            <w:r>
              <w:rPr>
                <w:color w:val="auto"/>
                <w:szCs w:val="21"/>
              </w:rPr>
              <w:t>，每日以</w:t>
            </w:r>
            <w:r>
              <w:rPr>
                <w:rFonts w:hint="eastAsia"/>
                <w:color w:val="auto"/>
                <w:szCs w:val="21"/>
              </w:rPr>
              <w:t>10</w:t>
            </w:r>
            <w:r>
              <w:rPr>
                <w:color w:val="auto"/>
                <w:szCs w:val="21"/>
              </w:rPr>
              <w:t>人计，宠物主人生活垃圾产生量按0.15kg/（人·d），</w:t>
            </w:r>
            <w:r>
              <w:rPr>
                <w:color w:val="auto"/>
                <w:kern w:val="0"/>
                <w:szCs w:val="21"/>
              </w:rPr>
              <w:t>年运营</w:t>
            </w:r>
            <w:r>
              <w:rPr>
                <w:rFonts w:hint="eastAsia"/>
                <w:color w:val="auto"/>
                <w:kern w:val="0"/>
                <w:szCs w:val="21"/>
              </w:rPr>
              <w:t>330</w:t>
            </w:r>
            <w:r>
              <w:rPr>
                <w:color w:val="auto"/>
                <w:kern w:val="0"/>
                <w:szCs w:val="21"/>
              </w:rPr>
              <w:t>d，则生活垃圾产生量为</w:t>
            </w:r>
            <w:r>
              <w:rPr>
                <w:rFonts w:hint="eastAsia"/>
                <w:color w:val="auto"/>
                <w:kern w:val="0"/>
                <w:szCs w:val="21"/>
              </w:rPr>
              <w:t>0.495</w:t>
            </w:r>
            <w:r>
              <w:rPr>
                <w:color w:val="auto"/>
                <w:kern w:val="0"/>
                <w:szCs w:val="21"/>
              </w:rPr>
              <w:t>t/a。项目生活垃圾总产生量为</w:t>
            </w:r>
            <w:r>
              <w:rPr>
                <w:rFonts w:hint="eastAsia"/>
                <w:color w:val="auto"/>
                <w:kern w:val="0"/>
                <w:szCs w:val="21"/>
              </w:rPr>
              <w:t>1.485</w:t>
            </w:r>
            <w:r>
              <w:rPr>
                <w:color w:val="auto"/>
                <w:kern w:val="0"/>
                <w:szCs w:val="21"/>
              </w:rPr>
              <w:t>t/a，采取垃圾桶收集，每日交由环卫部门清运处理。</w:t>
            </w:r>
          </w:p>
          <w:p>
            <w:pPr>
              <w:spacing w:line="360" w:lineRule="auto"/>
              <w:ind w:firstLine="420" w:firstLineChars="200"/>
              <w:rPr>
                <w:color w:val="auto"/>
                <w:szCs w:val="21"/>
              </w:rPr>
            </w:pPr>
            <w:r>
              <w:rPr>
                <w:rFonts w:hint="eastAsia"/>
                <w:color w:val="auto"/>
                <w:szCs w:val="21"/>
              </w:rPr>
              <w:t>②</w:t>
            </w:r>
            <w:r>
              <w:rPr>
                <w:color w:val="auto"/>
                <w:szCs w:val="21"/>
              </w:rPr>
              <w:t>宠物粪便</w:t>
            </w:r>
          </w:p>
          <w:p>
            <w:pPr>
              <w:spacing w:line="360" w:lineRule="auto"/>
              <w:ind w:firstLine="420" w:firstLineChars="200"/>
              <w:rPr>
                <w:color w:val="auto"/>
                <w:szCs w:val="21"/>
              </w:rPr>
            </w:pPr>
            <w:r>
              <w:rPr>
                <w:color w:val="auto"/>
                <w:szCs w:val="21"/>
              </w:rPr>
              <w:t>项目每日接诊宠物3只，年运行330天，宠物粪便的量按0.2kg/只计算，</w:t>
            </w:r>
            <w:r>
              <w:rPr>
                <w:rFonts w:hint="eastAsia"/>
                <w:color w:val="auto"/>
                <w:szCs w:val="21"/>
              </w:rPr>
              <w:t>每天</w:t>
            </w:r>
            <w:r>
              <w:rPr>
                <w:color w:val="auto"/>
                <w:szCs w:val="21"/>
              </w:rPr>
              <w:t>粪便产生量为</w:t>
            </w:r>
            <w:r>
              <w:rPr>
                <w:rFonts w:hint="eastAsia"/>
                <w:color w:val="auto"/>
                <w:szCs w:val="21"/>
              </w:rPr>
              <w:t>0.6kg/d（198</w:t>
            </w:r>
            <w:r>
              <w:rPr>
                <w:color w:val="auto"/>
                <w:szCs w:val="21"/>
              </w:rPr>
              <w:t>kg/a</w:t>
            </w:r>
            <w:r>
              <w:rPr>
                <w:rFonts w:hint="eastAsia"/>
                <w:color w:val="auto"/>
                <w:szCs w:val="21"/>
              </w:rPr>
              <w:t>），</w:t>
            </w:r>
            <w:r>
              <w:rPr>
                <w:color w:val="auto"/>
                <w:szCs w:val="21"/>
              </w:rPr>
              <w:t>项目对宠物粪便采取猫砂托盘收集，并经消石灰拌和后及时装入专用密封袋中密封，交由环卫部门清运。</w:t>
            </w:r>
            <w:r>
              <w:rPr>
                <w:rFonts w:hint="eastAsia"/>
                <w:color w:val="auto"/>
                <w:szCs w:val="21"/>
              </w:rPr>
              <w:t>经计算</w:t>
            </w:r>
            <w:r>
              <w:rPr>
                <w:color w:val="auto"/>
                <w:szCs w:val="21"/>
              </w:rPr>
              <w:t>，宠物</w:t>
            </w:r>
            <w:r>
              <w:rPr>
                <w:rFonts w:hint="eastAsia"/>
                <w:color w:val="auto"/>
                <w:szCs w:val="21"/>
              </w:rPr>
              <w:t>粪便</w:t>
            </w:r>
            <w:r>
              <w:rPr>
                <w:color w:val="auto"/>
                <w:szCs w:val="21"/>
              </w:rPr>
              <w:t>产生量约0.218t/a</w:t>
            </w:r>
            <w:r>
              <w:rPr>
                <w:rFonts w:hint="eastAsia"/>
                <w:color w:val="auto"/>
                <w:szCs w:val="21"/>
              </w:rPr>
              <w:t>（含</w:t>
            </w:r>
            <w:r>
              <w:rPr>
                <w:color w:val="auto"/>
                <w:szCs w:val="21"/>
              </w:rPr>
              <w:t>消石灰量</w:t>
            </w:r>
            <w:r>
              <w:rPr>
                <w:rFonts w:hint="eastAsia"/>
                <w:color w:val="auto"/>
                <w:szCs w:val="21"/>
              </w:rPr>
              <w:t>）。</w:t>
            </w:r>
            <w:r>
              <w:rPr>
                <w:color w:val="auto"/>
                <w:szCs w:val="21"/>
              </w:rPr>
              <w:t>对留观期间的染疫或者疑似染疫宠物产生的动物粪便，严格按照医疗废物进行管理和处置。</w:t>
            </w:r>
          </w:p>
          <w:p>
            <w:pPr>
              <w:spacing w:line="360" w:lineRule="auto"/>
              <w:ind w:firstLine="420" w:firstLineChars="200"/>
              <w:rPr>
                <w:rFonts w:hAnsi="宋体"/>
                <w:color w:val="auto"/>
              </w:rPr>
            </w:pPr>
            <w:r>
              <w:rPr>
                <w:rFonts w:hint="eastAsia" w:hAnsi="宋体"/>
                <w:color w:val="auto"/>
              </w:rPr>
              <w:t>③宠物美容垃圾</w:t>
            </w:r>
          </w:p>
          <w:p>
            <w:pPr>
              <w:topLinePunct/>
              <w:spacing w:line="360" w:lineRule="auto"/>
              <w:ind w:firstLine="482"/>
              <w:rPr>
                <w:color w:val="auto"/>
                <w:szCs w:val="21"/>
              </w:rPr>
            </w:pPr>
            <w:r>
              <w:rPr>
                <w:color w:val="auto"/>
                <w:szCs w:val="21"/>
              </w:rPr>
              <w:t>项目在美容室对宠物进行剪毛等活动时会产生废毛等（包括宠物洗浴废水过滤后产生的废毛），产生量按0.1kg/只.d计，日美容宠物5只，则产生量为</w:t>
            </w:r>
            <w:r>
              <w:rPr>
                <w:rFonts w:hint="eastAsia"/>
                <w:color w:val="auto"/>
                <w:szCs w:val="21"/>
              </w:rPr>
              <w:t>0.165</w:t>
            </w:r>
            <w:r>
              <w:rPr>
                <w:color w:val="auto"/>
                <w:szCs w:val="21"/>
              </w:rPr>
              <w:t>t/a，与生活垃圾一起堆存于有盖的垃圾箱内，由环卫部门定期外运处理</w:t>
            </w:r>
            <w:r>
              <w:rPr>
                <w:rFonts w:hint="eastAsia"/>
                <w:color w:val="auto"/>
                <w:szCs w:val="21"/>
              </w:rPr>
              <w:t>。</w:t>
            </w:r>
          </w:p>
          <w:p>
            <w:pPr>
              <w:spacing w:line="360" w:lineRule="auto"/>
              <w:ind w:firstLine="420" w:firstLineChars="200"/>
              <w:rPr>
                <w:rFonts w:hAnsi="宋体"/>
                <w:color w:val="auto"/>
              </w:rPr>
            </w:pPr>
            <w:r>
              <w:rPr>
                <w:rFonts w:hint="eastAsia" w:hAnsi="宋体"/>
                <w:color w:val="auto"/>
              </w:rPr>
              <w:t>④医疗废物</w:t>
            </w:r>
          </w:p>
          <w:p>
            <w:pPr>
              <w:topLinePunct/>
              <w:adjustRightInd w:val="0"/>
              <w:snapToGrid w:val="0"/>
              <w:spacing w:line="360" w:lineRule="auto"/>
              <w:ind w:firstLine="482"/>
              <w:rPr>
                <w:color w:val="auto"/>
                <w:szCs w:val="21"/>
              </w:rPr>
            </w:pPr>
            <w:r>
              <w:rPr>
                <w:color w:val="auto"/>
                <w:szCs w:val="21"/>
              </w:rPr>
              <w:t>项目医疗废物主要包括以下几类：a、感染性废物</w:t>
            </w:r>
            <w:r>
              <w:rPr>
                <w:rFonts w:hint="eastAsia"/>
                <w:color w:val="auto"/>
                <w:szCs w:val="21"/>
              </w:rPr>
              <w:t>（841-001-01）</w:t>
            </w:r>
            <w:r>
              <w:rPr>
                <w:color w:val="auto"/>
                <w:szCs w:val="21"/>
              </w:rPr>
              <w:t>：如生病宠物粪便（含短期留观过程中产生的粪便）、废针管、样本管、废用试剂、手术刀、缝合针、纱布、棉球、卫生纸、废输液器及治疗区其他污染物等。b、病理性废物</w:t>
            </w:r>
            <w:r>
              <w:rPr>
                <w:rFonts w:hint="eastAsia"/>
                <w:color w:val="auto"/>
                <w:szCs w:val="21"/>
              </w:rPr>
              <w:t>（841-003-01）</w:t>
            </w:r>
            <w:r>
              <w:rPr>
                <w:color w:val="auto"/>
                <w:szCs w:val="21"/>
              </w:rPr>
              <w:t>：手术及其他诊疗过程中产生的</w:t>
            </w:r>
            <w:r>
              <w:rPr>
                <w:rFonts w:hint="eastAsia"/>
                <w:color w:val="auto"/>
                <w:szCs w:val="21"/>
              </w:rPr>
              <w:t>废弃</w:t>
            </w:r>
            <w:r>
              <w:rPr>
                <w:color w:val="auto"/>
                <w:szCs w:val="21"/>
              </w:rPr>
              <w:t>的动物组织、器官、病死动物尸体等。c、损伤性废物</w:t>
            </w:r>
            <w:r>
              <w:rPr>
                <w:rFonts w:hint="eastAsia"/>
                <w:color w:val="auto"/>
                <w:szCs w:val="21"/>
              </w:rPr>
              <w:t>（841-002-01）</w:t>
            </w:r>
            <w:r>
              <w:rPr>
                <w:color w:val="auto"/>
                <w:szCs w:val="21"/>
              </w:rPr>
              <w:t>：主要是用过的废弃针头等。d、药</w:t>
            </w:r>
            <w:r>
              <w:rPr>
                <w:rFonts w:hint="eastAsia"/>
                <w:color w:val="auto"/>
                <w:szCs w:val="21"/>
              </w:rPr>
              <w:t>物</w:t>
            </w:r>
            <w:r>
              <w:rPr>
                <w:color w:val="auto"/>
                <w:szCs w:val="21"/>
              </w:rPr>
              <w:t>性废物</w:t>
            </w:r>
            <w:r>
              <w:rPr>
                <w:rFonts w:hint="eastAsia"/>
                <w:color w:val="auto"/>
                <w:szCs w:val="21"/>
              </w:rPr>
              <w:t>（841-005-01）</w:t>
            </w:r>
            <w:r>
              <w:rPr>
                <w:color w:val="auto"/>
                <w:szCs w:val="21"/>
              </w:rPr>
              <w:t>：主要为少量的过期、变质而被废弃的药品。废物产生量按每日病例0.1kg/例次，产生量为</w:t>
            </w:r>
            <w:r>
              <w:rPr>
                <w:rFonts w:hint="eastAsia"/>
                <w:color w:val="auto"/>
                <w:szCs w:val="21"/>
              </w:rPr>
              <w:t>0.3</w:t>
            </w:r>
            <w:r>
              <w:rPr>
                <w:color w:val="auto"/>
                <w:szCs w:val="21"/>
              </w:rPr>
              <w:t>kg/d，年产量约为</w:t>
            </w:r>
            <w:r>
              <w:rPr>
                <w:rFonts w:hint="eastAsia"/>
                <w:color w:val="auto"/>
                <w:szCs w:val="21"/>
              </w:rPr>
              <w:t>0.099</w:t>
            </w:r>
            <w:r>
              <w:rPr>
                <w:color w:val="auto"/>
                <w:szCs w:val="21"/>
              </w:rPr>
              <w:t>t/a。</w:t>
            </w:r>
          </w:p>
          <w:p>
            <w:pPr>
              <w:topLinePunct/>
              <w:adjustRightInd w:val="0"/>
              <w:snapToGrid w:val="0"/>
              <w:spacing w:line="360" w:lineRule="auto"/>
              <w:ind w:firstLine="482"/>
              <w:rPr>
                <w:color w:val="auto"/>
                <w:szCs w:val="21"/>
              </w:rPr>
            </w:pPr>
            <w:r>
              <w:rPr>
                <w:color w:val="auto"/>
                <w:szCs w:val="21"/>
              </w:rPr>
              <w:t>医疗垃圾收集桶分布于手术室内和化验室内，方便宠物手术治疗、化验后产生的医疗垃圾的收集和清运。医疗废物先经消毒后，放入带盖的医疗垃圾收集桶，在医疗废物间（建筑面积：2.5m</w:t>
            </w:r>
            <w:r>
              <w:rPr>
                <w:color w:val="auto"/>
                <w:szCs w:val="21"/>
                <w:vertAlign w:val="superscript"/>
              </w:rPr>
              <w:t>2</w:t>
            </w:r>
            <w:r>
              <w:rPr>
                <w:color w:val="auto"/>
                <w:szCs w:val="21"/>
              </w:rPr>
              <w:t>）进行暂存，委托西安市</w:t>
            </w:r>
            <w:r>
              <w:rPr>
                <w:rFonts w:hint="eastAsia"/>
                <w:color w:val="auto"/>
                <w:szCs w:val="21"/>
              </w:rPr>
              <w:t>卫达</w:t>
            </w:r>
            <w:r>
              <w:rPr>
                <w:color w:val="auto"/>
                <w:szCs w:val="21"/>
              </w:rPr>
              <w:t>实业有限公司定期进行处理。另外，项目病理性废物中的病死动物尸体，医院进行消毒处理后进行密封暂存，并向宠物主人告知有处理资质单位的联系方式，由宠物主人对病死动物进行后续无害化处置。</w:t>
            </w:r>
          </w:p>
          <w:p>
            <w:pPr>
              <w:ind w:firstLine="422" w:firstLineChars="200"/>
              <w:jc w:val="center"/>
              <w:rPr>
                <w:rFonts w:hAnsi="宋体"/>
                <w:b/>
                <w:bCs/>
                <w:color w:val="auto"/>
                <w:szCs w:val="21"/>
              </w:rPr>
            </w:pPr>
            <w:r>
              <w:rPr>
                <w:rFonts w:hint="eastAsia" w:hAnsi="宋体"/>
                <w:b/>
                <w:bCs/>
                <w:color w:val="auto"/>
                <w:szCs w:val="21"/>
              </w:rPr>
              <w:t>表4-9    运营期固体废物产生及利用处置一览表</w:t>
            </w:r>
          </w:p>
          <w:tbl>
            <w:tblPr>
              <w:tblStyle w:val="21"/>
              <w:tblW w:w="849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59"/>
              <w:gridCol w:w="909"/>
              <w:gridCol w:w="933"/>
              <w:gridCol w:w="753"/>
              <w:gridCol w:w="841"/>
              <w:gridCol w:w="777"/>
              <w:gridCol w:w="826"/>
              <w:gridCol w:w="858"/>
              <w:gridCol w:w="21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1" w:hRule="atLeast"/>
              </w:trPr>
              <w:tc>
                <w:tcPr>
                  <w:tcW w:w="270" w:type="pct"/>
                  <w:vAlign w:val="center"/>
                </w:tcPr>
                <w:p>
                  <w:pPr>
                    <w:jc w:val="center"/>
                    <w:rPr>
                      <w:color w:val="auto"/>
                      <w:sz w:val="18"/>
                      <w:szCs w:val="18"/>
                    </w:rPr>
                  </w:pPr>
                  <w:r>
                    <w:rPr>
                      <w:color w:val="auto"/>
                      <w:sz w:val="18"/>
                      <w:szCs w:val="18"/>
                    </w:rPr>
                    <w:t>序号</w:t>
                  </w:r>
                </w:p>
              </w:tc>
              <w:tc>
                <w:tcPr>
                  <w:tcW w:w="535" w:type="pct"/>
                  <w:vAlign w:val="center"/>
                </w:tcPr>
                <w:p>
                  <w:pPr>
                    <w:jc w:val="center"/>
                    <w:rPr>
                      <w:color w:val="auto"/>
                      <w:sz w:val="18"/>
                      <w:szCs w:val="18"/>
                    </w:rPr>
                  </w:pPr>
                  <w:r>
                    <w:rPr>
                      <w:color w:val="auto"/>
                      <w:sz w:val="18"/>
                      <w:szCs w:val="18"/>
                    </w:rPr>
                    <w:t>产污</w:t>
                  </w:r>
                </w:p>
                <w:p>
                  <w:pPr>
                    <w:jc w:val="center"/>
                    <w:rPr>
                      <w:color w:val="auto"/>
                      <w:sz w:val="18"/>
                      <w:szCs w:val="18"/>
                    </w:rPr>
                  </w:pPr>
                  <w:r>
                    <w:rPr>
                      <w:color w:val="auto"/>
                      <w:sz w:val="18"/>
                      <w:szCs w:val="18"/>
                    </w:rPr>
                    <w:t>环节</w:t>
                  </w:r>
                </w:p>
              </w:tc>
              <w:tc>
                <w:tcPr>
                  <w:tcW w:w="549" w:type="pct"/>
                  <w:vAlign w:val="center"/>
                </w:tcPr>
                <w:p>
                  <w:pPr>
                    <w:jc w:val="center"/>
                    <w:rPr>
                      <w:color w:val="auto"/>
                      <w:sz w:val="18"/>
                      <w:szCs w:val="18"/>
                    </w:rPr>
                  </w:pPr>
                  <w:r>
                    <w:rPr>
                      <w:color w:val="auto"/>
                      <w:sz w:val="18"/>
                      <w:szCs w:val="18"/>
                    </w:rPr>
                    <w:t>污染物名称</w:t>
                  </w:r>
                </w:p>
              </w:tc>
              <w:tc>
                <w:tcPr>
                  <w:tcW w:w="443" w:type="pct"/>
                  <w:vAlign w:val="center"/>
                </w:tcPr>
                <w:p>
                  <w:pPr>
                    <w:jc w:val="center"/>
                    <w:rPr>
                      <w:color w:val="auto"/>
                      <w:sz w:val="18"/>
                      <w:szCs w:val="18"/>
                    </w:rPr>
                  </w:pPr>
                  <w:r>
                    <w:rPr>
                      <w:color w:val="auto"/>
                      <w:sz w:val="18"/>
                      <w:szCs w:val="18"/>
                    </w:rPr>
                    <w:t>性状</w:t>
                  </w:r>
                </w:p>
              </w:tc>
              <w:tc>
                <w:tcPr>
                  <w:tcW w:w="495" w:type="pct"/>
                  <w:vAlign w:val="center"/>
                </w:tcPr>
                <w:p>
                  <w:pPr>
                    <w:jc w:val="center"/>
                    <w:rPr>
                      <w:color w:val="auto"/>
                      <w:sz w:val="18"/>
                      <w:szCs w:val="18"/>
                    </w:rPr>
                  </w:pPr>
                  <w:r>
                    <w:rPr>
                      <w:color w:val="auto"/>
                      <w:sz w:val="18"/>
                      <w:szCs w:val="18"/>
                    </w:rPr>
                    <w:t>成分</w:t>
                  </w:r>
                </w:p>
              </w:tc>
              <w:tc>
                <w:tcPr>
                  <w:tcW w:w="457" w:type="pct"/>
                  <w:vAlign w:val="center"/>
                </w:tcPr>
                <w:p>
                  <w:pPr>
                    <w:jc w:val="center"/>
                    <w:rPr>
                      <w:color w:val="auto"/>
                      <w:sz w:val="18"/>
                      <w:szCs w:val="18"/>
                    </w:rPr>
                  </w:pPr>
                  <w:r>
                    <w:rPr>
                      <w:color w:val="auto"/>
                      <w:sz w:val="18"/>
                      <w:szCs w:val="18"/>
                    </w:rPr>
                    <w:t>属性</w:t>
                  </w:r>
                  <w:r>
                    <w:rPr>
                      <w:rFonts w:hint="eastAsia"/>
                      <w:color w:val="auto"/>
                      <w:sz w:val="18"/>
                      <w:szCs w:val="18"/>
                    </w:rPr>
                    <w:t>/代码</w:t>
                  </w:r>
                </w:p>
              </w:tc>
              <w:tc>
                <w:tcPr>
                  <w:tcW w:w="486" w:type="pct"/>
                  <w:vAlign w:val="center"/>
                </w:tcPr>
                <w:p>
                  <w:pPr>
                    <w:jc w:val="center"/>
                    <w:rPr>
                      <w:color w:val="auto"/>
                      <w:sz w:val="18"/>
                      <w:szCs w:val="18"/>
                    </w:rPr>
                  </w:pPr>
                  <w:r>
                    <w:rPr>
                      <w:color w:val="auto"/>
                      <w:sz w:val="18"/>
                      <w:szCs w:val="18"/>
                    </w:rPr>
                    <w:t>产生量(t/a)</w:t>
                  </w:r>
                </w:p>
              </w:tc>
              <w:tc>
                <w:tcPr>
                  <w:tcW w:w="505" w:type="pct"/>
                  <w:vAlign w:val="center"/>
                </w:tcPr>
                <w:p>
                  <w:pPr>
                    <w:jc w:val="center"/>
                    <w:rPr>
                      <w:color w:val="auto"/>
                      <w:sz w:val="18"/>
                      <w:szCs w:val="18"/>
                    </w:rPr>
                  </w:pPr>
                  <w:r>
                    <w:rPr>
                      <w:color w:val="auto"/>
                      <w:sz w:val="18"/>
                      <w:szCs w:val="18"/>
                    </w:rPr>
                    <w:t>储存</w:t>
                  </w:r>
                </w:p>
                <w:p>
                  <w:pPr>
                    <w:jc w:val="center"/>
                    <w:rPr>
                      <w:color w:val="auto"/>
                      <w:sz w:val="18"/>
                      <w:szCs w:val="18"/>
                    </w:rPr>
                  </w:pPr>
                  <w:r>
                    <w:rPr>
                      <w:color w:val="auto"/>
                      <w:sz w:val="18"/>
                      <w:szCs w:val="18"/>
                    </w:rPr>
                    <w:t>方式</w:t>
                  </w:r>
                </w:p>
              </w:tc>
              <w:tc>
                <w:tcPr>
                  <w:tcW w:w="1260" w:type="pct"/>
                  <w:vAlign w:val="center"/>
                </w:tcPr>
                <w:p>
                  <w:pPr>
                    <w:jc w:val="center"/>
                    <w:rPr>
                      <w:color w:val="auto"/>
                      <w:sz w:val="18"/>
                      <w:szCs w:val="18"/>
                    </w:rPr>
                  </w:pPr>
                  <w:r>
                    <w:rPr>
                      <w:color w:val="auto"/>
                      <w:sz w:val="18"/>
                      <w:szCs w:val="18"/>
                    </w:rPr>
                    <w:t>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2" w:hRule="atLeast"/>
              </w:trPr>
              <w:tc>
                <w:tcPr>
                  <w:tcW w:w="270" w:type="pct"/>
                  <w:vAlign w:val="center"/>
                </w:tcPr>
                <w:p>
                  <w:pPr>
                    <w:jc w:val="center"/>
                    <w:rPr>
                      <w:color w:val="auto"/>
                      <w:sz w:val="18"/>
                      <w:szCs w:val="18"/>
                    </w:rPr>
                  </w:pPr>
                  <w:r>
                    <w:rPr>
                      <w:color w:val="auto"/>
                      <w:sz w:val="18"/>
                      <w:szCs w:val="18"/>
                    </w:rPr>
                    <w:t>1</w:t>
                  </w:r>
                </w:p>
              </w:tc>
              <w:tc>
                <w:tcPr>
                  <w:tcW w:w="535" w:type="pct"/>
                  <w:vAlign w:val="center"/>
                </w:tcPr>
                <w:p>
                  <w:pPr>
                    <w:jc w:val="center"/>
                    <w:rPr>
                      <w:color w:val="auto"/>
                      <w:sz w:val="18"/>
                      <w:szCs w:val="18"/>
                    </w:rPr>
                  </w:pPr>
                  <w:r>
                    <w:rPr>
                      <w:color w:val="auto"/>
                      <w:sz w:val="18"/>
                      <w:szCs w:val="18"/>
                    </w:rPr>
                    <w:t>办公</w:t>
                  </w:r>
                </w:p>
              </w:tc>
              <w:tc>
                <w:tcPr>
                  <w:tcW w:w="549" w:type="pct"/>
                  <w:vAlign w:val="center"/>
                </w:tcPr>
                <w:p>
                  <w:pPr>
                    <w:jc w:val="center"/>
                    <w:rPr>
                      <w:color w:val="auto"/>
                      <w:sz w:val="18"/>
                      <w:szCs w:val="18"/>
                    </w:rPr>
                  </w:pPr>
                  <w:r>
                    <w:rPr>
                      <w:color w:val="auto"/>
                      <w:sz w:val="18"/>
                      <w:szCs w:val="18"/>
                    </w:rPr>
                    <w:t>生活垃圾</w:t>
                  </w:r>
                </w:p>
              </w:tc>
              <w:tc>
                <w:tcPr>
                  <w:tcW w:w="443" w:type="pct"/>
                  <w:vAlign w:val="center"/>
                </w:tcPr>
                <w:p>
                  <w:pPr>
                    <w:jc w:val="center"/>
                    <w:rPr>
                      <w:color w:val="auto"/>
                      <w:sz w:val="18"/>
                      <w:szCs w:val="18"/>
                    </w:rPr>
                  </w:pPr>
                  <w:r>
                    <w:rPr>
                      <w:color w:val="auto"/>
                      <w:sz w:val="18"/>
                      <w:szCs w:val="18"/>
                    </w:rPr>
                    <w:t>固态</w:t>
                  </w:r>
                </w:p>
              </w:tc>
              <w:tc>
                <w:tcPr>
                  <w:tcW w:w="495" w:type="pct"/>
                  <w:vAlign w:val="center"/>
                </w:tcPr>
                <w:p>
                  <w:pPr>
                    <w:jc w:val="center"/>
                    <w:rPr>
                      <w:color w:val="auto"/>
                      <w:sz w:val="18"/>
                      <w:szCs w:val="18"/>
                    </w:rPr>
                  </w:pPr>
                  <w:r>
                    <w:rPr>
                      <w:color w:val="auto"/>
                      <w:sz w:val="18"/>
                      <w:szCs w:val="18"/>
                    </w:rPr>
                    <w:t>废纸、塑料等</w:t>
                  </w:r>
                </w:p>
              </w:tc>
              <w:tc>
                <w:tcPr>
                  <w:tcW w:w="457" w:type="pct"/>
                  <w:vMerge w:val="restart"/>
                  <w:vAlign w:val="center"/>
                </w:tcPr>
                <w:p>
                  <w:pPr>
                    <w:widowControl/>
                    <w:kinsoku w:val="0"/>
                    <w:autoSpaceDE w:val="0"/>
                    <w:autoSpaceDN w:val="0"/>
                    <w:jc w:val="center"/>
                    <w:rPr>
                      <w:color w:val="auto"/>
                      <w:sz w:val="18"/>
                      <w:szCs w:val="18"/>
                    </w:rPr>
                  </w:pPr>
                  <w:r>
                    <w:rPr>
                      <w:color w:val="auto"/>
                      <w:sz w:val="18"/>
                      <w:szCs w:val="18"/>
                    </w:rPr>
                    <w:t>一般</w:t>
                  </w:r>
                </w:p>
                <w:p>
                  <w:pPr>
                    <w:widowControl/>
                    <w:kinsoku w:val="0"/>
                    <w:autoSpaceDE w:val="0"/>
                    <w:autoSpaceDN w:val="0"/>
                    <w:jc w:val="center"/>
                    <w:rPr>
                      <w:color w:val="auto"/>
                      <w:sz w:val="18"/>
                      <w:szCs w:val="18"/>
                    </w:rPr>
                  </w:pPr>
                  <w:r>
                    <w:rPr>
                      <w:color w:val="auto"/>
                      <w:sz w:val="18"/>
                      <w:szCs w:val="18"/>
                    </w:rPr>
                    <w:t>固废</w:t>
                  </w:r>
                </w:p>
                <w:p>
                  <w:pPr>
                    <w:widowControl/>
                    <w:kinsoku w:val="0"/>
                    <w:autoSpaceDE w:val="0"/>
                    <w:autoSpaceDN w:val="0"/>
                    <w:jc w:val="center"/>
                    <w:rPr>
                      <w:color w:val="auto"/>
                      <w:sz w:val="18"/>
                      <w:szCs w:val="18"/>
                    </w:rPr>
                  </w:pPr>
                  <w:r>
                    <w:rPr>
                      <w:rFonts w:hint="eastAsia"/>
                      <w:color w:val="auto"/>
                      <w:sz w:val="18"/>
                      <w:szCs w:val="18"/>
                    </w:rPr>
                    <w:t>（代码99）</w:t>
                  </w:r>
                </w:p>
              </w:tc>
              <w:tc>
                <w:tcPr>
                  <w:tcW w:w="486" w:type="pct"/>
                  <w:vAlign w:val="center"/>
                </w:tcPr>
                <w:p>
                  <w:pPr>
                    <w:jc w:val="center"/>
                    <w:rPr>
                      <w:color w:val="auto"/>
                      <w:sz w:val="18"/>
                      <w:szCs w:val="18"/>
                    </w:rPr>
                  </w:pPr>
                  <w:r>
                    <w:rPr>
                      <w:color w:val="auto"/>
                      <w:sz w:val="18"/>
                      <w:szCs w:val="18"/>
                    </w:rPr>
                    <w:t>1.485</w:t>
                  </w:r>
                </w:p>
              </w:tc>
              <w:tc>
                <w:tcPr>
                  <w:tcW w:w="505" w:type="pct"/>
                  <w:vAlign w:val="center"/>
                </w:tcPr>
                <w:p>
                  <w:pPr>
                    <w:jc w:val="center"/>
                    <w:rPr>
                      <w:color w:val="auto"/>
                      <w:sz w:val="18"/>
                      <w:szCs w:val="18"/>
                    </w:rPr>
                  </w:pPr>
                  <w:r>
                    <w:rPr>
                      <w:color w:val="auto"/>
                      <w:sz w:val="18"/>
                      <w:szCs w:val="18"/>
                    </w:rPr>
                    <w:t>带盖垃圾桶收集</w:t>
                  </w:r>
                </w:p>
              </w:tc>
              <w:tc>
                <w:tcPr>
                  <w:tcW w:w="1260" w:type="pct"/>
                  <w:vAlign w:val="center"/>
                </w:tcPr>
                <w:p>
                  <w:pPr>
                    <w:jc w:val="center"/>
                    <w:rPr>
                      <w:color w:val="auto"/>
                      <w:sz w:val="18"/>
                      <w:szCs w:val="18"/>
                    </w:rPr>
                  </w:pPr>
                  <w:r>
                    <w:rPr>
                      <w:color w:val="auto"/>
                      <w:sz w:val="18"/>
                      <w:szCs w:val="18"/>
                    </w:rPr>
                    <w:t>交由环卫部门定期清运。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270" w:type="pct"/>
                  <w:vAlign w:val="center"/>
                </w:tcPr>
                <w:p>
                  <w:pPr>
                    <w:jc w:val="center"/>
                    <w:rPr>
                      <w:color w:val="auto"/>
                      <w:sz w:val="18"/>
                      <w:szCs w:val="18"/>
                    </w:rPr>
                  </w:pPr>
                  <w:r>
                    <w:rPr>
                      <w:color w:val="auto"/>
                      <w:sz w:val="18"/>
                      <w:szCs w:val="18"/>
                    </w:rPr>
                    <w:t>2</w:t>
                  </w:r>
                </w:p>
              </w:tc>
              <w:tc>
                <w:tcPr>
                  <w:tcW w:w="535" w:type="pct"/>
                  <w:vAlign w:val="center"/>
                </w:tcPr>
                <w:p>
                  <w:pPr>
                    <w:jc w:val="center"/>
                    <w:rPr>
                      <w:color w:val="auto"/>
                      <w:sz w:val="18"/>
                      <w:szCs w:val="18"/>
                    </w:rPr>
                  </w:pPr>
                  <w:r>
                    <w:rPr>
                      <w:color w:val="auto"/>
                      <w:sz w:val="18"/>
                      <w:szCs w:val="18"/>
                    </w:rPr>
                    <w:t>宠物洗浴、美容</w:t>
                  </w:r>
                </w:p>
              </w:tc>
              <w:tc>
                <w:tcPr>
                  <w:tcW w:w="549" w:type="pct"/>
                  <w:vAlign w:val="center"/>
                </w:tcPr>
                <w:p>
                  <w:pPr>
                    <w:jc w:val="center"/>
                    <w:rPr>
                      <w:color w:val="auto"/>
                      <w:sz w:val="18"/>
                      <w:szCs w:val="18"/>
                    </w:rPr>
                  </w:pPr>
                  <w:r>
                    <w:rPr>
                      <w:color w:val="auto"/>
                      <w:sz w:val="18"/>
                      <w:szCs w:val="18"/>
                    </w:rPr>
                    <w:t>宠物美容垃圾</w:t>
                  </w:r>
                </w:p>
              </w:tc>
              <w:tc>
                <w:tcPr>
                  <w:tcW w:w="443" w:type="pct"/>
                  <w:vAlign w:val="center"/>
                </w:tcPr>
                <w:p>
                  <w:pPr>
                    <w:jc w:val="center"/>
                    <w:rPr>
                      <w:color w:val="auto"/>
                      <w:sz w:val="18"/>
                      <w:szCs w:val="18"/>
                    </w:rPr>
                  </w:pPr>
                  <w:r>
                    <w:rPr>
                      <w:color w:val="auto"/>
                      <w:sz w:val="18"/>
                      <w:szCs w:val="18"/>
                    </w:rPr>
                    <w:t>固态</w:t>
                  </w:r>
                </w:p>
              </w:tc>
              <w:tc>
                <w:tcPr>
                  <w:tcW w:w="495" w:type="pct"/>
                  <w:vAlign w:val="center"/>
                </w:tcPr>
                <w:p>
                  <w:pPr>
                    <w:jc w:val="center"/>
                    <w:rPr>
                      <w:color w:val="auto"/>
                      <w:sz w:val="18"/>
                      <w:szCs w:val="18"/>
                    </w:rPr>
                  </w:pPr>
                  <w:r>
                    <w:rPr>
                      <w:color w:val="auto"/>
                      <w:sz w:val="18"/>
                      <w:szCs w:val="18"/>
                    </w:rPr>
                    <w:t>宠物毛发、指甲等</w:t>
                  </w:r>
                </w:p>
              </w:tc>
              <w:tc>
                <w:tcPr>
                  <w:tcW w:w="457" w:type="pct"/>
                  <w:vMerge w:val="continue"/>
                  <w:vAlign w:val="center"/>
                </w:tcPr>
                <w:p>
                  <w:pPr>
                    <w:widowControl/>
                    <w:kinsoku w:val="0"/>
                    <w:autoSpaceDE w:val="0"/>
                    <w:autoSpaceDN w:val="0"/>
                    <w:jc w:val="center"/>
                    <w:rPr>
                      <w:color w:val="auto"/>
                      <w:sz w:val="18"/>
                      <w:szCs w:val="18"/>
                    </w:rPr>
                  </w:pPr>
                </w:p>
              </w:tc>
              <w:tc>
                <w:tcPr>
                  <w:tcW w:w="486" w:type="pct"/>
                  <w:vAlign w:val="center"/>
                </w:tcPr>
                <w:p>
                  <w:pPr>
                    <w:jc w:val="center"/>
                    <w:rPr>
                      <w:color w:val="auto"/>
                      <w:sz w:val="18"/>
                      <w:szCs w:val="18"/>
                    </w:rPr>
                  </w:pPr>
                  <w:r>
                    <w:rPr>
                      <w:color w:val="auto"/>
                      <w:sz w:val="18"/>
                      <w:szCs w:val="18"/>
                    </w:rPr>
                    <w:t>0.165</w:t>
                  </w:r>
                </w:p>
              </w:tc>
              <w:tc>
                <w:tcPr>
                  <w:tcW w:w="505" w:type="pct"/>
                  <w:vAlign w:val="center"/>
                </w:tcPr>
                <w:p>
                  <w:pPr>
                    <w:jc w:val="center"/>
                    <w:rPr>
                      <w:color w:val="auto"/>
                      <w:sz w:val="18"/>
                      <w:szCs w:val="18"/>
                    </w:rPr>
                  </w:pPr>
                  <w:r>
                    <w:rPr>
                      <w:color w:val="auto"/>
                      <w:sz w:val="18"/>
                      <w:szCs w:val="18"/>
                    </w:rPr>
                    <w:t>带盖垃圾桶收集</w:t>
                  </w:r>
                </w:p>
              </w:tc>
              <w:tc>
                <w:tcPr>
                  <w:tcW w:w="1260" w:type="pct"/>
                  <w:vAlign w:val="center"/>
                </w:tcPr>
                <w:p>
                  <w:pPr>
                    <w:jc w:val="center"/>
                    <w:rPr>
                      <w:color w:val="auto"/>
                      <w:sz w:val="18"/>
                      <w:szCs w:val="18"/>
                    </w:rPr>
                  </w:pPr>
                  <w:r>
                    <w:rPr>
                      <w:color w:val="auto"/>
                      <w:sz w:val="18"/>
                      <w:szCs w:val="18"/>
                    </w:rPr>
                    <w:t>交由环卫部门定期清运。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3" w:hRule="atLeast"/>
              </w:trPr>
              <w:tc>
                <w:tcPr>
                  <w:tcW w:w="270" w:type="pct"/>
                  <w:vAlign w:val="center"/>
                </w:tcPr>
                <w:p>
                  <w:pPr>
                    <w:jc w:val="center"/>
                    <w:rPr>
                      <w:color w:val="auto"/>
                      <w:sz w:val="18"/>
                      <w:szCs w:val="18"/>
                    </w:rPr>
                  </w:pPr>
                  <w:r>
                    <w:rPr>
                      <w:color w:val="auto"/>
                      <w:sz w:val="18"/>
                      <w:szCs w:val="18"/>
                    </w:rPr>
                    <w:t>3</w:t>
                  </w:r>
                </w:p>
              </w:tc>
              <w:tc>
                <w:tcPr>
                  <w:tcW w:w="535" w:type="pct"/>
                  <w:vAlign w:val="center"/>
                </w:tcPr>
                <w:p>
                  <w:pPr>
                    <w:jc w:val="center"/>
                    <w:rPr>
                      <w:color w:val="auto"/>
                      <w:sz w:val="18"/>
                      <w:szCs w:val="18"/>
                    </w:rPr>
                  </w:pPr>
                  <w:r>
                    <w:rPr>
                      <w:color w:val="auto"/>
                      <w:sz w:val="18"/>
                      <w:szCs w:val="18"/>
                    </w:rPr>
                    <w:t>宠物洗浴、美容及诊疗</w:t>
                  </w:r>
                </w:p>
              </w:tc>
              <w:tc>
                <w:tcPr>
                  <w:tcW w:w="549" w:type="pct"/>
                  <w:vAlign w:val="center"/>
                </w:tcPr>
                <w:p>
                  <w:pPr>
                    <w:jc w:val="center"/>
                    <w:rPr>
                      <w:color w:val="auto"/>
                      <w:sz w:val="18"/>
                      <w:szCs w:val="18"/>
                    </w:rPr>
                  </w:pPr>
                  <w:r>
                    <w:rPr>
                      <w:color w:val="auto"/>
                      <w:sz w:val="18"/>
                      <w:szCs w:val="18"/>
                    </w:rPr>
                    <w:t>宠物粪便</w:t>
                  </w:r>
                </w:p>
              </w:tc>
              <w:tc>
                <w:tcPr>
                  <w:tcW w:w="443" w:type="pct"/>
                  <w:vAlign w:val="center"/>
                </w:tcPr>
                <w:p>
                  <w:pPr>
                    <w:jc w:val="center"/>
                    <w:rPr>
                      <w:color w:val="auto"/>
                      <w:sz w:val="18"/>
                      <w:szCs w:val="18"/>
                    </w:rPr>
                  </w:pPr>
                  <w:r>
                    <w:rPr>
                      <w:color w:val="auto"/>
                      <w:sz w:val="18"/>
                      <w:szCs w:val="18"/>
                    </w:rPr>
                    <w:t>固态</w:t>
                  </w:r>
                </w:p>
              </w:tc>
              <w:tc>
                <w:tcPr>
                  <w:tcW w:w="495" w:type="pct"/>
                  <w:vAlign w:val="center"/>
                </w:tcPr>
                <w:p>
                  <w:pPr>
                    <w:jc w:val="center"/>
                    <w:rPr>
                      <w:color w:val="auto"/>
                      <w:sz w:val="18"/>
                      <w:szCs w:val="18"/>
                    </w:rPr>
                  </w:pPr>
                  <w:r>
                    <w:rPr>
                      <w:color w:val="auto"/>
                      <w:sz w:val="18"/>
                      <w:szCs w:val="18"/>
                    </w:rPr>
                    <w:t>粪便</w:t>
                  </w:r>
                </w:p>
              </w:tc>
              <w:tc>
                <w:tcPr>
                  <w:tcW w:w="457" w:type="pct"/>
                  <w:vMerge w:val="continue"/>
                  <w:vAlign w:val="center"/>
                </w:tcPr>
                <w:p>
                  <w:pPr>
                    <w:widowControl/>
                    <w:kinsoku w:val="0"/>
                    <w:autoSpaceDE w:val="0"/>
                    <w:autoSpaceDN w:val="0"/>
                    <w:jc w:val="center"/>
                    <w:rPr>
                      <w:color w:val="auto"/>
                      <w:sz w:val="18"/>
                      <w:szCs w:val="18"/>
                    </w:rPr>
                  </w:pPr>
                </w:p>
              </w:tc>
              <w:tc>
                <w:tcPr>
                  <w:tcW w:w="486" w:type="pct"/>
                  <w:vAlign w:val="center"/>
                </w:tcPr>
                <w:p>
                  <w:pPr>
                    <w:jc w:val="center"/>
                    <w:rPr>
                      <w:color w:val="auto"/>
                      <w:sz w:val="18"/>
                      <w:szCs w:val="18"/>
                    </w:rPr>
                  </w:pPr>
                  <w:r>
                    <w:rPr>
                      <w:color w:val="auto"/>
                      <w:sz w:val="18"/>
                      <w:szCs w:val="18"/>
                    </w:rPr>
                    <w:t>0.218</w:t>
                  </w:r>
                </w:p>
              </w:tc>
              <w:tc>
                <w:tcPr>
                  <w:tcW w:w="505" w:type="pct"/>
                  <w:vAlign w:val="center"/>
                </w:tcPr>
                <w:p>
                  <w:pPr>
                    <w:jc w:val="center"/>
                    <w:rPr>
                      <w:color w:val="auto"/>
                      <w:sz w:val="18"/>
                      <w:szCs w:val="18"/>
                    </w:rPr>
                  </w:pPr>
                  <w:r>
                    <w:rPr>
                      <w:color w:val="auto"/>
                      <w:sz w:val="18"/>
                      <w:szCs w:val="18"/>
                    </w:rPr>
                    <w:t>专用密封袋密封，带盖垃圾桶收集</w:t>
                  </w:r>
                </w:p>
              </w:tc>
              <w:tc>
                <w:tcPr>
                  <w:tcW w:w="1260" w:type="pct"/>
                  <w:vAlign w:val="center"/>
                </w:tcPr>
                <w:p>
                  <w:pPr>
                    <w:jc w:val="center"/>
                    <w:rPr>
                      <w:color w:val="auto"/>
                      <w:sz w:val="18"/>
                      <w:szCs w:val="18"/>
                    </w:rPr>
                  </w:pPr>
                  <w:r>
                    <w:rPr>
                      <w:color w:val="auto"/>
                      <w:sz w:val="18"/>
                      <w:szCs w:val="18"/>
                    </w:rPr>
                    <w:t>采取猫砂托盘收集，并经消石灰拌和后及时装入专用密封袋中密封，交由环卫部门清运。对留观期间的染疫或者疑似染疫宠物产生的动物粪便，严格按照医疗废物进行管理和处置。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3" w:hRule="atLeast"/>
              </w:trPr>
              <w:tc>
                <w:tcPr>
                  <w:tcW w:w="270" w:type="pct"/>
                  <w:vAlign w:val="center"/>
                </w:tcPr>
                <w:p>
                  <w:pPr>
                    <w:jc w:val="center"/>
                    <w:rPr>
                      <w:color w:val="auto"/>
                      <w:sz w:val="18"/>
                      <w:szCs w:val="18"/>
                    </w:rPr>
                  </w:pPr>
                  <w:r>
                    <w:rPr>
                      <w:color w:val="auto"/>
                      <w:sz w:val="18"/>
                      <w:szCs w:val="18"/>
                    </w:rPr>
                    <w:t>4</w:t>
                  </w:r>
                </w:p>
              </w:tc>
              <w:tc>
                <w:tcPr>
                  <w:tcW w:w="535" w:type="pct"/>
                  <w:vAlign w:val="center"/>
                </w:tcPr>
                <w:p>
                  <w:pPr>
                    <w:jc w:val="center"/>
                    <w:rPr>
                      <w:color w:val="auto"/>
                      <w:sz w:val="18"/>
                      <w:szCs w:val="18"/>
                    </w:rPr>
                  </w:pPr>
                  <w:r>
                    <w:rPr>
                      <w:color w:val="auto"/>
                      <w:sz w:val="18"/>
                      <w:szCs w:val="18"/>
                    </w:rPr>
                    <w:t>宠物诊疗</w:t>
                  </w:r>
                </w:p>
              </w:tc>
              <w:tc>
                <w:tcPr>
                  <w:tcW w:w="549" w:type="pct"/>
                  <w:vAlign w:val="center"/>
                </w:tcPr>
                <w:p>
                  <w:pPr>
                    <w:jc w:val="center"/>
                    <w:rPr>
                      <w:color w:val="auto"/>
                      <w:sz w:val="18"/>
                      <w:szCs w:val="18"/>
                    </w:rPr>
                  </w:pPr>
                  <w:r>
                    <w:rPr>
                      <w:color w:val="auto"/>
                      <w:sz w:val="18"/>
                      <w:szCs w:val="18"/>
                    </w:rPr>
                    <w:t>医疗废物</w:t>
                  </w:r>
                </w:p>
              </w:tc>
              <w:tc>
                <w:tcPr>
                  <w:tcW w:w="443" w:type="pct"/>
                  <w:vAlign w:val="center"/>
                </w:tcPr>
                <w:p>
                  <w:pPr>
                    <w:jc w:val="center"/>
                    <w:rPr>
                      <w:color w:val="auto"/>
                      <w:sz w:val="18"/>
                      <w:szCs w:val="18"/>
                    </w:rPr>
                  </w:pPr>
                  <w:r>
                    <w:rPr>
                      <w:color w:val="auto"/>
                      <w:sz w:val="18"/>
                      <w:szCs w:val="18"/>
                    </w:rPr>
                    <w:t>固态</w:t>
                  </w:r>
                </w:p>
              </w:tc>
              <w:tc>
                <w:tcPr>
                  <w:tcW w:w="495" w:type="pct"/>
                  <w:vAlign w:val="center"/>
                </w:tcPr>
                <w:p>
                  <w:pPr>
                    <w:jc w:val="center"/>
                    <w:rPr>
                      <w:color w:val="auto"/>
                      <w:sz w:val="18"/>
                      <w:szCs w:val="18"/>
                    </w:rPr>
                  </w:pPr>
                  <w:r>
                    <w:rPr>
                      <w:color w:val="auto"/>
                      <w:sz w:val="18"/>
                      <w:szCs w:val="18"/>
                    </w:rPr>
                    <w:t>废针管、针头，废试剂、药品、动物组织、感染宠物的粪便等</w:t>
                  </w:r>
                </w:p>
              </w:tc>
              <w:tc>
                <w:tcPr>
                  <w:tcW w:w="457" w:type="pct"/>
                  <w:vAlign w:val="center"/>
                </w:tcPr>
                <w:p>
                  <w:pPr>
                    <w:widowControl/>
                    <w:kinsoku w:val="0"/>
                    <w:autoSpaceDE w:val="0"/>
                    <w:autoSpaceDN w:val="0"/>
                    <w:jc w:val="center"/>
                    <w:rPr>
                      <w:color w:val="auto"/>
                      <w:sz w:val="18"/>
                      <w:szCs w:val="18"/>
                    </w:rPr>
                  </w:pPr>
                  <w:r>
                    <w:rPr>
                      <w:color w:val="auto"/>
                      <w:sz w:val="18"/>
                      <w:szCs w:val="18"/>
                    </w:rPr>
                    <w:t>危险</w:t>
                  </w:r>
                </w:p>
                <w:p>
                  <w:pPr>
                    <w:widowControl/>
                    <w:kinsoku w:val="0"/>
                    <w:autoSpaceDE w:val="0"/>
                    <w:autoSpaceDN w:val="0"/>
                    <w:jc w:val="center"/>
                    <w:rPr>
                      <w:color w:val="auto"/>
                      <w:sz w:val="18"/>
                      <w:szCs w:val="18"/>
                    </w:rPr>
                  </w:pPr>
                  <w:r>
                    <w:rPr>
                      <w:color w:val="auto"/>
                      <w:sz w:val="18"/>
                      <w:szCs w:val="18"/>
                    </w:rPr>
                    <w:t>废物HW01</w:t>
                  </w:r>
                </w:p>
              </w:tc>
              <w:tc>
                <w:tcPr>
                  <w:tcW w:w="486" w:type="pct"/>
                  <w:vAlign w:val="center"/>
                </w:tcPr>
                <w:p>
                  <w:pPr>
                    <w:jc w:val="center"/>
                    <w:rPr>
                      <w:color w:val="auto"/>
                      <w:sz w:val="18"/>
                      <w:szCs w:val="18"/>
                    </w:rPr>
                  </w:pPr>
                  <w:r>
                    <w:rPr>
                      <w:color w:val="auto"/>
                      <w:sz w:val="18"/>
                      <w:szCs w:val="18"/>
                    </w:rPr>
                    <w:t>0.099</w:t>
                  </w:r>
                </w:p>
              </w:tc>
              <w:tc>
                <w:tcPr>
                  <w:tcW w:w="505" w:type="pct"/>
                  <w:vAlign w:val="center"/>
                </w:tcPr>
                <w:p>
                  <w:pPr>
                    <w:jc w:val="center"/>
                    <w:rPr>
                      <w:color w:val="auto"/>
                      <w:sz w:val="18"/>
                      <w:szCs w:val="18"/>
                    </w:rPr>
                  </w:pPr>
                  <w:r>
                    <w:rPr>
                      <w:color w:val="auto"/>
                      <w:sz w:val="18"/>
                      <w:szCs w:val="18"/>
                    </w:rPr>
                    <w:t>带盖医疗垃圾收集桶收集，存放于医废间内</w:t>
                  </w:r>
                </w:p>
              </w:tc>
              <w:tc>
                <w:tcPr>
                  <w:tcW w:w="1260" w:type="pct"/>
                  <w:vAlign w:val="center"/>
                </w:tcPr>
                <w:p>
                  <w:pPr>
                    <w:jc w:val="center"/>
                    <w:rPr>
                      <w:color w:val="auto"/>
                      <w:sz w:val="18"/>
                      <w:szCs w:val="18"/>
                    </w:rPr>
                  </w:pPr>
                  <w:r>
                    <w:rPr>
                      <w:color w:val="auto"/>
                      <w:sz w:val="18"/>
                      <w:szCs w:val="18"/>
                    </w:rPr>
                    <w:t>医疗废物先经消毒后，再放入带盖的医疗垃圾收集桶，暂存于医疗废物间内，定期委托西安卫达实业有限公司进行处理。项目病理性废物中的病死动物尸体，医院进行消毒处理后进行密封暂存，并向宠物主人告知有处理资质单位的联系方式，由宠物主人对病死动物进行后续无害化处置。</w:t>
                  </w:r>
                </w:p>
              </w:tc>
            </w:tr>
          </w:tbl>
          <w:p>
            <w:pPr>
              <w:spacing w:line="360" w:lineRule="auto"/>
              <w:ind w:firstLine="420" w:firstLineChars="200"/>
              <w:rPr>
                <w:rFonts w:hAnsi="宋体"/>
                <w:color w:val="auto"/>
              </w:rPr>
            </w:pPr>
            <w:r>
              <w:rPr>
                <w:rFonts w:hint="eastAsia" w:hAnsi="宋体"/>
                <w:color w:val="auto"/>
              </w:rPr>
              <w:t>（2）</w:t>
            </w:r>
            <w:r>
              <w:rPr>
                <w:color w:val="auto"/>
              </w:rPr>
              <w:t>危险废物贮存场所（设施）环境影响分析</w:t>
            </w:r>
          </w:p>
          <w:p>
            <w:pPr>
              <w:spacing w:line="360" w:lineRule="auto"/>
              <w:ind w:firstLine="420" w:firstLineChars="200"/>
              <w:rPr>
                <w:rFonts w:hAnsi="宋体"/>
                <w:color w:val="auto"/>
              </w:rPr>
            </w:pPr>
            <w:r>
              <w:rPr>
                <w:color w:val="auto"/>
              </w:rPr>
              <w:t>医疗废物的收集、贮存要求：</w:t>
            </w:r>
          </w:p>
          <w:p>
            <w:pPr>
              <w:spacing w:line="360" w:lineRule="auto"/>
              <w:ind w:firstLine="420" w:firstLineChars="200"/>
              <w:rPr>
                <w:rFonts w:hAnsi="宋体"/>
                <w:color w:val="auto"/>
              </w:rPr>
            </w:pPr>
            <w:r>
              <w:rPr>
                <w:color w:val="auto"/>
              </w:rPr>
              <w:t>①在各科室产生医疗废物的地方，应设有废物收集设施，废物贮存装置应接近废物产生地。在产生废物较多的地方如诊疗室</w:t>
            </w:r>
            <w:r>
              <w:rPr>
                <w:rFonts w:hint="eastAsia"/>
                <w:color w:val="auto"/>
              </w:rPr>
              <w:t>、化验室</w:t>
            </w:r>
            <w:r>
              <w:rPr>
                <w:color w:val="auto"/>
              </w:rPr>
              <w:t>可以设置带有轮子的废物桶（箱），以便存放较多的废物，以减少废物的搬运过程。</w:t>
            </w:r>
          </w:p>
          <w:p>
            <w:pPr>
              <w:spacing w:line="360" w:lineRule="auto"/>
              <w:ind w:firstLine="420" w:firstLineChars="200"/>
              <w:rPr>
                <w:rFonts w:hAnsi="宋体"/>
                <w:color w:val="auto"/>
              </w:rPr>
            </w:pPr>
            <w:r>
              <w:rPr>
                <w:color w:val="auto"/>
              </w:rPr>
              <w:t>②废物袋和废物箱的密封：当废物袋（箱）达到一定容量（通常为3/4容积）即应密封。高密度袋可用带子将袋口扎紧，低密度袋可用自动塑料封口机，禁止使用订书机进行封口。</w:t>
            </w:r>
          </w:p>
          <w:p>
            <w:pPr>
              <w:spacing w:line="360" w:lineRule="auto"/>
              <w:ind w:firstLine="420" w:firstLineChars="200"/>
              <w:rPr>
                <w:rFonts w:hAnsi="宋体"/>
                <w:color w:val="auto"/>
              </w:rPr>
            </w:pPr>
            <w:r>
              <w:rPr>
                <w:color w:val="auto"/>
              </w:rPr>
              <w:t>③标识可以事先印在塑料污物袋上，也可以用实现打印好的纸袋、不干胶标识或系标签。</w:t>
            </w:r>
          </w:p>
          <w:p>
            <w:pPr>
              <w:spacing w:line="360" w:lineRule="auto"/>
              <w:ind w:firstLine="420" w:firstLineChars="200"/>
              <w:rPr>
                <w:color w:val="auto"/>
              </w:rPr>
            </w:pPr>
            <w:r>
              <w:rPr>
                <w:color w:val="auto"/>
              </w:rPr>
              <w:t>④建设单位应当及时收集产生的医疗废物，并按照类别分置于防渗漏、防锐器穿透的专用包装物或者密闭的容器内。医疗废物专用包装物、容器贮存场所，应当有明显的警示标识和警示说明。</w:t>
            </w:r>
          </w:p>
          <w:p>
            <w:pPr>
              <w:spacing w:line="360" w:lineRule="auto"/>
              <w:ind w:firstLine="420" w:firstLineChars="200"/>
              <w:rPr>
                <w:color w:val="auto"/>
              </w:rPr>
            </w:pPr>
            <w:r>
              <w:rPr>
                <w:color w:val="auto"/>
              </w:rPr>
              <w:t>⑤医疗废物暂时贮存的时间不得超过2天</w:t>
            </w:r>
            <w:r>
              <w:rPr>
                <w:rFonts w:hint="eastAsia"/>
                <w:color w:val="auto"/>
              </w:rPr>
              <w:t>，经计算本项目医疗废物最大暂存量为0.6kg</w:t>
            </w:r>
            <w:r>
              <w:rPr>
                <w:color w:val="auto"/>
              </w:rPr>
              <w:t>。医疗废物的暂时贮存设施、设备，应当远离医疗区和人员活动区以及生活垃圾存放场所，并设置明显的警示标识和防渗漏、防鼠、防蚊蝇、防蟑螂、防盗以及预防儿童接触等安全措施。</w:t>
            </w:r>
          </w:p>
          <w:p>
            <w:pPr>
              <w:spacing w:line="360" w:lineRule="auto"/>
              <w:ind w:firstLine="420" w:firstLineChars="200"/>
              <w:rPr>
                <w:color w:val="auto"/>
              </w:rPr>
            </w:pPr>
            <w:r>
              <w:rPr>
                <w:rFonts w:hAnsi="宋体"/>
                <w:color w:val="auto"/>
              </w:rPr>
              <w:t>⑥</w:t>
            </w:r>
            <w:r>
              <w:rPr>
                <w:color w:val="auto"/>
              </w:rPr>
              <w:t>医疗废物暂存间实行防风、防雨、防晒设施，应按照《危险废物贮存污染控制标准》要求，人工材料防渗层≥2mm，防渗系数≤10</w:t>
            </w:r>
            <w:r>
              <w:rPr>
                <w:color w:val="auto"/>
                <w:vertAlign w:val="superscript"/>
              </w:rPr>
              <w:t>-10</w:t>
            </w:r>
            <w:r>
              <w:rPr>
                <w:color w:val="auto"/>
              </w:rPr>
              <w:t>cm/s，对防渗地面定期进行检查保养。</w:t>
            </w:r>
          </w:p>
          <w:p>
            <w:pPr>
              <w:spacing w:line="360" w:lineRule="auto"/>
              <w:ind w:firstLine="420" w:firstLineChars="200"/>
              <w:rPr>
                <w:color w:val="auto"/>
              </w:rPr>
            </w:pPr>
            <w:r>
              <w:rPr>
                <w:rFonts w:hAnsi="宋体"/>
                <w:color w:val="auto"/>
                <w:szCs w:val="21"/>
              </w:rPr>
              <w:t>⑦</w:t>
            </w:r>
            <w:r>
              <w:rPr>
                <w:color w:val="auto"/>
                <w:szCs w:val="21"/>
              </w:rPr>
              <w:t>医疗废物暂存间内设置紫外线消毒灯、定期喷洒消毒液或者其他消毒设施。</w:t>
            </w:r>
          </w:p>
          <w:p>
            <w:pPr>
              <w:spacing w:line="360" w:lineRule="auto"/>
              <w:ind w:firstLine="420" w:firstLineChars="200"/>
              <w:rPr>
                <w:rFonts w:hAnsi="宋体"/>
                <w:color w:val="auto"/>
              </w:rPr>
            </w:pPr>
            <w:r>
              <w:rPr>
                <w:color w:val="auto"/>
                <w:szCs w:val="21"/>
              </w:rPr>
              <w:t>本项目医疗废物暂存间设置在</w:t>
            </w:r>
            <w:r>
              <w:rPr>
                <w:rFonts w:hint="eastAsia"/>
                <w:color w:val="auto"/>
                <w:szCs w:val="21"/>
              </w:rPr>
              <w:t>化验药房</w:t>
            </w:r>
            <w:r>
              <w:rPr>
                <w:color w:val="auto"/>
                <w:szCs w:val="21"/>
              </w:rPr>
              <w:t>北侧，约2.5m</w:t>
            </w:r>
            <w:r>
              <w:rPr>
                <w:color w:val="auto"/>
                <w:szCs w:val="21"/>
                <w:vertAlign w:val="superscript"/>
              </w:rPr>
              <w:t>2</w:t>
            </w:r>
            <w:r>
              <w:rPr>
                <w:color w:val="auto"/>
                <w:szCs w:val="21"/>
              </w:rPr>
              <w:t>，医疗废物暂存间内设置危险废物收集桶</w:t>
            </w:r>
            <w:r>
              <w:rPr>
                <w:rFonts w:hint="eastAsia"/>
                <w:color w:val="auto"/>
                <w:szCs w:val="21"/>
              </w:rPr>
              <w:t>4个</w:t>
            </w:r>
            <w:r>
              <w:rPr>
                <w:color w:val="auto"/>
                <w:szCs w:val="21"/>
              </w:rPr>
              <w:t>，并贴上危险废物标识，对医疗废物进行分类收集，危险废物暂存间远离医疗区和人员活动区以及生活垃圾存放场所，并设置明显的警示标识和防渗漏等措施，符合医疗废物的收集、贮存要求，对外环境影响较小。</w:t>
            </w:r>
          </w:p>
          <w:p>
            <w:pPr>
              <w:spacing w:line="360" w:lineRule="auto"/>
              <w:ind w:firstLine="420" w:firstLineChars="200"/>
              <w:rPr>
                <w:rFonts w:hAnsi="宋体"/>
                <w:color w:val="auto"/>
              </w:rPr>
            </w:pPr>
            <w:r>
              <w:rPr>
                <w:rFonts w:hint="eastAsia" w:hAnsi="宋体"/>
                <w:color w:val="auto"/>
              </w:rPr>
              <w:t>（3）医疗废物运输过程环境影响分析</w:t>
            </w:r>
          </w:p>
          <w:p>
            <w:pPr>
              <w:spacing w:line="360" w:lineRule="auto"/>
              <w:ind w:firstLine="420" w:firstLineChars="200"/>
              <w:rPr>
                <w:rFonts w:hAnsi="宋体"/>
                <w:color w:val="auto"/>
              </w:rPr>
            </w:pPr>
            <w:r>
              <w:rPr>
                <w:color w:val="auto"/>
              </w:rPr>
              <w:t>本项目医疗废物收集后交有医疗废物处理资质单位（</w:t>
            </w:r>
            <w:r>
              <w:rPr>
                <w:rFonts w:hint="eastAsia"/>
                <w:color w:val="auto"/>
              </w:rPr>
              <w:t>西安</w:t>
            </w:r>
            <w:r>
              <w:rPr>
                <w:color w:val="auto"/>
              </w:rPr>
              <w:t>卫达实业有限公司）</w:t>
            </w:r>
            <w:r>
              <w:rPr>
                <w:rFonts w:hint="eastAsia"/>
                <w:color w:val="auto"/>
              </w:rPr>
              <w:t>无害化</w:t>
            </w:r>
            <w:r>
              <w:rPr>
                <w:color w:val="auto"/>
              </w:rPr>
              <w:t>处理，医疗废物采用密闭容器收集，收集后交医疗废物处理资质的单位拉运，运输过程中采用密闭运输工具，医疗废物运输过程中按指定路线采用陆路运输，对外环境影响较小。</w:t>
            </w:r>
          </w:p>
          <w:p>
            <w:pPr>
              <w:spacing w:line="360" w:lineRule="auto"/>
              <w:ind w:firstLine="420" w:firstLineChars="200"/>
              <w:rPr>
                <w:color w:val="auto"/>
              </w:rPr>
            </w:pPr>
            <w:r>
              <w:rPr>
                <w:color w:val="auto"/>
              </w:rPr>
              <w:t>（4）环境风险分析</w:t>
            </w:r>
          </w:p>
          <w:p>
            <w:pPr>
              <w:spacing w:line="360" w:lineRule="auto"/>
              <w:ind w:firstLine="420" w:firstLineChars="200"/>
              <w:rPr>
                <w:color w:val="auto"/>
              </w:rPr>
            </w:pPr>
            <w:r>
              <w:rPr>
                <w:color w:val="auto"/>
              </w:rPr>
              <w:t>本项目产生的医疗废物交有医疗废物处理资质的单位处理，项目只对医疗废物进行收集、贮存，医疗废物收集、贮存产生的环境风险主要为医疗废物泄漏产生的环境影响，医疗废物泄漏可能会对土壤、地表水等环境产生影响，</w:t>
            </w:r>
            <w:r>
              <w:rPr>
                <w:rFonts w:hint="eastAsia"/>
                <w:color w:val="auto"/>
              </w:rPr>
              <w:t>本项目医废间</w:t>
            </w:r>
            <w:r>
              <w:rPr>
                <w:color w:val="auto"/>
              </w:rPr>
              <w:t>采取“防风、防雨、防晒、防渗漏”措施，</w:t>
            </w:r>
            <w:r>
              <w:rPr>
                <w:rFonts w:hint="eastAsia"/>
                <w:color w:val="auto"/>
              </w:rPr>
              <w:t>医疗废物</w:t>
            </w:r>
            <w:r>
              <w:rPr>
                <w:color w:val="auto"/>
              </w:rPr>
              <w:t>泄漏可及时收集处理，对外环境影响较小。</w:t>
            </w:r>
          </w:p>
          <w:p>
            <w:pPr>
              <w:spacing w:line="360" w:lineRule="auto"/>
              <w:ind w:firstLine="420" w:firstLineChars="200"/>
              <w:rPr>
                <w:color w:val="auto"/>
              </w:rPr>
            </w:pPr>
            <w:r>
              <w:rPr>
                <w:color w:val="auto"/>
              </w:rPr>
              <w:t>（5）医疗废物管理要求</w:t>
            </w:r>
          </w:p>
          <w:p>
            <w:pPr>
              <w:spacing w:line="360" w:lineRule="auto"/>
              <w:ind w:firstLine="420" w:firstLineChars="200"/>
              <w:rPr>
                <w:color w:val="auto"/>
              </w:rPr>
            </w:pPr>
            <w:r>
              <w:rPr>
                <w:rFonts w:hAnsi="宋体"/>
                <w:color w:val="auto"/>
              </w:rPr>
              <w:t>①设置医废专职管理人员</w:t>
            </w:r>
            <w:r>
              <w:rPr>
                <w:color w:val="auto"/>
              </w:rPr>
              <w:t>1</w:t>
            </w:r>
            <w:r>
              <w:rPr>
                <w:rFonts w:hAnsi="宋体"/>
                <w:color w:val="auto"/>
              </w:rPr>
              <w:t>名，对医疗废物收集、暂存、登记、转移进行专职管理。</w:t>
            </w:r>
          </w:p>
          <w:p>
            <w:pPr>
              <w:spacing w:line="360" w:lineRule="auto"/>
              <w:ind w:firstLine="420" w:firstLineChars="200"/>
              <w:rPr>
                <w:color w:val="auto"/>
              </w:rPr>
            </w:pPr>
            <w:r>
              <w:rPr>
                <w:rFonts w:hint="eastAsia" w:ascii="宋体" w:hAnsi="宋体" w:cs="宋体"/>
                <w:color w:val="auto"/>
              </w:rPr>
              <w:t>②</w:t>
            </w:r>
            <w:r>
              <w:rPr>
                <w:color w:val="auto"/>
              </w:rPr>
              <w:t>医疗卫生机构应当将医疗废物交由取得县级以上人民政府环境保护行政主管部门许可的医疗废物集中处置单位处置，依照危险废物转移联单制度填写和保存转移联单。</w:t>
            </w:r>
          </w:p>
          <w:p>
            <w:pPr>
              <w:spacing w:line="360" w:lineRule="auto"/>
              <w:ind w:firstLine="420" w:firstLineChars="200"/>
              <w:rPr>
                <w:color w:val="auto"/>
              </w:rPr>
            </w:pPr>
            <w:r>
              <w:rPr>
                <w:rFonts w:hint="eastAsia" w:ascii="宋体" w:hAnsi="宋体" w:cs="宋体"/>
                <w:color w:val="auto"/>
              </w:rPr>
              <w:t>③</w:t>
            </w:r>
            <w:r>
              <w:rPr>
                <w:color w:val="auto"/>
              </w:rPr>
              <w:t>医疗卫生机构应当对医疗废物进行登记，登记内容应当包括医疗废物的来源、种类、重量或者数量、交接时间、最终去向以及经办人签名等项目。登记资料至少保存3年。</w:t>
            </w:r>
          </w:p>
          <w:p>
            <w:pPr>
              <w:spacing w:line="360" w:lineRule="auto"/>
              <w:ind w:firstLine="420" w:firstLineChars="200"/>
              <w:rPr>
                <w:color w:val="auto"/>
              </w:rPr>
            </w:pPr>
            <w:r>
              <w:rPr>
                <w:rFonts w:hint="eastAsia" w:ascii="宋体" w:hAnsi="宋体" w:cs="宋体"/>
                <w:color w:val="auto"/>
              </w:rPr>
              <w:t>④</w:t>
            </w:r>
            <w:r>
              <w:rPr>
                <w:color w:val="auto"/>
              </w:rPr>
              <w:t>医疗废物转交出去后，应当对暂时贮存地点、设施及时进行清洁和消毒处理。</w:t>
            </w:r>
          </w:p>
          <w:p>
            <w:pPr>
              <w:spacing w:line="360" w:lineRule="auto"/>
              <w:ind w:firstLine="420" w:firstLineChars="200"/>
              <w:rPr>
                <w:color w:val="auto"/>
              </w:rPr>
            </w:pPr>
            <w:r>
              <w:rPr>
                <w:rFonts w:hint="eastAsia" w:ascii="宋体" w:hAnsi="宋体" w:cs="宋体"/>
                <w:color w:val="auto"/>
              </w:rPr>
              <w:t>⑤</w:t>
            </w:r>
            <w:r>
              <w:rPr>
                <w:color w:val="auto"/>
              </w:rPr>
              <w:t>禁止医疗卫生机构及其工作人员转让、买卖医疗废物。禁止在非收集、非暂时贮存地点倾倒、堆放医疗废物，禁止将医疗废物混入其它废物和生活垃圾。</w:t>
            </w:r>
          </w:p>
          <w:p>
            <w:pPr>
              <w:spacing w:line="360" w:lineRule="auto"/>
              <w:ind w:firstLine="420" w:firstLineChars="200"/>
              <w:rPr>
                <w:rFonts w:hAnsi="宋体"/>
                <w:color w:val="auto"/>
              </w:rPr>
            </w:pPr>
            <w:r>
              <w:rPr>
                <w:rFonts w:hint="eastAsia" w:hAnsi="宋体"/>
                <w:color w:val="auto"/>
              </w:rPr>
              <w:t>（6）小结</w:t>
            </w:r>
          </w:p>
          <w:p>
            <w:pPr>
              <w:spacing w:line="360" w:lineRule="auto"/>
              <w:ind w:firstLine="420" w:firstLineChars="200"/>
              <w:rPr>
                <w:rFonts w:hAnsi="宋体"/>
                <w:color w:val="auto"/>
              </w:rPr>
            </w:pPr>
            <w:r>
              <w:rPr>
                <w:color w:val="auto"/>
              </w:rPr>
              <w:t xml:space="preserve">综上所述，本项目在采取上述危险废物处理措施后，能够满足医疗废物处理处置要求，对外环境影响较小。 </w:t>
            </w:r>
          </w:p>
          <w:p>
            <w:pPr>
              <w:spacing w:line="360" w:lineRule="auto"/>
              <w:ind w:firstLine="422" w:firstLineChars="200"/>
              <w:rPr>
                <w:rFonts w:hAnsi="宋体"/>
                <w:color w:val="auto"/>
              </w:rPr>
            </w:pPr>
            <w:r>
              <w:rPr>
                <w:b/>
                <w:color w:val="auto"/>
                <w:szCs w:val="21"/>
              </w:rPr>
              <w:t>5</w:t>
            </w:r>
            <w:r>
              <w:rPr>
                <w:rFonts w:hAnsi="宋体"/>
                <w:b/>
                <w:color w:val="auto"/>
                <w:szCs w:val="21"/>
              </w:rPr>
              <w:t>、土壤</w:t>
            </w:r>
            <w:r>
              <w:rPr>
                <w:rFonts w:hint="eastAsia" w:hAnsi="宋体"/>
                <w:b/>
                <w:color w:val="auto"/>
                <w:szCs w:val="21"/>
              </w:rPr>
              <w:t>、地下水</w:t>
            </w:r>
          </w:p>
          <w:p>
            <w:pPr>
              <w:adjustRightInd w:val="0"/>
              <w:snapToGrid w:val="0"/>
              <w:spacing w:line="360" w:lineRule="auto"/>
              <w:ind w:firstLine="420" w:firstLineChars="200"/>
              <w:rPr>
                <w:color w:val="auto"/>
              </w:rPr>
            </w:pPr>
            <w:r>
              <w:rPr>
                <w:rFonts w:hint="eastAsia"/>
                <w:color w:val="auto"/>
              </w:rPr>
              <w:t>本项目北部区域主要进行商品销售、宠物美容，不进行宠物诊治；宠物诊疗、手术等均位于医院南部区域，不接触土壤、地下水。同时，对医院地面进行了硬化处理，从而有效保护地表结构，避免水土流失。污水处理设施及污水管道、医疗废物暂存间属于重点防渗区。按照《医院污水处理工程技术规范》要求对消毒间及污水管道进行防渗处理，防渗层的防渗性能不低于6m厚、渗透系数为1.0×10</w:t>
            </w:r>
            <w:r>
              <w:rPr>
                <w:color w:val="auto"/>
                <w:vertAlign w:val="superscript"/>
              </w:rPr>
              <w:t>-7</w:t>
            </w:r>
            <w:r>
              <w:rPr>
                <w:rFonts w:hint="eastAsia"/>
                <w:color w:val="auto"/>
              </w:rPr>
              <w:t>cm/s的黏土层；按照《危险废物贮存污染物控制标准》要求对医疗废物暂存间的地面做防渗处理，从而避免废水污染物和医疗废物泄漏对土壤、地下水造成污染。</w:t>
            </w:r>
          </w:p>
          <w:p>
            <w:pPr>
              <w:adjustRightInd w:val="0"/>
              <w:snapToGrid w:val="0"/>
              <w:spacing w:line="360" w:lineRule="auto"/>
              <w:ind w:firstLine="422" w:firstLineChars="200"/>
              <w:rPr>
                <w:b/>
                <w:color w:val="auto"/>
              </w:rPr>
            </w:pPr>
            <w:r>
              <w:rPr>
                <w:rFonts w:hint="eastAsia"/>
                <w:b/>
                <w:color w:val="auto"/>
              </w:rPr>
              <w:t>6、环境风险</w:t>
            </w:r>
          </w:p>
          <w:p>
            <w:pPr>
              <w:adjustRightInd w:val="0"/>
              <w:snapToGrid w:val="0"/>
              <w:spacing w:line="360" w:lineRule="auto"/>
              <w:ind w:firstLine="420" w:firstLineChars="200"/>
              <w:rPr>
                <w:color w:val="auto"/>
              </w:rPr>
            </w:pPr>
            <w:r>
              <w:rPr>
                <w:rFonts w:hint="eastAsia"/>
                <w:color w:val="auto"/>
              </w:rPr>
              <w:t>（1）风险识别</w:t>
            </w:r>
          </w:p>
          <w:p>
            <w:pPr>
              <w:adjustRightInd w:val="0"/>
              <w:snapToGrid w:val="0"/>
              <w:spacing w:line="360" w:lineRule="auto"/>
              <w:ind w:firstLine="420" w:firstLineChars="200"/>
              <w:rPr>
                <w:color w:val="auto"/>
              </w:rPr>
            </w:pPr>
            <w:r>
              <w:rPr>
                <w:rFonts w:hint="eastAsia"/>
                <w:color w:val="auto"/>
              </w:rPr>
              <w:t>本项目为动物医院，经分析，可能存在的风险类型有：①污水处理设施故障，医疗废物非正常排放或泄漏；②医疗废物泄漏。</w:t>
            </w:r>
          </w:p>
          <w:p>
            <w:pPr>
              <w:adjustRightInd w:val="0"/>
              <w:snapToGrid w:val="0"/>
              <w:spacing w:line="360" w:lineRule="auto"/>
              <w:ind w:firstLine="420" w:firstLineChars="200"/>
              <w:rPr>
                <w:color w:val="auto"/>
              </w:rPr>
            </w:pPr>
            <w:r>
              <w:rPr>
                <w:rFonts w:hint="eastAsia"/>
                <w:color w:val="auto"/>
              </w:rPr>
              <w:t>（2）风险分析与防范措施</w:t>
            </w:r>
          </w:p>
          <w:p>
            <w:pPr>
              <w:adjustRightInd w:val="0"/>
              <w:snapToGrid w:val="0"/>
              <w:spacing w:line="360" w:lineRule="auto"/>
              <w:ind w:firstLine="420" w:firstLineChars="200"/>
              <w:rPr>
                <w:color w:val="auto"/>
              </w:rPr>
            </w:pPr>
            <w:r>
              <w:rPr>
                <w:rFonts w:hint="eastAsia"/>
                <w:color w:val="auto"/>
              </w:rPr>
              <w:t>①医疗废水非正常排放或泄漏</w:t>
            </w:r>
          </w:p>
          <w:p>
            <w:pPr>
              <w:adjustRightInd w:val="0"/>
              <w:snapToGrid w:val="0"/>
              <w:spacing w:line="360" w:lineRule="auto"/>
              <w:ind w:firstLine="420" w:firstLineChars="200"/>
              <w:rPr>
                <w:color w:val="auto"/>
              </w:rPr>
            </w:pPr>
            <w:r>
              <w:rPr>
                <w:rFonts w:hint="eastAsia"/>
                <w:color w:val="auto"/>
              </w:rPr>
              <w:t>医疗废水发生非正常排放的情况主要为：由于管理不当，污水处理设施处理效率下降。或处理系统发生故障时，废水未经处理直接排放。但本项目医疗废水产生量极小，因此不会对邓家村污水处理厂造成明显的冲击影响。此外，本项目污水非正常排放为污水未经预处理直接排放到市政污水管网，医疗废水中含有致病菌，这些致病菌可能会在污水管网滋生，并通过鼠、蝇、蚊等传播，对人类健康造成威胁。环评要求：项目应设置应急事故池/水箱，用来收集应急情况下项目产生的废水，若本项目处理设施、管道破裂发生泄漏，可先收集至事故池/水箱中，待设施修复完善后，再进污水处理设施处理。污水处理设施应设专人管理，按时巡检以防非正常排放及泄漏事故发生。</w:t>
            </w:r>
          </w:p>
          <w:p>
            <w:pPr>
              <w:adjustRightInd w:val="0"/>
              <w:snapToGrid w:val="0"/>
              <w:spacing w:line="360" w:lineRule="auto"/>
              <w:ind w:firstLine="420" w:firstLineChars="200"/>
              <w:rPr>
                <w:color w:val="auto"/>
              </w:rPr>
            </w:pPr>
            <w:r>
              <w:rPr>
                <w:rFonts w:hint="eastAsia"/>
                <w:color w:val="auto"/>
              </w:rPr>
              <w:t>②医疗废物泄漏</w:t>
            </w:r>
          </w:p>
          <w:p>
            <w:pPr>
              <w:adjustRightInd w:val="0"/>
              <w:snapToGrid w:val="0"/>
              <w:spacing w:line="360" w:lineRule="auto"/>
              <w:ind w:firstLine="420" w:firstLineChars="200"/>
              <w:rPr>
                <w:color w:val="auto"/>
              </w:rPr>
            </w:pPr>
            <w:r>
              <w:rPr>
                <w:color w:val="auto"/>
              </w:rPr>
              <w:t>本项目医疗废物从产生、收集到最终由有资质单位运输后处置的过程中，存在的风险主要有医疗废物在院区内收集、运输过程中由于操作、管理不当而泄漏，致使医疗废物中含有的致病菌和化学品对人类健康和环境造成二次污染。因此，本次评价要求建设单位对医疗废物管理，建立医疗废物管理责任制，确定法定代表人为第一责任人。对废物的来源、种类、重量或者数量、交接时间、处置方法、最终去向以及经办人进行签名登记，对医疗废物及污水处理站污泥严加管理，以防泄漏事故发生。</w:t>
            </w:r>
          </w:p>
          <w:p>
            <w:pPr>
              <w:adjustRightInd w:val="0"/>
              <w:snapToGrid w:val="0"/>
              <w:spacing w:line="360" w:lineRule="auto"/>
              <w:ind w:firstLine="420" w:firstLineChars="200"/>
              <w:rPr>
                <w:color w:val="auto"/>
              </w:rPr>
            </w:pPr>
            <w:r>
              <w:rPr>
                <w:rFonts w:hint="eastAsia"/>
                <w:color w:val="auto"/>
              </w:rPr>
              <w:t>（3）小结</w:t>
            </w:r>
          </w:p>
          <w:p>
            <w:pPr>
              <w:adjustRightInd w:val="0"/>
              <w:snapToGrid w:val="0"/>
              <w:spacing w:line="360" w:lineRule="auto"/>
              <w:ind w:firstLine="420" w:firstLineChars="200"/>
              <w:rPr>
                <w:color w:val="auto"/>
              </w:rPr>
            </w:pPr>
            <w:r>
              <w:rPr>
                <w:rFonts w:hint="eastAsia"/>
                <w:color w:val="auto"/>
              </w:rPr>
              <w:t>综上所述，本项目涉及的环境风险因素包括污水非正常排放及泄漏、医疗废物泄漏。在运营过程中，严格按工程设计、操作规程运行和管理，并认真落实本评价提出的各项风险防范措施，可把事故发生的几率降至最低。通过采取各项风险防范后，可降低各种事故发生的概率及对周围环境的影响，环境风险在可接受范围内。</w:t>
            </w:r>
          </w:p>
          <w:p>
            <w:pPr>
              <w:adjustRightInd w:val="0"/>
              <w:snapToGrid w:val="0"/>
              <w:spacing w:line="360" w:lineRule="auto"/>
              <w:ind w:firstLine="422" w:firstLineChars="200"/>
              <w:rPr>
                <w:b/>
                <w:color w:val="auto"/>
              </w:rPr>
            </w:pPr>
            <w:r>
              <w:rPr>
                <w:rFonts w:hint="eastAsia"/>
                <w:b/>
                <w:color w:val="auto"/>
              </w:rPr>
              <w:t>7、环保投资</w:t>
            </w:r>
          </w:p>
          <w:p>
            <w:pPr>
              <w:ind w:firstLine="422" w:firstLineChars="200"/>
              <w:jc w:val="center"/>
              <w:rPr>
                <w:rFonts w:hAnsi="宋体"/>
                <w:b/>
                <w:bCs/>
                <w:color w:val="auto"/>
                <w:szCs w:val="21"/>
              </w:rPr>
            </w:pPr>
            <w:r>
              <w:rPr>
                <w:rFonts w:hint="eastAsia" w:hAnsi="宋体"/>
                <w:b/>
                <w:bCs/>
                <w:color w:val="auto"/>
                <w:szCs w:val="21"/>
              </w:rPr>
              <w:t>表4-10    环保投资一览表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29"/>
              <w:gridCol w:w="3156"/>
              <w:gridCol w:w="1024"/>
              <w:gridCol w:w="1605"/>
              <w:gridCol w:w="14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Align w:val="center"/>
                </w:tcPr>
                <w:p>
                  <w:pPr>
                    <w:jc w:val="center"/>
                    <w:rPr>
                      <w:color w:val="auto"/>
                      <w:sz w:val="18"/>
                      <w:szCs w:val="18"/>
                    </w:rPr>
                  </w:pPr>
                  <w:r>
                    <w:rPr>
                      <w:color w:val="auto"/>
                      <w:sz w:val="18"/>
                      <w:szCs w:val="18"/>
                    </w:rPr>
                    <w:t>分类</w:t>
                  </w:r>
                </w:p>
              </w:tc>
              <w:tc>
                <w:tcPr>
                  <w:tcW w:w="1862" w:type="pct"/>
                  <w:vAlign w:val="center"/>
                </w:tcPr>
                <w:p>
                  <w:pPr>
                    <w:jc w:val="center"/>
                    <w:rPr>
                      <w:color w:val="auto"/>
                      <w:sz w:val="18"/>
                      <w:szCs w:val="18"/>
                    </w:rPr>
                  </w:pPr>
                  <w:r>
                    <w:rPr>
                      <w:color w:val="auto"/>
                      <w:sz w:val="18"/>
                      <w:szCs w:val="18"/>
                    </w:rPr>
                    <w:t>建设内容</w:t>
                  </w:r>
                </w:p>
              </w:tc>
              <w:tc>
                <w:tcPr>
                  <w:tcW w:w="604" w:type="pct"/>
                  <w:vAlign w:val="center"/>
                </w:tcPr>
                <w:p>
                  <w:pPr>
                    <w:jc w:val="center"/>
                    <w:rPr>
                      <w:color w:val="auto"/>
                      <w:sz w:val="18"/>
                      <w:szCs w:val="18"/>
                    </w:rPr>
                  </w:pPr>
                  <w:r>
                    <w:rPr>
                      <w:color w:val="auto"/>
                      <w:sz w:val="18"/>
                      <w:szCs w:val="18"/>
                    </w:rPr>
                    <w:t>数量</w:t>
                  </w:r>
                </w:p>
              </w:tc>
              <w:tc>
                <w:tcPr>
                  <w:tcW w:w="947" w:type="pct"/>
                  <w:vAlign w:val="center"/>
                </w:tcPr>
                <w:p>
                  <w:pPr>
                    <w:jc w:val="center"/>
                    <w:rPr>
                      <w:color w:val="auto"/>
                      <w:sz w:val="18"/>
                      <w:szCs w:val="18"/>
                    </w:rPr>
                  </w:pPr>
                  <w:r>
                    <w:rPr>
                      <w:color w:val="auto"/>
                      <w:sz w:val="18"/>
                      <w:szCs w:val="18"/>
                    </w:rPr>
                    <w:t>投资（万元）</w:t>
                  </w:r>
                </w:p>
              </w:tc>
              <w:tc>
                <w:tcPr>
                  <w:tcW w:w="862" w:type="pct"/>
                  <w:vAlign w:val="center"/>
                </w:tcPr>
                <w:p>
                  <w:pPr>
                    <w:jc w:val="center"/>
                    <w:rPr>
                      <w:color w:val="auto"/>
                      <w:sz w:val="18"/>
                      <w:szCs w:val="18"/>
                    </w:rPr>
                  </w:pPr>
                  <w:r>
                    <w:rPr>
                      <w:color w:val="auto"/>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Align w:val="center"/>
                </w:tcPr>
                <w:p>
                  <w:pPr>
                    <w:jc w:val="center"/>
                    <w:rPr>
                      <w:color w:val="auto"/>
                      <w:sz w:val="18"/>
                      <w:szCs w:val="18"/>
                    </w:rPr>
                  </w:pPr>
                  <w:r>
                    <w:rPr>
                      <w:color w:val="auto"/>
                      <w:sz w:val="18"/>
                      <w:szCs w:val="18"/>
                    </w:rPr>
                    <w:t>废气</w:t>
                  </w:r>
                </w:p>
              </w:tc>
              <w:tc>
                <w:tcPr>
                  <w:tcW w:w="1862" w:type="pct"/>
                  <w:vAlign w:val="center"/>
                </w:tcPr>
                <w:p>
                  <w:pPr>
                    <w:jc w:val="center"/>
                    <w:rPr>
                      <w:color w:val="auto"/>
                      <w:sz w:val="18"/>
                      <w:szCs w:val="18"/>
                    </w:rPr>
                  </w:pPr>
                  <w:r>
                    <w:rPr>
                      <w:color w:val="auto"/>
                      <w:sz w:val="18"/>
                      <w:szCs w:val="18"/>
                    </w:rPr>
                    <w:t>/</w:t>
                  </w:r>
                </w:p>
              </w:tc>
              <w:tc>
                <w:tcPr>
                  <w:tcW w:w="604" w:type="pct"/>
                  <w:vAlign w:val="center"/>
                </w:tcPr>
                <w:p>
                  <w:pPr>
                    <w:jc w:val="center"/>
                    <w:rPr>
                      <w:color w:val="auto"/>
                      <w:sz w:val="18"/>
                      <w:szCs w:val="18"/>
                    </w:rPr>
                  </w:pPr>
                  <w:r>
                    <w:rPr>
                      <w:color w:val="auto"/>
                      <w:sz w:val="18"/>
                      <w:szCs w:val="18"/>
                    </w:rPr>
                    <w:t>/</w:t>
                  </w:r>
                </w:p>
              </w:tc>
              <w:tc>
                <w:tcPr>
                  <w:tcW w:w="947" w:type="pct"/>
                  <w:vAlign w:val="center"/>
                </w:tcPr>
                <w:p>
                  <w:pPr>
                    <w:jc w:val="center"/>
                    <w:rPr>
                      <w:color w:val="auto"/>
                      <w:sz w:val="18"/>
                      <w:szCs w:val="18"/>
                    </w:rPr>
                  </w:pPr>
                  <w:r>
                    <w:rPr>
                      <w:color w:val="auto"/>
                      <w:sz w:val="18"/>
                      <w:szCs w:val="18"/>
                    </w:rPr>
                    <w:t>/</w:t>
                  </w:r>
                </w:p>
              </w:tc>
              <w:tc>
                <w:tcPr>
                  <w:tcW w:w="862" w:type="pct"/>
                  <w:vAlign w:val="center"/>
                </w:tcPr>
                <w:p>
                  <w:pPr>
                    <w:jc w:val="center"/>
                    <w:rPr>
                      <w:color w:val="auto"/>
                      <w:sz w:val="18"/>
                      <w:szCs w:val="18"/>
                    </w:rPr>
                  </w:pPr>
                  <w:r>
                    <w:rPr>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Merge w:val="restart"/>
                  <w:vAlign w:val="center"/>
                </w:tcPr>
                <w:p>
                  <w:pPr>
                    <w:jc w:val="center"/>
                    <w:rPr>
                      <w:color w:val="auto"/>
                      <w:sz w:val="18"/>
                      <w:szCs w:val="18"/>
                    </w:rPr>
                  </w:pPr>
                  <w:r>
                    <w:rPr>
                      <w:color w:val="auto"/>
                      <w:sz w:val="18"/>
                      <w:szCs w:val="18"/>
                    </w:rPr>
                    <w:t>废水</w:t>
                  </w:r>
                </w:p>
              </w:tc>
              <w:tc>
                <w:tcPr>
                  <w:tcW w:w="1862" w:type="pct"/>
                  <w:vAlign w:val="center"/>
                </w:tcPr>
                <w:p>
                  <w:pPr>
                    <w:jc w:val="center"/>
                    <w:rPr>
                      <w:color w:val="auto"/>
                      <w:sz w:val="18"/>
                      <w:szCs w:val="18"/>
                    </w:rPr>
                  </w:pPr>
                  <w:r>
                    <w:rPr>
                      <w:rFonts w:hAnsi="宋体"/>
                      <w:color w:val="auto"/>
                      <w:sz w:val="18"/>
                      <w:szCs w:val="18"/>
                    </w:rPr>
                    <w:t>化粪池</w:t>
                  </w:r>
                </w:p>
              </w:tc>
              <w:tc>
                <w:tcPr>
                  <w:tcW w:w="604" w:type="pct"/>
                  <w:vAlign w:val="center"/>
                </w:tcPr>
                <w:p>
                  <w:pPr>
                    <w:jc w:val="center"/>
                    <w:rPr>
                      <w:color w:val="auto"/>
                      <w:sz w:val="18"/>
                      <w:szCs w:val="18"/>
                    </w:rPr>
                  </w:pPr>
                  <w:r>
                    <w:rPr>
                      <w:color w:val="auto"/>
                      <w:sz w:val="18"/>
                      <w:szCs w:val="18"/>
                    </w:rPr>
                    <w:t>1</w:t>
                  </w:r>
                </w:p>
              </w:tc>
              <w:tc>
                <w:tcPr>
                  <w:tcW w:w="947" w:type="pct"/>
                  <w:vAlign w:val="center"/>
                </w:tcPr>
                <w:p>
                  <w:pPr>
                    <w:jc w:val="center"/>
                    <w:rPr>
                      <w:color w:val="auto"/>
                      <w:sz w:val="18"/>
                      <w:szCs w:val="18"/>
                    </w:rPr>
                  </w:pPr>
                  <w:r>
                    <w:rPr>
                      <w:color w:val="auto"/>
                      <w:sz w:val="18"/>
                      <w:szCs w:val="18"/>
                    </w:rPr>
                    <w:t>/</w:t>
                  </w:r>
                </w:p>
              </w:tc>
              <w:tc>
                <w:tcPr>
                  <w:tcW w:w="862" w:type="pct"/>
                  <w:vAlign w:val="center"/>
                </w:tcPr>
                <w:p>
                  <w:pPr>
                    <w:jc w:val="center"/>
                    <w:rPr>
                      <w:color w:val="auto"/>
                      <w:sz w:val="18"/>
                      <w:szCs w:val="18"/>
                    </w:rPr>
                  </w:pPr>
                  <w:r>
                    <w:rPr>
                      <w:rFonts w:hAnsi="宋体"/>
                      <w:color w:val="auto"/>
                      <w:sz w:val="18"/>
                      <w:szCs w:val="18"/>
                    </w:rPr>
                    <w:t>依托</w:t>
                  </w:r>
                  <w:r>
                    <w:rPr>
                      <w:rFonts w:hint="eastAsia"/>
                      <w:color w:val="auto"/>
                      <w:sz w:val="18"/>
                      <w:szCs w:val="18"/>
                    </w:rPr>
                    <w:t>丰和</w:t>
                  </w:r>
                  <w:r>
                    <w:rPr>
                      <w:color w:val="auto"/>
                      <w:sz w:val="18"/>
                      <w:szCs w:val="18"/>
                    </w:rPr>
                    <w:t>坊一期</w:t>
                  </w:r>
                  <w:r>
                    <w:rPr>
                      <w:rFonts w:hint="eastAsia"/>
                      <w:color w:val="auto"/>
                      <w:sz w:val="18"/>
                      <w:szCs w:val="18"/>
                    </w:rPr>
                    <w:t>15幢</w:t>
                  </w:r>
                  <w:r>
                    <w:rPr>
                      <w:color w:val="auto"/>
                      <w:sz w:val="18"/>
                      <w:szCs w:val="18"/>
                    </w:rPr>
                    <w:t>公用化粪池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Merge w:val="continue"/>
                  <w:vAlign w:val="center"/>
                </w:tcPr>
                <w:p>
                  <w:pPr>
                    <w:jc w:val="center"/>
                    <w:rPr>
                      <w:color w:val="auto"/>
                      <w:sz w:val="18"/>
                      <w:szCs w:val="18"/>
                    </w:rPr>
                  </w:pPr>
                </w:p>
              </w:tc>
              <w:tc>
                <w:tcPr>
                  <w:tcW w:w="1862" w:type="pct"/>
                  <w:vAlign w:val="center"/>
                </w:tcPr>
                <w:p>
                  <w:pPr>
                    <w:jc w:val="center"/>
                    <w:rPr>
                      <w:color w:val="auto"/>
                      <w:sz w:val="18"/>
                      <w:szCs w:val="18"/>
                    </w:rPr>
                  </w:pPr>
                  <w:r>
                    <w:rPr>
                      <w:rFonts w:hint="eastAsia" w:hAnsi="宋体"/>
                      <w:color w:val="auto"/>
                      <w:sz w:val="18"/>
                      <w:szCs w:val="18"/>
                    </w:rPr>
                    <w:t>HB-</w:t>
                  </w:r>
                  <w:r>
                    <w:rPr>
                      <w:rFonts w:hAnsi="宋体"/>
                      <w:color w:val="auto"/>
                      <w:sz w:val="18"/>
                      <w:szCs w:val="18"/>
                    </w:rPr>
                    <w:t>50</w:t>
                  </w:r>
                  <w:r>
                    <w:rPr>
                      <w:rFonts w:hint="eastAsia" w:hAnsi="宋体"/>
                      <w:color w:val="auto"/>
                      <w:sz w:val="18"/>
                      <w:szCs w:val="18"/>
                    </w:rPr>
                    <w:t>废水缓释消毒器</w:t>
                  </w:r>
                </w:p>
              </w:tc>
              <w:tc>
                <w:tcPr>
                  <w:tcW w:w="604" w:type="pct"/>
                  <w:vAlign w:val="center"/>
                </w:tcPr>
                <w:p>
                  <w:pPr>
                    <w:jc w:val="center"/>
                    <w:rPr>
                      <w:color w:val="auto"/>
                      <w:sz w:val="18"/>
                      <w:szCs w:val="18"/>
                    </w:rPr>
                  </w:pPr>
                  <w:r>
                    <w:rPr>
                      <w:color w:val="auto"/>
                      <w:sz w:val="18"/>
                      <w:szCs w:val="18"/>
                    </w:rPr>
                    <w:t>1</w:t>
                  </w:r>
                </w:p>
              </w:tc>
              <w:tc>
                <w:tcPr>
                  <w:tcW w:w="947" w:type="pct"/>
                  <w:vAlign w:val="center"/>
                </w:tcPr>
                <w:p>
                  <w:pPr>
                    <w:jc w:val="center"/>
                    <w:rPr>
                      <w:color w:val="auto"/>
                      <w:sz w:val="18"/>
                      <w:szCs w:val="18"/>
                    </w:rPr>
                  </w:pPr>
                  <w:r>
                    <w:rPr>
                      <w:rFonts w:hint="eastAsia"/>
                      <w:color w:val="auto"/>
                      <w:sz w:val="18"/>
                      <w:szCs w:val="18"/>
                    </w:rPr>
                    <w:t>2.2</w:t>
                  </w:r>
                </w:p>
              </w:tc>
              <w:tc>
                <w:tcPr>
                  <w:tcW w:w="862" w:type="pct"/>
                  <w:vAlign w:val="center"/>
                </w:tcPr>
                <w:p>
                  <w:pPr>
                    <w:jc w:val="center"/>
                    <w:rPr>
                      <w:color w:val="auto"/>
                      <w:sz w:val="18"/>
                      <w:szCs w:val="18"/>
                    </w:rPr>
                  </w:pPr>
                  <w:r>
                    <w:rPr>
                      <w:rFonts w:hint="eastAsia"/>
                      <w:color w:val="auto"/>
                      <w:sz w:val="18"/>
                      <w:szCs w:val="18"/>
                    </w:rPr>
                    <w:t>已建成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Align w:val="center"/>
                </w:tcPr>
                <w:p>
                  <w:pPr>
                    <w:jc w:val="center"/>
                    <w:rPr>
                      <w:color w:val="auto"/>
                      <w:sz w:val="18"/>
                      <w:szCs w:val="18"/>
                    </w:rPr>
                  </w:pPr>
                  <w:r>
                    <w:rPr>
                      <w:color w:val="auto"/>
                      <w:sz w:val="18"/>
                      <w:szCs w:val="18"/>
                    </w:rPr>
                    <w:t>噪声</w:t>
                  </w:r>
                </w:p>
              </w:tc>
              <w:tc>
                <w:tcPr>
                  <w:tcW w:w="1862" w:type="pct"/>
                  <w:vAlign w:val="center"/>
                </w:tcPr>
                <w:p>
                  <w:pPr>
                    <w:jc w:val="center"/>
                    <w:rPr>
                      <w:color w:val="auto"/>
                      <w:sz w:val="18"/>
                      <w:szCs w:val="18"/>
                    </w:rPr>
                  </w:pPr>
                  <w:r>
                    <w:rPr>
                      <w:rFonts w:hint="eastAsia"/>
                      <w:color w:val="auto"/>
                      <w:sz w:val="18"/>
                      <w:szCs w:val="18"/>
                    </w:rPr>
                    <w:t>基础减振、软管连接等</w:t>
                  </w:r>
                </w:p>
              </w:tc>
              <w:tc>
                <w:tcPr>
                  <w:tcW w:w="604" w:type="pct"/>
                  <w:vAlign w:val="center"/>
                </w:tcPr>
                <w:p>
                  <w:pPr>
                    <w:jc w:val="center"/>
                    <w:rPr>
                      <w:color w:val="auto"/>
                      <w:sz w:val="18"/>
                      <w:szCs w:val="18"/>
                    </w:rPr>
                  </w:pPr>
                  <w:r>
                    <w:rPr>
                      <w:rFonts w:hint="eastAsia"/>
                      <w:color w:val="auto"/>
                      <w:sz w:val="18"/>
                      <w:szCs w:val="18"/>
                    </w:rPr>
                    <w:t>1</w:t>
                  </w:r>
                </w:p>
              </w:tc>
              <w:tc>
                <w:tcPr>
                  <w:tcW w:w="947" w:type="pct"/>
                  <w:vAlign w:val="center"/>
                </w:tcPr>
                <w:p>
                  <w:pPr>
                    <w:jc w:val="center"/>
                    <w:rPr>
                      <w:color w:val="auto"/>
                      <w:sz w:val="18"/>
                      <w:szCs w:val="18"/>
                    </w:rPr>
                  </w:pPr>
                  <w:r>
                    <w:rPr>
                      <w:rFonts w:hint="eastAsia"/>
                      <w:color w:val="auto"/>
                      <w:sz w:val="18"/>
                      <w:szCs w:val="18"/>
                    </w:rPr>
                    <w:t>0.7</w:t>
                  </w:r>
                </w:p>
              </w:tc>
              <w:tc>
                <w:tcPr>
                  <w:tcW w:w="862" w:type="pct"/>
                  <w:vAlign w:val="center"/>
                </w:tcPr>
                <w:p>
                  <w:pPr>
                    <w:jc w:val="center"/>
                    <w:rPr>
                      <w:color w:val="auto"/>
                      <w:sz w:val="18"/>
                      <w:szCs w:val="18"/>
                    </w:rPr>
                  </w:pPr>
                  <w:r>
                    <w:rPr>
                      <w:rFonts w:hint="eastAsia"/>
                      <w:color w:val="auto"/>
                      <w:sz w:val="18"/>
                      <w:szCs w:val="18"/>
                    </w:rPr>
                    <w:t>已建成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Merge w:val="restart"/>
                  <w:vAlign w:val="center"/>
                </w:tcPr>
                <w:p>
                  <w:pPr>
                    <w:jc w:val="center"/>
                    <w:rPr>
                      <w:color w:val="auto"/>
                      <w:sz w:val="18"/>
                      <w:szCs w:val="18"/>
                    </w:rPr>
                  </w:pPr>
                  <w:r>
                    <w:rPr>
                      <w:color w:val="auto"/>
                      <w:sz w:val="18"/>
                      <w:szCs w:val="18"/>
                    </w:rPr>
                    <w:t>固废</w:t>
                  </w:r>
                </w:p>
              </w:tc>
              <w:tc>
                <w:tcPr>
                  <w:tcW w:w="1862" w:type="pct"/>
                  <w:vAlign w:val="center"/>
                </w:tcPr>
                <w:p>
                  <w:pPr>
                    <w:jc w:val="center"/>
                    <w:rPr>
                      <w:color w:val="auto"/>
                      <w:sz w:val="18"/>
                      <w:szCs w:val="18"/>
                    </w:rPr>
                  </w:pPr>
                  <w:r>
                    <w:rPr>
                      <w:rFonts w:hAnsi="宋体"/>
                      <w:color w:val="auto"/>
                      <w:sz w:val="18"/>
                      <w:szCs w:val="18"/>
                    </w:rPr>
                    <w:t>垃圾箱</w:t>
                  </w:r>
                  <w:r>
                    <w:rPr>
                      <w:rFonts w:hint="eastAsia" w:hAnsi="宋体"/>
                      <w:color w:val="auto"/>
                      <w:sz w:val="18"/>
                      <w:szCs w:val="18"/>
                    </w:rPr>
                    <w:t>/</w:t>
                  </w:r>
                  <w:r>
                    <w:rPr>
                      <w:rFonts w:hAnsi="宋体"/>
                      <w:color w:val="auto"/>
                      <w:sz w:val="18"/>
                      <w:szCs w:val="18"/>
                    </w:rPr>
                    <w:t>垃圾桶</w:t>
                  </w:r>
                </w:p>
              </w:tc>
              <w:tc>
                <w:tcPr>
                  <w:tcW w:w="604" w:type="pct"/>
                  <w:vAlign w:val="center"/>
                </w:tcPr>
                <w:p>
                  <w:pPr>
                    <w:jc w:val="center"/>
                    <w:rPr>
                      <w:color w:val="auto"/>
                      <w:sz w:val="18"/>
                      <w:szCs w:val="18"/>
                    </w:rPr>
                  </w:pPr>
                  <w:r>
                    <w:rPr>
                      <w:rFonts w:hint="eastAsia" w:hAnsi="宋体"/>
                      <w:color w:val="auto"/>
                      <w:sz w:val="18"/>
                      <w:szCs w:val="18"/>
                    </w:rPr>
                    <w:t>6</w:t>
                  </w:r>
                </w:p>
              </w:tc>
              <w:tc>
                <w:tcPr>
                  <w:tcW w:w="947" w:type="pct"/>
                  <w:vAlign w:val="center"/>
                </w:tcPr>
                <w:p>
                  <w:pPr>
                    <w:jc w:val="center"/>
                    <w:rPr>
                      <w:color w:val="auto"/>
                      <w:sz w:val="18"/>
                      <w:szCs w:val="18"/>
                    </w:rPr>
                  </w:pPr>
                  <w:r>
                    <w:rPr>
                      <w:rFonts w:hint="eastAsia"/>
                      <w:color w:val="auto"/>
                      <w:sz w:val="18"/>
                      <w:szCs w:val="18"/>
                    </w:rPr>
                    <w:t>0.1</w:t>
                  </w:r>
                </w:p>
              </w:tc>
              <w:tc>
                <w:tcPr>
                  <w:tcW w:w="862" w:type="pct"/>
                  <w:vAlign w:val="center"/>
                </w:tcPr>
                <w:p>
                  <w:pPr>
                    <w:jc w:val="center"/>
                    <w:rPr>
                      <w:color w:val="auto"/>
                      <w:sz w:val="18"/>
                      <w:szCs w:val="18"/>
                    </w:rPr>
                  </w:pPr>
                  <w:r>
                    <w:rPr>
                      <w:rFonts w:hint="eastAsia"/>
                      <w:color w:val="auto"/>
                      <w:sz w:val="18"/>
                      <w:szCs w:val="18"/>
                    </w:rPr>
                    <w:t>已建成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Merge w:val="continue"/>
                  <w:vAlign w:val="center"/>
                </w:tcPr>
                <w:p>
                  <w:pPr>
                    <w:jc w:val="center"/>
                    <w:rPr>
                      <w:color w:val="auto"/>
                      <w:sz w:val="18"/>
                      <w:szCs w:val="18"/>
                    </w:rPr>
                  </w:pPr>
                </w:p>
              </w:tc>
              <w:tc>
                <w:tcPr>
                  <w:tcW w:w="1862" w:type="pct"/>
                  <w:vAlign w:val="center"/>
                </w:tcPr>
                <w:p>
                  <w:pPr>
                    <w:jc w:val="center"/>
                    <w:rPr>
                      <w:rFonts w:hAnsi="宋体"/>
                      <w:color w:val="auto"/>
                      <w:sz w:val="18"/>
                      <w:szCs w:val="18"/>
                    </w:rPr>
                  </w:pPr>
                  <w:r>
                    <w:rPr>
                      <w:rFonts w:hint="eastAsia" w:hAnsi="宋体"/>
                      <w:color w:val="auto"/>
                      <w:sz w:val="18"/>
                      <w:szCs w:val="18"/>
                    </w:rPr>
                    <w:t>危废暂存间</w:t>
                  </w:r>
                </w:p>
              </w:tc>
              <w:tc>
                <w:tcPr>
                  <w:tcW w:w="604" w:type="pct"/>
                  <w:vAlign w:val="center"/>
                </w:tcPr>
                <w:p>
                  <w:pPr>
                    <w:jc w:val="center"/>
                    <w:rPr>
                      <w:rFonts w:hAnsi="宋体"/>
                      <w:color w:val="auto"/>
                      <w:sz w:val="18"/>
                      <w:szCs w:val="18"/>
                    </w:rPr>
                  </w:pPr>
                  <w:r>
                    <w:rPr>
                      <w:rFonts w:hint="eastAsia" w:hAnsi="宋体"/>
                      <w:color w:val="auto"/>
                      <w:sz w:val="18"/>
                      <w:szCs w:val="18"/>
                    </w:rPr>
                    <w:t>1</w:t>
                  </w:r>
                </w:p>
              </w:tc>
              <w:tc>
                <w:tcPr>
                  <w:tcW w:w="947" w:type="pct"/>
                  <w:vMerge w:val="restart"/>
                  <w:vAlign w:val="center"/>
                </w:tcPr>
                <w:p>
                  <w:pPr>
                    <w:jc w:val="center"/>
                    <w:rPr>
                      <w:color w:val="auto"/>
                      <w:sz w:val="18"/>
                      <w:szCs w:val="18"/>
                    </w:rPr>
                  </w:pPr>
                  <w:r>
                    <w:rPr>
                      <w:rFonts w:hint="eastAsia"/>
                      <w:color w:val="auto"/>
                      <w:sz w:val="18"/>
                      <w:szCs w:val="18"/>
                    </w:rPr>
                    <w:t>1.0</w:t>
                  </w:r>
                </w:p>
              </w:tc>
              <w:tc>
                <w:tcPr>
                  <w:tcW w:w="862" w:type="pct"/>
                  <w:vMerge w:val="restart"/>
                  <w:vAlign w:val="center"/>
                </w:tcPr>
                <w:p>
                  <w:pPr>
                    <w:jc w:val="center"/>
                    <w:rPr>
                      <w:color w:val="auto"/>
                      <w:sz w:val="18"/>
                      <w:szCs w:val="18"/>
                    </w:rPr>
                  </w:pPr>
                  <w:r>
                    <w:rPr>
                      <w:rFonts w:hint="eastAsia"/>
                      <w:color w:val="auto"/>
                      <w:sz w:val="18"/>
                      <w:szCs w:val="18"/>
                    </w:rPr>
                    <w:t>已建成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25" w:type="pct"/>
                  <w:vMerge w:val="continue"/>
                  <w:vAlign w:val="center"/>
                </w:tcPr>
                <w:p>
                  <w:pPr>
                    <w:jc w:val="center"/>
                    <w:rPr>
                      <w:color w:val="auto"/>
                      <w:sz w:val="18"/>
                      <w:szCs w:val="18"/>
                    </w:rPr>
                  </w:pPr>
                </w:p>
              </w:tc>
              <w:tc>
                <w:tcPr>
                  <w:tcW w:w="1862" w:type="pct"/>
                  <w:vAlign w:val="center"/>
                </w:tcPr>
                <w:p>
                  <w:pPr>
                    <w:jc w:val="center"/>
                    <w:rPr>
                      <w:rFonts w:hAnsi="宋体"/>
                      <w:color w:val="auto"/>
                      <w:sz w:val="18"/>
                      <w:szCs w:val="18"/>
                    </w:rPr>
                  </w:pPr>
                  <w:r>
                    <w:rPr>
                      <w:rFonts w:hint="eastAsia" w:hAnsi="宋体"/>
                      <w:color w:val="auto"/>
                      <w:sz w:val="18"/>
                      <w:szCs w:val="18"/>
                    </w:rPr>
                    <w:t>危废收集桶</w:t>
                  </w:r>
                </w:p>
              </w:tc>
              <w:tc>
                <w:tcPr>
                  <w:tcW w:w="604" w:type="pct"/>
                  <w:vAlign w:val="center"/>
                </w:tcPr>
                <w:p>
                  <w:pPr>
                    <w:jc w:val="center"/>
                    <w:rPr>
                      <w:rFonts w:hAnsi="宋体"/>
                      <w:color w:val="auto"/>
                      <w:sz w:val="18"/>
                      <w:szCs w:val="18"/>
                    </w:rPr>
                  </w:pPr>
                  <w:r>
                    <w:rPr>
                      <w:rFonts w:hint="eastAsia" w:hAnsi="宋体"/>
                      <w:color w:val="auto"/>
                      <w:sz w:val="18"/>
                      <w:szCs w:val="18"/>
                    </w:rPr>
                    <w:t>4</w:t>
                  </w:r>
                </w:p>
              </w:tc>
              <w:tc>
                <w:tcPr>
                  <w:tcW w:w="947" w:type="pct"/>
                  <w:vMerge w:val="continue"/>
                  <w:vAlign w:val="center"/>
                </w:tcPr>
                <w:p>
                  <w:pPr>
                    <w:jc w:val="center"/>
                    <w:rPr>
                      <w:color w:val="auto"/>
                      <w:sz w:val="18"/>
                      <w:szCs w:val="18"/>
                    </w:rPr>
                  </w:pPr>
                </w:p>
              </w:tc>
              <w:tc>
                <w:tcPr>
                  <w:tcW w:w="862" w:type="pct"/>
                  <w:vMerge w:val="continue"/>
                  <w:vAlign w:val="center"/>
                </w:tcPr>
                <w:p>
                  <w:pPr>
                    <w:jc w:val="center"/>
                    <w:rPr>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3191" w:type="pct"/>
                  <w:gridSpan w:val="3"/>
                  <w:vAlign w:val="center"/>
                </w:tcPr>
                <w:p>
                  <w:pPr>
                    <w:jc w:val="center"/>
                    <w:rPr>
                      <w:rFonts w:hAnsi="宋体"/>
                      <w:color w:val="auto"/>
                      <w:sz w:val="18"/>
                      <w:szCs w:val="18"/>
                    </w:rPr>
                  </w:pPr>
                  <w:r>
                    <w:rPr>
                      <w:rFonts w:hint="eastAsia" w:hAnsi="宋体"/>
                      <w:color w:val="auto"/>
                      <w:sz w:val="18"/>
                      <w:szCs w:val="18"/>
                    </w:rPr>
                    <w:t>合计</w:t>
                  </w:r>
                </w:p>
              </w:tc>
              <w:tc>
                <w:tcPr>
                  <w:tcW w:w="1809" w:type="pct"/>
                  <w:gridSpan w:val="2"/>
                  <w:vAlign w:val="center"/>
                </w:tcPr>
                <w:p>
                  <w:pPr>
                    <w:jc w:val="center"/>
                    <w:rPr>
                      <w:color w:val="auto"/>
                      <w:sz w:val="18"/>
                      <w:szCs w:val="18"/>
                    </w:rPr>
                  </w:pPr>
                  <w:r>
                    <w:rPr>
                      <w:rFonts w:hint="eastAsia"/>
                      <w:color w:val="auto"/>
                      <w:sz w:val="18"/>
                      <w:szCs w:val="18"/>
                    </w:rPr>
                    <w:t>4.0</w:t>
                  </w: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rFonts w:hint="eastAsia"/>
                <w:color w:val="auto"/>
              </w:rPr>
            </w:pPr>
          </w:p>
        </w:tc>
      </w:tr>
    </w:tbl>
    <w:p>
      <w:pPr>
        <w:adjustRightInd w:val="0"/>
        <w:snapToGrid w:val="0"/>
        <w:spacing w:line="360" w:lineRule="auto"/>
        <w:rPr>
          <w:rFonts w:ascii="宋体" w:cs="宋体"/>
          <w:b/>
          <w:color w:val="auto"/>
          <w:kern w:val="0"/>
          <w:sz w:val="28"/>
          <w:szCs w:val="28"/>
        </w:rPr>
        <w:sectPr>
          <w:pgSz w:w="11907" w:h="16840"/>
          <w:pgMar w:top="1701" w:right="1531" w:bottom="1418" w:left="1531" w:header="1134" w:footer="1134" w:gutter="0"/>
          <w:cols w:space="720" w:num="1"/>
          <w:docGrid w:linePitch="312" w:charSpace="0"/>
        </w:sectPr>
      </w:pPr>
    </w:p>
    <w:p>
      <w:pPr>
        <w:pStyle w:val="18"/>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w:t>
      </w:r>
      <w:bookmarkStart w:id="3" w:name="_Hlk54167917"/>
      <w:r>
        <w:rPr>
          <w:rFonts w:hint="eastAsia" w:ascii="黑体" w:hAnsi="黑体" w:eastAsia="黑体"/>
          <w:snapToGrid w:val="0"/>
          <w:color w:val="auto"/>
          <w:sz w:val="30"/>
          <w:szCs w:val="30"/>
        </w:rPr>
        <w:t>环境保护措施监督检查清单</w:t>
      </w:r>
      <w:bookmarkEnd w:id="3"/>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545"/>
        <w:gridCol w:w="1875"/>
        <w:gridCol w:w="2130"/>
        <w:gridCol w:w="21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101" w:type="dxa"/>
            <w:tcBorders>
              <w:tl2br w:val="single" w:color="auto" w:sz="4" w:space="0"/>
            </w:tcBorders>
          </w:tcPr>
          <w:p>
            <w:pPr>
              <w:adjustRightInd w:val="0"/>
              <w:snapToGrid w:val="0"/>
              <w:ind w:firstLine="420" w:firstLineChars="200"/>
              <w:rPr>
                <w:color w:val="auto"/>
                <w:szCs w:val="21"/>
              </w:rPr>
            </w:pPr>
            <w:r>
              <w:rPr>
                <w:rFonts w:hAnsi="宋体"/>
                <w:color w:val="auto"/>
                <w:szCs w:val="21"/>
              </w:rPr>
              <w:t>内容</w:t>
            </w:r>
          </w:p>
          <w:p>
            <w:pPr>
              <w:adjustRightInd w:val="0"/>
              <w:snapToGrid w:val="0"/>
              <w:rPr>
                <w:color w:val="auto"/>
                <w:szCs w:val="21"/>
              </w:rPr>
            </w:pPr>
            <w:r>
              <w:rPr>
                <w:rFonts w:hAnsi="宋体"/>
                <w:color w:val="auto"/>
                <w:szCs w:val="21"/>
              </w:rPr>
              <w:t>要素</w:t>
            </w:r>
          </w:p>
        </w:tc>
        <w:tc>
          <w:tcPr>
            <w:tcW w:w="1545" w:type="dxa"/>
            <w:vAlign w:val="center"/>
          </w:tcPr>
          <w:p>
            <w:pPr>
              <w:adjustRightInd w:val="0"/>
              <w:snapToGrid w:val="0"/>
              <w:jc w:val="center"/>
              <w:rPr>
                <w:color w:val="auto"/>
                <w:szCs w:val="21"/>
              </w:rPr>
            </w:pPr>
            <w:r>
              <w:rPr>
                <w:rFonts w:hAnsi="宋体"/>
                <w:color w:val="auto"/>
                <w:szCs w:val="21"/>
              </w:rPr>
              <w:t>排放口</w:t>
            </w:r>
            <w:r>
              <w:rPr>
                <w:color w:val="auto"/>
                <w:szCs w:val="21"/>
              </w:rPr>
              <w:t>(</w:t>
            </w:r>
            <w:r>
              <w:rPr>
                <w:rFonts w:hAnsi="宋体"/>
                <w:color w:val="auto"/>
                <w:szCs w:val="21"/>
              </w:rPr>
              <w:t>编号、</w:t>
            </w:r>
          </w:p>
          <w:p>
            <w:pPr>
              <w:adjustRightInd w:val="0"/>
              <w:snapToGrid w:val="0"/>
              <w:jc w:val="center"/>
              <w:rPr>
                <w:color w:val="auto"/>
                <w:szCs w:val="21"/>
              </w:rPr>
            </w:pPr>
            <w:r>
              <w:rPr>
                <w:rFonts w:hAnsi="宋体"/>
                <w:color w:val="auto"/>
                <w:szCs w:val="21"/>
              </w:rPr>
              <w:t>名称</w:t>
            </w:r>
            <w:r>
              <w:rPr>
                <w:color w:val="auto"/>
                <w:szCs w:val="21"/>
              </w:rPr>
              <w:t>)/</w:t>
            </w:r>
            <w:r>
              <w:rPr>
                <w:rFonts w:hAnsi="宋体"/>
                <w:color w:val="auto"/>
                <w:szCs w:val="21"/>
              </w:rPr>
              <w:t>污染源</w:t>
            </w:r>
          </w:p>
        </w:tc>
        <w:tc>
          <w:tcPr>
            <w:tcW w:w="1875" w:type="dxa"/>
            <w:vAlign w:val="center"/>
          </w:tcPr>
          <w:p>
            <w:pPr>
              <w:adjustRightInd w:val="0"/>
              <w:snapToGrid w:val="0"/>
              <w:jc w:val="center"/>
              <w:rPr>
                <w:color w:val="auto"/>
                <w:szCs w:val="21"/>
              </w:rPr>
            </w:pPr>
            <w:r>
              <w:rPr>
                <w:rFonts w:hAnsi="宋体"/>
                <w:color w:val="auto"/>
                <w:szCs w:val="21"/>
              </w:rPr>
              <w:t>污染物项目</w:t>
            </w:r>
          </w:p>
        </w:tc>
        <w:tc>
          <w:tcPr>
            <w:tcW w:w="2130" w:type="dxa"/>
            <w:vAlign w:val="center"/>
          </w:tcPr>
          <w:p>
            <w:pPr>
              <w:adjustRightInd w:val="0"/>
              <w:snapToGrid w:val="0"/>
              <w:jc w:val="center"/>
              <w:rPr>
                <w:color w:val="auto"/>
                <w:szCs w:val="21"/>
              </w:rPr>
            </w:pPr>
            <w:r>
              <w:rPr>
                <w:rFonts w:hAnsi="宋体"/>
                <w:color w:val="auto"/>
                <w:szCs w:val="21"/>
              </w:rPr>
              <w:t>环境保护</w:t>
            </w:r>
          </w:p>
          <w:p>
            <w:pPr>
              <w:adjustRightInd w:val="0"/>
              <w:snapToGrid w:val="0"/>
              <w:jc w:val="center"/>
              <w:rPr>
                <w:color w:val="auto"/>
                <w:szCs w:val="21"/>
              </w:rPr>
            </w:pPr>
            <w:r>
              <w:rPr>
                <w:rFonts w:hAnsi="宋体"/>
                <w:color w:val="auto"/>
                <w:szCs w:val="21"/>
              </w:rPr>
              <w:t>措施</w:t>
            </w:r>
          </w:p>
        </w:tc>
        <w:tc>
          <w:tcPr>
            <w:tcW w:w="2165" w:type="dxa"/>
            <w:vAlign w:val="center"/>
          </w:tcPr>
          <w:p>
            <w:pPr>
              <w:adjustRightInd w:val="0"/>
              <w:snapToGrid w:val="0"/>
              <w:jc w:val="center"/>
              <w:rPr>
                <w:color w:val="auto"/>
                <w:szCs w:val="21"/>
              </w:rPr>
            </w:pPr>
            <w:r>
              <w:rPr>
                <w:rFonts w:hAnsi="宋体"/>
                <w:color w:val="auto"/>
                <w:szCs w:val="21"/>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5" w:hRule="atLeast"/>
          <w:jc w:val="center"/>
        </w:trPr>
        <w:tc>
          <w:tcPr>
            <w:tcW w:w="1101" w:type="dxa"/>
            <w:vAlign w:val="center"/>
          </w:tcPr>
          <w:p>
            <w:pPr>
              <w:adjustRightInd w:val="0"/>
              <w:snapToGrid w:val="0"/>
              <w:jc w:val="center"/>
              <w:rPr>
                <w:color w:val="auto"/>
                <w:szCs w:val="21"/>
              </w:rPr>
            </w:pPr>
            <w:r>
              <w:rPr>
                <w:rFonts w:hint="eastAsia"/>
                <w:color w:val="auto"/>
                <w:szCs w:val="21"/>
              </w:rPr>
              <w:t>大气环境</w:t>
            </w:r>
          </w:p>
        </w:tc>
        <w:tc>
          <w:tcPr>
            <w:tcW w:w="1545" w:type="dxa"/>
            <w:vAlign w:val="center"/>
          </w:tcPr>
          <w:p>
            <w:pPr>
              <w:adjustRightInd w:val="0"/>
              <w:snapToGrid w:val="0"/>
              <w:jc w:val="center"/>
              <w:rPr>
                <w:color w:val="auto"/>
                <w:szCs w:val="21"/>
              </w:rPr>
            </w:pPr>
            <w:r>
              <w:rPr>
                <w:rFonts w:hint="eastAsia"/>
                <w:color w:val="auto"/>
                <w:szCs w:val="21"/>
              </w:rPr>
              <w:t>医院</w:t>
            </w:r>
          </w:p>
        </w:tc>
        <w:tc>
          <w:tcPr>
            <w:tcW w:w="1875" w:type="dxa"/>
            <w:vAlign w:val="center"/>
          </w:tcPr>
          <w:p>
            <w:pPr>
              <w:adjustRightInd w:val="0"/>
              <w:snapToGrid w:val="0"/>
              <w:jc w:val="center"/>
              <w:rPr>
                <w:color w:val="auto"/>
                <w:szCs w:val="21"/>
              </w:rPr>
            </w:pPr>
            <w:r>
              <w:rPr>
                <w:rFonts w:hint="eastAsia"/>
                <w:color w:val="auto"/>
                <w:szCs w:val="21"/>
              </w:rPr>
              <w:t>宠物异味</w:t>
            </w:r>
          </w:p>
        </w:tc>
        <w:tc>
          <w:tcPr>
            <w:tcW w:w="2130" w:type="dxa"/>
            <w:vAlign w:val="center"/>
          </w:tcPr>
          <w:p>
            <w:pPr>
              <w:adjustRightInd w:val="0"/>
              <w:snapToGrid w:val="0"/>
              <w:spacing w:line="276" w:lineRule="auto"/>
              <w:jc w:val="center"/>
              <w:rPr>
                <w:color w:val="auto"/>
                <w:szCs w:val="21"/>
              </w:rPr>
            </w:pPr>
            <w:r>
              <w:rPr>
                <w:color w:val="auto"/>
                <w:szCs w:val="21"/>
              </w:rPr>
              <w:t>宠物粪尿被猫砂吸收</w:t>
            </w:r>
            <w:r>
              <w:rPr>
                <w:rFonts w:hint="eastAsia"/>
                <w:color w:val="auto"/>
                <w:szCs w:val="21"/>
              </w:rPr>
              <w:t>消石灰</w:t>
            </w:r>
            <w:r>
              <w:rPr>
                <w:color w:val="auto"/>
                <w:szCs w:val="21"/>
              </w:rPr>
              <w:t>拌合后及时由医护人员清除并装入专用密封袋中密封保存；定期喷洒小宠祛味消毒液除臭，并加强通风换气</w:t>
            </w:r>
            <w:r>
              <w:rPr>
                <w:rFonts w:hint="eastAsia"/>
                <w:color w:val="auto"/>
                <w:szCs w:val="21"/>
              </w:rPr>
              <w:t>。</w:t>
            </w:r>
          </w:p>
        </w:tc>
        <w:tc>
          <w:tcPr>
            <w:tcW w:w="2165" w:type="dxa"/>
            <w:vAlign w:val="center"/>
          </w:tcPr>
          <w:p>
            <w:pPr>
              <w:adjustRightInd w:val="0"/>
              <w:snapToGrid w:val="0"/>
              <w:jc w:val="center"/>
              <w:rPr>
                <w:color w:val="auto"/>
                <w:szCs w:val="21"/>
              </w:rPr>
            </w:pPr>
            <w:r>
              <w:rPr>
                <w:rFonts w:hint="eastAsia"/>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2" w:hRule="atLeast"/>
          <w:jc w:val="center"/>
        </w:trPr>
        <w:tc>
          <w:tcPr>
            <w:tcW w:w="1101" w:type="dxa"/>
            <w:vAlign w:val="center"/>
          </w:tcPr>
          <w:p>
            <w:pPr>
              <w:adjustRightInd w:val="0"/>
              <w:snapToGrid w:val="0"/>
              <w:spacing w:line="276" w:lineRule="auto"/>
              <w:jc w:val="center"/>
              <w:rPr>
                <w:color w:val="auto"/>
                <w:szCs w:val="21"/>
              </w:rPr>
            </w:pPr>
            <w:r>
              <w:rPr>
                <w:color w:val="auto"/>
                <w:szCs w:val="21"/>
              </w:rPr>
              <w:t>地表水环境</w:t>
            </w:r>
          </w:p>
        </w:tc>
        <w:tc>
          <w:tcPr>
            <w:tcW w:w="1545" w:type="dxa"/>
            <w:vAlign w:val="center"/>
          </w:tcPr>
          <w:p>
            <w:pPr>
              <w:adjustRightInd w:val="0"/>
              <w:snapToGrid w:val="0"/>
              <w:spacing w:line="276" w:lineRule="auto"/>
              <w:jc w:val="center"/>
              <w:rPr>
                <w:color w:val="auto"/>
                <w:szCs w:val="21"/>
              </w:rPr>
            </w:pPr>
            <w:r>
              <w:rPr>
                <w:color w:val="auto"/>
                <w:szCs w:val="21"/>
              </w:rPr>
              <w:t xml:space="preserve"> 生活污水、宠物洗浴废水、医疗废水</w:t>
            </w:r>
          </w:p>
        </w:tc>
        <w:tc>
          <w:tcPr>
            <w:tcW w:w="1875" w:type="dxa"/>
            <w:vAlign w:val="center"/>
          </w:tcPr>
          <w:p>
            <w:pPr>
              <w:spacing w:line="276" w:lineRule="auto"/>
              <w:jc w:val="center"/>
              <w:rPr>
                <w:color w:val="auto"/>
                <w:szCs w:val="21"/>
              </w:rPr>
            </w:pPr>
            <w:r>
              <w:rPr>
                <w:color w:val="auto"/>
                <w:szCs w:val="21"/>
              </w:rPr>
              <w:t>COD、氨氮、SS、总磷、总氮、粪大肠菌群数、总余氯、阴离子表面活性剂等</w:t>
            </w:r>
          </w:p>
        </w:tc>
        <w:tc>
          <w:tcPr>
            <w:tcW w:w="2130" w:type="dxa"/>
            <w:vAlign w:val="center"/>
          </w:tcPr>
          <w:p>
            <w:pPr>
              <w:adjustRightInd w:val="0"/>
              <w:snapToGrid w:val="0"/>
              <w:spacing w:line="276" w:lineRule="auto"/>
              <w:jc w:val="center"/>
              <w:rPr>
                <w:color w:val="auto"/>
                <w:szCs w:val="21"/>
              </w:rPr>
            </w:pPr>
            <w:r>
              <w:rPr>
                <w:color w:val="auto"/>
                <w:szCs w:val="21"/>
              </w:rPr>
              <w:t>医疗废水经HB-50缓释消毒器</w:t>
            </w:r>
            <w:r>
              <w:rPr>
                <w:rFonts w:hint="eastAsia"/>
                <w:color w:val="auto"/>
                <w:szCs w:val="21"/>
              </w:rPr>
              <w:t>（箱体规格30cm*30cm*30cm，设计日处理能力0.5n</w:t>
            </w:r>
            <w:r>
              <w:rPr>
                <w:rFonts w:hint="eastAsia"/>
                <w:color w:val="auto"/>
                <w:szCs w:val="21"/>
                <w:vertAlign w:val="superscript"/>
              </w:rPr>
              <w:t>3</w:t>
            </w:r>
            <w:r>
              <w:rPr>
                <w:rFonts w:hint="eastAsia"/>
                <w:color w:val="auto"/>
                <w:szCs w:val="21"/>
              </w:rPr>
              <w:t>/d）</w:t>
            </w:r>
            <w:r>
              <w:rPr>
                <w:color w:val="auto"/>
                <w:szCs w:val="21"/>
              </w:rPr>
              <w:t>处理后与生活污水、宠物洗浴废水一同排入</w:t>
            </w:r>
            <w:r>
              <w:rPr>
                <w:rFonts w:hint="eastAsia"/>
                <w:color w:val="auto"/>
                <w:szCs w:val="21"/>
              </w:rPr>
              <w:t>丰和</w:t>
            </w:r>
            <w:r>
              <w:rPr>
                <w:color w:val="auto"/>
                <w:szCs w:val="21"/>
              </w:rPr>
              <w:t>坊一期</w:t>
            </w:r>
            <w:r>
              <w:rPr>
                <w:rFonts w:hint="eastAsia"/>
                <w:color w:val="auto"/>
                <w:szCs w:val="21"/>
              </w:rPr>
              <w:t>15幢</w:t>
            </w:r>
            <w:r>
              <w:rPr>
                <w:color w:val="auto"/>
                <w:szCs w:val="21"/>
              </w:rPr>
              <w:t>公用化粪池，处理后经</w:t>
            </w:r>
            <w:r>
              <w:rPr>
                <w:rFonts w:hint="eastAsia"/>
                <w:color w:val="auto"/>
                <w:szCs w:val="21"/>
              </w:rPr>
              <w:t>丰禾</w:t>
            </w:r>
            <w:r>
              <w:rPr>
                <w:color w:val="auto"/>
                <w:szCs w:val="21"/>
              </w:rPr>
              <w:t>路市政污水管网排入</w:t>
            </w:r>
            <w:r>
              <w:rPr>
                <w:rFonts w:hint="eastAsia"/>
                <w:color w:val="auto"/>
                <w:szCs w:val="21"/>
              </w:rPr>
              <w:t>邓家村污</w:t>
            </w:r>
            <w:r>
              <w:rPr>
                <w:color w:val="auto"/>
                <w:szCs w:val="21"/>
              </w:rPr>
              <w:t>水处理厂。</w:t>
            </w:r>
          </w:p>
        </w:tc>
        <w:tc>
          <w:tcPr>
            <w:tcW w:w="2165" w:type="dxa"/>
            <w:vAlign w:val="center"/>
          </w:tcPr>
          <w:p>
            <w:pPr>
              <w:adjustRightInd w:val="0"/>
              <w:snapToGrid w:val="0"/>
              <w:spacing w:line="276" w:lineRule="auto"/>
              <w:jc w:val="center"/>
              <w:rPr>
                <w:color w:val="auto"/>
                <w:szCs w:val="21"/>
              </w:rPr>
            </w:pPr>
            <w:r>
              <w:rPr>
                <w:color w:val="auto"/>
                <w:szCs w:val="21"/>
              </w:rPr>
              <w:t>医疗废水满足《医疗机构水污染物排放标准》（GB18466-2005）中的预处理标准，其他废水满足《污水排入城镇下水道水质标准》（GB/T31962-2015）中A级标准和《污水综合排放标准》（GB 8978-1996）三级标准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1" w:type="dxa"/>
            <w:vAlign w:val="center"/>
          </w:tcPr>
          <w:p>
            <w:pPr>
              <w:adjustRightInd w:val="0"/>
              <w:snapToGrid w:val="0"/>
              <w:spacing w:line="276" w:lineRule="auto"/>
              <w:jc w:val="center"/>
              <w:rPr>
                <w:rFonts w:eastAsiaTheme="majorEastAsia"/>
                <w:color w:val="auto"/>
                <w:szCs w:val="21"/>
              </w:rPr>
            </w:pPr>
            <w:r>
              <w:rPr>
                <w:rFonts w:hAnsiTheme="majorEastAsia" w:eastAsiaTheme="majorEastAsia"/>
                <w:color w:val="auto"/>
                <w:szCs w:val="21"/>
              </w:rPr>
              <w:t>声环境</w:t>
            </w:r>
          </w:p>
        </w:tc>
        <w:tc>
          <w:tcPr>
            <w:tcW w:w="1545" w:type="dxa"/>
            <w:vAlign w:val="center"/>
          </w:tcPr>
          <w:p>
            <w:pPr>
              <w:adjustRightInd w:val="0"/>
              <w:snapToGrid w:val="0"/>
              <w:spacing w:line="276" w:lineRule="auto"/>
              <w:jc w:val="center"/>
              <w:rPr>
                <w:rFonts w:eastAsiaTheme="majorEastAsia"/>
                <w:color w:val="auto"/>
                <w:szCs w:val="21"/>
              </w:rPr>
            </w:pPr>
            <w:r>
              <w:rPr>
                <w:rFonts w:hAnsiTheme="majorEastAsia" w:eastAsiaTheme="majorEastAsia"/>
                <w:color w:val="auto"/>
                <w:szCs w:val="21"/>
              </w:rPr>
              <w:t>设备噪声、宠物叫声</w:t>
            </w:r>
          </w:p>
        </w:tc>
        <w:tc>
          <w:tcPr>
            <w:tcW w:w="1875" w:type="dxa"/>
            <w:vAlign w:val="center"/>
          </w:tcPr>
          <w:p>
            <w:pPr>
              <w:adjustRightInd w:val="0"/>
              <w:snapToGrid w:val="0"/>
              <w:spacing w:line="276" w:lineRule="auto"/>
              <w:jc w:val="center"/>
              <w:rPr>
                <w:rFonts w:eastAsiaTheme="majorEastAsia"/>
                <w:color w:val="auto"/>
                <w:szCs w:val="21"/>
              </w:rPr>
            </w:pPr>
            <w:r>
              <w:rPr>
                <w:rFonts w:hAnsiTheme="majorEastAsia" w:eastAsiaTheme="majorEastAsia"/>
                <w:color w:val="auto"/>
                <w:szCs w:val="21"/>
              </w:rPr>
              <w:t>等效连续</w:t>
            </w:r>
            <w:r>
              <w:rPr>
                <w:rFonts w:eastAsiaTheme="majorEastAsia"/>
                <w:color w:val="auto"/>
                <w:szCs w:val="21"/>
              </w:rPr>
              <w:t>A</w:t>
            </w:r>
            <w:r>
              <w:rPr>
                <w:rFonts w:hAnsiTheme="majorEastAsia" w:eastAsiaTheme="majorEastAsia"/>
                <w:color w:val="auto"/>
                <w:szCs w:val="21"/>
              </w:rPr>
              <w:t>声级</w:t>
            </w:r>
          </w:p>
        </w:tc>
        <w:tc>
          <w:tcPr>
            <w:tcW w:w="2130" w:type="dxa"/>
            <w:vAlign w:val="center"/>
          </w:tcPr>
          <w:p>
            <w:pPr>
              <w:adjustRightInd w:val="0"/>
              <w:snapToGrid w:val="0"/>
              <w:spacing w:line="276" w:lineRule="auto"/>
              <w:jc w:val="center"/>
              <w:rPr>
                <w:rFonts w:eastAsiaTheme="majorEastAsia"/>
                <w:color w:val="auto"/>
                <w:szCs w:val="21"/>
              </w:rPr>
            </w:pPr>
            <w:r>
              <w:rPr>
                <w:rFonts w:hAnsiTheme="majorEastAsia" w:eastAsiaTheme="majorEastAsia"/>
                <w:color w:val="auto"/>
                <w:szCs w:val="21"/>
              </w:rPr>
              <w:t>空调室外机配套安装减震垫等减振降噪措施，并通过定期对设备进行维护；另外，宠物就诊均在密闭室内进行，且门窗均采取隔声处理。项目运行过程中对周围敏感点产生影响较小</w:t>
            </w:r>
          </w:p>
        </w:tc>
        <w:tc>
          <w:tcPr>
            <w:tcW w:w="2165" w:type="dxa"/>
            <w:vAlign w:val="center"/>
          </w:tcPr>
          <w:p>
            <w:pPr>
              <w:adjustRightInd w:val="0"/>
              <w:snapToGrid w:val="0"/>
              <w:spacing w:line="276" w:lineRule="auto"/>
              <w:jc w:val="center"/>
              <w:rPr>
                <w:rFonts w:eastAsiaTheme="majorEastAsia"/>
                <w:color w:val="auto"/>
                <w:szCs w:val="21"/>
              </w:rPr>
            </w:pPr>
            <w:r>
              <w:rPr>
                <w:rFonts w:hAnsiTheme="majorEastAsia" w:eastAsiaTheme="majorEastAsia"/>
                <w:color w:val="auto"/>
                <w:szCs w:val="21"/>
              </w:rPr>
              <w:t>《社会生活环境噪声排放标准》（</w:t>
            </w:r>
            <w:r>
              <w:rPr>
                <w:rFonts w:eastAsiaTheme="majorEastAsia"/>
                <w:color w:val="auto"/>
                <w:szCs w:val="21"/>
              </w:rPr>
              <w:t>GB22337-2008</w:t>
            </w:r>
            <w:r>
              <w:rPr>
                <w:rFonts w:hAnsiTheme="majorEastAsia" w:eastAsiaTheme="majorEastAsia"/>
                <w:color w:val="auto"/>
                <w:szCs w:val="21"/>
              </w:rPr>
              <w:t>）中</w:t>
            </w:r>
            <w:r>
              <w:rPr>
                <w:rFonts w:eastAsiaTheme="majorEastAsia"/>
                <w:color w:val="auto"/>
                <w:szCs w:val="21"/>
              </w:rPr>
              <w:t>2</w:t>
            </w:r>
            <w:r>
              <w:rPr>
                <w:rFonts w:hAnsiTheme="majorEastAsia" w:eastAsiaTheme="majorEastAsia"/>
                <w:color w:val="auto"/>
                <w:szCs w:val="21"/>
              </w:rPr>
              <w:t>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2" w:hRule="atLeast"/>
          <w:jc w:val="center"/>
        </w:trPr>
        <w:tc>
          <w:tcPr>
            <w:tcW w:w="1101" w:type="dxa"/>
            <w:vAlign w:val="center"/>
          </w:tcPr>
          <w:p>
            <w:pPr>
              <w:adjustRightInd w:val="0"/>
              <w:snapToGrid w:val="0"/>
              <w:spacing w:line="276" w:lineRule="auto"/>
              <w:jc w:val="center"/>
              <w:rPr>
                <w:color w:val="auto"/>
                <w:szCs w:val="21"/>
              </w:rPr>
            </w:pPr>
            <w:r>
              <w:rPr>
                <w:rFonts w:hAnsi="宋体"/>
                <w:color w:val="auto"/>
                <w:szCs w:val="21"/>
              </w:rPr>
              <w:t>固体废物</w:t>
            </w:r>
          </w:p>
        </w:tc>
        <w:tc>
          <w:tcPr>
            <w:tcW w:w="7715" w:type="dxa"/>
            <w:gridSpan w:val="4"/>
            <w:vAlign w:val="center"/>
          </w:tcPr>
          <w:p>
            <w:pPr>
              <w:adjustRightInd w:val="0"/>
              <w:snapToGrid w:val="0"/>
              <w:spacing w:line="276" w:lineRule="auto"/>
              <w:rPr>
                <w:color w:val="auto"/>
                <w:szCs w:val="21"/>
              </w:rPr>
            </w:pPr>
            <w:r>
              <w:rPr>
                <w:rFonts w:hint="eastAsia"/>
                <w:color w:val="auto"/>
                <w:szCs w:val="21"/>
              </w:rPr>
              <w:t>①生活垃圾、宠物美容垃圾：</w:t>
            </w:r>
            <w:r>
              <w:rPr>
                <w:color w:val="auto"/>
                <w:szCs w:val="21"/>
              </w:rPr>
              <w:t>由带盖垃圾桶分类收集，交由环卫部门定期清运</w:t>
            </w:r>
            <w:r>
              <w:rPr>
                <w:rFonts w:hint="eastAsia"/>
                <w:color w:val="auto"/>
                <w:szCs w:val="21"/>
              </w:rPr>
              <w:t>；</w:t>
            </w:r>
          </w:p>
          <w:p>
            <w:pPr>
              <w:adjustRightInd w:val="0"/>
              <w:snapToGrid w:val="0"/>
              <w:spacing w:line="276" w:lineRule="auto"/>
              <w:rPr>
                <w:color w:val="auto"/>
                <w:szCs w:val="21"/>
              </w:rPr>
            </w:pPr>
            <w:r>
              <w:rPr>
                <w:rFonts w:hint="eastAsia"/>
                <w:color w:val="auto"/>
                <w:szCs w:val="21"/>
              </w:rPr>
              <w:t>②宠物粪便：</w:t>
            </w:r>
            <w:r>
              <w:rPr>
                <w:color w:val="auto"/>
                <w:szCs w:val="21"/>
              </w:rPr>
              <w:t>采取猫砂托盘收集，并经消石灰拌和后及时装入专用密封袋中密封，交由环卫部门清运。对留观期间的染疫或者疑似染疫宠物产生的动物粪便，严格按照医疗废物进行管理和处置</w:t>
            </w:r>
            <w:r>
              <w:rPr>
                <w:rFonts w:hint="eastAsia"/>
                <w:color w:val="auto"/>
                <w:szCs w:val="21"/>
              </w:rPr>
              <w:t>；</w:t>
            </w:r>
          </w:p>
          <w:p>
            <w:pPr>
              <w:adjustRightInd w:val="0"/>
              <w:snapToGrid w:val="0"/>
              <w:spacing w:line="276" w:lineRule="auto"/>
              <w:rPr>
                <w:color w:val="auto"/>
                <w:szCs w:val="21"/>
              </w:rPr>
            </w:pPr>
            <w:r>
              <w:rPr>
                <w:rFonts w:hint="eastAsia"/>
                <w:color w:val="auto"/>
                <w:szCs w:val="21"/>
              </w:rPr>
              <w:t>③医疗废物：</w:t>
            </w:r>
            <w:r>
              <w:rPr>
                <w:color w:val="auto"/>
                <w:szCs w:val="21"/>
              </w:rPr>
              <w:t>医疗废物先经消毒后，再放入带盖的医疗垃圾收集桶</w:t>
            </w:r>
            <w:r>
              <w:rPr>
                <w:rFonts w:hint="eastAsia"/>
                <w:color w:val="auto"/>
                <w:szCs w:val="21"/>
              </w:rPr>
              <w:t>，暂存于医疗废物间内，定期</w:t>
            </w:r>
            <w:r>
              <w:rPr>
                <w:color w:val="auto"/>
                <w:szCs w:val="21"/>
              </w:rPr>
              <w:t>委托</w:t>
            </w:r>
            <w:r>
              <w:rPr>
                <w:rFonts w:hint="eastAsia"/>
                <w:color w:val="auto"/>
                <w:szCs w:val="21"/>
              </w:rPr>
              <w:t>西安市卫达</w:t>
            </w:r>
            <w:r>
              <w:rPr>
                <w:color w:val="auto"/>
                <w:szCs w:val="21"/>
              </w:rPr>
              <w:t>实业有限公司进行处理。另外，项目病理性废物中的病死动物尸体，医院进行消毒处理后进行密封暂存，并向宠物主人告知有处理资质单位的联系方式，由宠物主人对病死动物进行后续无害化处置</w:t>
            </w:r>
            <w:r>
              <w:rPr>
                <w:rFonts w:hint="eastAsia"/>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0" w:hRule="atLeast"/>
          <w:jc w:val="center"/>
        </w:trPr>
        <w:tc>
          <w:tcPr>
            <w:tcW w:w="1101" w:type="dxa"/>
            <w:vAlign w:val="center"/>
          </w:tcPr>
          <w:p>
            <w:pPr>
              <w:adjustRightInd w:val="0"/>
              <w:snapToGrid w:val="0"/>
              <w:spacing w:line="276" w:lineRule="auto"/>
              <w:jc w:val="center"/>
              <w:rPr>
                <w:color w:val="auto"/>
                <w:szCs w:val="21"/>
              </w:rPr>
            </w:pPr>
            <w:r>
              <w:rPr>
                <w:rFonts w:hAnsi="宋体"/>
                <w:color w:val="auto"/>
                <w:szCs w:val="21"/>
              </w:rPr>
              <w:t>土壤及地下水</w:t>
            </w:r>
          </w:p>
          <w:p>
            <w:pPr>
              <w:adjustRightInd w:val="0"/>
              <w:snapToGrid w:val="0"/>
              <w:spacing w:line="276" w:lineRule="auto"/>
              <w:jc w:val="center"/>
              <w:rPr>
                <w:color w:val="auto"/>
                <w:szCs w:val="21"/>
              </w:rPr>
            </w:pPr>
            <w:r>
              <w:rPr>
                <w:rFonts w:hAnsi="宋体"/>
                <w:color w:val="auto"/>
                <w:szCs w:val="21"/>
              </w:rPr>
              <w:t>污染防治措施</w:t>
            </w:r>
          </w:p>
        </w:tc>
        <w:tc>
          <w:tcPr>
            <w:tcW w:w="7715" w:type="dxa"/>
            <w:gridSpan w:val="4"/>
            <w:vAlign w:val="center"/>
          </w:tcPr>
          <w:p>
            <w:pPr>
              <w:adjustRightInd w:val="0"/>
              <w:snapToGrid w:val="0"/>
              <w:spacing w:line="276" w:lineRule="auto"/>
              <w:rPr>
                <w:color w:val="auto"/>
                <w:szCs w:val="21"/>
              </w:rPr>
            </w:pPr>
            <w:r>
              <w:rPr>
                <w:rFonts w:hint="eastAsia"/>
                <w:color w:val="auto"/>
              </w:rPr>
              <w:t>本项目院区南</w:t>
            </w:r>
            <w:r>
              <w:rPr>
                <w:color w:val="auto"/>
              </w:rPr>
              <w:t>部区域</w:t>
            </w:r>
            <w:r>
              <w:rPr>
                <w:rFonts w:hint="eastAsia"/>
                <w:color w:val="auto"/>
              </w:rPr>
              <w:t>主要进行商品销售、宠物美容，不进行宠物诊治；宠物诊疗、手术等均位于医院南部区域，不接触土壤、地下水。同时，对医院地面进行了硬化处理，从而有效保护地表结构，避免水土流失。污水处理设施及污水管道、医疗废物暂存间属于重点防渗区。按照《医院污水处理工程技术规范》要求对消毒间及污水管道进行防渗处理，防渗层的防渗性能不低于6m厚、渗透系数为1.0×10</w:t>
            </w:r>
            <w:r>
              <w:rPr>
                <w:color w:val="auto"/>
                <w:vertAlign w:val="superscript"/>
              </w:rPr>
              <w:t>-7</w:t>
            </w:r>
            <w:r>
              <w:rPr>
                <w:rFonts w:hint="eastAsia"/>
                <w:color w:val="auto"/>
              </w:rPr>
              <w:t>cm/s的黏土层；按照《危险废物贮存污染物控制标准》要求对医疗废物暂存间的地面做防渗处理，从而避免废水污染物和医疗废物泄漏对土壤、地下水造成污染。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1101" w:type="dxa"/>
            <w:vAlign w:val="center"/>
          </w:tcPr>
          <w:p>
            <w:pPr>
              <w:adjustRightInd w:val="0"/>
              <w:snapToGrid w:val="0"/>
              <w:spacing w:line="276" w:lineRule="auto"/>
              <w:jc w:val="center"/>
              <w:rPr>
                <w:rFonts w:hAnsi="宋体"/>
                <w:color w:val="auto"/>
                <w:szCs w:val="21"/>
              </w:rPr>
            </w:pPr>
            <w:r>
              <w:rPr>
                <w:rFonts w:hint="eastAsia" w:hAnsi="宋体"/>
                <w:color w:val="auto"/>
                <w:szCs w:val="21"/>
              </w:rPr>
              <w:t>生态保护措施</w:t>
            </w:r>
          </w:p>
        </w:tc>
        <w:tc>
          <w:tcPr>
            <w:tcW w:w="7715" w:type="dxa"/>
            <w:gridSpan w:val="4"/>
            <w:vAlign w:val="center"/>
          </w:tcPr>
          <w:p>
            <w:pPr>
              <w:adjustRightInd w:val="0"/>
              <w:snapToGrid w:val="0"/>
              <w:spacing w:line="276" w:lineRule="auto"/>
              <w:jc w:val="center"/>
              <w:rPr>
                <w:color w:val="auto"/>
                <w:szCs w:val="21"/>
              </w:rPr>
            </w:pPr>
            <w:r>
              <w:rPr>
                <w:rFonts w:hint="eastAsia"/>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36" w:hRule="atLeast"/>
          <w:jc w:val="center"/>
        </w:trPr>
        <w:tc>
          <w:tcPr>
            <w:tcW w:w="1101" w:type="dxa"/>
            <w:vAlign w:val="center"/>
          </w:tcPr>
          <w:p>
            <w:pPr>
              <w:adjustRightInd w:val="0"/>
              <w:snapToGrid w:val="0"/>
              <w:spacing w:line="276" w:lineRule="auto"/>
              <w:jc w:val="center"/>
              <w:rPr>
                <w:rFonts w:hAnsi="宋体"/>
                <w:color w:val="auto"/>
                <w:szCs w:val="21"/>
              </w:rPr>
            </w:pPr>
            <w:r>
              <w:rPr>
                <w:rFonts w:hint="eastAsia" w:hAnsi="宋体"/>
                <w:color w:val="auto"/>
                <w:szCs w:val="21"/>
              </w:rPr>
              <w:t>环境</w:t>
            </w:r>
            <w:r>
              <w:rPr>
                <w:rFonts w:hAnsi="宋体"/>
                <w:color w:val="auto"/>
                <w:szCs w:val="21"/>
              </w:rPr>
              <w:t>风险防范措施</w:t>
            </w:r>
          </w:p>
        </w:tc>
        <w:tc>
          <w:tcPr>
            <w:tcW w:w="7715" w:type="dxa"/>
            <w:gridSpan w:val="4"/>
            <w:vAlign w:val="center"/>
          </w:tcPr>
          <w:p>
            <w:pPr>
              <w:adjustRightInd w:val="0"/>
              <w:snapToGrid w:val="0"/>
              <w:spacing w:line="276" w:lineRule="auto"/>
              <w:jc w:val="left"/>
              <w:rPr>
                <w:color w:val="auto"/>
              </w:rPr>
            </w:pPr>
            <w:r>
              <w:rPr>
                <w:rFonts w:hint="eastAsia"/>
                <w:color w:val="auto"/>
              </w:rPr>
              <w:t>本项目涉及的环境风险因素包括污水非正常排放及泄漏、医疗废物泄漏。</w:t>
            </w:r>
          </w:p>
          <w:p>
            <w:pPr>
              <w:adjustRightInd w:val="0"/>
              <w:snapToGrid w:val="0"/>
              <w:spacing w:line="276" w:lineRule="auto"/>
              <w:jc w:val="left"/>
              <w:rPr>
                <w:color w:val="auto"/>
              </w:rPr>
            </w:pPr>
            <w:r>
              <w:rPr>
                <w:rFonts w:hint="eastAsia"/>
                <w:color w:val="auto"/>
              </w:rPr>
              <w:t>①项目应设置应急事故池/水箱，用来收集应急情况下项目产生的废水，若本项目处理设施、管道破裂发生泄漏，可先收集至事故池/水箱中，待设施修复完善后，再进污水处理设施处理。污水处理设施应设专人管理，按时巡检以防非正常排放及泄漏事故发生。</w:t>
            </w:r>
          </w:p>
          <w:p>
            <w:pPr>
              <w:adjustRightInd w:val="0"/>
              <w:snapToGrid w:val="0"/>
              <w:spacing w:line="276" w:lineRule="auto"/>
              <w:jc w:val="left"/>
              <w:rPr>
                <w:color w:val="auto"/>
                <w:szCs w:val="21"/>
              </w:rPr>
            </w:pPr>
            <w:r>
              <w:rPr>
                <w:rFonts w:hint="eastAsia"/>
                <w:color w:val="auto"/>
              </w:rPr>
              <w:t>②</w:t>
            </w:r>
            <w:r>
              <w:rPr>
                <w:color w:val="auto"/>
              </w:rPr>
              <w:t>建设单位对医疗废物管理，建立医疗废物管理责任制，确定法定代表人为第一责任人。对废物的来源、种类、重量或者数量、交接时间、处置方法、最终去向以及经办人进行签名登记，对医疗废物及污水处理站污泥严加管理，以防泄漏事故发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1101" w:type="dxa"/>
            <w:vAlign w:val="center"/>
          </w:tcPr>
          <w:p>
            <w:pPr>
              <w:adjustRightInd w:val="0"/>
              <w:snapToGrid w:val="0"/>
              <w:jc w:val="center"/>
              <w:rPr>
                <w:color w:val="auto"/>
                <w:spacing w:val="-8"/>
                <w:szCs w:val="21"/>
              </w:rPr>
            </w:pPr>
            <w:r>
              <w:rPr>
                <w:rFonts w:hAnsi="宋体"/>
                <w:color w:val="auto"/>
                <w:spacing w:val="-8"/>
                <w:szCs w:val="21"/>
              </w:rPr>
              <w:t>其他环境</w:t>
            </w:r>
          </w:p>
          <w:p>
            <w:pPr>
              <w:adjustRightInd w:val="0"/>
              <w:snapToGrid w:val="0"/>
              <w:jc w:val="center"/>
              <w:rPr>
                <w:color w:val="auto"/>
                <w:spacing w:val="-8"/>
                <w:szCs w:val="21"/>
              </w:rPr>
            </w:pPr>
            <w:r>
              <w:rPr>
                <w:rFonts w:hAnsi="宋体"/>
                <w:color w:val="auto"/>
                <w:spacing w:val="-8"/>
                <w:szCs w:val="21"/>
              </w:rPr>
              <w:t>管理要求</w:t>
            </w:r>
          </w:p>
        </w:tc>
        <w:tc>
          <w:tcPr>
            <w:tcW w:w="7715" w:type="dxa"/>
            <w:gridSpan w:val="4"/>
            <w:vAlign w:val="center"/>
          </w:tcPr>
          <w:p>
            <w:pPr>
              <w:spacing w:line="276" w:lineRule="auto"/>
              <w:ind w:firstLine="420" w:firstLineChars="200"/>
              <w:rPr>
                <w:rFonts w:hAnsi="宋体"/>
                <w:color w:val="auto"/>
                <w:szCs w:val="21"/>
              </w:rPr>
            </w:pPr>
            <w:r>
              <w:rPr>
                <w:rFonts w:hint="eastAsia" w:hAnsi="宋体"/>
                <w:color w:val="auto"/>
                <w:szCs w:val="21"/>
              </w:rPr>
              <w:t>1、</w:t>
            </w:r>
            <w:r>
              <w:rPr>
                <w:rFonts w:hAnsi="宋体"/>
                <w:color w:val="auto"/>
                <w:szCs w:val="21"/>
              </w:rPr>
              <w:t>环评批复后，应及时按照环评提出的要求进行</w:t>
            </w:r>
            <w:r>
              <w:rPr>
                <w:rFonts w:hint="eastAsia" w:hAnsi="宋体"/>
                <w:color w:val="auto"/>
                <w:szCs w:val="21"/>
              </w:rPr>
              <w:t>建设</w:t>
            </w:r>
            <w:r>
              <w:rPr>
                <w:rFonts w:hAnsi="宋体"/>
                <w:color w:val="auto"/>
                <w:szCs w:val="21"/>
              </w:rPr>
              <w:t>，</w:t>
            </w:r>
            <w:r>
              <w:rPr>
                <w:rFonts w:hint="eastAsia" w:hAnsi="宋体"/>
                <w:color w:val="auto"/>
                <w:szCs w:val="21"/>
              </w:rPr>
              <w:t>建设</w:t>
            </w:r>
            <w:r>
              <w:rPr>
                <w:rFonts w:hAnsi="宋体"/>
                <w:color w:val="auto"/>
                <w:szCs w:val="21"/>
              </w:rPr>
              <w:t>完成后</w:t>
            </w:r>
            <w:r>
              <w:rPr>
                <w:rFonts w:hint="eastAsia" w:hAnsi="宋体"/>
                <w:color w:val="auto"/>
                <w:szCs w:val="21"/>
              </w:rPr>
              <w:t>组织</w:t>
            </w:r>
            <w:r>
              <w:rPr>
                <w:rFonts w:hAnsi="宋体"/>
                <w:color w:val="auto"/>
                <w:szCs w:val="21"/>
              </w:rPr>
              <w:t>竣工环保验收，按《建设项目竣工环境保护验收技术指南</w:t>
            </w:r>
            <w:r>
              <w:rPr>
                <w:rFonts w:hint="eastAsia" w:hAnsi="宋体"/>
                <w:color w:val="auto"/>
                <w:szCs w:val="21"/>
              </w:rPr>
              <w:t xml:space="preserve"> </w:t>
            </w:r>
            <w:r>
              <w:rPr>
                <w:rFonts w:hAnsi="宋体"/>
                <w:color w:val="auto"/>
                <w:szCs w:val="21"/>
              </w:rPr>
              <w:t>污染影响类》（生态环境部令第</w:t>
            </w:r>
            <w:r>
              <w:rPr>
                <w:color w:val="auto"/>
                <w:szCs w:val="21"/>
              </w:rPr>
              <w:t>9</w:t>
            </w:r>
            <w:r>
              <w:rPr>
                <w:rFonts w:hAnsi="宋体"/>
                <w:color w:val="auto"/>
                <w:szCs w:val="21"/>
              </w:rPr>
              <w:t>号）要求进行</w:t>
            </w:r>
            <w:r>
              <w:rPr>
                <w:rFonts w:hint="eastAsia" w:hAnsi="宋体"/>
                <w:color w:val="auto"/>
                <w:szCs w:val="21"/>
              </w:rPr>
              <w:t>验收</w:t>
            </w:r>
            <w:r>
              <w:rPr>
                <w:rFonts w:hAnsi="宋体"/>
                <w:color w:val="auto"/>
                <w:szCs w:val="21"/>
              </w:rPr>
              <w:t>；项目竣工环保验收合格后，企业应根据监测计划，定期对污染源进行监测，监测结果按相关管理要求进行公示公开。</w:t>
            </w:r>
          </w:p>
          <w:p>
            <w:pPr>
              <w:spacing w:line="276" w:lineRule="auto"/>
              <w:ind w:firstLine="420" w:firstLineChars="200"/>
              <w:rPr>
                <w:rFonts w:hint="eastAsia" w:hAnsi="宋体"/>
                <w:color w:val="auto"/>
                <w:szCs w:val="21"/>
              </w:rPr>
            </w:pPr>
            <w:r>
              <w:rPr>
                <w:rFonts w:hAnsi="宋体"/>
                <w:color w:val="auto"/>
                <w:szCs w:val="21"/>
              </w:rPr>
              <w:t>2</w:t>
            </w:r>
            <w:r>
              <w:rPr>
                <w:rFonts w:hint="eastAsia" w:hAnsi="宋体"/>
                <w:color w:val="auto"/>
                <w:szCs w:val="21"/>
              </w:rPr>
              <w:t>、根据</w:t>
            </w:r>
            <w:r>
              <w:rPr>
                <w:rFonts w:hAnsi="宋体"/>
                <w:color w:val="auto"/>
                <w:szCs w:val="21"/>
              </w:rPr>
              <w:t>《</w:t>
            </w:r>
            <w:r>
              <w:rPr>
                <w:rFonts w:hint="eastAsia" w:hAnsi="宋体"/>
                <w:color w:val="auto"/>
                <w:szCs w:val="21"/>
              </w:rPr>
              <w:t>排污</w:t>
            </w:r>
            <w:r>
              <w:rPr>
                <w:rFonts w:hAnsi="宋体"/>
                <w:color w:val="auto"/>
                <w:szCs w:val="21"/>
              </w:rPr>
              <w:t>许可证管理办法（</w:t>
            </w:r>
            <w:r>
              <w:rPr>
                <w:rFonts w:hint="eastAsia" w:hAnsi="宋体"/>
                <w:color w:val="auto"/>
                <w:szCs w:val="21"/>
              </w:rPr>
              <w:t>试行</w:t>
            </w:r>
            <w:r>
              <w:rPr>
                <w:rFonts w:hAnsi="宋体"/>
                <w:color w:val="auto"/>
                <w:szCs w:val="21"/>
              </w:rPr>
              <w:t>）》</w:t>
            </w:r>
            <w:r>
              <w:rPr>
                <w:rFonts w:hint="eastAsia" w:hAnsi="宋体"/>
                <w:color w:val="auto"/>
                <w:szCs w:val="21"/>
              </w:rPr>
              <w:t>和</w:t>
            </w:r>
            <w:r>
              <w:rPr>
                <w:rFonts w:hAnsi="宋体"/>
                <w:color w:val="auto"/>
                <w:szCs w:val="21"/>
              </w:rPr>
              <w:t>《</w:t>
            </w:r>
            <w:r>
              <w:rPr>
                <w:rFonts w:hint="eastAsia" w:hAnsi="宋体"/>
                <w:color w:val="auto"/>
                <w:szCs w:val="21"/>
              </w:rPr>
              <w:t>固定污染源</w:t>
            </w:r>
            <w:r>
              <w:rPr>
                <w:rFonts w:hAnsi="宋体"/>
                <w:color w:val="auto"/>
                <w:szCs w:val="21"/>
              </w:rPr>
              <w:t>排污许可</w:t>
            </w:r>
            <w:r>
              <w:rPr>
                <w:rFonts w:hint="eastAsia" w:hAnsi="宋体"/>
                <w:color w:val="auto"/>
                <w:szCs w:val="21"/>
              </w:rPr>
              <w:t>分类</w:t>
            </w:r>
            <w:r>
              <w:rPr>
                <w:rFonts w:hAnsi="宋体"/>
                <w:color w:val="auto"/>
                <w:szCs w:val="21"/>
              </w:rPr>
              <w:t>管理名录（</w:t>
            </w:r>
            <w:r>
              <w:rPr>
                <w:rFonts w:hint="eastAsia" w:hAnsi="宋体"/>
                <w:color w:val="auto"/>
                <w:szCs w:val="21"/>
              </w:rPr>
              <w:t>2019年版</w:t>
            </w:r>
            <w:r>
              <w:rPr>
                <w:rFonts w:hAnsi="宋体"/>
                <w:color w:val="auto"/>
                <w:szCs w:val="21"/>
              </w:rPr>
              <w:t>）》</w:t>
            </w:r>
            <w:r>
              <w:rPr>
                <w:rFonts w:hint="eastAsia" w:hAnsi="宋体"/>
                <w:color w:val="auto"/>
                <w:szCs w:val="21"/>
              </w:rPr>
              <w:t>、</w:t>
            </w:r>
            <w:r>
              <w:rPr>
                <w:rFonts w:hAnsi="宋体"/>
                <w:color w:val="auto"/>
                <w:szCs w:val="21"/>
              </w:rPr>
              <w:t>《</w:t>
            </w:r>
            <w:r>
              <w:rPr>
                <w:rFonts w:hint="eastAsia" w:hAnsi="宋体"/>
                <w:color w:val="auto"/>
                <w:szCs w:val="21"/>
              </w:rPr>
              <w:t>排污口</w:t>
            </w:r>
            <w:r>
              <w:rPr>
                <w:rFonts w:hAnsi="宋体"/>
                <w:color w:val="auto"/>
                <w:szCs w:val="21"/>
              </w:rPr>
              <w:t>规范化治理技术要求》</w:t>
            </w:r>
            <w:r>
              <w:rPr>
                <w:rFonts w:hint="eastAsia" w:hAnsi="宋体"/>
                <w:color w:val="auto"/>
                <w:szCs w:val="21"/>
              </w:rPr>
              <w:t>等</w:t>
            </w:r>
            <w:r>
              <w:rPr>
                <w:rFonts w:hAnsi="宋体"/>
                <w:color w:val="auto"/>
                <w:szCs w:val="21"/>
              </w:rPr>
              <w:t>相关</w:t>
            </w:r>
            <w:r>
              <w:rPr>
                <w:rFonts w:hint="eastAsia" w:hAnsi="宋体"/>
                <w:color w:val="auto"/>
                <w:szCs w:val="21"/>
              </w:rPr>
              <w:t>政策</w:t>
            </w:r>
            <w:r>
              <w:rPr>
                <w:rFonts w:hAnsi="宋体"/>
                <w:color w:val="auto"/>
                <w:szCs w:val="21"/>
              </w:rPr>
              <w:t>文件，</w:t>
            </w:r>
            <w:r>
              <w:rPr>
                <w:rFonts w:hint="eastAsia" w:hAnsi="宋体"/>
                <w:color w:val="auto"/>
                <w:szCs w:val="21"/>
              </w:rPr>
              <w:t>建设</w:t>
            </w:r>
            <w:r>
              <w:rPr>
                <w:rFonts w:hAnsi="宋体"/>
                <w:color w:val="auto"/>
                <w:szCs w:val="21"/>
              </w:rPr>
              <w:t>单位应</w:t>
            </w:r>
            <w:r>
              <w:rPr>
                <w:rFonts w:hint="eastAsia" w:hAnsi="宋体"/>
                <w:color w:val="auto"/>
                <w:szCs w:val="21"/>
              </w:rPr>
              <w:t>规范</w:t>
            </w:r>
            <w:r>
              <w:rPr>
                <w:rFonts w:hAnsi="宋体"/>
                <w:color w:val="auto"/>
                <w:szCs w:val="21"/>
              </w:rPr>
              <w:t>排污</w:t>
            </w:r>
            <w:r>
              <w:rPr>
                <w:rFonts w:hint="eastAsia" w:hAnsi="宋体"/>
                <w:color w:val="auto"/>
                <w:szCs w:val="21"/>
              </w:rPr>
              <w:t>口</w:t>
            </w:r>
            <w:r>
              <w:rPr>
                <w:rFonts w:hAnsi="宋体"/>
                <w:color w:val="auto"/>
                <w:szCs w:val="21"/>
              </w:rPr>
              <w:t>设置，</w:t>
            </w:r>
            <w:r>
              <w:rPr>
                <w:rFonts w:hint="eastAsia" w:hAnsi="宋体"/>
                <w:color w:val="auto"/>
                <w:szCs w:val="21"/>
              </w:rPr>
              <w:t>在</w:t>
            </w:r>
            <w:r>
              <w:rPr>
                <w:rFonts w:hAnsi="宋体"/>
                <w:color w:val="auto"/>
                <w:szCs w:val="21"/>
              </w:rPr>
              <w:t>实际投入生产</w:t>
            </w:r>
            <w:r>
              <w:rPr>
                <w:rFonts w:hint="eastAsia" w:hAnsi="宋体"/>
                <w:color w:val="auto"/>
                <w:szCs w:val="21"/>
              </w:rPr>
              <w:t>或</w:t>
            </w:r>
            <w:r>
              <w:rPr>
                <w:rFonts w:hAnsi="宋体"/>
                <w:color w:val="auto"/>
                <w:szCs w:val="21"/>
              </w:rPr>
              <w:t>发生排污前完成</w:t>
            </w:r>
            <w:r>
              <w:rPr>
                <w:rFonts w:hint="eastAsia" w:hAnsi="宋体"/>
                <w:color w:val="auto"/>
                <w:szCs w:val="21"/>
              </w:rPr>
              <w:t>排污</w:t>
            </w:r>
            <w:r>
              <w:rPr>
                <w:rFonts w:hAnsi="宋体"/>
                <w:color w:val="auto"/>
                <w:szCs w:val="21"/>
              </w:rPr>
              <w:t>许可</w:t>
            </w:r>
            <w:r>
              <w:rPr>
                <w:rFonts w:hint="eastAsia" w:hAnsi="宋体"/>
                <w:color w:val="auto"/>
                <w:szCs w:val="21"/>
              </w:rPr>
              <w:t>申请</w:t>
            </w:r>
            <w:r>
              <w:rPr>
                <w:rFonts w:hAnsi="宋体"/>
                <w:color w:val="auto"/>
                <w:szCs w:val="21"/>
              </w:rPr>
              <w:t>。</w:t>
            </w:r>
          </w:p>
          <w:p>
            <w:pPr>
              <w:spacing w:line="276" w:lineRule="auto"/>
              <w:ind w:firstLine="420" w:firstLineChars="200"/>
              <w:rPr>
                <w:rFonts w:hint="eastAsia" w:hAnsi="宋体"/>
                <w:b/>
                <w:color w:val="auto"/>
                <w:szCs w:val="21"/>
              </w:rPr>
            </w:pPr>
            <w:r>
              <w:rPr>
                <w:rFonts w:hint="eastAsia" w:hAnsi="宋体"/>
                <w:color w:val="auto"/>
                <w:szCs w:val="21"/>
              </w:rPr>
              <w:t>3、医疗</w:t>
            </w:r>
            <w:r>
              <w:rPr>
                <w:rFonts w:hAnsi="宋体"/>
                <w:color w:val="auto"/>
                <w:szCs w:val="21"/>
              </w:rPr>
              <w:t>废物暂存间设置应满足</w:t>
            </w:r>
            <w:r>
              <w:rPr>
                <w:color w:val="auto"/>
              </w:rPr>
              <w:t>《危险废物贮存污染控制标准》</w:t>
            </w:r>
            <w:r>
              <w:rPr>
                <w:rFonts w:hint="eastAsia"/>
                <w:color w:val="auto"/>
              </w:rPr>
              <w:t>相关</w:t>
            </w:r>
            <w:r>
              <w:rPr>
                <w:color w:val="auto"/>
              </w:rPr>
              <w:t>设置</w:t>
            </w:r>
            <w:r>
              <w:rPr>
                <w:rFonts w:hint="eastAsia"/>
                <w:color w:val="auto"/>
              </w:rPr>
              <w:t>管理要求；</w:t>
            </w:r>
            <w:r>
              <w:rPr>
                <w:rFonts w:hAnsi="宋体"/>
                <w:color w:val="auto"/>
                <w:szCs w:val="21"/>
              </w:rPr>
              <w:t>企业应</w:t>
            </w:r>
            <w:r>
              <w:rPr>
                <w:rFonts w:hint="eastAsia" w:hAnsi="宋体"/>
                <w:color w:val="auto"/>
                <w:szCs w:val="21"/>
              </w:rPr>
              <w:t>建立</w:t>
            </w:r>
            <w:r>
              <w:rPr>
                <w:rFonts w:hAnsi="宋体"/>
                <w:color w:val="auto"/>
                <w:szCs w:val="21"/>
              </w:rPr>
              <w:t>环境保护档案，将监测数据和报告存档，监测数据应长期保存，并定期接受当地环保主管部门的考核。</w:t>
            </w:r>
          </w:p>
          <w:p>
            <w:pPr>
              <w:spacing w:line="276" w:lineRule="auto"/>
              <w:jc w:val="center"/>
              <w:rPr>
                <w:b/>
                <w:color w:val="auto"/>
                <w:szCs w:val="21"/>
              </w:rPr>
            </w:pPr>
            <w:r>
              <w:rPr>
                <w:rFonts w:hint="eastAsia"/>
                <w:b/>
                <w:color w:val="auto"/>
                <w:szCs w:val="21"/>
              </w:rPr>
              <w:t>表5-1    环保设施验收清单（建议）</w:t>
            </w:r>
          </w:p>
          <w:tbl>
            <w:tblPr>
              <w:tblStyle w:val="21"/>
              <w:tblW w:w="72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641"/>
              <w:gridCol w:w="931"/>
              <w:gridCol w:w="1941"/>
              <w:gridCol w:w="1576"/>
              <w:gridCol w:w="22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72" w:hRule="atLeast"/>
                <w:jc w:val="center"/>
              </w:trPr>
              <w:tc>
                <w:tcPr>
                  <w:tcW w:w="671" w:type="dxa"/>
                  <w:vAlign w:val="center"/>
                </w:tcPr>
                <w:p>
                  <w:pPr>
                    <w:snapToGrid w:val="0"/>
                    <w:jc w:val="center"/>
                    <w:rPr>
                      <w:rFonts w:eastAsiaTheme="majorEastAsia"/>
                      <w:bCs/>
                      <w:color w:val="auto"/>
                      <w:sz w:val="18"/>
                      <w:szCs w:val="18"/>
                    </w:rPr>
                  </w:pPr>
                  <w:r>
                    <w:rPr>
                      <w:rFonts w:hAnsiTheme="majorEastAsia" w:eastAsiaTheme="majorEastAsia"/>
                      <w:bCs/>
                      <w:color w:val="auto"/>
                      <w:sz w:val="18"/>
                      <w:szCs w:val="18"/>
                    </w:rPr>
                    <w:t>序号</w:t>
                  </w:r>
                </w:p>
              </w:tc>
              <w:tc>
                <w:tcPr>
                  <w:tcW w:w="980" w:type="dxa"/>
                  <w:vAlign w:val="center"/>
                </w:tcPr>
                <w:p>
                  <w:pPr>
                    <w:snapToGrid w:val="0"/>
                    <w:jc w:val="center"/>
                    <w:rPr>
                      <w:rFonts w:eastAsiaTheme="majorEastAsia"/>
                      <w:bCs/>
                      <w:color w:val="auto"/>
                      <w:sz w:val="18"/>
                      <w:szCs w:val="18"/>
                    </w:rPr>
                  </w:pPr>
                  <w:r>
                    <w:rPr>
                      <w:rFonts w:hAnsiTheme="majorEastAsia" w:eastAsiaTheme="majorEastAsia"/>
                      <w:bCs/>
                      <w:color w:val="auto"/>
                      <w:sz w:val="18"/>
                      <w:szCs w:val="18"/>
                    </w:rPr>
                    <w:t>治理项目</w:t>
                  </w:r>
                </w:p>
              </w:tc>
              <w:tc>
                <w:tcPr>
                  <w:tcW w:w="2038" w:type="dxa"/>
                  <w:vAlign w:val="center"/>
                </w:tcPr>
                <w:p>
                  <w:pPr>
                    <w:snapToGrid w:val="0"/>
                    <w:jc w:val="center"/>
                    <w:rPr>
                      <w:rFonts w:eastAsiaTheme="majorEastAsia"/>
                      <w:bCs/>
                      <w:color w:val="auto"/>
                      <w:sz w:val="18"/>
                      <w:szCs w:val="18"/>
                    </w:rPr>
                  </w:pPr>
                  <w:r>
                    <w:rPr>
                      <w:rFonts w:hAnsiTheme="majorEastAsia" w:eastAsiaTheme="majorEastAsia"/>
                      <w:bCs/>
                      <w:color w:val="auto"/>
                      <w:sz w:val="18"/>
                      <w:szCs w:val="18"/>
                    </w:rPr>
                    <w:t>污染防治设施名称</w:t>
                  </w:r>
                </w:p>
              </w:tc>
              <w:tc>
                <w:tcPr>
                  <w:tcW w:w="1364" w:type="dxa"/>
                  <w:vAlign w:val="center"/>
                </w:tcPr>
                <w:p>
                  <w:pPr>
                    <w:snapToGrid w:val="0"/>
                    <w:jc w:val="center"/>
                    <w:rPr>
                      <w:rFonts w:eastAsiaTheme="majorEastAsia"/>
                      <w:bCs/>
                      <w:color w:val="auto"/>
                      <w:sz w:val="18"/>
                      <w:szCs w:val="18"/>
                    </w:rPr>
                  </w:pPr>
                  <w:r>
                    <w:rPr>
                      <w:rFonts w:hAnsiTheme="majorEastAsia" w:eastAsiaTheme="majorEastAsia"/>
                      <w:bCs/>
                      <w:color w:val="auto"/>
                      <w:sz w:val="18"/>
                      <w:szCs w:val="18"/>
                    </w:rPr>
                    <w:t>数量</w:t>
                  </w:r>
                </w:p>
              </w:tc>
              <w:tc>
                <w:tcPr>
                  <w:tcW w:w="2239" w:type="dxa"/>
                  <w:vAlign w:val="center"/>
                </w:tcPr>
                <w:p>
                  <w:pPr>
                    <w:snapToGrid w:val="0"/>
                    <w:jc w:val="center"/>
                    <w:rPr>
                      <w:rFonts w:eastAsiaTheme="majorEastAsia"/>
                      <w:bCs/>
                      <w:color w:val="auto"/>
                      <w:sz w:val="18"/>
                      <w:szCs w:val="18"/>
                    </w:rPr>
                  </w:pPr>
                  <w:r>
                    <w:rPr>
                      <w:rFonts w:hAnsiTheme="majorEastAsia" w:eastAsiaTheme="majorEastAsia"/>
                      <w:bCs/>
                      <w:color w:val="auto"/>
                      <w:sz w:val="18"/>
                      <w:szCs w:val="18"/>
                    </w:rPr>
                    <w:t>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08" w:hRule="atLeast"/>
                <w:jc w:val="center"/>
              </w:trPr>
              <w:tc>
                <w:tcPr>
                  <w:tcW w:w="671" w:type="dxa"/>
                  <w:vAlign w:val="center"/>
                </w:tcPr>
                <w:p>
                  <w:pPr>
                    <w:snapToGrid w:val="0"/>
                    <w:jc w:val="center"/>
                    <w:rPr>
                      <w:rFonts w:eastAsiaTheme="majorEastAsia"/>
                      <w:color w:val="auto"/>
                      <w:sz w:val="18"/>
                      <w:szCs w:val="18"/>
                    </w:rPr>
                  </w:pPr>
                  <w:r>
                    <w:rPr>
                      <w:rFonts w:eastAsiaTheme="majorEastAsia"/>
                      <w:color w:val="auto"/>
                      <w:sz w:val="18"/>
                      <w:szCs w:val="18"/>
                    </w:rPr>
                    <w:t>1</w:t>
                  </w:r>
                </w:p>
              </w:tc>
              <w:tc>
                <w:tcPr>
                  <w:tcW w:w="980" w:type="dxa"/>
                  <w:vAlign w:val="center"/>
                </w:tcPr>
                <w:p>
                  <w:pPr>
                    <w:snapToGrid w:val="0"/>
                    <w:jc w:val="center"/>
                    <w:rPr>
                      <w:rFonts w:eastAsiaTheme="majorEastAsia"/>
                      <w:color w:val="auto"/>
                      <w:sz w:val="18"/>
                      <w:szCs w:val="18"/>
                    </w:rPr>
                  </w:pPr>
                  <w:r>
                    <w:rPr>
                      <w:rFonts w:hAnsiTheme="majorEastAsia" w:eastAsiaTheme="majorEastAsia"/>
                      <w:color w:val="auto"/>
                      <w:sz w:val="18"/>
                      <w:szCs w:val="18"/>
                    </w:rPr>
                    <w:t>废水</w:t>
                  </w:r>
                </w:p>
              </w:tc>
              <w:tc>
                <w:tcPr>
                  <w:tcW w:w="2038" w:type="dxa"/>
                  <w:vAlign w:val="center"/>
                </w:tcPr>
                <w:p>
                  <w:pPr>
                    <w:snapToGrid w:val="0"/>
                    <w:jc w:val="center"/>
                    <w:rPr>
                      <w:rFonts w:eastAsiaTheme="majorEastAsia"/>
                      <w:color w:val="auto"/>
                      <w:sz w:val="18"/>
                      <w:szCs w:val="18"/>
                    </w:rPr>
                  </w:pPr>
                  <w:r>
                    <w:rPr>
                      <w:rFonts w:hint="eastAsia" w:hAnsiTheme="majorEastAsia" w:eastAsiaTheme="majorEastAsia"/>
                      <w:color w:val="auto"/>
                      <w:sz w:val="18"/>
                      <w:szCs w:val="18"/>
                    </w:rPr>
                    <w:t>HB-</w:t>
                  </w:r>
                  <w:r>
                    <w:rPr>
                      <w:rFonts w:hAnsiTheme="majorEastAsia" w:eastAsiaTheme="majorEastAsia"/>
                      <w:color w:val="auto"/>
                      <w:sz w:val="18"/>
                      <w:szCs w:val="18"/>
                    </w:rPr>
                    <w:t>50</w:t>
                  </w:r>
                  <w:r>
                    <w:rPr>
                      <w:rFonts w:hint="eastAsia" w:hAnsiTheme="majorEastAsia" w:eastAsiaTheme="majorEastAsia"/>
                      <w:color w:val="auto"/>
                      <w:sz w:val="18"/>
                      <w:szCs w:val="18"/>
                    </w:rPr>
                    <w:t>型</w:t>
                  </w:r>
                  <w:r>
                    <w:rPr>
                      <w:rFonts w:hAnsiTheme="majorEastAsia" w:eastAsiaTheme="majorEastAsia"/>
                      <w:color w:val="auto"/>
                      <w:sz w:val="18"/>
                      <w:szCs w:val="18"/>
                    </w:rPr>
                    <w:t>废水缓释消毒设备</w:t>
                  </w:r>
                  <w:r>
                    <w:rPr>
                      <w:rFonts w:hint="eastAsia" w:hAnsiTheme="majorEastAsia" w:eastAsiaTheme="majorEastAsia"/>
                      <w:color w:val="auto"/>
                      <w:sz w:val="18"/>
                      <w:szCs w:val="18"/>
                    </w:rPr>
                    <w:t>（位于医院手术室</w:t>
                  </w:r>
                  <w:r>
                    <w:rPr>
                      <w:rFonts w:hAnsiTheme="majorEastAsia" w:eastAsiaTheme="majorEastAsia"/>
                      <w:color w:val="auto"/>
                      <w:sz w:val="18"/>
                      <w:szCs w:val="18"/>
                    </w:rPr>
                    <w:t>内</w:t>
                  </w:r>
                  <w:r>
                    <w:rPr>
                      <w:rFonts w:hint="eastAsia" w:hAnsiTheme="majorEastAsia" w:eastAsiaTheme="majorEastAsia"/>
                      <w:color w:val="auto"/>
                      <w:sz w:val="18"/>
                      <w:szCs w:val="18"/>
                    </w:rPr>
                    <w:t>）</w:t>
                  </w:r>
                </w:p>
              </w:tc>
              <w:tc>
                <w:tcPr>
                  <w:tcW w:w="1364" w:type="dxa"/>
                  <w:vAlign w:val="center"/>
                </w:tcPr>
                <w:p>
                  <w:pPr>
                    <w:snapToGrid w:val="0"/>
                    <w:jc w:val="center"/>
                    <w:rPr>
                      <w:rFonts w:eastAsiaTheme="majorEastAsia"/>
                      <w:color w:val="auto"/>
                      <w:sz w:val="18"/>
                      <w:szCs w:val="18"/>
                    </w:rPr>
                  </w:pPr>
                  <w:r>
                    <w:rPr>
                      <w:rFonts w:eastAsiaTheme="majorEastAsia"/>
                      <w:color w:val="auto"/>
                      <w:sz w:val="18"/>
                      <w:szCs w:val="18"/>
                    </w:rPr>
                    <w:t>1套</w:t>
                  </w:r>
                </w:p>
                <w:p>
                  <w:pPr>
                    <w:pStyle w:val="2"/>
                    <w:jc w:val="center"/>
                    <w:rPr>
                      <w:color w:val="auto"/>
                      <w:sz w:val="18"/>
                      <w:szCs w:val="18"/>
                    </w:rPr>
                  </w:pPr>
                  <w:r>
                    <w:rPr>
                      <w:rFonts w:ascii="Times New Roman" w:cs="Times New Roman"/>
                      <w:color w:val="auto"/>
                      <w:sz w:val="18"/>
                      <w:szCs w:val="18"/>
                    </w:rPr>
                    <w:t>（箱体规格30cm*30cm*30cm，设计日处理能力0.5n</w:t>
                  </w:r>
                  <w:r>
                    <w:rPr>
                      <w:rFonts w:ascii="Times New Roman" w:cs="Times New Roman"/>
                      <w:color w:val="auto"/>
                      <w:sz w:val="18"/>
                      <w:szCs w:val="18"/>
                      <w:vertAlign w:val="superscript"/>
                    </w:rPr>
                    <w:t>3</w:t>
                  </w:r>
                  <w:r>
                    <w:rPr>
                      <w:rFonts w:ascii="Times New Roman" w:cs="Times New Roman"/>
                      <w:color w:val="auto"/>
                      <w:sz w:val="18"/>
                      <w:szCs w:val="18"/>
                    </w:rPr>
                    <w:t>/d）</w:t>
                  </w:r>
                </w:p>
              </w:tc>
              <w:tc>
                <w:tcPr>
                  <w:tcW w:w="2239" w:type="dxa"/>
                  <w:vAlign w:val="center"/>
                </w:tcPr>
                <w:p>
                  <w:pPr>
                    <w:snapToGrid w:val="0"/>
                    <w:jc w:val="center"/>
                    <w:rPr>
                      <w:rFonts w:eastAsiaTheme="majorEastAsia"/>
                      <w:color w:val="auto"/>
                      <w:sz w:val="18"/>
                      <w:szCs w:val="18"/>
                    </w:rPr>
                  </w:pPr>
                  <w:r>
                    <w:rPr>
                      <w:rFonts w:hAnsiTheme="majorEastAsia" w:eastAsiaTheme="majorEastAsia"/>
                      <w:color w:val="auto"/>
                      <w:sz w:val="18"/>
                      <w:szCs w:val="18"/>
                    </w:rPr>
                    <w:t>医疗废水满足《医疗机构水污染物排放标准》（</w:t>
                  </w:r>
                  <w:r>
                    <w:rPr>
                      <w:rFonts w:eastAsiaTheme="majorEastAsia"/>
                      <w:color w:val="auto"/>
                      <w:sz w:val="18"/>
                      <w:szCs w:val="18"/>
                    </w:rPr>
                    <w:t>GB18466-2005</w:t>
                  </w:r>
                  <w:r>
                    <w:rPr>
                      <w:rFonts w:hAnsiTheme="majorEastAsia" w:eastAsiaTheme="majorEastAsia"/>
                      <w:color w:val="auto"/>
                      <w:sz w:val="18"/>
                      <w:szCs w:val="18"/>
                    </w:rPr>
                    <w:t>）中的预处理标准</w:t>
                  </w:r>
                  <w:r>
                    <w:rPr>
                      <w:rFonts w:hint="eastAsia" w:hAnsiTheme="majorEastAsia" w:eastAsiaTheme="majorEastAsia"/>
                      <w:color w:val="auto"/>
                      <w:sz w:val="18"/>
                      <w:szCs w:val="18"/>
                    </w:rPr>
                    <w:t>；</w:t>
                  </w:r>
                  <w:r>
                    <w:rPr>
                      <w:rFonts w:hAnsiTheme="majorEastAsia" w:eastAsiaTheme="majorEastAsia"/>
                      <w:color w:val="auto"/>
                      <w:sz w:val="18"/>
                      <w:szCs w:val="18"/>
                    </w:rPr>
                    <w:t>其他废水满足《污水排入城镇下水道水质标准》（</w:t>
                  </w:r>
                  <w:r>
                    <w:rPr>
                      <w:rFonts w:eastAsiaTheme="majorEastAsia"/>
                      <w:color w:val="auto"/>
                      <w:sz w:val="18"/>
                      <w:szCs w:val="18"/>
                    </w:rPr>
                    <w:t>GB/T31962-2015</w:t>
                  </w:r>
                  <w:r>
                    <w:rPr>
                      <w:rFonts w:hAnsiTheme="majorEastAsia" w:eastAsiaTheme="majorEastAsia"/>
                      <w:color w:val="auto"/>
                      <w:sz w:val="18"/>
                      <w:szCs w:val="18"/>
                    </w:rPr>
                    <w:t>）中</w:t>
                  </w:r>
                  <w:r>
                    <w:rPr>
                      <w:rFonts w:eastAsiaTheme="majorEastAsia"/>
                      <w:color w:val="auto"/>
                      <w:sz w:val="18"/>
                      <w:szCs w:val="18"/>
                    </w:rPr>
                    <w:t>A</w:t>
                  </w:r>
                  <w:r>
                    <w:rPr>
                      <w:rFonts w:hAnsiTheme="majorEastAsia" w:eastAsiaTheme="majorEastAsia"/>
                      <w:color w:val="auto"/>
                      <w:sz w:val="18"/>
                      <w:szCs w:val="18"/>
                    </w:rPr>
                    <w:t>级标准和《污水综合排放标准》（</w:t>
                  </w:r>
                  <w:r>
                    <w:rPr>
                      <w:rFonts w:eastAsiaTheme="majorEastAsia"/>
                      <w:color w:val="auto"/>
                      <w:sz w:val="18"/>
                      <w:szCs w:val="18"/>
                    </w:rPr>
                    <w:t>GB 8978-1996</w:t>
                  </w:r>
                  <w:r>
                    <w:rPr>
                      <w:rFonts w:hAnsiTheme="majorEastAsia" w:eastAsiaTheme="majorEastAsia"/>
                      <w:color w:val="auto"/>
                      <w:sz w:val="18"/>
                      <w:szCs w:val="18"/>
                    </w:rPr>
                    <w:t>）三级标准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08" w:hRule="atLeast"/>
                <w:jc w:val="center"/>
              </w:trPr>
              <w:tc>
                <w:tcPr>
                  <w:tcW w:w="671" w:type="dxa"/>
                  <w:vAlign w:val="center"/>
                </w:tcPr>
                <w:p>
                  <w:pPr>
                    <w:snapToGrid w:val="0"/>
                    <w:jc w:val="center"/>
                    <w:rPr>
                      <w:rFonts w:eastAsiaTheme="majorEastAsia"/>
                      <w:color w:val="auto"/>
                      <w:sz w:val="18"/>
                      <w:szCs w:val="18"/>
                    </w:rPr>
                  </w:pPr>
                  <w:r>
                    <w:rPr>
                      <w:rFonts w:hint="eastAsia" w:eastAsiaTheme="majorEastAsia"/>
                      <w:color w:val="auto"/>
                      <w:sz w:val="18"/>
                      <w:szCs w:val="18"/>
                    </w:rPr>
                    <w:t>2</w:t>
                  </w:r>
                </w:p>
              </w:tc>
              <w:tc>
                <w:tcPr>
                  <w:tcW w:w="980" w:type="dxa"/>
                  <w:vAlign w:val="center"/>
                </w:tcPr>
                <w:p>
                  <w:pPr>
                    <w:snapToGrid w:val="0"/>
                    <w:jc w:val="center"/>
                    <w:rPr>
                      <w:rFonts w:hAnsiTheme="majorEastAsia" w:eastAsiaTheme="majorEastAsia"/>
                      <w:color w:val="auto"/>
                      <w:sz w:val="18"/>
                      <w:szCs w:val="18"/>
                    </w:rPr>
                  </w:pPr>
                  <w:r>
                    <w:rPr>
                      <w:rFonts w:hint="eastAsia" w:hAnsiTheme="majorEastAsia" w:eastAsiaTheme="majorEastAsia"/>
                      <w:color w:val="auto"/>
                      <w:sz w:val="18"/>
                      <w:szCs w:val="18"/>
                    </w:rPr>
                    <w:t>废气</w:t>
                  </w:r>
                </w:p>
              </w:tc>
              <w:tc>
                <w:tcPr>
                  <w:tcW w:w="2038" w:type="dxa"/>
                  <w:vAlign w:val="center"/>
                </w:tcPr>
                <w:p>
                  <w:pPr>
                    <w:snapToGrid w:val="0"/>
                    <w:jc w:val="center"/>
                    <w:rPr>
                      <w:rFonts w:hAnsiTheme="majorEastAsia" w:eastAsiaTheme="majorEastAsia"/>
                      <w:color w:val="auto"/>
                      <w:sz w:val="18"/>
                      <w:szCs w:val="18"/>
                    </w:rPr>
                  </w:pPr>
                  <w:r>
                    <w:rPr>
                      <w:color w:val="auto"/>
                      <w:sz w:val="18"/>
                      <w:szCs w:val="18"/>
                    </w:rPr>
                    <w:t>宠物粪尿被猫砂吸收</w:t>
                  </w:r>
                  <w:r>
                    <w:rPr>
                      <w:rFonts w:hint="eastAsia"/>
                      <w:color w:val="auto"/>
                      <w:sz w:val="18"/>
                      <w:szCs w:val="18"/>
                    </w:rPr>
                    <w:t>消石灰</w:t>
                  </w:r>
                  <w:r>
                    <w:rPr>
                      <w:color w:val="auto"/>
                      <w:sz w:val="18"/>
                      <w:szCs w:val="18"/>
                    </w:rPr>
                    <w:t>拌合后及时由医护人员清除并装入专用密封袋中密封保存；定期喷洒小宠祛味消毒液除臭，并加强通风换气</w:t>
                  </w:r>
                  <w:r>
                    <w:rPr>
                      <w:rFonts w:hint="eastAsia"/>
                      <w:color w:val="auto"/>
                      <w:sz w:val="18"/>
                      <w:szCs w:val="18"/>
                    </w:rPr>
                    <w:t>。</w:t>
                  </w:r>
                </w:p>
              </w:tc>
              <w:tc>
                <w:tcPr>
                  <w:tcW w:w="1364" w:type="dxa"/>
                  <w:vAlign w:val="center"/>
                </w:tcPr>
                <w:p>
                  <w:pPr>
                    <w:snapToGrid w:val="0"/>
                    <w:jc w:val="center"/>
                    <w:rPr>
                      <w:rFonts w:eastAsiaTheme="majorEastAsia"/>
                      <w:color w:val="auto"/>
                      <w:sz w:val="18"/>
                      <w:szCs w:val="18"/>
                    </w:rPr>
                  </w:pPr>
                  <w:r>
                    <w:rPr>
                      <w:rFonts w:hint="eastAsia" w:eastAsiaTheme="majorEastAsia"/>
                      <w:color w:val="auto"/>
                      <w:sz w:val="18"/>
                      <w:szCs w:val="18"/>
                    </w:rPr>
                    <w:t>/</w:t>
                  </w:r>
                </w:p>
              </w:tc>
              <w:tc>
                <w:tcPr>
                  <w:tcW w:w="2239" w:type="dxa"/>
                  <w:vAlign w:val="center"/>
                </w:tcPr>
                <w:p>
                  <w:pPr>
                    <w:snapToGrid w:val="0"/>
                    <w:jc w:val="center"/>
                    <w:rPr>
                      <w:rFonts w:hAnsiTheme="majorEastAsia" w:eastAsiaTheme="majorEastAsia"/>
                      <w:color w:val="auto"/>
                      <w:sz w:val="18"/>
                      <w:szCs w:val="18"/>
                    </w:rPr>
                  </w:pPr>
                  <w:r>
                    <w:rPr>
                      <w:rFonts w:hint="eastAsia" w:hAnsiTheme="majorEastAsia" w:eastAsiaTheme="majorEastAsia"/>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58" w:hRule="atLeast"/>
                <w:jc w:val="center"/>
              </w:trPr>
              <w:tc>
                <w:tcPr>
                  <w:tcW w:w="671" w:type="dxa"/>
                  <w:vAlign w:val="center"/>
                </w:tcPr>
                <w:p>
                  <w:pPr>
                    <w:snapToGrid w:val="0"/>
                    <w:jc w:val="center"/>
                    <w:rPr>
                      <w:rFonts w:eastAsiaTheme="majorEastAsia"/>
                      <w:color w:val="auto"/>
                      <w:sz w:val="18"/>
                      <w:szCs w:val="18"/>
                    </w:rPr>
                  </w:pPr>
                  <w:r>
                    <w:rPr>
                      <w:rFonts w:eastAsiaTheme="majorEastAsia"/>
                      <w:color w:val="auto"/>
                      <w:sz w:val="18"/>
                      <w:szCs w:val="18"/>
                    </w:rPr>
                    <w:t>3</w:t>
                  </w:r>
                </w:p>
              </w:tc>
              <w:tc>
                <w:tcPr>
                  <w:tcW w:w="980" w:type="dxa"/>
                  <w:vAlign w:val="center"/>
                </w:tcPr>
                <w:p>
                  <w:pPr>
                    <w:snapToGrid w:val="0"/>
                    <w:jc w:val="center"/>
                    <w:rPr>
                      <w:rFonts w:eastAsiaTheme="majorEastAsia"/>
                      <w:color w:val="auto"/>
                      <w:sz w:val="18"/>
                      <w:szCs w:val="18"/>
                    </w:rPr>
                  </w:pPr>
                  <w:r>
                    <w:rPr>
                      <w:rFonts w:hAnsiTheme="majorEastAsia" w:eastAsiaTheme="majorEastAsia"/>
                      <w:color w:val="auto"/>
                      <w:sz w:val="18"/>
                      <w:szCs w:val="18"/>
                    </w:rPr>
                    <w:t>噪声</w:t>
                  </w:r>
                </w:p>
              </w:tc>
              <w:tc>
                <w:tcPr>
                  <w:tcW w:w="2038" w:type="dxa"/>
                  <w:vAlign w:val="center"/>
                </w:tcPr>
                <w:p>
                  <w:pPr>
                    <w:snapToGrid w:val="0"/>
                    <w:rPr>
                      <w:rFonts w:eastAsiaTheme="majorEastAsia"/>
                      <w:color w:val="auto"/>
                      <w:sz w:val="18"/>
                      <w:szCs w:val="18"/>
                    </w:rPr>
                  </w:pPr>
                  <w:r>
                    <w:rPr>
                      <w:rFonts w:hAnsiTheme="majorEastAsia" w:eastAsiaTheme="majorEastAsia"/>
                      <w:color w:val="auto"/>
                      <w:sz w:val="18"/>
                      <w:szCs w:val="18"/>
                    </w:rPr>
                    <w:t>配套安装减震垫等减振降噪措施，并定期对室外空调机组进行维护。宠物就诊时安排在密闭诊室内及对宠物施行套嘴等措施</w:t>
                  </w:r>
                </w:p>
              </w:tc>
              <w:tc>
                <w:tcPr>
                  <w:tcW w:w="1364" w:type="dxa"/>
                  <w:vAlign w:val="center"/>
                </w:tcPr>
                <w:p>
                  <w:pPr>
                    <w:snapToGrid w:val="0"/>
                    <w:jc w:val="center"/>
                    <w:rPr>
                      <w:rFonts w:eastAsiaTheme="majorEastAsia"/>
                      <w:color w:val="auto"/>
                      <w:sz w:val="18"/>
                      <w:szCs w:val="18"/>
                    </w:rPr>
                  </w:pPr>
                  <w:r>
                    <w:rPr>
                      <w:rFonts w:eastAsiaTheme="majorEastAsia"/>
                      <w:color w:val="auto"/>
                      <w:sz w:val="18"/>
                      <w:szCs w:val="18"/>
                    </w:rPr>
                    <w:t>/</w:t>
                  </w:r>
                </w:p>
              </w:tc>
              <w:tc>
                <w:tcPr>
                  <w:tcW w:w="2239" w:type="dxa"/>
                  <w:vAlign w:val="center"/>
                </w:tcPr>
                <w:p>
                  <w:pPr>
                    <w:snapToGrid w:val="0"/>
                    <w:jc w:val="center"/>
                    <w:rPr>
                      <w:rFonts w:eastAsiaTheme="majorEastAsia"/>
                      <w:color w:val="auto"/>
                      <w:sz w:val="18"/>
                      <w:szCs w:val="18"/>
                    </w:rPr>
                  </w:pPr>
                  <w:r>
                    <w:rPr>
                      <w:rFonts w:hAnsiTheme="majorEastAsia" w:eastAsiaTheme="majorEastAsia"/>
                      <w:color w:val="auto"/>
                      <w:sz w:val="18"/>
                      <w:szCs w:val="18"/>
                    </w:rPr>
                    <w:t>《社会生活环境噪声排放标准》（</w:t>
                  </w:r>
                  <w:r>
                    <w:rPr>
                      <w:rFonts w:eastAsiaTheme="majorEastAsia"/>
                      <w:color w:val="auto"/>
                      <w:sz w:val="18"/>
                      <w:szCs w:val="18"/>
                    </w:rPr>
                    <w:t>GB22337-2008</w:t>
                  </w:r>
                  <w:r>
                    <w:rPr>
                      <w:rFonts w:hAnsiTheme="majorEastAsia" w:eastAsiaTheme="majorEastAsia"/>
                      <w:color w:val="auto"/>
                      <w:sz w:val="18"/>
                      <w:szCs w:val="18"/>
                    </w:rPr>
                    <w:t>）中</w:t>
                  </w:r>
                  <w:r>
                    <w:rPr>
                      <w:rFonts w:eastAsiaTheme="majorEastAsia"/>
                      <w:color w:val="auto"/>
                      <w:sz w:val="18"/>
                      <w:szCs w:val="18"/>
                    </w:rPr>
                    <w:t>2</w:t>
                  </w:r>
                  <w:r>
                    <w:rPr>
                      <w:rFonts w:hAnsiTheme="majorEastAsia" w:eastAsiaTheme="majorEastAsia"/>
                      <w:color w:val="auto"/>
                      <w:sz w:val="18"/>
                      <w:szCs w:val="18"/>
                    </w:rPr>
                    <w:t>类标准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671" w:type="dxa"/>
                  <w:vAlign w:val="center"/>
                </w:tcPr>
                <w:p>
                  <w:pPr>
                    <w:snapToGrid w:val="0"/>
                    <w:jc w:val="center"/>
                    <w:rPr>
                      <w:rFonts w:eastAsiaTheme="majorEastAsia"/>
                      <w:color w:val="auto"/>
                      <w:sz w:val="18"/>
                      <w:szCs w:val="18"/>
                    </w:rPr>
                  </w:pPr>
                  <w:r>
                    <w:rPr>
                      <w:rFonts w:eastAsiaTheme="majorEastAsia"/>
                      <w:color w:val="auto"/>
                      <w:sz w:val="18"/>
                      <w:szCs w:val="18"/>
                    </w:rPr>
                    <w:t>4</w:t>
                  </w:r>
                </w:p>
              </w:tc>
              <w:tc>
                <w:tcPr>
                  <w:tcW w:w="980" w:type="dxa"/>
                  <w:vAlign w:val="center"/>
                </w:tcPr>
                <w:p>
                  <w:pPr>
                    <w:snapToGrid w:val="0"/>
                    <w:jc w:val="center"/>
                    <w:rPr>
                      <w:rFonts w:eastAsiaTheme="majorEastAsia"/>
                      <w:color w:val="auto"/>
                      <w:sz w:val="18"/>
                      <w:szCs w:val="18"/>
                    </w:rPr>
                  </w:pPr>
                  <w:r>
                    <w:rPr>
                      <w:rFonts w:hAnsiTheme="majorEastAsia" w:eastAsiaTheme="majorEastAsia"/>
                      <w:color w:val="auto"/>
                      <w:sz w:val="18"/>
                      <w:szCs w:val="18"/>
                    </w:rPr>
                    <w:t>固废</w:t>
                  </w:r>
                </w:p>
              </w:tc>
              <w:tc>
                <w:tcPr>
                  <w:tcW w:w="2038" w:type="dxa"/>
                  <w:vAlign w:val="center"/>
                </w:tcPr>
                <w:p>
                  <w:pPr>
                    <w:snapToGrid w:val="0"/>
                    <w:jc w:val="center"/>
                    <w:rPr>
                      <w:rFonts w:eastAsiaTheme="majorEastAsia"/>
                      <w:color w:val="auto"/>
                      <w:sz w:val="18"/>
                      <w:szCs w:val="18"/>
                    </w:rPr>
                  </w:pPr>
                  <w:r>
                    <w:rPr>
                      <w:rFonts w:hAnsiTheme="majorEastAsia" w:eastAsiaTheme="majorEastAsia"/>
                      <w:bCs/>
                      <w:color w:val="auto"/>
                      <w:sz w:val="18"/>
                      <w:szCs w:val="18"/>
                    </w:rPr>
                    <w:t>生活垃圾及美容垃圾收集装置、猫砂托盘、医疗废物垃圾桶及医疗废物暂存间，医疗废物委托西安卫达实业发展有限公司处理</w:t>
                  </w:r>
                </w:p>
              </w:tc>
              <w:tc>
                <w:tcPr>
                  <w:tcW w:w="1364" w:type="dxa"/>
                  <w:vAlign w:val="center"/>
                </w:tcPr>
                <w:p>
                  <w:pPr>
                    <w:snapToGrid w:val="0"/>
                    <w:jc w:val="center"/>
                    <w:rPr>
                      <w:rFonts w:eastAsiaTheme="majorEastAsia"/>
                      <w:color w:val="auto"/>
                      <w:sz w:val="18"/>
                      <w:szCs w:val="18"/>
                    </w:rPr>
                  </w:pPr>
                  <w:r>
                    <w:rPr>
                      <w:rFonts w:hint="eastAsia" w:eastAsiaTheme="majorEastAsia"/>
                      <w:color w:val="auto"/>
                      <w:sz w:val="18"/>
                      <w:szCs w:val="18"/>
                    </w:rPr>
                    <w:t>6</w:t>
                  </w:r>
                  <w:r>
                    <w:rPr>
                      <w:rFonts w:hAnsiTheme="majorEastAsia" w:eastAsiaTheme="majorEastAsia"/>
                      <w:color w:val="auto"/>
                      <w:sz w:val="18"/>
                      <w:szCs w:val="18"/>
                    </w:rPr>
                    <w:t>个生活垃圾收集桶、</w:t>
                  </w:r>
                  <w:r>
                    <w:rPr>
                      <w:rFonts w:hint="eastAsia" w:eastAsiaTheme="majorEastAsia"/>
                      <w:color w:val="auto"/>
                      <w:sz w:val="18"/>
                      <w:szCs w:val="18"/>
                    </w:rPr>
                    <w:t>4</w:t>
                  </w:r>
                  <w:r>
                    <w:rPr>
                      <w:rFonts w:hAnsiTheme="majorEastAsia" w:eastAsiaTheme="majorEastAsia"/>
                      <w:color w:val="auto"/>
                      <w:sz w:val="18"/>
                      <w:szCs w:val="18"/>
                    </w:rPr>
                    <w:t>个危废收集桶、危废暂存间</w:t>
                  </w:r>
                  <w:r>
                    <w:rPr>
                      <w:rFonts w:eastAsiaTheme="majorEastAsia"/>
                      <w:color w:val="auto"/>
                      <w:sz w:val="18"/>
                      <w:szCs w:val="18"/>
                    </w:rPr>
                    <w:t>1</w:t>
                  </w:r>
                  <w:r>
                    <w:rPr>
                      <w:rFonts w:hAnsiTheme="majorEastAsia" w:eastAsiaTheme="majorEastAsia"/>
                      <w:color w:val="auto"/>
                      <w:sz w:val="18"/>
                      <w:szCs w:val="18"/>
                    </w:rPr>
                    <w:t>座</w:t>
                  </w:r>
                </w:p>
              </w:tc>
              <w:tc>
                <w:tcPr>
                  <w:tcW w:w="2239" w:type="dxa"/>
                  <w:vAlign w:val="center"/>
                </w:tcPr>
                <w:p>
                  <w:pPr>
                    <w:snapToGrid w:val="0"/>
                    <w:jc w:val="center"/>
                    <w:rPr>
                      <w:rFonts w:eastAsiaTheme="majorEastAsia"/>
                      <w:color w:val="auto"/>
                      <w:sz w:val="18"/>
                      <w:szCs w:val="18"/>
                    </w:rPr>
                  </w:pPr>
                  <w:r>
                    <w:rPr>
                      <w:rFonts w:hAnsiTheme="majorEastAsia" w:eastAsiaTheme="majorEastAsia"/>
                      <w:color w:val="auto"/>
                      <w:sz w:val="18"/>
                      <w:szCs w:val="18"/>
                    </w:rPr>
                    <w:t>《医疗卫生机构医疗废物管理办法》，《危险废物贮存污染控制标准》（</w:t>
                  </w:r>
                  <w:r>
                    <w:rPr>
                      <w:rFonts w:eastAsiaTheme="majorEastAsia"/>
                      <w:color w:val="auto"/>
                      <w:sz w:val="18"/>
                      <w:szCs w:val="18"/>
                    </w:rPr>
                    <w:t>18597-2001</w:t>
                  </w:r>
                  <w:r>
                    <w:rPr>
                      <w:rFonts w:hAnsiTheme="majorEastAsia" w:eastAsiaTheme="majorEastAsia"/>
                      <w:color w:val="auto"/>
                      <w:sz w:val="18"/>
                      <w:szCs w:val="18"/>
                    </w:rPr>
                    <w:t>）</w:t>
                  </w:r>
                </w:p>
              </w:tc>
            </w:tr>
          </w:tbl>
          <w:p>
            <w:pPr>
              <w:pStyle w:val="2"/>
              <w:rPr>
                <w:color w:val="auto"/>
              </w:rPr>
            </w:pPr>
          </w:p>
        </w:tc>
      </w:tr>
    </w:tbl>
    <w:p>
      <w:pPr>
        <w:pStyle w:val="18"/>
        <w:jc w:val="center"/>
        <w:outlineLvl w:val="0"/>
        <w:rPr>
          <w:rFonts w:ascii="黑体" w:hAnsi="黑体" w:eastAsia="黑体"/>
          <w:snapToGrid w:val="0"/>
          <w:color w:val="auto"/>
          <w:sz w:val="30"/>
          <w:szCs w:val="30"/>
        </w:rPr>
      </w:pPr>
      <w:r>
        <w:rPr>
          <w:snapToGrid w:val="0"/>
          <w:color w:val="auto"/>
        </w:rPr>
        <w:br w:type="page"/>
      </w:r>
      <w:r>
        <w:rPr>
          <w:rFonts w:hint="eastAsia" w:ascii="黑体" w:hAnsi="黑体" w:eastAsia="黑体"/>
          <w:snapToGrid w:val="0"/>
          <w:color w:val="auto"/>
          <w:sz w:val="30"/>
          <w:szCs w:val="30"/>
        </w:rPr>
        <w:t>六、结论</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tabs>
                <w:tab w:val="left" w:pos="6120"/>
                <w:tab w:val="left" w:pos="6840"/>
              </w:tabs>
              <w:spacing w:line="360" w:lineRule="auto"/>
              <w:ind w:firstLine="480"/>
              <w:rPr>
                <w:color w:val="auto"/>
              </w:rPr>
            </w:pPr>
            <w:r>
              <w:rPr>
                <w:rFonts w:hint="eastAsia" w:ascii="宋体" w:hAnsi="宋体"/>
                <w:color w:val="auto"/>
              </w:rPr>
              <w:t>项目建设符合国家产业政策及</w:t>
            </w:r>
            <w:r>
              <w:rPr>
                <w:color w:val="auto"/>
              </w:rPr>
              <w:t>地方</w:t>
            </w:r>
            <w:r>
              <w:rPr>
                <w:rFonts w:hint="eastAsia" w:ascii="宋体" w:hAnsi="宋体"/>
                <w:color w:val="auto"/>
              </w:rPr>
              <w:t>相关规划的要求，选址符合环境功能区划的要求。项目</w:t>
            </w:r>
            <w:r>
              <w:rPr>
                <w:rFonts w:hint="eastAsia" w:ascii="宋体" w:hAnsi="宋体"/>
                <w:bCs/>
                <w:color w:val="auto"/>
              </w:rPr>
              <w:t>工程设计和环评报告提出的各项污染防治及风险防范措施落实后，各污染源的主要污染物均可做到达标排放，对环境影响较小，满足评价区各环境功能的指标要求</w:t>
            </w:r>
            <w:r>
              <w:rPr>
                <w:rFonts w:hint="eastAsia" w:ascii="宋体" w:hAnsi="宋体"/>
                <w:color w:val="auto"/>
              </w:rPr>
              <w:t>。从环境保护角度，建设项目环境影响可行。</w:t>
            </w:r>
          </w:p>
          <w:p>
            <w:pPr>
              <w:spacing w:line="360" w:lineRule="auto"/>
              <w:rPr>
                <w:rFonts w:ascii="宋体" w:cs="宋体"/>
                <w:color w:val="auto"/>
                <w:sz w:val="24"/>
              </w:rPr>
            </w:pPr>
          </w:p>
        </w:tc>
      </w:tr>
    </w:tbl>
    <w:p>
      <w:pPr>
        <w:rPr>
          <w:rFonts w:ascii="宋体"/>
          <w:color w:val="auto"/>
        </w:rPr>
        <w:sectPr>
          <w:pgSz w:w="11906" w:h="16838"/>
          <w:pgMar w:top="1701" w:right="1531" w:bottom="1418" w:left="1531" w:header="1134" w:footer="1134" w:gutter="0"/>
          <w:cols w:space="720" w:num="1"/>
          <w:docGrid w:linePitch="312" w:charSpace="0"/>
        </w:sectPr>
      </w:pPr>
    </w:p>
    <w:p>
      <w:pPr>
        <w:pStyle w:val="18"/>
        <w:adjustRightInd w:val="0"/>
        <w:snapToGrid w:val="0"/>
        <w:spacing w:before="0" w:beforeAutospacing="0" w:after="0" w:afterAutospacing="0" w:line="648" w:lineRule="auto"/>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pPr>
        <w:pStyle w:val="18"/>
        <w:adjustRightInd w:val="0"/>
        <w:snapToGrid w:val="0"/>
        <w:spacing w:before="0" w:beforeAutospacing="0" w:after="0" w:afterAutospacing="0" w:line="276" w:lineRule="auto"/>
        <w:jc w:val="center"/>
        <w:outlineLvl w:val="0"/>
        <w:rPr>
          <w:rFonts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1"/>
        <w:tblW w:w="138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422"/>
        <w:gridCol w:w="1707"/>
        <w:gridCol w:w="1280"/>
        <w:gridCol w:w="1707"/>
        <w:gridCol w:w="1564"/>
        <w:gridCol w:w="1465"/>
        <w:gridCol w:w="1644"/>
        <w:gridCol w:w="14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593" w:type="dxa"/>
            <w:tcMar>
              <w:left w:w="28" w:type="dxa"/>
              <w:right w:w="28" w:type="dxa"/>
            </w:tcMar>
            <w:vAlign w:val="center"/>
          </w:tcPr>
          <w:p>
            <w:pPr>
              <w:pStyle w:val="31"/>
              <w:spacing w:beforeLines="0" w:afterLines="0" w:line="240" w:lineRule="auto"/>
              <w:jc w:val="right"/>
              <w:rPr>
                <w:rFonts w:ascii="Times New Roman"/>
                <w:snapToGrid w:val="0"/>
                <w:color w:val="auto"/>
                <w:spacing w:val="-6"/>
                <w:kern w:val="21"/>
                <w:szCs w:val="21"/>
              </w:rPr>
            </w:pPr>
            <w:r>
              <w:rPr>
                <w:rFonts w:ascii="Times New Roman"/>
                <w:color w:val="auto"/>
                <w:szCs w:val="21"/>
              </w:rPr>
              <w:pict>
                <v:line id="_x0000_s1171" o:spid="_x0000_s1171" o:spt="20" style="position:absolute;left:0pt;margin-left:-0.7pt;margin-top:-0.6pt;height:42.75pt;width:78.75pt;z-index:251660288;mso-width-relative:page;mso-height-relative:page;" coordsize="21600,21600">
                  <v:path arrowok="t"/>
                  <v:fill focussize="0,0"/>
                  <v:stroke/>
                  <v:imagedata o:title=""/>
                  <o:lock v:ext="edit"/>
                </v:line>
              </w:pict>
            </w:r>
            <w:r>
              <w:rPr>
                <w:rFonts w:ascii="Times New Roman" w:hAnsi="宋体"/>
                <w:snapToGrid w:val="0"/>
                <w:color w:val="auto"/>
                <w:spacing w:val="-6"/>
                <w:kern w:val="21"/>
                <w:szCs w:val="21"/>
              </w:rPr>
              <w:t>项目</w:t>
            </w:r>
          </w:p>
          <w:p>
            <w:pPr>
              <w:rPr>
                <w:color w:val="auto"/>
                <w:szCs w:val="21"/>
              </w:rPr>
            </w:pPr>
          </w:p>
          <w:p>
            <w:pPr>
              <w:pStyle w:val="31"/>
              <w:spacing w:beforeLines="0" w:afterLines="0" w:line="240" w:lineRule="auto"/>
              <w:jc w:val="left"/>
              <w:rPr>
                <w:rFonts w:ascii="Times New Roman"/>
                <w:snapToGrid w:val="0"/>
                <w:color w:val="auto"/>
                <w:spacing w:val="-6"/>
                <w:kern w:val="21"/>
                <w:szCs w:val="21"/>
              </w:rPr>
            </w:pPr>
            <w:r>
              <w:rPr>
                <w:rFonts w:ascii="Times New Roman" w:hAnsi="宋体"/>
                <w:snapToGrid w:val="0"/>
                <w:color w:val="auto"/>
                <w:spacing w:val="-6"/>
                <w:kern w:val="21"/>
                <w:szCs w:val="21"/>
              </w:rPr>
              <w:t>分类</w:t>
            </w:r>
          </w:p>
        </w:tc>
        <w:tc>
          <w:tcPr>
            <w:tcW w:w="1422"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污染物名称</w:t>
            </w:r>
          </w:p>
        </w:tc>
        <w:tc>
          <w:tcPr>
            <w:tcW w:w="1707"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现有工程</w:t>
            </w:r>
          </w:p>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排放量（固体废物产生量）</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ascii="Times New Roman" w:hAnsi="宋体"/>
                <w:color w:val="auto"/>
                <w:kern w:val="2"/>
                <w:szCs w:val="21"/>
              </w:rPr>
              <w:t>①</w:t>
            </w:r>
            <w:r>
              <w:rPr>
                <w:rFonts w:ascii="Times New Roman"/>
                <w:snapToGrid w:val="0"/>
                <w:color w:val="auto"/>
                <w:spacing w:val="-6"/>
                <w:kern w:val="21"/>
                <w:szCs w:val="21"/>
              </w:rPr>
              <w:fldChar w:fldCharType="end"/>
            </w:r>
          </w:p>
        </w:tc>
        <w:tc>
          <w:tcPr>
            <w:tcW w:w="1280"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现有工程</w:t>
            </w:r>
          </w:p>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许可排放量</w:t>
            </w:r>
          </w:p>
          <w:p>
            <w:pPr>
              <w:pStyle w:val="31"/>
              <w:spacing w:beforeLines="0" w:afterLines="0"/>
              <w:rPr>
                <w:rFonts w:ascii="Times New Roman"/>
                <w:snapToGrid w:val="0"/>
                <w:color w:val="auto"/>
                <w:spacing w:val="-6"/>
                <w:kern w:val="21"/>
                <w:szCs w:val="21"/>
              </w:rPr>
            </w:pP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2 \* GB3 \* MERGEFORMAT </w:instrText>
            </w:r>
            <w:r>
              <w:rPr>
                <w:rFonts w:ascii="Times New Roman"/>
                <w:snapToGrid w:val="0"/>
                <w:color w:val="auto"/>
                <w:spacing w:val="-6"/>
                <w:kern w:val="21"/>
                <w:szCs w:val="21"/>
              </w:rPr>
              <w:fldChar w:fldCharType="separate"/>
            </w:r>
            <w:r>
              <w:rPr>
                <w:rFonts w:ascii="Times New Roman" w:hAnsi="宋体"/>
                <w:snapToGrid w:val="0"/>
                <w:color w:val="auto"/>
                <w:spacing w:val="-6"/>
                <w:kern w:val="21"/>
                <w:szCs w:val="21"/>
              </w:rPr>
              <w:t>②</w:t>
            </w:r>
            <w:r>
              <w:rPr>
                <w:rFonts w:ascii="Times New Roman"/>
                <w:snapToGrid w:val="0"/>
                <w:color w:val="auto"/>
                <w:spacing w:val="-6"/>
                <w:kern w:val="21"/>
                <w:szCs w:val="21"/>
              </w:rPr>
              <w:fldChar w:fldCharType="end"/>
            </w:r>
          </w:p>
        </w:tc>
        <w:tc>
          <w:tcPr>
            <w:tcW w:w="1707"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在建工程</w:t>
            </w:r>
          </w:p>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排放量（固体废物产生量）</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ascii="Times New Roman" w:hAnsi="宋体"/>
                <w:color w:val="auto"/>
                <w:kern w:val="2"/>
                <w:szCs w:val="21"/>
              </w:rPr>
              <w:t>③</w:t>
            </w:r>
            <w:r>
              <w:rPr>
                <w:rFonts w:ascii="Times New Roman"/>
                <w:snapToGrid w:val="0"/>
                <w:color w:val="auto"/>
                <w:spacing w:val="-6"/>
                <w:kern w:val="21"/>
                <w:szCs w:val="21"/>
              </w:rPr>
              <w:fldChar w:fldCharType="end"/>
            </w:r>
          </w:p>
        </w:tc>
        <w:tc>
          <w:tcPr>
            <w:tcW w:w="1564"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本项目</w:t>
            </w:r>
          </w:p>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排放量（固体废物产生量）</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ascii="Times New Roman" w:hAnsi="宋体"/>
                <w:color w:val="auto"/>
                <w:kern w:val="2"/>
                <w:szCs w:val="21"/>
              </w:rPr>
              <w:t>④</w:t>
            </w:r>
            <w:r>
              <w:rPr>
                <w:rFonts w:ascii="Times New Roman"/>
                <w:snapToGrid w:val="0"/>
                <w:color w:val="auto"/>
                <w:spacing w:val="-6"/>
                <w:kern w:val="21"/>
                <w:szCs w:val="21"/>
              </w:rPr>
              <w:fldChar w:fldCharType="end"/>
            </w:r>
          </w:p>
        </w:tc>
        <w:tc>
          <w:tcPr>
            <w:tcW w:w="1465" w:type="dxa"/>
            <w:tcMar>
              <w:left w:w="28" w:type="dxa"/>
              <w:right w:w="28" w:type="dxa"/>
            </w:tcMar>
            <w:vAlign w:val="center"/>
          </w:tcPr>
          <w:p>
            <w:pPr>
              <w:pStyle w:val="31"/>
              <w:spacing w:beforeLines="0" w:afterLines="0" w:line="240" w:lineRule="auto"/>
              <w:rPr>
                <w:rFonts w:ascii="Times New Roman"/>
                <w:snapToGrid w:val="0"/>
                <w:color w:val="auto"/>
                <w:spacing w:val="-16"/>
                <w:kern w:val="21"/>
                <w:szCs w:val="21"/>
              </w:rPr>
            </w:pPr>
            <w:r>
              <w:rPr>
                <w:rFonts w:ascii="Times New Roman" w:hAnsi="宋体"/>
                <w:snapToGrid w:val="0"/>
                <w:color w:val="auto"/>
                <w:spacing w:val="-16"/>
                <w:kern w:val="21"/>
                <w:szCs w:val="21"/>
              </w:rPr>
              <w:t>以新带老削减量</w:t>
            </w:r>
          </w:p>
          <w:p>
            <w:pPr>
              <w:pStyle w:val="31"/>
              <w:spacing w:beforeLines="0" w:afterLines="0" w:line="240" w:lineRule="auto"/>
              <w:rPr>
                <w:rFonts w:ascii="Times New Roman"/>
                <w:snapToGrid w:val="0"/>
                <w:color w:val="auto"/>
                <w:spacing w:val="-16"/>
                <w:kern w:val="21"/>
                <w:szCs w:val="21"/>
              </w:rPr>
            </w:pPr>
            <w:r>
              <w:rPr>
                <w:rFonts w:ascii="Times New Roman" w:hAnsi="宋体"/>
                <w:snapToGrid w:val="0"/>
                <w:color w:val="auto"/>
                <w:spacing w:val="-16"/>
                <w:kern w:val="21"/>
                <w:szCs w:val="21"/>
              </w:rPr>
              <w:t>（新建项目不填）</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ascii="Times New Roman" w:hAnsi="宋体"/>
                <w:color w:val="auto"/>
                <w:kern w:val="2"/>
                <w:szCs w:val="21"/>
              </w:rPr>
              <w:t>⑤</w:t>
            </w:r>
            <w:r>
              <w:rPr>
                <w:rFonts w:ascii="Times New Roman"/>
                <w:snapToGrid w:val="0"/>
                <w:color w:val="auto"/>
                <w:spacing w:val="-16"/>
                <w:kern w:val="21"/>
                <w:szCs w:val="21"/>
              </w:rPr>
              <w:fldChar w:fldCharType="end"/>
            </w:r>
          </w:p>
        </w:tc>
        <w:tc>
          <w:tcPr>
            <w:tcW w:w="1644" w:type="dxa"/>
            <w:tcMar>
              <w:left w:w="28" w:type="dxa"/>
              <w:right w:w="28" w:type="dxa"/>
            </w:tcMar>
            <w:vAlign w:val="center"/>
          </w:tcPr>
          <w:p>
            <w:pPr>
              <w:pStyle w:val="31"/>
              <w:spacing w:beforeLines="0" w:afterLines="0" w:line="240" w:lineRule="auto"/>
              <w:rPr>
                <w:rFonts w:ascii="Times New Roman"/>
                <w:snapToGrid w:val="0"/>
                <w:color w:val="auto"/>
                <w:spacing w:val="-16"/>
                <w:kern w:val="21"/>
                <w:szCs w:val="21"/>
              </w:rPr>
            </w:pPr>
            <w:r>
              <w:rPr>
                <w:rFonts w:ascii="Times New Roman" w:hAnsi="宋体"/>
                <w:snapToGrid w:val="0"/>
                <w:color w:val="auto"/>
                <w:spacing w:val="-16"/>
                <w:kern w:val="21"/>
                <w:szCs w:val="21"/>
              </w:rPr>
              <w:t>本项目建成后</w:t>
            </w:r>
          </w:p>
          <w:p>
            <w:pPr>
              <w:pStyle w:val="31"/>
              <w:spacing w:beforeLines="0" w:afterLines="0" w:line="240" w:lineRule="auto"/>
              <w:rPr>
                <w:rFonts w:ascii="Times New Roman"/>
                <w:snapToGrid w:val="0"/>
                <w:color w:val="auto"/>
                <w:spacing w:val="-16"/>
                <w:kern w:val="21"/>
                <w:szCs w:val="21"/>
              </w:rPr>
            </w:pPr>
            <w:r>
              <w:rPr>
                <w:rFonts w:ascii="Times New Roman" w:hAnsi="宋体"/>
                <w:snapToGrid w:val="0"/>
                <w:color w:val="auto"/>
                <w:spacing w:val="-16"/>
                <w:kern w:val="21"/>
                <w:szCs w:val="21"/>
              </w:rPr>
              <w:t>全厂排放量（固体废物产生量）</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ascii="Times New Roman" w:hAnsi="宋体"/>
                <w:color w:val="auto"/>
                <w:kern w:val="2"/>
                <w:szCs w:val="21"/>
              </w:rPr>
              <w:t>⑥</w:t>
            </w:r>
            <w:r>
              <w:rPr>
                <w:rFonts w:ascii="Times New Roman"/>
                <w:snapToGrid w:val="0"/>
                <w:color w:val="auto"/>
                <w:spacing w:val="-16"/>
                <w:kern w:val="21"/>
                <w:szCs w:val="21"/>
              </w:rPr>
              <w:fldChar w:fldCharType="end"/>
            </w:r>
          </w:p>
        </w:tc>
        <w:tc>
          <w:tcPr>
            <w:tcW w:w="1453"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ascii="Times New Roman" w:hAnsi="宋体"/>
                <w:snapToGrid w:val="0"/>
                <w:color w:val="auto"/>
                <w:spacing w:val="-6"/>
                <w:kern w:val="21"/>
                <w:szCs w:val="21"/>
              </w:rPr>
              <w:t>变化量</w:t>
            </w:r>
          </w:p>
          <w:p>
            <w:pPr>
              <w:pStyle w:val="31"/>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ascii="Times New Roman" w:hAnsi="宋体"/>
                <w:color w:val="auto"/>
                <w:kern w:val="2"/>
                <w:szCs w:val="21"/>
              </w:rPr>
              <w:t>⑦</w:t>
            </w:r>
            <w:r>
              <w:rPr>
                <w:rFonts w:ascii="Times New Roman"/>
                <w:snapToGrid w:val="0"/>
                <w:color w:val="auto"/>
                <w:spacing w:val="-6"/>
                <w:kern w:val="21"/>
                <w:szCs w:val="21"/>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593" w:type="dxa"/>
            <w:tcMar>
              <w:left w:w="28" w:type="dxa"/>
              <w:right w:w="28" w:type="dxa"/>
            </w:tcMar>
            <w:vAlign w:val="center"/>
          </w:tcPr>
          <w:p>
            <w:pPr>
              <w:pStyle w:val="31"/>
              <w:spacing w:beforeLines="0" w:afterLines="0" w:line="240" w:lineRule="auto"/>
              <w:rPr>
                <w:rFonts w:ascii="Times New Roman"/>
                <w:snapToGrid w:val="0"/>
                <w:color w:val="auto"/>
                <w:kern w:val="21"/>
                <w:szCs w:val="21"/>
              </w:rPr>
            </w:pPr>
            <w:r>
              <w:rPr>
                <w:rFonts w:ascii="Times New Roman" w:hAnsi="宋体"/>
                <w:snapToGrid w:val="0"/>
                <w:color w:val="auto"/>
                <w:kern w:val="21"/>
                <w:szCs w:val="21"/>
              </w:rPr>
              <w:t>废气</w:t>
            </w:r>
          </w:p>
        </w:tc>
        <w:tc>
          <w:tcPr>
            <w:tcW w:w="1422" w:type="dxa"/>
            <w:tcMar>
              <w:left w:w="28" w:type="dxa"/>
              <w:right w:w="28" w:type="dxa"/>
            </w:tcMar>
            <w:vAlign w:val="center"/>
          </w:tcPr>
          <w:p>
            <w:pPr>
              <w:pStyle w:val="31"/>
              <w:spacing w:beforeLines="0" w:afterLines="0" w:line="240" w:lineRule="auto"/>
              <w:rPr>
                <w:rFonts w:ascii="Times New Roman"/>
                <w:snapToGrid w:val="0"/>
                <w:color w:val="auto"/>
                <w:spacing w:val="-6"/>
                <w:kern w:val="21"/>
                <w:szCs w:val="21"/>
              </w:rPr>
            </w:pPr>
            <w:r>
              <w:rPr>
                <w:rFonts w:hint="eastAsia" w:ascii="Times New Roman" w:hAnsi="宋体"/>
                <w:snapToGrid w:val="0"/>
                <w:color w:val="auto"/>
                <w:spacing w:val="-6"/>
                <w:kern w:val="21"/>
                <w:szCs w:val="21"/>
              </w:rPr>
              <w:t>宠物异味</w:t>
            </w:r>
          </w:p>
        </w:tc>
        <w:tc>
          <w:tcPr>
            <w:tcW w:w="1707" w:type="dxa"/>
            <w:tcMar>
              <w:left w:w="28" w:type="dxa"/>
              <w:right w:w="28" w:type="dxa"/>
            </w:tcMar>
            <w:vAlign w:val="center"/>
          </w:tcPr>
          <w:p>
            <w:pPr>
              <w:jc w:val="center"/>
              <w:rPr>
                <w:snapToGrid w:val="0"/>
                <w:color w:val="auto"/>
                <w:kern w:val="21"/>
                <w:szCs w:val="21"/>
              </w:rPr>
            </w:pPr>
            <w:r>
              <w:rPr>
                <w:rFonts w:hint="eastAsia"/>
                <w:snapToGrid w:val="0"/>
                <w:color w:val="auto"/>
                <w:kern w:val="21"/>
                <w:szCs w:val="21"/>
              </w:rPr>
              <w:t>0</w:t>
            </w:r>
          </w:p>
        </w:tc>
        <w:tc>
          <w:tcPr>
            <w:tcW w:w="1280" w:type="dxa"/>
            <w:tcMar>
              <w:left w:w="28" w:type="dxa"/>
              <w:right w:w="28" w:type="dxa"/>
            </w:tcMar>
            <w:vAlign w:val="center"/>
          </w:tcPr>
          <w:p>
            <w:pPr>
              <w:jc w:val="center"/>
              <w:rPr>
                <w:snapToGrid w:val="0"/>
                <w:color w:val="auto"/>
                <w:kern w:val="21"/>
                <w:szCs w:val="21"/>
              </w:rPr>
            </w:pPr>
            <w:r>
              <w:rPr>
                <w:rFonts w:hint="eastAsia"/>
                <w:snapToGrid w:val="0"/>
                <w:color w:val="auto"/>
                <w:kern w:val="21"/>
                <w:szCs w:val="21"/>
              </w:rPr>
              <w:t>0</w:t>
            </w:r>
          </w:p>
        </w:tc>
        <w:tc>
          <w:tcPr>
            <w:tcW w:w="1707" w:type="dxa"/>
            <w:tcMar>
              <w:left w:w="28" w:type="dxa"/>
              <w:right w:w="28" w:type="dxa"/>
            </w:tcMar>
            <w:vAlign w:val="center"/>
          </w:tcPr>
          <w:p>
            <w:pPr>
              <w:jc w:val="center"/>
              <w:rPr>
                <w:snapToGrid w:val="0"/>
                <w:color w:val="auto"/>
                <w:kern w:val="21"/>
                <w:szCs w:val="21"/>
              </w:rPr>
            </w:pPr>
            <w:r>
              <w:rPr>
                <w:rFonts w:hint="eastAsia"/>
                <w:snapToGrid w:val="0"/>
                <w:color w:val="auto"/>
                <w:kern w:val="21"/>
                <w:szCs w:val="21"/>
              </w:rPr>
              <w:t>0</w:t>
            </w:r>
          </w:p>
        </w:tc>
        <w:tc>
          <w:tcPr>
            <w:tcW w:w="1564" w:type="dxa"/>
            <w:tcMar>
              <w:left w:w="28" w:type="dxa"/>
              <w:right w:w="28" w:type="dxa"/>
            </w:tcMar>
            <w:vAlign w:val="center"/>
          </w:tcPr>
          <w:p>
            <w:pPr>
              <w:jc w:val="center"/>
              <w:rPr>
                <w:color w:val="auto"/>
                <w:szCs w:val="21"/>
              </w:rPr>
            </w:pPr>
            <w:r>
              <w:rPr>
                <w:rFonts w:hint="eastAsia"/>
                <w:color w:val="auto"/>
                <w:szCs w:val="21"/>
              </w:rPr>
              <w:t>微量</w:t>
            </w:r>
          </w:p>
        </w:tc>
        <w:tc>
          <w:tcPr>
            <w:tcW w:w="1465" w:type="dxa"/>
            <w:tcMar>
              <w:left w:w="28" w:type="dxa"/>
              <w:right w:w="28" w:type="dxa"/>
            </w:tcMar>
            <w:vAlign w:val="center"/>
          </w:tcPr>
          <w:p>
            <w:pPr>
              <w:jc w:val="center"/>
              <w:rPr>
                <w:color w:val="auto"/>
                <w:szCs w:val="21"/>
              </w:rPr>
            </w:pPr>
            <w:r>
              <w:rPr>
                <w:rFonts w:hint="eastAsia"/>
                <w:color w:val="auto"/>
                <w:szCs w:val="21"/>
              </w:rPr>
              <w:t>/</w:t>
            </w:r>
          </w:p>
        </w:tc>
        <w:tc>
          <w:tcPr>
            <w:tcW w:w="1644" w:type="dxa"/>
            <w:tcMar>
              <w:left w:w="28" w:type="dxa"/>
              <w:right w:w="28" w:type="dxa"/>
            </w:tcMar>
            <w:vAlign w:val="center"/>
          </w:tcPr>
          <w:p>
            <w:pPr>
              <w:jc w:val="center"/>
              <w:rPr>
                <w:color w:val="auto"/>
                <w:szCs w:val="21"/>
              </w:rPr>
            </w:pPr>
            <w:r>
              <w:rPr>
                <w:rFonts w:hint="eastAsia"/>
                <w:color w:val="auto"/>
                <w:szCs w:val="21"/>
              </w:rPr>
              <w:t>微量</w:t>
            </w:r>
          </w:p>
        </w:tc>
        <w:tc>
          <w:tcPr>
            <w:tcW w:w="1453" w:type="dxa"/>
            <w:tcMar>
              <w:left w:w="28" w:type="dxa"/>
              <w:right w:w="28" w:type="dxa"/>
            </w:tcMar>
            <w:vAlign w:val="center"/>
          </w:tcPr>
          <w:p>
            <w:pPr>
              <w:jc w:val="center"/>
              <w:rPr>
                <w:color w:val="auto"/>
                <w:szCs w:val="21"/>
              </w:rPr>
            </w:pPr>
            <w:r>
              <w:rPr>
                <w:rFonts w:hint="eastAsia"/>
                <w:color w:val="auto"/>
                <w:szCs w:val="21"/>
              </w:rPr>
              <w:t>+微量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restart"/>
            <w:vAlign w:val="center"/>
          </w:tcPr>
          <w:p>
            <w:pPr>
              <w:pStyle w:val="31"/>
              <w:spacing w:beforeLines="0" w:afterLines="0" w:line="240" w:lineRule="auto"/>
              <w:rPr>
                <w:rFonts w:ascii="Times New Roman"/>
                <w:snapToGrid w:val="0"/>
                <w:color w:val="auto"/>
                <w:kern w:val="21"/>
                <w:szCs w:val="21"/>
              </w:rPr>
            </w:pPr>
            <w:r>
              <w:rPr>
                <w:rFonts w:ascii="Times New Roman" w:hAnsi="宋体"/>
                <w:snapToGrid w:val="0"/>
                <w:color w:val="auto"/>
                <w:kern w:val="21"/>
                <w:szCs w:val="21"/>
              </w:rPr>
              <w:t>废水</w:t>
            </w:r>
          </w:p>
        </w:tc>
        <w:tc>
          <w:tcPr>
            <w:tcW w:w="1422" w:type="dxa"/>
            <w:vAlign w:val="center"/>
          </w:tcPr>
          <w:p>
            <w:pPr>
              <w:pStyle w:val="2"/>
              <w:jc w:val="center"/>
              <w:rPr>
                <w:rFonts w:ascii="Times New Roman" w:cs="Times New Roman"/>
                <w:color w:val="auto"/>
                <w:sz w:val="21"/>
                <w:szCs w:val="21"/>
              </w:rPr>
            </w:pPr>
            <w:r>
              <w:rPr>
                <w:rFonts w:ascii="Times New Roman" w:cs="Times New Roman"/>
                <w:color w:val="auto"/>
                <w:sz w:val="21"/>
                <w:szCs w:val="21"/>
              </w:rPr>
              <w:t>COD</w:t>
            </w:r>
          </w:p>
        </w:tc>
        <w:tc>
          <w:tcPr>
            <w:tcW w:w="1707" w:type="dxa"/>
            <w:vAlign w:val="center"/>
          </w:tcPr>
          <w:p>
            <w:pPr>
              <w:jc w:val="center"/>
              <w:rPr>
                <w:snapToGrid w:val="0"/>
                <w:color w:val="auto"/>
                <w:kern w:val="21"/>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color w:val="auto"/>
                <w:szCs w:val="21"/>
              </w:rPr>
              <w:t>0.0691t/a</w:t>
            </w:r>
          </w:p>
        </w:tc>
        <w:tc>
          <w:tcPr>
            <w:tcW w:w="1465" w:type="dxa"/>
            <w:vAlign w:val="center"/>
          </w:tcPr>
          <w:p>
            <w:pPr>
              <w:jc w:val="center"/>
              <w:rPr>
                <w:color w:val="auto"/>
                <w:szCs w:val="21"/>
              </w:rPr>
            </w:pPr>
            <w:r>
              <w:rPr>
                <w:color w:val="auto"/>
                <w:szCs w:val="21"/>
              </w:rPr>
              <w:t>/</w:t>
            </w:r>
            <w:bookmarkStart w:id="4" w:name="_GoBack"/>
            <w:bookmarkEnd w:id="4"/>
          </w:p>
        </w:tc>
        <w:tc>
          <w:tcPr>
            <w:tcW w:w="1644" w:type="dxa"/>
            <w:vAlign w:val="center"/>
          </w:tcPr>
          <w:p>
            <w:pPr>
              <w:jc w:val="center"/>
              <w:rPr>
                <w:color w:val="auto"/>
                <w:szCs w:val="21"/>
              </w:rPr>
            </w:pPr>
            <w:r>
              <w:rPr>
                <w:color w:val="auto"/>
                <w:szCs w:val="21"/>
              </w:rPr>
              <w:t>0.0691t/a</w:t>
            </w:r>
          </w:p>
        </w:tc>
        <w:tc>
          <w:tcPr>
            <w:tcW w:w="1453" w:type="dxa"/>
            <w:vAlign w:val="center"/>
          </w:tcPr>
          <w:p>
            <w:pPr>
              <w:jc w:val="center"/>
              <w:rPr>
                <w:color w:val="auto"/>
                <w:szCs w:val="21"/>
              </w:rPr>
            </w:pPr>
            <w:r>
              <w:rPr>
                <w:rFonts w:hint="eastAsia"/>
                <w:color w:val="auto"/>
                <w:szCs w:val="21"/>
              </w:rPr>
              <w:t>+</w:t>
            </w:r>
            <w:r>
              <w:rPr>
                <w:color w:val="auto"/>
                <w:szCs w:val="21"/>
              </w:rPr>
              <w:t>0.0691t/a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continue"/>
            <w:vAlign w:val="center"/>
          </w:tcPr>
          <w:p>
            <w:pPr>
              <w:pStyle w:val="31"/>
              <w:spacing w:beforeLines="0" w:afterLines="0" w:line="240" w:lineRule="auto"/>
              <w:rPr>
                <w:rFonts w:ascii="Times New Roman" w:hAnsi="宋体"/>
                <w:snapToGrid w:val="0"/>
                <w:color w:val="auto"/>
                <w:kern w:val="21"/>
                <w:szCs w:val="21"/>
              </w:rPr>
            </w:pPr>
          </w:p>
        </w:tc>
        <w:tc>
          <w:tcPr>
            <w:tcW w:w="1422" w:type="dxa"/>
            <w:vAlign w:val="center"/>
          </w:tcPr>
          <w:p>
            <w:pPr>
              <w:pStyle w:val="2"/>
              <w:jc w:val="center"/>
              <w:rPr>
                <w:rFonts w:ascii="Times New Roman" w:cs="Times New Roman"/>
                <w:color w:val="auto"/>
                <w:sz w:val="21"/>
                <w:szCs w:val="21"/>
              </w:rPr>
            </w:pPr>
            <w:r>
              <w:rPr>
                <w:rFonts w:hint="eastAsia" w:ascii="Times New Roman" w:cs="Times New Roman"/>
                <w:color w:val="auto"/>
                <w:sz w:val="21"/>
                <w:szCs w:val="21"/>
              </w:rPr>
              <w:t>BOD</w:t>
            </w:r>
            <w:r>
              <w:rPr>
                <w:rFonts w:hint="eastAsia" w:ascii="Times New Roman" w:cs="Times New Roman"/>
                <w:color w:val="auto"/>
                <w:sz w:val="21"/>
                <w:szCs w:val="21"/>
                <w:vertAlign w:val="subscript"/>
              </w:rPr>
              <w:t>5</w:t>
            </w:r>
          </w:p>
        </w:tc>
        <w:tc>
          <w:tcPr>
            <w:tcW w:w="1707" w:type="dxa"/>
            <w:vAlign w:val="center"/>
          </w:tcPr>
          <w:p>
            <w:pPr>
              <w:jc w:val="center"/>
              <w:rPr>
                <w:color w:val="auto"/>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rFonts w:hint="eastAsia"/>
                <w:color w:val="auto"/>
                <w:szCs w:val="21"/>
              </w:rPr>
              <w:t>0.0338</w:t>
            </w:r>
            <w:r>
              <w:rPr>
                <w:color w:val="auto"/>
                <w:szCs w:val="21"/>
              </w:rPr>
              <w:t>t/a</w:t>
            </w:r>
          </w:p>
        </w:tc>
        <w:tc>
          <w:tcPr>
            <w:tcW w:w="1465" w:type="dxa"/>
            <w:vAlign w:val="center"/>
          </w:tcPr>
          <w:p>
            <w:pPr>
              <w:jc w:val="center"/>
              <w:rPr>
                <w:color w:val="auto"/>
                <w:szCs w:val="21"/>
              </w:rPr>
            </w:pPr>
          </w:p>
        </w:tc>
        <w:tc>
          <w:tcPr>
            <w:tcW w:w="1644" w:type="dxa"/>
            <w:vAlign w:val="center"/>
          </w:tcPr>
          <w:p>
            <w:pPr>
              <w:jc w:val="center"/>
              <w:rPr>
                <w:color w:val="auto"/>
                <w:szCs w:val="21"/>
              </w:rPr>
            </w:pPr>
            <w:r>
              <w:rPr>
                <w:rFonts w:hint="eastAsia"/>
                <w:color w:val="auto"/>
                <w:szCs w:val="21"/>
              </w:rPr>
              <w:t>0.0338</w:t>
            </w:r>
            <w:r>
              <w:rPr>
                <w:color w:val="auto"/>
                <w:szCs w:val="21"/>
              </w:rPr>
              <w:t>t/a</w:t>
            </w:r>
          </w:p>
        </w:tc>
        <w:tc>
          <w:tcPr>
            <w:tcW w:w="1453" w:type="dxa"/>
            <w:vAlign w:val="center"/>
          </w:tcPr>
          <w:p>
            <w:pPr>
              <w:jc w:val="center"/>
              <w:rPr>
                <w:color w:val="auto"/>
                <w:szCs w:val="21"/>
              </w:rPr>
            </w:pPr>
            <w:r>
              <w:rPr>
                <w:rFonts w:hint="eastAsia"/>
                <w:color w:val="auto"/>
                <w:szCs w:val="21"/>
              </w:rPr>
              <w:t>+</w:t>
            </w:r>
            <w:r>
              <w:rPr>
                <w:color w:val="auto"/>
                <w:szCs w:val="21"/>
              </w:rPr>
              <w:t>0.0338t/a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cs="Times New Roman"/>
                <w:color w:val="auto"/>
                <w:sz w:val="21"/>
                <w:szCs w:val="21"/>
              </w:rPr>
            </w:pPr>
            <w:r>
              <w:rPr>
                <w:rFonts w:ascii="Times New Roman" w:cs="Times New Roman"/>
                <w:color w:val="auto"/>
                <w:sz w:val="21"/>
                <w:szCs w:val="21"/>
              </w:rPr>
              <w:t>SS</w:t>
            </w:r>
          </w:p>
        </w:tc>
        <w:tc>
          <w:tcPr>
            <w:tcW w:w="1707" w:type="dxa"/>
            <w:vAlign w:val="center"/>
          </w:tcPr>
          <w:p>
            <w:pPr>
              <w:jc w:val="center"/>
              <w:rPr>
                <w:snapToGrid w:val="0"/>
                <w:color w:val="auto"/>
                <w:kern w:val="21"/>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color w:val="auto"/>
                <w:szCs w:val="21"/>
              </w:rPr>
              <w:t>0.0225t/a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color w:val="auto"/>
                <w:szCs w:val="21"/>
              </w:rPr>
              <w:t>0.0225t/a</w:t>
            </w:r>
          </w:p>
        </w:tc>
        <w:tc>
          <w:tcPr>
            <w:tcW w:w="1453" w:type="dxa"/>
            <w:vAlign w:val="center"/>
          </w:tcPr>
          <w:p>
            <w:pPr>
              <w:jc w:val="center"/>
              <w:rPr>
                <w:color w:val="auto"/>
                <w:szCs w:val="21"/>
              </w:rPr>
            </w:pPr>
            <w:r>
              <w:rPr>
                <w:rFonts w:hint="eastAsia"/>
                <w:color w:val="auto"/>
                <w:szCs w:val="21"/>
              </w:rPr>
              <w:t>+</w:t>
            </w:r>
            <w:r>
              <w:rPr>
                <w:color w:val="auto"/>
                <w:szCs w:val="21"/>
              </w:rPr>
              <w:t>0.0225t/a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cs="Times New Roman"/>
                <w:color w:val="auto"/>
                <w:sz w:val="21"/>
                <w:szCs w:val="21"/>
              </w:rPr>
            </w:pPr>
            <w:r>
              <w:rPr>
                <w:rFonts w:ascii="Times New Roman" w:hAnsi="宋体" w:cs="Times New Roman"/>
                <w:color w:val="auto"/>
                <w:sz w:val="21"/>
                <w:szCs w:val="21"/>
              </w:rPr>
              <w:t>氨氮</w:t>
            </w:r>
          </w:p>
        </w:tc>
        <w:tc>
          <w:tcPr>
            <w:tcW w:w="1707" w:type="dxa"/>
            <w:vAlign w:val="center"/>
          </w:tcPr>
          <w:p>
            <w:pPr>
              <w:jc w:val="center"/>
              <w:rPr>
                <w:snapToGrid w:val="0"/>
                <w:color w:val="auto"/>
                <w:kern w:val="21"/>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color w:val="auto"/>
                <w:szCs w:val="21"/>
              </w:rPr>
              <w:t>0.006t/a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color w:val="auto"/>
                <w:szCs w:val="21"/>
              </w:rPr>
              <w:t>0.006t/a</w:t>
            </w:r>
          </w:p>
        </w:tc>
        <w:tc>
          <w:tcPr>
            <w:tcW w:w="1453" w:type="dxa"/>
            <w:vAlign w:val="center"/>
          </w:tcPr>
          <w:p>
            <w:pPr>
              <w:jc w:val="center"/>
              <w:rPr>
                <w:color w:val="auto"/>
                <w:szCs w:val="21"/>
              </w:rPr>
            </w:pPr>
            <w:r>
              <w:rPr>
                <w:rFonts w:hint="eastAsia"/>
                <w:color w:val="auto"/>
                <w:szCs w:val="21"/>
              </w:rPr>
              <w:t>+</w:t>
            </w:r>
            <w:r>
              <w:rPr>
                <w:color w:val="auto"/>
                <w:szCs w:val="21"/>
              </w:rPr>
              <w:t>0.006t/a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cs="Times New Roman"/>
                <w:color w:val="auto"/>
                <w:sz w:val="21"/>
                <w:szCs w:val="21"/>
              </w:rPr>
            </w:pPr>
            <w:r>
              <w:rPr>
                <w:rFonts w:ascii="Times New Roman" w:hAnsi="宋体" w:cs="Times New Roman"/>
                <w:color w:val="auto"/>
                <w:sz w:val="21"/>
                <w:szCs w:val="21"/>
              </w:rPr>
              <w:t>总氮（以</w:t>
            </w:r>
            <w:r>
              <w:rPr>
                <w:rFonts w:ascii="Times New Roman" w:cs="Times New Roman"/>
                <w:color w:val="auto"/>
                <w:sz w:val="21"/>
                <w:szCs w:val="21"/>
              </w:rPr>
              <w:t>N</w:t>
            </w:r>
            <w:r>
              <w:rPr>
                <w:rFonts w:ascii="Times New Roman" w:hAnsi="宋体" w:cs="Times New Roman"/>
                <w:color w:val="auto"/>
                <w:sz w:val="21"/>
                <w:szCs w:val="21"/>
              </w:rPr>
              <w:t>计）</w:t>
            </w:r>
          </w:p>
        </w:tc>
        <w:tc>
          <w:tcPr>
            <w:tcW w:w="1707" w:type="dxa"/>
            <w:vAlign w:val="center"/>
          </w:tcPr>
          <w:p>
            <w:pPr>
              <w:jc w:val="center"/>
              <w:rPr>
                <w:snapToGrid w:val="0"/>
                <w:color w:val="auto"/>
                <w:kern w:val="21"/>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color w:val="auto"/>
                <w:szCs w:val="21"/>
              </w:rPr>
              <w:t>0.0089t/a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color w:val="auto"/>
                <w:szCs w:val="21"/>
              </w:rPr>
              <w:t>0.0089t/a</w:t>
            </w:r>
          </w:p>
        </w:tc>
        <w:tc>
          <w:tcPr>
            <w:tcW w:w="1453" w:type="dxa"/>
            <w:vAlign w:val="center"/>
          </w:tcPr>
          <w:p>
            <w:pPr>
              <w:jc w:val="center"/>
              <w:rPr>
                <w:color w:val="auto"/>
                <w:szCs w:val="21"/>
              </w:rPr>
            </w:pPr>
            <w:r>
              <w:rPr>
                <w:rFonts w:hint="eastAsia"/>
                <w:color w:val="auto"/>
                <w:szCs w:val="21"/>
              </w:rPr>
              <w:t>+</w:t>
            </w:r>
            <w:r>
              <w:rPr>
                <w:color w:val="auto"/>
                <w:szCs w:val="21"/>
              </w:rPr>
              <w:t>0.0089t/a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cs="Times New Roman"/>
                <w:b/>
                <w:bCs/>
                <w:color w:val="auto"/>
                <w:sz w:val="21"/>
                <w:szCs w:val="21"/>
              </w:rPr>
            </w:pPr>
            <w:r>
              <w:rPr>
                <w:rFonts w:ascii="Times New Roman" w:hAnsi="宋体" w:cs="Times New Roman"/>
                <w:color w:val="auto"/>
                <w:sz w:val="21"/>
                <w:szCs w:val="21"/>
              </w:rPr>
              <w:t>总磷（以</w:t>
            </w:r>
            <w:r>
              <w:rPr>
                <w:rFonts w:ascii="Times New Roman" w:cs="Times New Roman"/>
                <w:color w:val="auto"/>
                <w:sz w:val="21"/>
                <w:szCs w:val="21"/>
              </w:rPr>
              <w:t>P</w:t>
            </w:r>
            <w:r>
              <w:rPr>
                <w:rFonts w:ascii="Times New Roman" w:hAnsi="宋体" w:cs="Times New Roman"/>
                <w:color w:val="auto"/>
                <w:sz w:val="21"/>
                <w:szCs w:val="21"/>
              </w:rPr>
              <w:t>计）</w:t>
            </w:r>
          </w:p>
        </w:tc>
        <w:tc>
          <w:tcPr>
            <w:tcW w:w="1707" w:type="dxa"/>
            <w:vAlign w:val="center"/>
          </w:tcPr>
          <w:p>
            <w:pPr>
              <w:jc w:val="center"/>
              <w:rPr>
                <w:snapToGrid w:val="0"/>
                <w:color w:val="auto"/>
                <w:kern w:val="21"/>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color w:val="auto"/>
                <w:szCs w:val="21"/>
              </w:rPr>
              <w:t>0.001t/a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color w:val="auto"/>
                <w:szCs w:val="21"/>
              </w:rPr>
              <w:t>0.001t/a</w:t>
            </w:r>
          </w:p>
        </w:tc>
        <w:tc>
          <w:tcPr>
            <w:tcW w:w="1453" w:type="dxa"/>
            <w:vAlign w:val="center"/>
          </w:tcPr>
          <w:p>
            <w:pPr>
              <w:jc w:val="center"/>
              <w:rPr>
                <w:color w:val="auto"/>
                <w:szCs w:val="21"/>
              </w:rPr>
            </w:pPr>
            <w:r>
              <w:rPr>
                <w:rFonts w:hint="eastAsia"/>
                <w:color w:val="auto"/>
                <w:szCs w:val="21"/>
              </w:rPr>
              <w:t>+0.</w:t>
            </w:r>
            <w:r>
              <w:rPr>
                <w:color w:val="auto"/>
                <w:szCs w:val="21"/>
              </w:rPr>
              <w:t>001t/a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hAnsi="宋体" w:cs="Times New Roman"/>
                <w:color w:val="auto"/>
                <w:sz w:val="21"/>
                <w:szCs w:val="21"/>
              </w:rPr>
            </w:pPr>
            <w:r>
              <w:rPr>
                <w:rFonts w:hint="eastAsia" w:ascii="Times New Roman" w:hAnsi="宋体" w:cs="Times New Roman"/>
                <w:color w:val="auto"/>
                <w:sz w:val="21"/>
                <w:szCs w:val="21"/>
              </w:rPr>
              <w:t>粪大肠菌群</w:t>
            </w:r>
          </w:p>
        </w:tc>
        <w:tc>
          <w:tcPr>
            <w:tcW w:w="1707" w:type="dxa"/>
            <w:vAlign w:val="center"/>
          </w:tcPr>
          <w:p>
            <w:pPr>
              <w:jc w:val="center"/>
              <w:rPr>
                <w:color w:val="auto"/>
                <w:szCs w:val="21"/>
              </w:rPr>
            </w:pPr>
            <w:r>
              <w:rPr>
                <w:rFonts w:hint="eastAsia"/>
                <w:color w:val="auto"/>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rFonts w:hint="eastAsia"/>
                <w:color w:val="auto"/>
                <w:szCs w:val="21"/>
              </w:rPr>
              <w:t>4.51</w:t>
            </w:r>
            <w:r>
              <w:rPr>
                <w:rFonts w:hint="eastAsia" w:ascii="宋体" w:hAnsi="宋体"/>
                <w:color w:val="auto"/>
                <w:szCs w:val="21"/>
              </w:rPr>
              <w:t>×</w:t>
            </w:r>
            <w:r>
              <w:rPr>
                <w:rFonts w:hint="eastAsia"/>
                <w:color w:val="auto"/>
                <w:szCs w:val="21"/>
              </w:rPr>
              <w:t>10</w:t>
            </w:r>
            <w:r>
              <w:rPr>
                <w:rFonts w:hint="eastAsia"/>
                <w:color w:val="auto"/>
                <w:szCs w:val="21"/>
                <w:vertAlign w:val="superscript"/>
              </w:rPr>
              <w:t>7</w:t>
            </w:r>
            <w:r>
              <w:rPr>
                <w:rFonts w:hint="eastAsia"/>
                <w:color w:val="auto"/>
                <w:szCs w:val="21"/>
              </w:rPr>
              <w:t>MPN/a</w:t>
            </w:r>
          </w:p>
        </w:tc>
        <w:tc>
          <w:tcPr>
            <w:tcW w:w="1465" w:type="dxa"/>
            <w:vAlign w:val="center"/>
          </w:tcPr>
          <w:p>
            <w:pPr>
              <w:jc w:val="center"/>
              <w:rPr>
                <w:color w:val="auto"/>
                <w:szCs w:val="21"/>
              </w:rPr>
            </w:pPr>
          </w:p>
        </w:tc>
        <w:tc>
          <w:tcPr>
            <w:tcW w:w="1644" w:type="dxa"/>
            <w:vAlign w:val="center"/>
          </w:tcPr>
          <w:p>
            <w:pPr>
              <w:jc w:val="center"/>
              <w:rPr>
                <w:color w:val="auto"/>
                <w:szCs w:val="21"/>
              </w:rPr>
            </w:pPr>
            <w:r>
              <w:rPr>
                <w:rFonts w:hint="eastAsia"/>
                <w:color w:val="auto"/>
                <w:szCs w:val="21"/>
              </w:rPr>
              <w:t>4.51</w:t>
            </w:r>
            <w:r>
              <w:rPr>
                <w:rFonts w:hint="eastAsia" w:ascii="宋体" w:hAnsi="宋体"/>
                <w:color w:val="auto"/>
                <w:szCs w:val="21"/>
              </w:rPr>
              <w:t>×</w:t>
            </w:r>
            <w:r>
              <w:rPr>
                <w:rFonts w:hint="eastAsia"/>
                <w:color w:val="auto"/>
                <w:szCs w:val="21"/>
              </w:rPr>
              <w:t>10</w:t>
            </w:r>
            <w:r>
              <w:rPr>
                <w:rFonts w:hint="eastAsia"/>
                <w:color w:val="auto"/>
                <w:szCs w:val="21"/>
                <w:vertAlign w:val="superscript"/>
              </w:rPr>
              <w:t>7</w:t>
            </w:r>
            <w:r>
              <w:rPr>
                <w:rFonts w:hint="eastAsia"/>
                <w:color w:val="auto"/>
                <w:szCs w:val="21"/>
              </w:rPr>
              <w:t>MPN/a</w:t>
            </w:r>
          </w:p>
        </w:tc>
        <w:tc>
          <w:tcPr>
            <w:tcW w:w="1453" w:type="dxa"/>
            <w:vAlign w:val="center"/>
          </w:tcPr>
          <w:p>
            <w:pPr>
              <w:jc w:val="center"/>
              <w:rPr>
                <w:color w:val="auto"/>
                <w:szCs w:val="21"/>
              </w:rPr>
            </w:pPr>
            <w:r>
              <w:rPr>
                <w:rFonts w:hint="eastAsia"/>
                <w:color w:val="auto"/>
                <w:szCs w:val="21"/>
              </w:rPr>
              <w:t>+4.51</w:t>
            </w:r>
            <w:r>
              <w:rPr>
                <w:rFonts w:hint="eastAsia" w:ascii="宋体" w:hAnsi="宋体"/>
                <w:color w:val="auto"/>
                <w:szCs w:val="21"/>
              </w:rPr>
              <w:t>×</w:t>
            </w:r>
            <w:r>
              <w:rPr>
                <w:rFonts w:hint="eastAsia"/>
                <w:color w:val="auto"/>
                <w:szCs w:val="21"/>
              </w:rPr>
              <w:t>10</w:t>
            </w:r>
            <w:r>
              <w:rPr>
                <w:rFonts w:hint="eastAsia"/>
                <w:color w:val="auto"/>
                <w:szCs w:val="21"/>
                <w:vertAlign w:val="superscript"/>
              </w:rPr>
              <w:t>7</w:t>
            </w:r>
            <w:r>
              <w:rPr>
                <w:rFonts w:hint="eastAsia"/>
                <w:color w:val="auto"/>
                <w:szCs w:val="21"/>
              </w:rPr>
              <w:t>MPN/a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93" w:type="dxa"/>
            <w:vMerge w:val="restart"/>
            <w:vAlign w:val="center"/>
          </w:tcPr>
          <w:p>
            <w:pPr>
              <w:pStyle w:val="31"/>
              <w:spacing w:beforeLines="0" w:afterLines="0" w:line="240" w:lineRule="auto"/>
              <w:rPr>
                <w:rFonts w:ascii="Times New Roman"/>
                <w:snapToGrid w:val="0"/>
                <w:color w:val="auto"/>
                <w:kern w:val="21"/>
                <w:szCs w:val="21"/>
              </w:rPr>
            </w:pPr>
            <w:r>
              <w:rPr>
                <w:rFonts w:ascii="Times New Roman" w:hAnsi="宋体"/>
                <w:snapToGrid w:val="0"/>
                <w:color w:val="auto"/>
                <w:kern w:val="21"/>
                <w:szCs w:val="21"/>
              </w:rPr>
              <w:t>一般</w:t>
            </w:r>
          </w:p>
          <w:p>
            <w:pPr>
              <w:pStyle w:val="31"/>
              <w:spacing w:beforeLines="0" w:afterLines="0" w:line="240" w:lineRule="auto"/>
              <w:rPr>
                <w:rFonts w:ascii="Times New Roman"/>
                <w:snapToGrid w:val="0"/>
                <w:color w:val="auto"/>
                <w:kern w:val="21"/>
                <w:szCs w:val="21"/>
              </w:rPr>
            </w:pPr>
            <w:r>
              <w:rPr>
                <w:rFonts w:ascii="Times New Roman" w:hAnsi="宋体"/>
                <w:snapToGrid w:val="0"/>
                <w:color w:val="auto"/>
                <w:kern w:val="21"/>
                <w:szCs w:val="21"/>
              </w:rPr>
              <w:t>固体废物</w:t>
            </w:r>
          </w:p>
        </w:tc>
        <w:tc>
          <w:tcPr>
            <w:tcW w:w="1422" w:type="dxa"/>
            <w:vAlign w:val="center"/>
          </w:tcPr>
          <w:p>
            <w:pPr>
              <w:pStyle w:val="2"/>
              <w:jc w:val="center"/>
              <w:rPr>
                <w:rFonts w:ascii="Times New Roman" w:cs="Times New Roman"/>
                <w:color w:val="auto"/>
                <w:kern w:val="2"/>
                <w:sz w:val="21"/>
                <w:szCs w:val="21"/>
              </w:rPr>
            </w:pPr>
            <w:r>
              <w:rPr>
                <w:rFonts w:hint="eastAsia" w:ascii="Times New Roman" w:hAnsi="宋体" w:cs="Times New Roman"/>
                <w:color w:val="auto"/>
                <w:sz w:val="21"/>
                <w:szCs w:val="21"/>
              </w:rPr>
              <w:t>生活垃圾</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rFonts w:hint="eastAsia"/>
                <w:color w:val="auto"/>
                <w:szCs w:val="21"/>
              </w:rPr>
              <w:t>1.485t/a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rFonts w:hint="eastAsia"/>
                <w:color w:val="auto"/>
                <w:szCs w:val="21"/>
              </w:rPr>
              <w:t>1.485t/a</w:t>
            </w:r>
          </w:p>
        </w:tc>
        <w:tc>
          <w:tcPr>
            <w:tcW w:w="1453" w:type="dxa"/>
            <w:vAlign w:val="center"/>
          </w:tcPr>
          <w:p>
            <w:pPr>
              <w:jc w:val="center"/>
              <w:rPr>
                <w:color w:val="auto"/>
                <w:szCs w:val="21"/>
              </w:rPr>
            </w:pPr>
            <w:r>
              <w:rPr>
                <w:rFonts w:hint="eastAsia"/>
                <w:color w:val="auto"/>
                <w:szCs w:val="21"/>
              </w:rPr>
              <w:t>+0.165t/a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cs="Times New Roman"/>
                <w:color w:val="auto"/>
                <w:kern w:val="2"/>
                <w:sz w:val="21"/>
                <w:szCs w:val="21"/>
              </w:rPr>
            </w:pPr>
            <w:r>
              <w:rPr>
                <w:rFonts w:hint="eastAsia" w:ascii="Times New Roman" w:hAnsi="宋体" w:cs="Times New Roman"/>
                <w:color w:val="auto"/>
                <w:sz w:val="21"/>
                <w:szCs w:val="21"/>
              </w:rPr>
              <w:t>宠物美容垃圾</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rFonts w:hint="eastAsia"/>
                <w:color w:val="auto"/>
                <w:szCs w:val="21"/>
              </w:rPr>
              <w:t>0.165t/a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rFonts w:hint="eastAsia"/>
                <w:color w:val="auto"/>
                <w:szCs w:val="21"/>
              </w:rPr>
              <w:t>0.165t/a</w:t>
            </w:r>
          </w:p>
        </w:tc>
        <w:tc>
          <w:tcPr>
            <w:tcW w:w="1453" w:type="dxa"/>
            <w:vAlign w:val="center"/>
          </w:tcPr>
          <w:p>
            <w:pPr>
              <w:jc w:val="center"/>
              <w:rPr>
                <w:color w:val="auto"/>
                <w:szCs w:val="21"/>
              </w:rPr>
            </w:pPr>
            <w:r>
              <w:rPr>
                <w:rFonts w:hint="eastAsia"/>
                <w:color w:val="auto"/>
                <w:szCs w:val="21"/>
              </w:rPr>
              <w:t>+0.165t/a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93" w:type="dxa"/>
            <w:vMerge w:val="continue"/>
            <w:vAlign w:val="center"/>
          </w:tcPr>
          <w:p>
            <w:pPr>
              <w:pStyle w:val="31"/>
              <w:spacing w:beforeLines="0" w:afterLines="0" w:line="240" w:lineRule="auto"/>
              <w:rPr>
                <w:rFonts w:ascii="Times New Roman"/>
                <w:snapToGrid w:val="0"/>
                <w:color w:val="auto"/>
                <w:kern w:val="21"/>
                <w:szCs w:val="21"/>
              </w:rPr>
            </w:pPr>
          </w:p>
        </w:tc>
        <w:tc>
          <w:tcPr>
            <w:tcW w:w="1422" w:type="dxa"/>
            <w:vAlign w:val="center"/>
          </w:tcPr>
          <w:p>
            <w:pPr>
              <w:pStyle w:val="2"/>
              <w:jc w:val="center"/>
              <w:rPr>
                <w:rFonts w:ascii="Times New Roman" w:hAnsi="宋体" w:cs="Times New Roman"/>
                <w:color w:val="auto"/>
                <w:sz w:val="21"/>
                <w:szCs w:val="21"/>
              </w:rPr>
            </w:pPr>
            <w:r>
              <w:rPr>
                <w:rFonts w:hint="eastAsia" w:ascii="Times New Roman" w:hAnsi="宋体" w:cs="Times New Roman"/>
                <w:color w:val="auto"/>
                <w:sz w:val="21"/>
                <w:szCs w:val="21"/>
              </w:rPr>
              <w:t>宠物粪便</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color w:val="auto"/>
                <w:szCs w:val="21"/>
              </w:rPr>
              <w:t>0.218</w:t>
            </w:r>
            <w:r>
              <w:rPr>
                <w:rFonts w:hint="eastAsia"/>
                <w:color w:val="auto"/>
                <w:szCs w:val="21"/>
              </w:rPr>
              <w:t>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color w:val="auto"/>
                <w:szCs w:val="21"/>
              </w:rPr>
              <w:t>0.218</w:t>
            </w:r>
            <w:r>
              <w:rPr>
                <w:rFonts w:hint="eastAsia"/>
                <w:color w:val="auto"/>
                <w:szCs w:val="21"/>
              </w:rPr>
              <w:t>t/a</w:t>
            </w:r>
          </w:p>
        </w:tc>
        <w:tc>
          <w:tcPr>
            <w:tcW w:w="1453" w:type="dxa"/>
            <w:vAlign w:val="center"/>
          </w:tcPr>
          <w:p>
            <w:pPr>
              <w:jc w:val="center"/>
              <w:rPr>
                <w:color w:val="auto"/>
                <w:szCs w:val="21"/>
              </w:rPr>
            </w:pPr>
            <w:r>
              <w:rPr>
                <w:rFonts w:hint="eastAsia"/>
                <w:color w:val="auto"/>
                <w:szCs w:val="21"/>
              </w:rPr>
              <w:t>+</w:t>
            </w:r>
            <w:r>
              <w:rPr>
                <w:color w:val="auto"/>
                <w:szCs w:val="21"/>
              </w:rPr>
              <w:t>0.218</w:t>
            </w:r>
            <w:r>
              <w:rPr>
                <w:rFonts w:hint="eastAsia"/>
                <w:color w:val="auto"/>
                <w:szCs w:val="21"/>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93" w:type="dxa"/>
            <w:vAlign w:val="center"/>
          </w:tcPr>
          <w:p>
            <w:pPr>
              <w:pStyle w:val="31"/>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危险废物</w:t>
            </w:r>
          </w:p>
        </w:tc>
        <w:tc>
          <w:tcPr>
            <w:tcW w:w="1422" w:type="dxa"/>
            <w:vAlign w:val="center"/>
          </w:tcPr>
          <w:p>
            <w:pPr>
              <w:pStyle w:val="2"/>
              <w:jc w:val="center"/>
              <w:rPr>
                <w:rFonts w:ascii="Times New Roman" w:hAnsi="宋体" w:cs="Times New Roman"/>
                <w:color w:val="auto"/>
                <w:sz w:val="21"/>
                <w:szCs w:val="21"/>
              </w:rPr>
            </w:pPr>
            <w:r>
              <w:rPr>
                <w:rFonts w:hint="eastAsia" w:ascii="Times New Roman" w:hAnsi="宋体" w:cs="Times New Roman"/>
                <w:color w:val="auto"/>
                <w:sz w:val="21"/>
                <w:szCs w:val="21"/>
              </w:rPr>
              <w:t>医疗废物</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280" w:type="dxa"/>
            <w:vAlign w:val="center"/>
          </w:tcPr>
          <w:p>
            <w:pPr>
              <w:jc w:val="center"/>
              <w:rPr>
                <w:snapToGrid w:val="0"/>
                <w:color w:val="auto"/>
                <w:kern w:val="21"/>
                <w:szCs w:val="21"/>
              </w:rPr>
            </w:pPr>
            <w:r>
              <w:rPr>
                <w:rFonts w:hint="eastAsia"/>
                <w:snapToGrid w:val="0"/>
                <w:color w:val="auto"/>
                <w:kern w:val="21"/>
                <w:szCs w:val="21"/>
              </w:rPr>
              <w:t>0</w:t>
            </w:r>
          </w:p>
        </w:tc>
        <w:tc>
          <w:tcPr>
            <w:tcW w:w="1707" w:type="dxa"/>
            <w:vAlign w:val="center"/>
          </w:tcPr>
          <w:p>
            <w:pPr>
              <w:jc w:val="center"/>
              <w:rPr>
                <w:snapToGrid w:val="0"/>
                <w:color w:val="auto"/>
                <w:kern w:val="21"/>
                <w:szCs w:val="21"/>
              </w:rPr>
            </w:pPr>
            <w:r>
              <w:rPr>
                <w:rFonts w:hint="eastAsia"/>
                <w:snapToGrid w:val="0"/>
                <w:color w:val="auto"/>
                <w:kern w:val="21"/>
                <w:szCs w:val="21"/>
              </w:rPr>
              <w:t>0</w:t>
            </w:r>
          </w:p>
        </w:tc>
        <w:tc>
          <w:tcPr>
            <w:tcW w:w="1564" w:type="dxa"/>
            <w:vAlign w:val="center"/>
          </w:tcPr>
          <w:p>
            <w:pPr>
              <w:jc w:val="center"/>
              <w:rPr>
                <w:color w:val="auto"/>
                <w:szCs w:val="21"/>
              </w:rPr>
            </w:pPr>
            <w:r>
              <w:rPr>
                <w:rFonts w:hint="eastAsia"/>
                <w:color w:val="auto"/>
                <w:szCs w:val="21"/>
              </w:rPr>
              <w:t>0.099t/a</w:t>
            </w:r>
          </w:p>
        </w:tc>
        <w:tc>
          <w:tcPr>
            <w:tcW w:w="1465" w:type="dxa"/>
            <w:vAlign w:val="center"/>
          </w:tcPr>
          <w:p>
            <w:pPr>
              <w:jc w:val="center"/>
              <w:rPr>
                <w:color w:val="auto"/>
                <w:szCs w:val="21"/>
              </w:rPr>
            </w:pPr>
            <w:r>
              <w:rPr>
                <w:color w:val="auto"/>
                <w:szCs w:val="21"/>
              </w:rPr>
              <w:t>/</w:t>
            </w:r>
          </w:p>
        </w:tc>
        <w:tc>
          <w:tcPr>
            <w:tcW w:w="1644" w:type="dxa"/>
            <w:vAlign w:val="center"/>
          </w:tcPr>
          <w:p>
            <w:pPr>
              <w:jc w:val="center"/>
              <w:rPr>
                <w:color w:val="auto"/>
                <w:szCs w:val="21"/>
              </w:rPr>
            </w:pPr>
            <w:r>
              <w:rPr>
                <w:rFonts w:hint="eastAsia"/>
                <w:color w:val="auto"/>
                <w:szCs w:val="21"/>
              </w:rPr>
              <w:t>0.099t/a</w:t>
            </w:r>
          </w:p>
        </w:tc>
        <w:tc>
          <w:tcPr>
            <w:tcW w:w="1453" w:type="dxa"/>
            <w:vAlign w:val="center"/>
          </w:tcPr>
          <w:p>
            <w:pPr>
              <w:jc w:val="center"/>
              <w:rPr>
                <w:color w:val="auto"/>
                <w:szCs w:val="21"/>
              </w:rPr>
            </w:pPr>
            <w:r>
              <w:rPr>
                <w:rFonts w:hint="eastAsia"/>
                <w:color w:val="auto"/>
                <w:szCs w:val="21"/>
              </w:rPr>
              <w:t>+0.099t/a</w:t>
            </w:r>
          </w:p>
        </w:tc>
      </w:tr>
    </w:tbl>
    <w:p>
      <w:pPr>
        <w:pStyle w:val="31"/>
        <w:spacing w:before="192" w:beforeLines="80" w:after="24"/>
        <w:jc w:val="left"/>
        <w:rPr>
          <w:rFonts w:hAnsi="宋体"/>
          <w:snapToGrid w:val="0"/>
          <w:color w:val="auto"/>
          <w:spacing w:val="-6"/>
          <w:kern w:val="21"/>
          <w:szCs w:val="21"/>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p>
      <w:pPr>
        <w:pStyle w:val="2"/>
        <w:rPr>
          <w:color w:val="auto"/>
        </w:rPr>
        <w:sectPr>
          <w:footerReference r:id="rId6" w:type="default"/>
          <w:pgSz w:w="16838" w:h="11906" w:orient="landscape"/>
          <w:pgMar w:top="1531" w:right="1701" w:bottom="1531" w:left="1701" w:header="851" w:footer="851" w:gutter="0"/>
          <w:cols w:space="720" w:num="1"/>
          <w:docGrid w:linePitch="312" w:charSpace="0"/>
        </w:sectPr>
      </w:pPr>
    </w:p>
    <w:p>
      <w:pPr>
        <w:pStyle w:val="2"/>
      </w:pPr>
    </w:p>
    <w:sectPr>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汉鼎简老宋">
    <w:altName w:val="宋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4"/>
      </w:rPr>
    </w:pPr>
    <w:r>
      <w:fldChar w:fldCharType="begin"/>
    </w:r>
    <w:r>
      <w:rPr>
        <w:rStyle w:val="24"/>
      </w:rPr>
      <w:instrText xml:space="preserve">PAGE  </w:instrText>
    </w:r>
    <w: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4"/>
        <w:sz w:val="21"/>
        <w:szCs w:val="21"/>
      </w:rPr>
    </w:pPr>
    <w:r>
      <w:rPr>
        <w:sz w:val="21"/>
        <w:szCs w:val="21"/>
      </w:rPr>
      <w:fldChar w:fldCharType="begin"/>
    </w:r>
    <w:r>
      <w:rPr>
        <w:rStyle w:val="24"/>
        <w:sz w:val="21"/>
        <w:szCs w:val="21"/>
      </w:rPr>
      <w:instrText xml:space="preserve">PAGE  </w:instrText>
    </w:r>
    <w:r>
      <w:rPr>
        <w:sz w:val="21"/>
        <w:szCs w:val="21"/>
      </w:rPr>
      <w:fldChar w:fldCharType="separate"/>
    </w:r>
    <w:r>
      <w:rPr>
        <w:rStyle w:val="24"/>
        <w:sz w:val="21"/>
        <w:szCs w:val="21"/>
      </w:rPr>
      <w:t>32</w:t>
    </w:r>
    <w:r>
      <w:rPr>
        <w:sz w:val="21"/>
        <w:szCs w:val="21"/>
      </w:rPr>
      <w:fldChar w:fldCharType="end"/>
    </w:r>
  </w:p>
  <w:p>
    <w:pPr>
      <w:pStyle w:val="14"/>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HorizontalSpacing w:val="105"/>
  <w:drawingGridVerticalSpacing w:val="156"/>
  <w:displayHorizont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U2NzQ3MWQ4MTBlZmFhNTAzYWU5YTc2YTg0ZDQxMTkifQ=="/>
  </w:docVars>
  <w:rsids>
    <w:rsidRoot w:val="00A14947"/>
    <w:rsid w:val="000026F4"/>
    <w:rsid w:val="00003835"/>
    <w:rsid w:val="00003B77"/>
    <w:rsid w:val="000040B8"/>
    <w:rsid w:val="00004D59"/>
    <w:rsid w:val="000060B3"/>
    <w:rsid w:val="00010B6C"/>
    <w:rsid w:val="00013583"/>
    <w:rsid w:val="00013892"/>
    <w:rsid w:val="0002160E"/>
    <w:rsid w:val="0002385C"/>
    <w:rsid w:val="00032363"/>
    <w:rsid w:val="00033E23"/>
    <w:rsid w:val="0003747B"/>
    <w:rsid w:val="0004364B"/>
    <w:rsid w:val="00061B1F"/>
    <w:rsid w:val="00062078"/>
    <w:rsid w:val="000638B5"/>
    <w:rsid w:val="000664D2"/>
    <w:rsid w:val="0007047E"/>
    <w:rsid w:val="00073196"/>
    <w:rsid w:val="000733C4"/>
    <w:rsid w:val="00074783"/>
    <w:rsid w:val="0008070B"/>
    <w:rsid w:val="000810AC"/>
    <w:rsid w:val="00081A02"/>
    <w:rsid w:val="00082231"/>
    <w:rsid w:val="00085361"/>
    <w:rsid w:val="0008572A"/>
    <w:rsid w:val="000908D8"/>
    <w:rsid w:val="0009290A"/>
    <w:rsid w:val="00092D38"/>
    <w:rsid w:val="0009377B"/>
    <w:rsid w:val="000A20C9"/>
    <w:rsid w:val="000A2E34"/>
    <w:rsid w:val="000A5DB9"/>
    <w:rsid w:val="000B02F3"/>
    <w:rsid w:val="000B058F"/>
    <w:rsid w:val="000B4467"/>
    <w:rsid w:val="000B4DB9"/>
    <w:rsid w:val="000B751E"/>
    <w:rsid w:val="000C09AC"/>
    <w:rsid w:val="000C547C"/>
    <w:rsid w:val="000C767F"/>
    <w:rsid w:val="000D5A44"/>
    <w:rsid w:val="000D63FB"/>
    <w:rsid w:val="000E3ED2"/>
    <w:rsid w:val="00101C81"/>
    <w:rsid w:val="00110B62"/>
    <w:rsid w:val="00114A8E"/>
    <w:rsid w:val="00115087"/>
    <w:rsid w:val="00120C2E"/>
    <w:rsid w:val="00123074"/>
    <w:rsid w:val="00123375"/>
    <w:rsid w:val="00124158"/>
    <w:rsid w:val="00124292"/>
    <w:rsid w:val="00124E71"/>
    <w:rsid w:val="00131F42"/>
    <w:rsid w:val="0013440D"/>
    <w:rsid w:val="001357F1"/>
    <w:rsid w:val="00136A47"/>
    <w:rsid w:val="00140FA8"/>
    <w:rsid w:val="00142FEB"/>
    <w:rsid w:val="00143A2D"/>
    <w:rsid w:val="00145A41"/>
    <w:rsid w:val="00145E07"/>
    <w:rsid w:val="00151675"/>
    <w:rsid w:val="00152722"/>
    <w:rsid w:val="00154D89"/>
    <w:rsid w:val="00157435"/>
    <w:rsid w:val="0015763F"/>
    <w:rsid w:val="00157884"/>
    <w:rsid w:val="001619C9"/>
    <w:rsid w:val="00162787"/>
    <w:rsid w:val="00173F15"/>
    <w:rsid w:val="0017504D"/>
    <w:rsid w:val="0017671A"/>
    <w:rsid w:val="00177422"/>
    <w:rsid w:val="001834AE"/>
    <w:rsid w:val="00184590"/>
    <w:rsid w:val="001870D1"/>
    <w:rsid w:val="0018781E"/>
    <w:rsid w:val="0019262D"/>
    <w:rsid w:val="00195F41"/>
    <w:rsid w:val="00196AEC"/>
    <w:rsid w:val="001A07F3"/>
    <w:rsid w:val="001A1B35"/>
    <w:rsid w:val="001A1DF6"/>
    <w:rsid w:val="001A2675"/>
    <w:rsid w:val="001A48A2"/>
    <w:rsid w:val="001A6F61"/>
    <w:rsid w:val="001B5652"/>
    <w:rsid w:val="001B72B8"/>
    <w:rsid w:val="001C311D"/>
    <w:rsid w:val="001C69B3"/>
    <w:rsid w:val="001C7C3C"/>
    <w:rsid w:val="001D4E16"/>
    <w:rsid w:val="001D5595"/>
    <w:rsid w:val="001D598C"/>
    <w:rsid w:val="001D7874"/>
    <w:rsid w:val="001D7A06"/>
    <w:rsid w:val="001D7F22"/>
    <w:rsid w:val="001F0F17"/>
    <w:rsid w:val="001F0F8D"/>
    <w:rsid w:val="001F1C57"/>
    <w:rsid w:val="001F3347"/>
    <w:rsid w:val="001F4480"/>
    <w:rsid w:val="001F69E4"/>
    <w:rsid w:val="00203D5F"/>
    <w:rsid w:val="002125B4"/>
    <w:rsid w:val="002155B8"/>
    <w:rsid w:val="002231C3"/>
    <w:rsid w:val="00224839"/>
    <w:rsid w:val="002249B2"/>
    <w:rsid w:val="00226574"/>
    <w:rsid w:val="002278EC"/>
    <w:rsid w:val="0023280E"/>
    <w:rsid w:val="0023374E"/>
    <w:rsid w:val="002376C2"/>
    <w:rsid w:val="002377D1"/>
    <w:rsid w:val="00237AC3"/>
    <w:rsid w:val="00242D94"/>
    <w:rsid w:val="00244D73"/>
    <w:rsid w:val="002506BC"/>
    <w:rsid w:val="00254345"/>
    <w:rsid w:val="00254C4B"/>
    <w:rsid w:val="00261B02"/>
    <w:rsid w:val="00264557"/>
    <w:rsid w:val="00266BEB"/>
    <w:rsid w:val="002670A2"/>
    <w:rsid w:val="0027208A"/>
    <w:rsid w:val="00273FC4"/>
    <w:rsid w:val="0027688F"/>
    <w:rsid w:val="00277D46"/>
    <w:rsid w:val="002805AB"/>
    <w:rsid w:val="00284204"/>
    <w:rsid w:val="00287C73"/>
    <w:rsid w:val="0029144F"/>
    <w:rsid w:val="00291773"/>
    <w:rsid w:val="00294C5C"/>
    <w:rsid w:val="0029597D"/>
    <w:rsid w:val="002A168C"/>
    <w:rsid w:val="002A3DC7"/>
    <w:rsid w:val="002B0E28"/>
    <w:rsid w:val="002B10A0"/>
    <w:rsid w:val="002B1A25"/>
    <w:rsid w:val="002B2B36"/>
    <w:rsid w:val="002B3376"/>
    <w:rsid w:val="002B49E2"/>
    <w:rsid w:val="002B4A14"/>
    <w:rsid w:val="002B6DE8"/>
    <w:rsid w:val="002B7B00"/>
    <w:rsid w:val="002B7C44"/>
    <w:rsid w:val="002C10FC"/>
    <w:rsid w:val="002C2B17"/>
    <w:rsid w:val="002C3DF1"/>
    <w:rsid w:val="002C5B07"/>
    <w:rsid w:val="002C6C42"/>
    <w:rsid w:val="002C7000"/>
    <w:rsid w:val="002C7DCE"/>
    <w:rsid w:val="002D3DD0"/>
    <w:rsid w:val="002D405E"/>
    <w:rsid w:val="002E0C85"/>
    <w:rsid w:val="002E1F3A"/>
    <w:rsid w:val="002E298A"/>
    <w:rsid w:val="002E2EF4"/>
    <w:rsid w:val="002E3066"/>
    <w:rsid w:val="002E78B1"/>
    <w:rsid w:val="00300109"/>
    <w:rsid w:val="00301978"/>
    <w:rsid w:val="0030332C"/>
    <w:rsid w:val="00303A50"/>
    <w:rsid w:val="003051C2"/>
    <w:rsid w:val="0031031C"/>
    <w:rsid w:val="00312296"/>
    <w:rsid w:val="00314F0E"/>
    <w:rsid w:val="00321D8E"/>
    <w:rsid w:val="00325928"/>
    <w:rsid w:val="00330C9F"/>
    <w:rsid w:val="0033204C"/>
    <w:rsid w:val="00332863"/>
    <w:rsid w:val="003329C0"/>
    <w:rsid w:val="0033684D"/>
    <w:rsid w:val="00337B42"/>
    <w:rsid w:val="00341B42"/>
    <w:rsid w:val="0034348F"/>
    <w:rsid w:val="003465DA"/>
    <w:rsid w:val="00350519"/>
    <w:rsid w:val="0035244C"/>
    <w:rsid w:val="003533BB"/>
    <w:rsid w:val="003536E3"/>
    <w:rsid w:val="00356653"/>
    <w:rsid w:val="0035743F"/>
    <w:rsid w:val="00357888"/>
    <w:rsid w:val="00357BE2"/>
    <w:rsid w:val="0036170C"/>
    <w:rsid w:val="00363B1F"/>
    <w:rsid w:val="003668B0"/>
    <w:rsid w:val="00366DED"/>
    <w:rsid w:val="00366E0F"/>
    <w:rsid w:val="003715F1"/>
    <w:rsid w:val="003737DF"/>
    <w:rsid w:val="00381A72"/>
    <w:rsid w:val="00384676"/>
    <w:rsid w:val="003871FA"/>
    <w:rsid w:val="00390857"/>
    <w:rsid w:val="003A0149"/>
    <w:rsid w:val="003A4BF3"/>
    <w:rsid w:val="003A6857"/>
    <w:rsid w:val="003A7807"/>
    <w:rsid w:val="003B26E4"/>
    <w:rsid w:val="003B3733"/>
    <w:rsid w:val="003B420D"/>
    <w:rsid w:val="003C0F37"/>
    <w:rsid w:val="003C6C16"/>
    <w:rsid w:val="003D4CB4"/>
    <w:rsid w:val="003D794D"/>
    <w:rsid w:val="003E144E"/>
    <w:rsid w:val="003E2043"/>
    <w:rsid w:val="003E3058"/>
    <w:rsid w:val="003E76A9"/>
    <w:rsid w:val="003F0809"/>
    <w:rsid w:val="003F51A3"/>
    <w:rsid w:val="003F687B"/>
    <w:rsid w:val="003F6A8C"/>
    <w:rsid w:val="003F755C"/>
    <w:rsid w:val="003F76F5"/>
    <w:rsid w:val="00400EB2"/>
    <w:rsid w:val="00404ED9"/>
    <w:rsid w:val="004050A2"/>
    <w:rsid w:val="00405AEB"/>
    <w:rsid w:val="00405BE2"/>
    <w:rsid w:val="00406F01"/>
    <w:rsid w:val="004123CF"/>
    <w:rsid w:val="00414B56"/>
    <w:rsid w:val="00415AA1"/>
    <w:rsid w:val="00416D50"/>
    <w:rsid w:val="00416FD5"/>
    <w:rsid w:val="00417772"/>
    <w:rsid w:val="00420E6A"/>
    <w:rsid w:val="00425A9E"/>
    <w:rsid w:val="00426D6B"/>
    <w:rsid w:val="00427027"/>
    <w:rsid w:val="00431E6C"/>
    <w:rsid w:val="00433CE7"/>
    <w:rsid w:val="0043620E"/>
    <w:rsid w:val="00440079"/>
    <w:rsid w:val="0044413F"/>
    <w:rsid w:val="00444FED"/>
    <w:rsid w:val="00452738"/>
    <w:rsid w:val="00453BEE"/>
    <w:rsid w:val="00456091"/>
    <w:rsid w:val="00456935"/>
    <w:rsid w:val="00466321"/>
    <w:rsid w:val="00484B9B"/>
    <w:rsid w:val="004855F6"/>
    <w:rsid w:val="00485EAB"/>
    <w:rsid w:val="0048661E"/>
    <w:rsid w:val="00490B44"/>
    <w:rsid w:val="00491584"/>
    <w:rsid w:val="00494670"/>
    <w:rsid w:val="004A3823"/>
    <w:rsid w:val="004A7FD3"/>
    <w:rsid w:val="004B2C6F"/>
    <w:rsid w:val="004C347A"/>
    <w:rsid w:val="004D23D3"/>
    <w:rsid w:val="004D4155"/>
    <w:rsid w:val="004D686C"/>
    <w:rsid w:val="004E2E75"/>
    <w:rsid w:val="004E6946"/>
    <w:rsid w:val="004F1266"/>
    <w:rsid w:val="004F1AD8"/>
    <w:rsid w:val="004F306A"/>
    <w:rsid w:val="004F372E"/>
    <w:rsid w:val="004F45BC"/>
    <w:rsid w:val="005039CB"/>
    <w:rsid w:val="0050558F"/>
    <w:rsid w:val="00506286"/>
    <w:rsid w:val="00510513"/>
    <w:rsid w:val="00510564"/>
    <w:rsid w:val="00510813"/>
    <w:rsid w:val="00511990"/>
    <w:rsid w:val="00511DE0"/>
    <w:rsid w:val="00514870"/>
    <w:rsid w:val="00514B9B"/>
    <w:rsid w:val="00517F02"/>
    <w:rsid w:val="00520256"/>
    <w:rsid w:val="00523C1E"/>
    <w:rsid w:val="00524303"/>
    <w:rsid w:val="005258A2"/>
    <w:rsid w:val="005274F8"/>
    <w:rsid w:val="005401AE"/>
    <w:rsid w:val="00542E07"/>
    <w:rsid w:val="00545424"/>
    <w:rsid w:val="0055404E"/>
    <w:rsid w:val="00554A7B"/>
    <w:rsid w:val="0055572C"/>
    <w:rsid w:val="00557D3C"/>
    <w:rsid w:val="0056106A"/>
    <w:rsid w:val="00563C0D"/>
    <w:rsid w:val="005720AE"/>
    <w:rsid w:val="00580049"/>
    <w:rsid w:val="0059440E"/>
    <w:rsid w:val="00594D77"/>
    <w:rsid w:val="005969E4"/>
    <w:rsid w:val="00597A5C"/>
    <w:rsid w:val="005A06B7"/>
    <w:rsid w:val="005A1759"/>
    <w:rsid w:val="005A4002"/>
    <w:rsid w:val="005A5471"/>
    <w:rsid w:val="005A68A7"/>
    <w:rsid w:val="005A7076"/>
    <w:rsid w:val="005A77B1"/>
    <w:rsid w:val="005B3C0A"/>
    <w:rsid w:val="005B7CD0"/>
    <w:rsid w:val="005C0109"/>
    <w:rsid w:val="005C59DC"/>
    <w:rsid w:val="005C703F"/>
    <w:rsid w:val="005D15F5"/>
    <w:rsid w:val="005D2163"/>
    <w:rsid w:val="005D2713"/>
    <w:rsid w:val="005D36AB"/>
    <w:rsid w:val="005E06E0"/>
    <w:rsid w:val="005E3BC4"/>
    <w:rsid w:val="005F5F9B"/>
    <w:rsid w:val="005F718B"/>
    <w:rsid w:val="00613F13"/>
    <w:rsid w:val="006147B4"/>
    <w:rsid w:val="00615679"/>
    <w:rsid w:val="00617CC3"/>
    <w:rsid w:val="0062519C"/>
    <w:rsid w:val="0063210D"/>
    <w:rsid w:val="006377A6"/>
    <w:rsid w:val="00637A3D"/>
    <w:rsid w:val="006411EF"/>
    <w:rsid w:val="0064407C"/>
    <w:rsid w:val="00645DB6"/>
    <w:rsid w:val="00656DCF"/>
    <w:rsid w:val="00664F1C"/>
    <w:rsid w:val="00667136"/>
    <w:rsid w:val="0067023A"/>
    <w:rsid w:val="00671D9C"/>
    <w:rsid w:val="00672694"/>
    <w:rsid w:val="006735FD"/>
    <w:rsid w:val="006748B8"/>
    <w:rsid w:val="00675DE9"/>
    <w:rsid w:val="006775C3"/>
    <w:rsid w:val="00680A23"/>
    <w:rsid w:val="00686DD3"/>
    <w:rsid w:val="006878DD"/>
    <w:rsid w:val="00691F85"/>
    <w:rsid w:val="0069290A"/>
    <w:rsid w:val="00694BFA"/>
    <w:rsid w:val="0069775A"/>
    <w:rsid w:val="00697813"/>
    <w:rsid w:val="006A0B09"/>
    <w:rsid w:val="006A3EE8"/>
    <w:rsid w:val="006A5853"/>
    <w:rsid w:val="006A72BF"/>
    <w:rsid w:val="006B03F2"/>
    <w:rsid w:val="006B2F16"/>
    <w:rsid w:val="006B37DC"/>
    <w:rsid w:val="006B4F68"/>
    <w:rsid w:val="006C0592"/>
    <w:rsid w:val="006C272E"/>
    <w:rsid w:val="006C3583"/>
    <w:rsid w:val="006C5479"/>
    <w:rsid w:val="006D13B5"/>
    <w:rsid w:val="006D2F21"/>
    <w:rsid w:val="006E12FF"/>
    <w:rsid w:val="006E57DD"/>
    <w:rsid w:val="006E6028"/>
    <w:rsid w:val="006E607E"/>
    <w:rsid w:val="006F2D2F"/>
    <w:rsid w:val="006F4B2E"/>
    <w:rsid w:val="00702004"/>
    <w:rsid w:val="00704768"/>
    <w:rsid w:val="00705628"/>
    <w:rsid w:val="00706C5D"/>
    <w:rsid w:val="00732922"/>
    <w:rsid w:val="0073369B"/>
    <w:rsid w:val="007373E9"/>
    <w:rsid w:val="0074248A"/>
    <w:rsid w:val="00744412"/>
    <w:rsid w:val="0075162E"/>
    <w:rsid w:val="00754034"/>
    <w:rsid w:val="00756556"/>
    <w:rsid w:val="007618C4"/>
    <w:rsid w:val="00761D54"/>
    <w:rsid w:val="00767980"/>
    <w:rsid w:val="00770B19"/>
    <w:rsid w:val="007719D0"/>
    <w:rsid w:val="0077459F"/>
    <w:rsid w:val="0077463F"/>
    <w:rsid w:val="00774B83"/>
    <w:rsid w:val="00776ACC"/>
    <w:rsid w:val="007836EA"/>
    <w:rsid w:val="00784CDA"/>
    <w:rsid w:val="0078724D"/>
    <w:rsid w:val="007906C4"/>
    <w:rsid w:val="00791A19"/>
    <w:rsid w:val="007940EA"/>
    <w:rsid w:val="007967E8"/>
    <w:rsid w:val="007A2170"/>
    <w:rsid w:val="007A22BF"/>
    <w:rsid w:val="007A2D46"/>
    <w:rsid w:val="007A3323"/>
    <w:rsid w:val="007A4F6D"/>
    <w:rsid w:val="007A5489"/>
    <w:rsid w:val="007B17EC"/>
    <w:rsid w:val="007B2C34"/>
    <w:rsid w:val="007B72B8"/>
    <w:rsid w:val="007B7A58"/>
    <w:rsid w:val="007C21B5"/>
    <w:rsid w:val="007C4926"/>
    <w:rsid w:val="007D0820"/>
    <w:rsid w:val="007D54EA"/>
    <w:rsid w:val="007D60DB"/>
    <w:rsid w:val="007D65AD"/>
    <w:rsid w:val="007E4BD2"/>
    <w:rsid w:val="007F0607"/>
    <w:rsid w:val="007F43F8"/>
    <w:rsid w:val="00800976"/>
    <w:rsid w:val="00801393"/>
    <w:rsid w:val="00802D81"/>
    <w:rsid w:val="00802E57"/>
    <w:rsid w:val="00802EE4"/>
    <w:rsid w:val="00802F88"/>
    <w:rsid w:val="00803C72"/>
    <w:rsid w:val="0081293E"/>
    <w:rsid w:val="008149C9"/>
    <w:rsid w:val="00815465"/>
    <w:rsid w:val="00817420"/>
    <w:rsid w:val="00817BC9"/>
    <w:rsid w:val="00817E9A"/>
    <w:rsid w:val="00826A91"/>
    <w:rsid w:val="008271EC"/>
    <w:rsid w:val="008306BD"/>
    <w:rsid w:val="00831A80"/>
    <w:rsid w:val="00833743"/>
    <w:rsid w:val="008340A4"/>
    <w:rsid w:val="008351DC"/>
    <w:rsid w:val="00843CD3"/>
    <w:rsid w:val="00844086"/>
    <w:rsid w:val="00844F3D"/>
    <w:rsid w:val="00850021"/>
    <w:rsid w:val="008512DA"/>
    <w:rsid w:val="008513C1"/>
    <w:rsid w:val="00855473"/>
    <w:rsid w:val="00856B35"/>
    <w:rsid w:val="0087135F"/>
    <w:rsid w:val="00872D94"/>
    <w:rsid w:val="0087321D"/>
    <w:rsid w:val="00874F94"/>
    <w:rsid w:val="00875BCE"/>
    <w:rsid w:val="00876804"/>
    <w:rsid w:val="00880364"/>
    <w:rsid w:val="008809EC"/>
    <w:rsid w:val="008812EC"/>
    <w:rsid w:val="00886AF2"/>
    <w:rsid w:val="008900B8"/>
    <w:rsid w:val="00890760"/>
    <w:rsid w:val="00891592"/>
    <w:rsid w:val="00891E9E"/>
    <w:rsid w:val="00894EB6"/>
    <w:rsid w:val="008973BB"/>
    <w:rsid w:val="008A1C93"/>
    <w:rsid w:val="008A2F68"/>
    <w:rsid w:val="008A30EF"/>
    <w:rsid w:val="008A6E0C"/>
    <w:rsid w:val="008B2E0A"/>
    <w:rsid w:val="008B3230"/>
    <w:rsid w:val="008B4FA6"/>
    <w:rsid w:val="008B5282"/>
    <w:rsid w:val="008B5834"/>
    <w:rsid w:val="008B5B68"/>
    <w:rsid w:val="008B7C17"/>
    <w:rsid w:val="008C06FC"/>
    <w:rsid w:val="008C2954"/>
    <w:rsid w:val="008C2D01"/>
    <w:rsid w:val="008C40E6"/>
    <w:rsid w:val="008D056C"/>
    <w:rsid w:val="008D0F7A"/>
    <w:rsid w:val="008D481F"/>
    <w:rsid w:val="008D68E4"/>
    <w:rsid w:val="008E013E"/>
    <w:rsid w:val="008E0506"/>
    <w:rsid w:val="008E0CFF"/>
    <w:rsid w:val="008E349C"/>
    <w:rsid w:val="008E376E"/>
    <w:rsid w:val="008E421F"/>
    <w:rsid w:val="008E5D6B"/>
    <w:rsid w:val="008E76F0"/>
    <w:rsid w:val="008F15FE"/>
    <w:rsid w:val="008F2D29"/>
    <w:rsid w:val="008F5187"/>
    <w:rsid w:val="008F60D8"/>
    <w:rsid w:val="00902727"/>
    <w:rsid w:val="0090312B"/>
    <w:rsid w:val="00914805"/>
    <w:rsid w:val="0091736D"/>
    <w:rsid w:val="0092322B"/>
    <w:rsid w:val="00925FC6"/>
    <w:rsid w:val="00930121"/>
    <w:rsid w:val="0093037A"/>
    <w:rsid w:val="00935716"/>
    <w:rsid w:val="00937EC8"/>
    <w:rsid w:val="0094154D"/>
    <w:rsid w:val="00942FCD"/>
    <w:rsid w:val="00943CD9"/>
    <w:rsid w:val="0095155F"/>
    <w:rsid w:val="00951C6D"/>
    <w:rsid w:val="00954429"/>
    <w:rsid w:val="009563CE"/>
    <w:rsid w:val="00964E5E"/>
    <w:rsid w:val="0097080A"/>
    <w:rsid w:val="009732BC"/>
    <w:rsid w:val="00976328"/>
    <w:rsid w:val="0097680D"/>
    <w:rsid w:val="00982438"/>
    <w:rsid w:val="0098404C"/>
    <w:rsid w:val="00985283"/>
    <w:rsid w:val="0099093B"/>
    <w:rsid w:val="009909A4"/>
    <w:rsid w:val="009923AB"/>
    <w:rsid w:val="00994FD8"/>
    <w:rsid w:val="00995992"/>
    <w:rsid w:val="00996EFC"/>
    <w:rsid w:val="009A0105"/>
    <w:rsid w:val="009A03E5"/>
    <w:rsid w:val="009A0F3B"/>
    <w:rsid w:val="009A15AA"/>
    <w:rsid w:val="009A1BB4"/>
    <w:rsid w:val="009A2628"/>
    <w:rsid w:val="009A3200"/>
    <w:rsid w:val="009B0897"/>
    <w:rsid w:val="009B09A8"/>
    <w:rsid w:val="009B1AAB"/>
    <w:rsid w:val="009B7BD9"/>
    <w:rsid w:val="009C41BE"/>
    <w:rsid w:val="009C6942"/>
    <w:rsid w:val="009C7DD5"/>
    <w:rsid w:val="009D3DA5"/>
    <w:rsid w:val="009D55F1"/>
    <w:rsid w:val="009D5DF7"/>
    <w:rsid w:val="009D667F"/>
    <w:rsid w:val="009E227D"/>
    <w:rsid w:val="009E5019"/>
    <w:rsid w:val="009E5798"/>
    <w:rsid w:val="009E6422"/>
    <w:rsid w:val="009E6503"/>
    <w:rsid w:val="009F3D04"/>
    <w:rsid w:val="009F6E75"/>
    <w:rsid w:val="00A0442D"/>
    <w:rsid w:val="00A04F1B"/>
    <w:rsid w:val="00A0501B"/>
    <w:rsid w:val="00A14947"/>
    <w:rsid w:val="00A206BF"/>
    <w:rsid w:val="00A2071B"/>
    <w:rsid w:val="00A23E2A"/>
    <w:rsid w:val="00A268EF"/>
    <w:rsid w:val="00A276A3"/>
    <w:rsid w:val="00A32A83"/>
    <w:rsid w:val="00A368DB"/>
    <w:rsid w:val="00A37183"/>
    <w:rsid w:val="00A41851"/>
    <w:rsid w:val="00A423AA"/>
    <w:rsid w:val="00A43070"/>
    <w:rsid w:val="00A45BE8"/>
    <w:rsid w:val="00A53863"/>
    <w:rsid w:val="00A53EC6"/>
    <w:rsid w:val="00A545AA"/>
    <w:rsid w:val="00A55C0F"/>
    <w:rsid w:val="00A60492"/>
    <w:rsid w:val="00A622C4"/>
    <w:rsid w:val="00A62384"/>
    <w:rsid w:val="00A70EDC"/>
    <w:rsid w:val="00A72EEF"/>
    <w:rsid w:val="00A8713F"/>
    <w:rsid w:val="00A906FE"/>
    <w:rsid w:val="00A90BA1"/>
    <w:rsid w:val="00A95792"/>
    <w:rsid w:val="00A97A9A"/>
    <w:rsid w:val="00AA0671"/>
    <w:rsid w:val="00AA0C97"/>
    <w:rsid w:val="00AA24DA"/>
    <w:rsid w:val="00AA2531"/>
    <w:rsid w:val="00AA5619"/>
    <w:rsid w:val="00AB1E09"/>
    <w:rsid w:val="00AB47E4"/>
    <w:rsid w:val="00AB512D"/>
    <w:rsid w:val="00AB5330"/>
    <w:rsid w:val="00AB5AF3"/>
    <w:rsid w:val="00AB7747"/>
    <w:rsid w:val="00AC14CE"/>
    <w:rsid w:val="00AC2A56"/>
    <w:rsid w:val="00AC77B3"/>
    <w:rsid w:val="00AD052C"/>
    <w:rsid w:val="00AD055E"/>
    <w:rsid w:val="00AD47A7"/>
    <w:rsid w:val="00AF0896"/>
    <w:rsid w:val="00AF0CBF"/>
    <w:rsid w:val="00AF257F"/>
    <w:rsid w:val="00AF33CF"/>
    <w:rsid w:val="00AF4D50"/>
    <w:rsid w:val="00AF6179"/>
    <w:rsid w:val="00AF6326"/>
    <w:rsid w:val="00B11910"/>
    <w:rsid w:val="00B1295A"/>
    <w:rsid w:val="00B14FDA"/>
    <w:rsid w:val="00B17DB1"/>
    <w:rsid w:val="00B20A45"/>
    <w:rsid w:val="00B22C5C"/>
    <w:rsid w:val="00B24F30"/>
    <w:rsid w:val="00B2555A"/>
    <w:rsid w:val="00B31ABF"/>
    <w:rsid w:val="00B32FD5"/>
    <w:rsid w:val="00B33BE3"/>
    <w:rsid w:val="00B407E7"/>
    <w:rsid w:val="00B42CB5"/>
    <w:rsid w:val="00B44344"/>
    <w:rsid w:val="00B515B2"/>
    <w:rsid w:val="00B522F0"/>
    <w:rsid w:val="00B53B5D"/>
    <w:rsid w:val="00B54062"/>
    <w:rsid w:val="00B56E38"/>
    <w:rsid w:val="00B6055E"/>
    <w:rsid w:val="00B62A49"/>
    <w:rsid w:val="00B6317D"/>
    <w:rsid w:val="00B726B1"/>
    <w:rsid w:val="00B7723F"/>
    <w:rsid w:val="00B80534"/>
    <w:rsid w:val="00B82DC5"/>
    <w:rsid w:val="00B8433C"/>
    <w:rsid w:val="00B87491"/>
    <w:rsid w:val="00BA230A"/>
    <w:rsid w:val="00BA2320"/>
    <w:rsid w:val="00BA29E9"/>
    <w:rsid w:val="00BA7142"/>
    <w:rsid w:val="00BB204A"/>
    <w:rsid w:val="00BB237C"/>
    <w:rsid w:val="00BB41A3"/>
    <w:rsid w:val="00BB679A"/>
    <w:rsid w:val="00BC32DC"/>
    <w:rsid w:val="00BC35B6"/>
    <w:rsid w:val="00BC5B18"/>
    <w:rsid w:val="00BC6DDD"/>
    <w:rsid w:val="00BD1B51"/>
    <w:rsid w:val="00BD4596"/>
    <w:rsid w:val="00BE1405"/>
    <w:rsid w:val="00BE2699"/>
    <w:rsid w:val="00BE312D"/>
    <w:rsid w:val="00BE3DEF"/>
    <w:rsid w:val="00BE6FE8"/>
    <w:rsid w:val="00BF1C20"/>
    <w:rsid w:val="00BF3161"/>
    <w:rsid w:val="00C07221"/>
    <w:rsid w:val="00C07A31"/>
    <w:rsid w:val="00C10578"/>
    <w:rsid w:val="00C135BC"/>
    <w:rsid w:val="00C15C95"/>
    <w:rsid w:val="00C2596A"/>
    <w:rsid w:val="00C27537"/>
    <w:rsid w:val="00C31243"/>
    <w:rsid w:val="00C328FE"/>
    <w:rsid w:val="00C33507"/>
    <w:rsid w:val="00C4409D"/>
    <w:rsid w:val="00C44E72"/>
    <w:rsid w:val="00C45A06"/>
    <w:rsid w:val="00C46804"/>
    <w:rsid w:val="00C47E5B"/>
    <w:rsid w:val="00C51609"/>
    <w:rsid w:val="00C52CE7"/>
    <w:rsid w:val="00C5496F"/>
    <w:rsid w:val="00C60EC3"/>
    <w:rsid w:val="00C61E4B"/>
    <w:rsid w:val="00C64BFF"/>
    <w:rsid w:val="00C65257"/>
    <w:rsid w:val="00C65E01"/>
    <w:rsid w:val="00C704E9"/>
    <w:rsid w:val="00C717AA"/>
    <w:rsid w:val="00C718CF"/>
    <w:rsid w:val="00C72F62"/>
    <w:rsid w:val="00C73F4C"/>
    <w:rsid w:val="00C763C9"/>
    <w:rsid w:val="00C80057"/>
    <w:rsid w:val="00C82232"/>
    <w:rsid w:val="00C82913"/>
    <w:rsid w:val="00C84FD9"/>
    <w:rsid w:val="00C85730"/>
    <w:rsid w:val="00C93885"/>
    <w:rsid w:val="00C972B1"/>
    <w:rsid w:val="00CA278F"/>
    <w:rsid w:val="00CA2CCE"/>
    <w:rsid w:val="00CA3E66"/>
    <w:rsid w:val="00CA43FD"/>
    <w:rsid w:val="00CA6DE2"/>
    <w:rsid w:val="00CA7EF8"/>
    <w:rsid w:val="00CB1FD6"/>
    <w:rsid w:val="00CB30CE"/>
    <w:rsid w:val="00CB4643"/>
    <w:rsid w:val="00CB6D87"/>
    <w:rsid w:val="00CC1B8F"/>
    <w:rsid w:val="00CC489B"/>
    <w:rsid w:val="00CC5962"/>
    <w:rsid w:val="00CC69DF"/>
    <w:rsid w:val="00CD2BCD"/>
    <w:rsid w:val="00CD3A4C"/>
    <w:rsid w:val="00CD62DE"/>
    <w:rsid w:val="00CD6A51"/>
    <w:rsid w:val="00CE0914"/>
    <w:rsid w:val="00CE10E9"/>
    <w:rsid w:val="00CE2910"/>
    <w:rsid w:val="00CE5393"/>
    <w:rsid w:val="00CF0001"/>
    <w:rsid w:val="00CF36BE"/>
    <w:rsid w:val="00CF6000"/>
    <w:rsid w:val="00D003F3"/>
    <w:rsid w:val="00D027D5"/>
    <w:rsid w:val="00D0364F"/>
    <w:rsid w:val="00D06834"/>
    <w:rsid w:val="00D10D72"/>
    <w:rsid w:val="00D1270C"/>
    <w:rsid w:val="00D20842"/>
    <w:rsid w:val="00D218D6"/>
    <w:rsid w:val="00D253F2"/>
    <w:rsid w:val="00D308ED"/>
    <w:rsid w:val="00D35A74"/>
    <w:rsid w:val="00D36D86"/>
    <w:rsid w:val="00D428AA"/>
    <w:rsid w:val="00D4308D"/>
    <w:rsid w:val="00D45A11"/>
    <w:rsid w:val="00D50A34"/>
    <w:rsid w:val="00D53513"/>
    <w:rsid w:val="00D53EFA"/>
    <w:rsid w:val="00D547BC"/>
    <w:rsid w:val="00D602E2"/>
    <w:rsid w:val="00D70594"/>
    <w:rsid w:val="00D75C86"/>
    <w:rsid w:val="00D8274A"/>
    <w:rsid w:val="00D8614C"/>
    <w:rsid w:val="00D91248"/>
    <w:rsid w:val="00D94A7C"/>
    <w:rsid w:val="00D95896"/>
    <w:rsid w:val="00DA4A5F"/>
    <w:rsid w:val="00DB1789"/>
    <w:rsid w:val="00DB1C8D"/>
    <w:rsid w:val="00DB2983"/>
    <w:rsid w:val="00DB63CB"/>
    <w:rsid w:val="00DC1257"/>
    <w:rsid w:val="00DC3DC0"/>
    <w:rsid w:val="00DC3FA2"/>
    <w:rsid w:val="00DC5B2B"/>
    <w:rsid w:val="00DC6E37"/>
    <w:rsid w:val="00DD2E3D"/>
    <w:rsid w:val="00DD318D"/>
    <w:rsid w:val="00DD5631"/>
    <w:rsid w:val="00DF2E12"/>
    <w:rsid w:val="00DF30B7"/>
    <w:rsid w:val="00DF514A"/>
    <w:rsid w:val="00DF5EF7"/>
    <w:rsid w:val="00DF6690"/>
    <w:rsid w:val="00DF6804"/>
    <w:rsid w:val="00E0358D"/>
    <w:rsid w:val="00E04323"/>
    <w:rsid w:val="00E053A2"/>
    <w:rsid w:val="00E070A2"/>
    <w:rsid w:val="00E10CC2"/>
    <w:rsid w:val="00E16BE9"/>
    <w:rsid w:val="00E20A72"/>
    <w:rsid w:val="00E2656A"/>
    <w:rsid w:val="00E300C0"/>
    <w:rsid w:val="00E3361D"/>
    <w:rsid w:val="00E412D0"/>
    <w:rsid w:val="00E44355"/>
    <w:rsid w:val="00E50960"/>
    <w:rsid w:val="00E51069"/>
    <w:rsid w:val="00E51A79"/>
    <w:rsid w:val="00E54BB1"/>
    <w:rsid w:val="00E56322"/>
    <w:rsid w:val="00E6028B"/>
    <w:rsid w:val="00E60982"/>
    <w:rsid w:val="00E62C62"/>
    <w:rsid w:val="00E633B4"/>
    <w:rsid w:val="00E6452D"/>
    <w:rsid w:val="00E64E99"/>
    <w:rsid w:val="00E654C1"/>
    <w:rsid w:val="00E6555B"/>
    <w:rsid w:val="00E65D97"/>
    <w:rsid w:val="00E72A5A"/>
    <w:rsid w:val="00E7305F"/>
    <w:rsid w:val="00E73354"/>
    <w:rsid w:val="00E761EA"/>
    <w:rsid w:val="00E81C41"/>
    <w:rsid w:val="00E8249E"/>
    <w:rsid w:val="00E8597D"/>
    <w:rsid w:val="00E9242D"/>
    <w:rsid w:val="00E94E94"/>
    <w:rsid w:val="00EA45AE"/>
    <w:rsid w:val="00EA6079"/>
    <w:rsid w:val="00EA7C4A"/>
    <w:rsid w:val="00EB5255"/>
    <w:rsid w:val="00EB5C47"/>
    <w:rsid w:val="00ED0639"/>
    <w:rsid w:val="00ED0B0F"/>
    <w:rsid w:val="00EE6688"/>
    <w:rsid w:val="00EE7762"/>
    <w:rsid w:val="00EF3284"/>
    <w:rsid w:val="00EF4755"/>
    <w:rsid w:val="00EF7135"/>
    <w:rsid w:val="00F027DB"/>
    <w:rsid w:val="00F03B95"/>
    <w:rsid w:val="00F11B9C"/>
    <w:rsid w:val="00F14A7A"/>
    <w:rsid w:val="00F163E1"/>
    <w:rsid w:val="00F16FEF"/>
    <w:rsid w:val="00F2037E"/>
    <w:rsid w:val="00F21600"/>
    <w:rsid w:val="00F22985"/>
    <w:rsid w:val="00F259D9"/>
    <w:rsid w:val="00F3217B"/>
    <w:rsid w:val="00F3383E"/>
    <w:rsid w:val="00F34AF5"/>
    <w:rsid w:val="00F360E7"/>
    <w:rsid w:val="00F362AB"/>
    <w:rsid w:val="00F465A7"/>
    <w:rsid w:val="00F477C7"/>
    <w:rsid w:val="00F50B7C"/>
    <w:rsid w:val="00F550E6"/>
    <w:rsid w:val="00F6597C"/>
    <w:rsid w:val="00F66289"/>
    <w:rsid w:val="00F74345"/>
    <w:rsid w:val="00F7471C"/>
    <w:rsid w:val="00F80A0A"/>
    <w:rsid w:val="00F82B19"/>
    <w:rsid w:val="00F85201"/>
    <w:rsid w:val="00F9163F"/>
    <w:rsid w:val="00F9212D"/>
    <w:rsid w:val="00F965DA"/>
    <w:rsid w:val="00FA05F8"/>
    <w:rsid w:val="00FA21DA"/>
    <w:rsid w:val="00FA406A"/>
    <w:rsid w:val="00FA4F91"/>
    <w:rsid w:val="00FB3E7C"/>
    <w:rsid w:val="00FB46C1"/>
    <w:rsid w:val="00FB503A"/>
    <w:rsid w:val="00FB516C"/>
    <w:rsid w:val="00FB6D2D"/>
    <w:rsid w:val="00FC3D06"/>
    <w:rsid w:val="00FD0236"/>
    <w:rsid w:val="00FD18F4"/>
    <w:rsid w:val="00FD54DB"/>
    <w:rsid w:val="00FD619F"/>
    <w:rsid w:val="00FE23BE"/>
    <w:rsid w:val="00FF06FF"/>
    <w:rsid w:val="00FF3A16"/>
    <w:rsid w:val="00FF5EDD"/>
    <w:rsid w:val="01112F7A"/>
    <w:rsid w:val="01290F7E"/>
    <w:rsid w:val="015D1E09"/>
    <w:rsid w:val="02697903"/>
    <w:rsid w:val="0287102E"/>
    <w:rsid w:val="02BF114D"/>
    <w:rsid w:val="02F35DE6"/>
    <w:rsid w:val="02F96569"/>
    <w:rsid w:val="03A30637"/>
    <w:rsid w:val="03EA7B21"/>
    <w:rsid w:val="04CF4255"/>
    <w:rsid w:val="055B2FB3"/>
    <w:rsid w:val="05F83EAE"/>
    <w:rsid w:val="060975E2"/>
    <w:rsid w:val="063E7D85"/>
    <w:rsid w:val="06E70953"/>
    <w:rsid w:val="07293586"/>
    <w:rsid w:val="07295285"/>
    <w:rsid w:val="07636392"/>
    <w:rsid w:val="07770C56"/>
    <w:rsid w:val="07DC5C0C"/>
    <w:rsid w:val="0908569A"/>
    <w:rsid w:val="092217DD"/>
    <w:rsid w:val="093A7294"/>
    <w:rsid w:val="099C3A76"/>
    <w:rsid w:val="09EB391B"/>
    <w:rsid w:val="0A263993"/>
    <w:rsid w:val="0A2D3AC2"/>
    <w:rsid w:val="0A3660F0"/>
    <w:rsid w:val="0AA755DF"/>
    <w:rsid w:val="0B120D44"/>
    <w:rsid w:val="0BD27BF6"/>
    <w:rsid w:val="0C3B3C7D"/>
    <w:rsid w:val="0C593A4E"/>
    <w:rsid w:val="0CAB2EAE"/>
    <w:rsid w:val="0CCB5459"/>
    <w:rsid w:val="0CEF7171"/>
    <w:rsid w:val="0D621C7D"/>
    <w:rsid w:val="0E2C7332"/>
    <w:rsid w:val="0E73034D"/>
    <w:rsid w:val="0EF52AAB"/>
    <w:rsid w:val="0F13775A"/>
    <w:rsid w:val="0F5F45FE"/>
    <w:rsid w:val="0F9A112B"/>
    <w:rsid w:val="10206A4B"/>
    <w:rsid w:val="106D2F64"/>
    <w:rsid w:val="10B63710"/>
    <w:rsid w:val="10DF0975"/>
    <w:rsid w:val="10F10820"/>
    <w:rsid w:val="11081EC8"/>
    <w:rsid w:val="111C2F7A"/>
    <w:rsid w:val="11222F2E"/>
    <w:rsid w:val="11665CA1"/>
    <w:rsid w:val="11A33E29"/>
    <w:rsid w:val="11B16064"/>
    <w:rsid w:val="13867F30"/>
    <w:rsid w:val="13951726"/>
    <w:rsid w:val="14396509"/>
    <w:rsid w:val="14DD2C3C"/>
    <w:rsid w:val="16087E1D"/>
    <w:rsid w:val="16E6062D"/>
    <w:rsid w:val="17571B23"/>
    <w:rsid w:val="17701D14"/>
    <w:rsid w:val="17735226"/>
    <w:rsid w:val="17D02C65"/>
    <w:rsid w:val="17F8701D"/>
    <w:rsid w:val="17FC2618"/>
    <w:rsid w:val="18355E30"/>
    <w:rsid w:val="189F624C"/>
    <w:rsid w:val="1A042332"/>
    <w:rsid w:val="1A1C66C0"/>
    <w:rsid w:val="1A3E66B1"/>
    <w:rsid w:val="1A42393B"/>
    <w:rsid w:val="1A7A459D"/>
    <w:rsid w:val="1AAD45DE"/>
    <w:rsid w:val="1B046F80"/>
    <w:rsid w:val="1B3267B5"/>
    <w:rsid w:val="1B40161D"/>
    <w:rsid w:val="1B441859"/>
    <w:rsid w:val="1B6606B1"/>
    <w:rsid w:val="1B70417A"/>
    <w:rsid w:val="1B841243"/>
    <w:rsid w:val="1C5E7925"/>
    <w:rsid w:val="1CBD00BE"/>
    <w:rsid w:val="1CFD070F"/>
    <w:rsid w:val="1D5F6196"/>
    <w:rsid w:val="1D6132A5"/>
    <w:rsid w:val="1D730ECA"/>
    <w:rsid w:val="1D8E56D5"/>
    <w:rsid w:val="1DCB47C3"/>
    <w:rsid w:val="1E7A43DA"/>
    <w:rsid w:val="1F994202"/>
    <w:rsid w:val="1FE7539E"/>
    <w:rsid w:val="20671BE0"/>
    <w:rsid w:val="20963CB8"/>
    <w:rsid w:val="20A81A1B"/>
    <w:rsid w:val="20B07FB6"/>
    <w:rsid w:val="20B646FB"/>
    <w:rsid w:val="213B74B1"/>
    <w:rsid w:val="21527FCC"/>
    <w:rsid w:val="215A2310"/>
    <w:rsid w:val="21DE318A"/>
    <w:rsid w:val="21E0016B"/>
    <w:rsid w:val="21EF5B80"/>
    <w:rsid w:val="22576990"/>
    <w:rsid w:val="2263264D"/>
    <w:rsid w:val="22A857D1"/>
    <w:rsid w:val="22D84136"/>
    <w:rsid w:val="22F47480"/>
    <w:rsid w:val="22F74435"/>
    <w:rsid w:val="23DE1C48"/>
    <w:rsid w:val="240210CD"/>
    <w:rsid w:val="24BF09F7"/>
    <w:rsid w:val="252D53FE"/>
    <w:rsid w:val="25382A1C"/>
    <w:rsid w:val="25EC2D81"/>
    <w:rsid w:val="25FA1526"/>
    <w:rsid w:val="26247423"/>
    <w:rsid w:val="26A822C5"/>
    <w:rsid w:val="277057A2"/>
    <w:rsid w:val="28AD606C"/>
    <w:rsid w:val="29206EB8"/>
    <w:rsid w:val="29542B20"/>
    <w:rsid w:val="29595666"/>
    <w:rsid w:val="29874881"/>
    <w:rsid w:val="299A70A0"/>
    <w:rsid w:val="29E325E0"/>
    <w:rsid w:val="2A102A2B"/>
    <w:rsid w:val="2A452503"/>
    <w:rsid w:val="2AAA617B"/>
    <w:rsid w:val="2AED0F44"/>
    <w:rsid w:val="2B1424E0"/>
    <w:rsid w:val="2B173101"/>
    <w:rsid w:val="2BA936A8"/>
    <w:rsid w:val="2BC63EF6"/>
    <w:rsid w:val="2C2102ED"/>
    <w:rsid w:val="2C315A5A"/>
    <w:rsid w:val="2C4B1C25"/>
    <w:rsid w:val="2CF164B3"/>
    <w:rsid w:val="2CFF3A22"/>
    <w:rsid w:val="2D062753"/>
    <w:rsid w:val="2D9E56F5"/>
    <w:rsid w:val="2E667F96"/>
    <w:rsid w:val="2E677C7F"/>
    <w:rsid w:val="2E8226AB"/>
    <w:rsid w:val="2E953FF2"/>
    <w:rsid w:val="2EBE11B8"/>
    <w:rsid w:val="2FD065E6"/>
    <w:rsid w:val="2FD96870"/>
    <w:rsid w:val="30580BC9"/>
    <w:rsid w:val="308067CD"/>
    <w:rsid w:val="30A54C45"/>
    <w:rsid w:val="311E2ED7"/>
    <w:rsid w:val="315619EE"/>
    <w:rsid w:val="315C449C"/>
    <w:rsid w:val="31AE7AE2"/>
    <w:rsid w:val="31B82709"/>
    <w:rsid w:val="31D05482"/>
    <w:rsid w:val="32400B34"/>
    <w:rsid w:val="329E6876"/>
    <w:rsid w:val="32B9753A"/>
    <w:rsid w:val="333015F2"/>
    <w:rsid w:val="334B6320"/>
    <w:rsid w:val="33D6742E"/>
    <w:rsid w:val="33D934D4"/>
    <w:rsid w:val="33DD0E97"/>
    <w:rsid w:val="33FE2F6A"/>
    <w:rsid w:val="340E07E5"/>
    <w:rsid w:val="34235BF7"/>
    <w:rsid w:val="358C5FA8"/>
    <w:rsid w:val="359539F0"/>
    <w:rsid w:val="35C15DF1"/>
    <w:rsid w:val="36074A7F"/>
    <w:rsid w:val="36923549"/>
    <w:rsid w:val="36B75FBF"/>
    <w:rsid w:val="36BD0C45"/>
    <w:rsid w:val="37213C95"/>
    <w:rsid w:val="37A25CC0"/>
    <w:rsid w:val="37E00298"/>
    <w:rsid w:val="38830E8D"/>
    <w:rsid w:val="3884175F"/>
    <w:rsid w:val="38B302F9"/>
    <w:rsid w:val="38F12CD3"/>
    <w:rsid w:val="38F94775"/>
    <w:rsid w:val="392971ED"/>
    <w:rsid w:val="39325651"/>
    <w:rsid w:val="397D41B7"/>
    <w:rsid w:val="3A872856"/>
    <w:rsid w:val="3B3763D1"/>
    <w:rsid w:val="3B4146D2"/>
    <w:rsid w:val="3C2F6E1E"/>
    <w:rsid w:val="3C4F64BA"/>
    <w:rsid w:val="3CD4186D"/>
    <w:rsid w:val="3CDA245A"/>
    <w:rsid w:val="3D1E06B7"/>
    <w:rsid w:val="3D280F3B"/>
    <w:rsid w:val="3E643860"/>
    <w:rsid w:val="3EDA0523"/>
    <w:rsid w:val="3FC07A3F"/>
    <w:rsid w:val="40006577"/>
    <w:rsid w:val="407A6407"/>
    <w:rsid w:val="412132A0"/>
    <w:rsid w:val="4200449D"/>
    <w:rsid w:val="423A3BCC"/>
    <w:rsid w:val="424E57D2"/>
    <w:rsid w:val="427F6326"/>
    <w:rsid w:val="42B26C49"/>
    <w:rsid w:val="433A6FE6"/>
    <w:rsid w:val="43480868"/>
    <w:rsid w:val="4350713C"/>
    <w:rsid w:val="436653E0"/>
    <w:rsid w:val="437D6F5A"/>
    <w:rsid w:val="43C4431A"/>
    <w:rsid w:val="43E2256B"/>
    <w:rsid w:val="44B951CC"/>
    <w:rsid w:val="44BF5F98"/>
    <w:rsid w:val="44CD14E0"/>
    <w:rsid w:val="44E602DF"/>
    <w:rsid w:val="44E92EF8"/>
    <w:rsid w:val="44F20B0B"/>
    <w:rsid w:val="452E5F4C"/>
    <w:rsid w:val="45612018"/>
    <w:rsid w:val="458946E9"/>
    <w:rsid w:val="45A47C0E"/>
    <w:rsid w:val="46577FD6"/>
    <w:rsid w:val="46D955A7"/>
    <w:rsid w:val="47133957"/>
    <w:rsid w:val="47A07E0C"/>
    <w:rsid w:val="4870272E"/>
    <w:rsid w:val="49513357"/>
    <w:rsid w:val="49DC7715"/>
    <w:rsid w:val="49E65666"/>
    <w:rsid w:val="4A023139"/>
    <w:rsid w:val="4A7B576F"/>
    <w:rsid w:val="4AF561A9"/>
    <w:rsid w:val="4C4A0649"/>
    <w:rsid w:val="4C7E5ECA"/>
    <w:rsid w:val="4C876AA5"/>
    <w:rsid w:val="4CF840B6"/>
    <w:rsid w:val="4D0E00FB"/>
    <w:rsid w:val="4D176606"/>
    <w:rsid w:val="4DEC4FB0"/>
    <w:rsid w:val="4E075D8A"/>
    <w:rsid w:val="4E4E5F6F"/>
    <w:rsid w:val="4E56268F"/>
    <w:rsid w:val="4EC00FAD"/>
    <w:rsid w:val="4EC66A42"/>
    <w:rsid w:val="4F3A36B6"/>
    <w:rsid w:val="4F3E766E"/>
    <w:rsid w:val="4F9843DC"/>
    <w:rsid w:val="4FC62A8C"/>
    <w:rsid w:val="4FE20F0D"/>
    <w:rsid w:val="4FE51552"/>
    <w:rsid w:val="501A3304"/>
    <w:rsid w:val="50504C4B"/>
    <w:rsid w:val="509C6E7C"/>
    <w:rsid w:val="50C4436A"/>
    <w:rsid w:val="5162104E"/>
    <w:rsid w:val="518E7AC6"/>
    <w:rsid w:val="51BF6DED"/>
    <w:rsid w:val="51DF45A2"/>
    <w:rsid w:val="52ED554B"/>
    <w:rsid w:val="52EE3B9F"/>
    <w:rsid w:val="530B721D"/>
    <w:rsid w:val="53A039CC"/>
    <w:rsid w:val="53A1505A"/>
    <w:rsid w:val="54063E08"/>
    <w:rsid w:val="543437E8"/>
    <w:rsid w:val="54F73313"/>
    <w:rsid w:val="54F80955"/>
    <w:rsid w:val="555170A7"/>
    <w:rsid w:val="5587536D"/>
    <w:rsid w:val="559B174B"/>
    <w:rsid w:val="55C444AB"/>
    <w:rsid w:val="55CE0CF4"/>
    <w:rsid w:val="56B22A9C"/>
    <w:rsid w:val="57B72A76"/>
    <w:rsid w:val="57C3426C"/>
    <w:rsid w:val="57CE1F93"/>
    <w:rsid w:val="583E2C20"/>
    <w:rsid w:val="588743D1"/>
    <w:rsid w:val="5887701A"/>
    <w:rsid w:val="58DE2D05"/>
    <w:rsid w:val="59C0439F"/>
    <w:rsid w:val="5A10134D"/>
    <w:rsid w:val="5ABE2233"/>
    <w:rsid w:val="5B434E0A"/>
    <w:rsid w:val="5BDF5D95"/>
    <w:rsid w:val="5BFE7528"/>
    <w:rsid w:val="5C8A7FF2"/>
    <w:rsid w:val="5CCB64DE"/>
    <w:rsid w:val="5D0E741C"/>
    <w:rsid w:val="5D2C04B8"/>
    <w:rsid w:val="5E1A3F26"/>
    <w:rsid w:val="5E2467F1"/>
    <w:rsid w:val="5EBE2046"/>
    <w:rsid w:val="5F1A2B43"/>
    <w:rsid w:val="5F79208D"/>
    <w:rsid w:val="5F867BB6"/>
    <w:rsid w:val="5FB837BB"/>
    <w:rsid w:val="5FE310C4"/>
    <w:rsid w:val="60A551B1"/>
    <w:rsid w:val="60CC405A"/>
    <w:rsid w:val="60D54349"/>
    <w:rsid w:val="61D53B0E"/>
    <w:rsid w:val="61E215D8"/>
    <w:rsid w:val="61F07DD1"/>
    <w:rsid w:val="621B3775"/>
    <w:rsid w:val="62364782"/>
    <w:rsid w:val="62645D0D"/>
    <w:rsid w:val="62676F86"/>
    <w:rsid w:val="62EE0E73"/>
    <w:rsid w:val="62F10E73"/>
    <w:rsid w:val="6394356A"/>
    <w:rsid w:val="63C61B2C"/>
    <w:rsid w:val="63D40BE9"/>
    <w:rsid w:val="64102431"/>
    <w:rsid w:val="64A5243A"/>
    <w:rsid w:val="64AE3A3C"/>
    <w:rsid w:val="64F531DE"/>
    <w:rsid w:val="65373578"/>
    <w:rsid w:val="671F124A"/>
    <w:rsid w:val="677A33C6"/>
    <w:rsid w:val="67AA50A1"/>
    <w:rsid w:val="681F6961"/>
    <w:rsid w:val="68610A2F"/>
    <w:rsid w:val="68805514"/>
    <w:rsid w:val="69316E2F"/>
    <w:rsid w:val="694E2071"/>
    <w:rsid w:val="69766163"/>
    <w:rsid w:val="697A3B33"/>
    <w:rsid w:val="69D44760"/>
    <w:rsid w:val="6A520EC7"/>
    <w:rsid w:val="6A9B26B1"/>
    <w:rsid w:val="6AF87E20"/>
    <w:rsid w:val="6B322639"/>
    <w:rsid w:val="6BB9044D"/>
    <w:rsid w:val="6C592BFC"/>
    <w:rsid w:val="6C636C38"/>
    <w:rsid w:val="6C8349DD"/>
    <w:rsid w:val="6DB34098"/>
    <w:rsid w:val="6DB545B6"/>
    <w:rsid w:val="6DE02FB4"/>
    <w:rsid w:val="6E3C2F15"/>
    <w:rsid w:val="6E514CED"/>
    <w:rsid w:val="6EB563D5"/>
    <w:rsid w:val="6ED92677"/>
    <w:rsid w:val="6F225983"/>
    <w:rsid w:val="6FA0184D"/>
    <w:rsid w:val="6FFC5590"/>
    <w:rsid w:val="70102D58"/>
    <w:rsid w:val="706A5C8E"/>
    <w:rsid w:val="706D1DD0"/>
    <w:rsid w:val="70767915"/>
    <w:rsid w:val="70856B87"/>
    <w:rsid w:val="70BC3BFC"/>
    <w:rsid w:val="70D527EE"/>
    <w:rsid w:val="710B2461"/>
    <w:rsid w:val="715B5300"/>
    <w:rsid w:val="71D27F8A"/>
    <w:rsid w:val="720C0DBB"/>
    <w:rsid w:val="72553024"/>
    <w:rsid w:val="7293083C"/>
    <w:rsid w:val="72F62AA8"/>
    <w:rsid w:val="73122968"/>
    <w:rsid w:val="731F5D5E"/>
    <w:rsid w:val="73C51AD5"/>
    <w:rsid w:val="73EB798F"/>
    <w:rsid w:val="741E793C"/>
    <w:rsid w:val="742C1980"/>
    <w:rsid w:val="745E3944"/>
    <w:rsid w:val="75667AF9"/>
    <w:rsid w:val="757502CB"/>
    <w:rsid w:val="75F260C5"/>
    <w:rsid w:val="761B5A96"/>
    <w:rsid w:val="7635099D"/>
    <w:rsid w:val="77762421"/>
    <w:rsid w:val="778A44DB"/>
    <w:rsid w:val="77B56B1F"/>
    <w:rsid w:val="780710F5"/>
    <w:rsid w:val="780F09F4"/>
    <w:rsid w:val="788C6824"/>
    <w:rsid w:val="78A90480"/>
    <w:rsid w:val="791D1268"/>
    <w:rsid w:val="79B11DBE"/>
    <w:rsid w:val="79DB3163"/>
    <w:rsid w:val="7A364017"/>
    <w:rsid w:val="7A8265E1"/>
    <w:rsid w:val="7B686D42"/>
    <w:rsid w:val="7B841746"/>
    <w:rsid w:val="7BFE68EE"/>
    <w:rsid w:val="7C6C5AC7"/>
    <w:rsid w:val="7CC6544B"/>
    <w:rsid w:val="7D0239FF"/>
    <w:rsid w:val="7D5E40CD"/>
    <w:rsid w:val="7D7B46DD"/>
    <w:rsid w:val="7DCD56F2"/>
    <w:rsid w:val="7E0C319C"/>
    <w:rsid w:val="7E494E9C"/>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218"/>
        <o:r id="V:Rule2" type="connector" idref="#_x0000_s1220"/>
        <o:r id="V:Rule3" type="connector" idref="#_x0000_s1222"/>
        <o:r id="V:Rule4" type="connector" idref="#_x0000_s1228"/>
        <o:r id="V:Rule5" type="connector" idref="#_x0000_s1231"/>
        <o:r id="V:Rule6" type="connector" idref="#_x0000_s1233"/>
        <o:r id="V:Rule7" type="connector" idref="#_x0000_s1235"/>
        <o:r id="V:Rule8" type="connector" idref="#_x0000_s1237"/>
        <o:r id="V:Rule9" type="connector" idref="#_x0000_s1239"/>
        <o:r id="V:Rule10" type="connector" idref="#_x0000_s1241"/>
        <o:r id="V:Rule11" type="connector" idref="#_x0000_s1243"/>
        <o:r id="V:Rule12" type="connector" idref="#_x0000_s1244"/>
        <o:r id="V:Rule13" type="connector" idref="#_x0000_s1245"/>
        <o:r id="V:Rule14" type="connector" idref="#_x0000_s1246"/>
        <o:r id="V:Rule15" type="connector" idref="#_x0000_s1247"/>
        <o:r id="V:Rule16" type="connector" idref="#_x0000_s1248"/>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ocked="1"/>
    <w:lsdException w:uiPriority="0" w:name="footnote text" w:locked="1"/>
    <w:lsdException w:qFormat="1" w:unhideWhenUsed="0" w:uiPriority="0" w:name="annotation text"/>
    <w:lsdException w:qFormat="1" w:unhideWhenUsed="0" w:uiPriority="0" w:semiHidden="0" w:name="header"/>
    <w:lsdException w:unhideWhenUsed="0" w:uiPriority="99" w:semiHidden="0" w:name="footer"/>
    <w:lsdException w:uiPriority="0" w:name="index heading" w:locked="1"/>
    <w:lsdException w:qFormat="1" w:uiPriority="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nhideWhenUsed="0" w:uiPriority="0" w:semiHidden="0" w:name="List Number" w:locked="1"/>
    <w:lsdException w:uiPriority="0" w:name="List 2" w:locked="1"/>
    <w:lsdException w:uiPriority="0" w:name="List 3" w:locked="1"/>
    <w:lsdException w:unhideWhenUsed="0" w:uiPriority="0" w:semiHidden="0" w:name="List 4" w:locked="1"/>
    <w:lsdException w:unhideWhenUsed="0" w:uiPriority="0" w:semiHidden="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99" w:semiHidden="0" w:name="Salutation" w:locked="1"/>
    <w:lsdException w:qFormat="1" w:unhideWhenUsed="0" w:uiPriority="0" w:semiHidden="0" w:name="Date"/>
    <w:lsdException w:unhideWhenUsed="0" w:uiPriority="0" w:semiHidden="0" w:name="Body Text First Indent" w:locked="1"/>
    <w:lsdException w:qFormat="1" w:unhideWhenUsed="0" w:uiPriority="99" w:semiHidden="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0" w:semiHidden="0" w:name="Strong" w:locked="1"/>
    <w:lsdException w:qFormat="1" w:unhideWhenUsed="0" w:uiPriority="0" w:semiHidden="0" w:name="Emphasis" w:locked="1"/>
    <w:lsdException w:uiPriority="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nhideWhenUsed="0" w:uiPriority="0" w:semiHidden="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qFormat/>
    <w:locked/>
    <w:uiPriority w:val="0"/>
    <w:pPr>
      <w:keepNext/>
      <w:keepLines/>
      <w:spacing w:before="260" w:after="260" w:line="500" w:lineRule="exact"/>
      <w:ind w:firstLine="640" w:firstLineChars="200"/>
      <w:outlineLvl w:val="1"/>
    </w:pPr>
    <w:rPr>
      <w:rFonts w:ascii="Arial" w:hAnsi="Arial" w:eastAsia="黑体"/>
      <w:bCs/>
      <w:sz w:val="32"/>
      <w:szCs w:val="32"/>
    </w:rPr>
  </w:style>
  <w:style w:type="paragraph" w:styleId="5">
    <w:name w:val="heading 4"/>
    <w:basedOn w:val="1"/>
    <w:next w:val="1"/>
    <w:qFormat/>
    <w:locked/>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Normal Indent"/>
    <w:basedOn w:val="1"/>
    <w:next w:val="1"/>
    <w:qFormat/>
    <w:locked/>
    <w:uiPriority w:val="0"/>
    <w:pPr>
      <w:ind w:firstLine="602"/>
    </w:pPr>
    <w:rPr>
      <w:rFonts w:eastAsia="仿宋_GB2312"/>
      <w:sz w:val="28"/>
      <w:szCs w:val="20"/>
    </w:rPr>
  </w:style>
  <w:style w:type="paragraph" w:styleId="7">
    <w:name w:val="annotation text"/>
    <w:basedOn w:val="1"/>
    <w:link w:val="36"/>
    <w:semiHidden/>
    <w:qFormat/>
    <w:uiPriority w:val="0"/>
    <w:pPr>
      <w:jc w:val="left"/>
    </w:pPr>
    <w:rPr>
      <w:kern w:val="0"/>
      <w:sz w:val="24"/>
      <w:szCs w:val="20"/>
    </w:rPr>
  </w:style>
  <w:style w:type="paragraph" w:styleId="8">
    <w:name w:val="Salutation"/>
    <w:basedOn w:val="1"/>
    <w:next w:val="1"/>
    <w:qFormat/>
    <w:locked/>
    <w:uiPriority w:val="99"/>
  </w:style>
  <w:style w:type="paragraph" w:styleId="9">
    <w:name w:val="Body Text"/>
    <w:basedOn w:val="1"/>
    <w:link w:val="34"/>
    <w:qFormat/>
    <w:uiPriority w:val="0"/>
    <w:pPr>
      <w:widowControl/>
      <w:snapToGrid w:val="0"/>
      <w:spacing w:before="60" w:after="160" w:line="259" w:lineRule="auto"/>
      <w:ind w:right="113"/>
    </w:pPr>
    <w:rPr>
      <w:kern w:val="0"/>
      <w:sz w:val="18"/>
      <w:szCs w:val="20"/>
    </w:rPr>
  </w:style>
  <w:style w:type="paragraph" w:styleId="10">
    <w:name w:val="Body Text Indent"/>
    <w:basedOn w:val="1"/>
    <w:link w:val="26"/>
    <w:qFormat/>
    <w:uiPriority w:val="0"/>
    <w:pPr>
      <w:spacing w:after="120"/>
      <w:ind w:left="420" w:leftChars="200"/>
    </w:pPr>
    <w:rPr>
      <w:kern w:val="0"/>
      <w:sz w:val="24"/>
      <w:szCs w:val="20"/>
    </w:rPr>
  </w:style>
  <w:style w:type="paragraph" w:styleId="11">
    <w:name w:val="Plain Text"/>
    <w:basedOn w:val="1"/>
    <w:qFormat/>
    <w:locked/>
    <w:uiPriority w:val="0"/>
    <w:rPr>
      <w:rFonts w:ascii="宋体" w:hAnsi="Courier New"/>
    </w:rPr>
  </w:style>
  <w:style w:type="paragraph" w:styleId="12">
    <w:name w:val="Date"/>
    <w:basedOn w:val="1"/>
    <w:next w:val="1"/>
    <w:link w:val="33"/>
    <w:qFormat/>
    <w:uiPriority w:val="0"/>
    <w:pPr>
      <w:ind w:left="100" w:leftChars="2500"/>
    </w:pPr>
    <w:rPr>
      <w:kern w:val="0"/>
      <w:sz w:val="24"/>
      <w:szCs w:val="20"/>
    </w:rPr>
  </w:style>
  <w:style w:type="paragraph" w:styleId="13">
    <w:name w:val="Balloon Text"/>
    <w:basedOn w:val="1"/>
    <w:link w:val="32"/>
    <w:semiHidden/>
    <w:qFormat/>
    <w:uiPriority w:val="0"/>
    <w:rPr>
      <w:kern w:val="0"/>
      <w:sz w:val="18"/>
      <w:szCs w:val="20"/>
    </w:rPr>
  </w:style>
  <w:style w:type="paragraph" w:styleId="14">
    <w:name w:val="footer"/>
    <w:basedOn w:val="1"/>
    <w:link w:val="42"/>
    <w:uiPriority w:val="99"/>
    <w:pPr>
      <w:tabs>
        <w:tab w:val="center" w:pos="4153"/>
        <w:tab w:val="right" w:pos="8306"/>
      </w:tabs>
      <w:snapToGrid w:val="0"/>
      <w:jc w:val="left"/>
    </w:pPr>
    <w:rPr>
      <w:kern w:val="0"/>
      <w:sz w:val="18"/>
      <w:szCs w:val="20"/>
    </w:rPr>
  </w:style>
  <w:style w:type="paragraph" w:styleId="15">
    <w:name w:val="header"/>
    <w:basedOn w:val="1"/>
    <w:link w:val="35"/>
    <w:qFormat/>
    <w:uiPriority w:val="0"/>
    <w:pPr>
      <w:pBdr>
        <w:bottom w:val="single" w:color="auto" w:sz="6" w:space="1"/>
      </w:pBdr>
      <w:tabs>
        <w:tab w:val="center" w:pos="4153"/>
        <w:tab w:val="right" w:pos="8306"/>
      </w:tabs>
      <w:snapToGrid w:val="0"/>
      <w:jc w:val="center"/>
    </w:pPr>
    <w:rPr>
      <w:kern w:val="0"/>
      <w:sz w:val="18"/>
      <w:szCs w:val="20"/>
    </w:rPr>
  </w:style>
  <w:style w:type="paragraph" w:styleId="16">
    <w:name w:val="table of figures"/>
    <w:basedOn w:val="1"/>
    <w:next w:val="1"/>
    <w:qFormat/>
    <w:locked/>
    <w:uiPriority w:val="0"/>
    <w:pPr>
      <w:ind w:left="200" w:leftChars="200" w:hanging="200" w:hangingChars="200"/>
    </w:pPr>
    <w:rPr>
      <w:rFonts w:ascii="Calibri" w:hAnsi="Calibri"/>
      <w:szCs w:val="22"/>
    </w:rPr>
  </w:style>
  <w:style w:type="paragraph" w:styleId="17">
    <w:name w:val="HTML Preformatted"/>
    <w:basedOn w:val="1"/>
    <w:link w:val="65"/>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8">
    <w:name w:val="Normal (Web)"/>
    <w:basedOn w:val="1"/>
    <w:link w:val="29"/>
    <w:qFormat/>
    <w:uiPriority w:val="0"/>
    <w:pPr>
      <w:widowControl/>
      <w:spacing w:before="100" w:beforeAutospacing="1" w:after="100" w:afterAutospacing="1"/>
      <w:jc w:val="left"/>
    </w:pPr>
    <w:rPr>
      <w:rFonts w:ascii="宋体" w:hAnsi="宋体"/>
      <w:kern w:val="0"/>
      <w:sz w:val="24"/>
      <w:szCs w:val="20"/>
    </w:rPr>
  </w:style>
  <w:style w:type="paragraph" w:styleId="19">
    <w:name w:val="annotation subject"/>
    <w:basedOn w:val="7"/>
    <w:next w:val="7"/>
    <w:link w:val="40"/>
    <w:semiHidden/>
    <w:qFormat/>
    <w:uiPriority w:val="0"/>
    <w:rPr>
      <w:b/>
      <w:kern w:val="2"/>
    </w:rPr>
  </w:style>
  <w:style w:type="paragraph" w:styleId="20">
    <w:name w:val="Body Text First Indent 2"/>
    <w:basedOn w:val="1"/>
    <w:next w:val="1"/>
    <w:qFormat/>
    <w:locked/>
    <w:uiPriority w:val="99"/>
    <w:pPr>
      <w:spacing w:after="120"/>
      <w:ind w:left="420" w:leftChars="200" w:firstLine="200" w:firstLineChars="200"/>
    </w:pPr>
    <w:rPr>
      <w:rFonts w:ascii="汉鼎简老宋"/>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locked/>
    <w:uiPriority w:val="0"/>
  </w:style>
  <w:style w:type="character" w:styleId="25">
    <w:name w:val="annotation reference"/>
    <w:semiHidden/>
    <w:qFormat/>
    <w:uiPriority w:val="0"/>
    <w:rPr>
      <w:sz w:val="21"/>
    </w:rPr>
  </w:style>
  <w:style w:type="character" w:customStyle="1" w:styleId="26">
    <w:name w:val="正文文本缩进 字符"/>
    <w:link w:val="10"/>
    <w:semiHidden/>
    <w:qFormat/>
    <w:locked/>
    <w:uiPriority w:val="0"/>
    <w:rPr>
      <w:rFonts w:ascii="Times New Roman" w:hAnsi="Times New Roman" w:eastAsia="宋体"/>
      <w:sz w:val="24"/>
    </w:rPr>
  </w:style>
  <w:style w:type="character" w:customStyle="1" w:styleId="27">
    <w:name w:val="页脚 字符"/>
    <w:basedOn w:val="23"/>
    <w:qFormat/>
    <w:uiPriority w:val="99"/>
  </w:style>
  <w:style w:type="character" w:customStyle="1" w:styleId="28">
    <w:name w:val="批注文字 字符1"/>
    <w:semiHidden/>
    <w:qFormat/>
    <w:uiPriority w:val="0"/>
    <w:rPr>
      <w:rFonts w:ascii="Times New Roman" w:hAnsi="Times New Roman" w:eastAsia="宋体"/>
      <w:sz w:val="24"/>
    </w:rPr>
  </w:style>
  <w:style w:type="character" w:customStyle="1" w:styleId="29">
    <w:name w:val="普通(网站) 字符"/>
    <w:link w:val="18"/>
    <w:qFormat/>
    <w:locked/>
    <w:uiPriority w:val="0"/>
    <w:rPr>
      <w:rFonts w:ascii="宋体" w:hAnsi="宋体" w:eastAsia="宋体"/>
      <w:sz w:val="24"/>
    </w:rPr>
  </w:style>
  <w:style w:type="character" w:customStyle="1" w:styleId="30">
    <w:name w:val="表格 Char"/>
    <w:link w:val="31"/>
    <w:qFormat/>
    <w:locked/>
    <w:uiPriority w:val="0"/>
    <w:rPr>
      <w:rFonts w:ascii="宋体"/>
      <w:sz w:val="21"/>
    </w:rPr>
  </w:style>
  <w:style w:type="paragraph" w:customStyle="1" w:styleId="31">
    <w:name w:val="表格"/>
    <w:basedOn w:val="1"/>
    <w:next w:val="1"/>
    <w:link w:val="30"/>
    <w:qFormat/>
    <w:uiPriority w:val="0"/>
    <w:pPr>
      <w:adjustRightInd w:val="0"/>
      <w:snapToGrid w:val="0"/>
      <w:spacing w:beforeLines="10" w:afterLines="10" w:line="259" w:lineRule="auto"/>
      <w:jc w:val="center"/>
    </w:pPr>
    <w:rPr>
      <w:rFonts w:ascii="宋体"/>
      <w:kern w:val="0"/>
      <w:szCs w:val="20"/>
    </w:rPr>
  </w:style>
  <w:style w:type="character" w:customStyle="1" w:styleId="32">
    <w:name w:val="批注框文本 字符"/>
    <w:link w:val="13"/>
    <w:semiHidden/>
    <w:qFormat/>
    <w:locked/>
    <w:uiPriority w:val="0"/>
    <w:rPr>
      <w:rFonts w:ascii="Times New Roman" w:hAnsi="Times New Roman" w:eastAsia="宋体"/>
      <w:sz w:val="18"/>
    </w:rPr>
  </w:style>
  <w:style w:type="character" w:customStyle="1" w:styleId="33">
    <w:name w:val="日期 字符1"/>
    <w:link w:val="12"/>
    <w:qFormat/>
    <w:locked/>
    <w:uiPriority w:val="0"/>
    <w:rPr>
      <w:rFonts w:ascii="Times New Roman" w:hAnsi="Times New Roman" w:eastAsia="宋体"/>
      <w:sz w:val="24"/>
    </w:rPr>
  </w:style>
  <w:style w:type="character" w:customStyle="1" w:styleId="34">
    <w:name w:val="正文文本 字符"/>
    <w:link w:val="9"/>
    <w:qFormat/>
    <w:locked/>
    <w:uiPriority w:val="0"/>
    <w:rPr>
      <w:sz w:val="18"/>
    </w:rPr>
  </w:style>
  <w:style w:type="character" w:customStyle="1" w:styleId="35">
    <w:name w:val="页眉 字符"/>
    <w:link w:val="15"/>
    <w:qFormat/>
    <w:locked/>
    <w:uiPriority w:val="0"/>
    <w:rPr>
      <w:sz w:val="18"/>
    </w:rPr>
  </w:style>
  <w:style w:type="character" w:customStyle="1" w:styleId="36">
    <w:name w:val="批注文字 字符"/>
    <w:link w:val="7"/>
    <w:qFormat/>
    <w:locked/>
    <w:uiPriority w:val="0"/>
    <w:rPr>
      <w:rFonts w:ascii="Times New Roman" w:hAnsi="Times New Roman" w:eastAsia="宋体"/>
      <w:sz w:val="24"/>
    </w:rPr>
  </w:style>
  <w:style w:type="character" w:customStyle="1" w:styleId="37">
    <w:name w:val="日期 字符"/>
    <w:semiHidden/>
    <w:qFormat/>
    <w:uiPriority w:val="0"/>
    <w:rPr>
      <w:rFonts w:ascii="Times New Roman" w:hAnsi="Times New Roman" w:eastAsia="宋体"/>
      <w:sz w:val="24"/>
    </w:rPr>
  </w:style>
  <w:style w:type="character" w:customStyle="1" w:styleId="38">
    <w:name w:val="0正文 Char"/>
    <w:link w:val="39"/>
    <w:qFormat/>
    <w:uiPriority w:val="0"/>
    <w:rPr>
      <w:kern w:val="0"/>
      <w:sz w:val="24"/>
      <w:szCs w:val="22"/>
    </w:rPr>
  </w:style>
  <w:style w:type="paragraph" w:customStyle="1" w:styleId="39">
    <w:name w:val="0正文"/>
    <w:basedOn w:val="1"/>
    <w:link w:val="38"/>
    <w:qFormat/>
    <w:uiPriority w:val="0"/>
    <w:pPr>
      <w:spacing w:line="360" w:lineRule="auto"/>
      <w:ind w:firstLine="480" w:firstLineChars="200"/>
    </w:pPr>
    <w:rPr>
      <w:kern w:val="0"/>
      <w:sz w:val="24"/>
      <w:szCs w:val="22"/>
    </w:rPr>
  </w:style>
  <w:style w:type="character" w:customStyle="1" w:styleId="40">
    <w:name w:val="批注主题 字符"/>
    <w:link w:val="19"/>
    <w:semiHidden/>
    <w:qFormat/>
    <w:locked/>
    <w:uiPriority w:val="0"/>
    <w:rPr>
      <w:rFonts w:ascii="Times New Roman" w:hAnsi="Times New Roman" w:eastAsia="宋体"/>
      <w:b/>
      <w:kern w:val="2"/>
      <w:sz w:val="24"/>
    </w:rPr>
  </w:style>
  <w:style w:type="character" w:customStyle="1" w:styleId="41">
    <w:name w:val="正文文本 字符1"/>
    <w:semiHidden/>
    <w:qFormat/>
    <w:uiPriority w:val="0"/>
    <w:rPr>
      <w:rFonts w:ascii="Times New Roman" w:hAnsi="Times New Roman" w:eastAsia="宋体"/>
      <w:sz w:val="24"/>
    </w:rPr>
  </w:style>
  <w:style w:type="character" w:customStyle="1" w:styleId="42">
    <w:name w:val="页脚 字符1"/>
    <w:link w:val="14"/>
    <w:qFormat/>
    <w:locked/>
    <w:uiPriority w:val="99"/>
    <w:rPr>
      <w:sz w:val="18"/>
    </w:rPr>
  </w:style>
  <w:style w:type="paragraph" w:customStyle="1" w:styleId="43">
    <w:name w:val="正文_13"/>
    <w:qFormat/>
    <w:uiPriority w:val="0"/>
    <w:pPr>
      <w:widowControl w:val="0"/>
      <w:jc w:val="both"/>
    </w:pPr>
    <w:rPr>
      <w:rFonts w:ascii="Calibri" w:hAnsi="Calibri" w:eastAsia="宋体" w:cs="Times New Roman"/>
      <w:kern w:val="2"/>
      <w:sz w:val="21"/>
      <w:lang w:val="en-US" w:eastAsia="zh-CN" w:bidi="ar-SA"/>
    </w:rPr>
  </w:style>
  <w:style w:type="paragraph" w:customStyle="1" w:styleId="44">
    <w:name w:val="报告正文"/>
    <w:basedOn w:val="1"/>
    <w:qFormat/>
    <w:uiPriority w:val="0"/>
    <w:pPr>
      <w:adjustRightInd w:val="0"/>
      <w:snapToGrid w:val="0"/>
      <w:ind w:firstLine="200" w:firstLineChars="200"/>
    </w:pPr>
    <w:rPr>
      <w:rFonts w:ascii="宋体"/>
      <w:sz w:val="24"/>
      <w:szCs w:val="20"/>
      <w:lang w:val="zh-CN"/>
    </w:rPr>
  </w:style>
  <w:style w:type="paragraph" w:customStyle="1" w:styleId="45">
    <w:name w:val="表头111"/>
    <w:basedOn w:val="1"/>
    <w:qFormat/>
    <w:uiPriority w:val="99"/>
    <w:pPr>
      <w:ind w:left="420"/>
      <w:jc w:val="center"/>
    </w:pPr>
    <w:rPr>
      <w:rFonts w:ascii="Calibri" w:hAnsi="Calibri"/>
      <w:b/>
      <w:kern w:val="0"/>
      <w:szCs w:val="20"/>
    </w:rPr>
  </w:style>
  <w:style w:type="paragraph" w:customStyle="1" w:styleId="46">
    <w:name w:val="正文2"/>
    <w:basedOn w:val="1"/>
    <w:qFormat/>
    <w:uiPriority w:val="99"/>
    <w:pPr>
      <w:spacing w:line="440" w:lineRule="atLeast"/>
      <w:ind w:firstLine="567"/>
    </w:pPr>
  </w:style>
  <w:style w:type="paragraph" w:customStyle="1" w:styleId="47">
    <w:name w:val="4biaoge neibu"/>
    <w:basedOn w:val="1"/>
    <w:qFormat/>
    <w:uiPriority w:val="0"/>
    <w:pPr>
      <w:jc w:val="center"/>
    </w:pPr>
    <w:rPr>
      <w:rFonts w:cs="黑体"/>
      <w:szCs w:val="16"/>
    </w:rPr>
  </w:style>
  <w:style w:type="paragraph" w:customStyle="1" w:styleId="48">
    <w:name w:val="报告表正文"/>
    <w:basedOn w:val="1"/>
    <w:qFormat/>
    <w:uiPriority w:val="99"/>
    <w:pPr>
      <w:spacing w:line="312" w:lineRule="auto"/>
      <w:ind w:left="113" w:right="113" w:firstLine="482"/>
      <w:jc w:val="left"/>
      <w:textAlignment w:val="baseline"/>
    </w:pPr>
    <w:rPr>
      <w:kern w:val="0"/>
    </w:rPr>
  </w:style>
  <w:style w:type="paragraph" w:customStyle="1" w:styleId="49">
    <w:name w:val="Normal_18"/>
    <w:basedOn w:val="1"/>
    <w:qFormat/>
    <w:uiPriority w:val="0"/>
    <w:pPr>
      <w:widowControl/>
      <w:spacing w:before="120" w:after="240"/>
    </w:pPr>
    <w:rPr>
      <w:rFonts w:ascii="Calibri" w:hAnsi="Calibri"/>
      <w:sz w:val="22"/>
      <w:szCs w:val="22"/>
    </w:rPr>
  </w:style>
  <w:style w:type="paragraph" w:customStyle="1" w:styleId="50">
    <w:name w:val="5表头"/>
    <w:basedOn w:val="1"/>
    <w:qFormat/>
    <w:uiPriority w:val="99"/>
    <w:pPr>
      <w:adjustRightInd w:val="0"/>
      <w:snapToGrid w:val="0"/>
      <w:spacing w:line="320" w:lineRule="exact"/>
      <w:jc w:val="center"/>
    </w:pPr>
    <w:rPr>
      <w:szCs w:val="22"/>
    </w:rPr>
  </w:style>
  <w:style w:type="paragraph" w:customStyle="1" w:styleId="51">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2">
    <w:name w:val="表内格式"/>
    <w:basedOn w:val="1"/>
    <w:next w:val="48"/>
    <w:qFormat/>
    <w:uiPriority w:val="99"/>
    <w:pPr>
      <w:widowControl/>
      <w:jc w:val="center"/>
    </w:pPr>
    <w:rPr>
      <w:rFonts w:ascii="汉鼎简老宋" w:hAnsi="汉鼎简老宋"/>
      <w:kern w:val="0"/>
      <w:sz w:val="18"/>
    </w:rPr>
  </w:style>
  <w:style w:type="paragraph" w:customStyle="1" w:styleId="53">
    <w:name w:val="Table Paragraph"/>
    <w:basedOn w:val="1"/>
    <w:qFormat/>
    <w:uiPriority w:val="1"/>
    <w:pPr>
      <w:jc w:val="center"/>
    </w:pPr>
    <w:rPr>
      <w:rFonts w:ascii="宋体" w:hAnsi="宋体" w:cs="宋体"/>
    </w:rPr>
  </w:style>
  <w:style w:type="paragraph" w:customStyle="1" w:styleId="54">
    <w:name w:val="正文(首行缩进)"/>
    <w:basedOn w:val="1"/>
    <w:qFormat/>
    <w:uiPriority w:val="0"/>
    <w:pPr>
      <w:tabs>
        <w:tab w:val="left" w:pos="4584"/>
      </w:tabs>
      <w:adjustRightInd w:val="0"/>
      <w:snapToGrid w:val="0"/>
      <w:spacing w:line="360" w:lineRule="auto"/>
      <w:ind w:firstLine="200" w:firstLineChars="200"/>
    </w:pPr>
    <w:rPr>
      <w:bCs/>
      <w:snapToGrid w:val="0"/>
      <w:kern w:val="0"/>
      <w:sz w:val="24"/>
    </w:rPr>
  </w:style>
  <w:style w:type="paragraph" w:customStyle="1" w:styleId="55">
    <w:name w:val="图"/>
    <w:basedOn w:val="1"/>
    <w:qFormat/>
    <w:uiPriority w:val="99"/>
    <w:pPr>
      <w:jc w:val="center"/>
    </w:pPr>
    <w:rPr>
      <w:rFonts w:ascii="Courier New" w:hAnsi="Courier New" w:cs="汉鼎简老宋"/>
      <w:b/>
      <w:bCs/>
    </w:rPr>
  </w:style>
  <w:style w:type="paragraph" w:customStyle="1" w:styleId="56">
    <w:name w:val="报告正文-连续目录"/>
    <w:qFormat/>
    <w:uiPriority w:val="0"/>
    <w:pPr>
      <w:spacing w:line="440" w:lineRule="exact"/>
      <w:ind w:firstLine="200" w:firstLineChars="200"/>
    </w:pPr>
    <w:rPr>
      <w:rFonts w:ascii="Arial" w:hAnsi="Arial" w:eastAsia="宋体" w:cs="Times New Roman"/>
      <w:snapToGrid w:val="0"/>
      <w:sz w:val="24"/>
      <w:szCs w:val="24"/>
      <w:lang w:val="en-US" w:eastAsia="zh-CN" w:bidi="ar-SA"/>
    </w:rPr>
  </w:style>
  <w:style w:type="paragraph" w:customStyle="1" w:styleId="57">
    <w:name w:val="应填表格"/>
    <w:basedOn w:val="1"/>
    <w:uiPriority w:val="0"/>
    <w:pPr>
      <w:adjustRightInd w:val="0"/>
      <w:spacing w:before="40" w:after="40"/>
      <w:jc w:val="left"/>
      <w:textAlignment w:val="baseline"/>
    </w:pPr>
    <w:rPr>
      <w:kern w:val="0"/>
      <w:sz w:val="24"/>
      <w:szCs w:val="20"/>
    </w:rPr>
  </w:style>
  <w:style w:type="paragraph" w:customStyle="1" w:styleId="58">
    <w:name w:val="样式5"/>
    <w:qFormat/>
    <w:uiPriority w:val="0"/>
    <w:rPr>
      <w:rFonts w:ascii="黑体" w:hAnsi="Times New Roman" w:eastAsia="宋体" w:cs="Times New Roman"/>
      <w:lang w:val="en-US" w:eastAsia="zh-CN" w:bidi="ar-SA"/>
    </w:rPr>
  </w:style>
  <w:style w:type="paragraph" w:customStyle="1" w:styleId="59">
    <w:name w:val="表格式"/>
    <w:basedOn w:val="1"/>
    <w:qFormat/>
    <w:uiPriority w:val="99"/>
    <w:pPr>
      <w:spacing w:line="276" w:lineRule="auto"/>
      <w:ind w:left="17" w:leftChars="6" w:right="-17" w:rightChars="-6"/>
      <w:jc w:val="center"/>
    </w:pPr>
    <w:rPr>
      <w:szCs w:val="21"/>
    </w:rPr>
  </w:style>
  <w:style w:type="paragraph" w:customStyle="1" w:styleId="60">
    <w:name w:val="正文_10"/>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
    <w:name w:val="表格文字"/>
    <w:basedOn w:val="1"/>
    <w:link w:val="62"/>
    <w:qFormat/>
    <w:uiPriority w:val="0"/>
    <w:pPr>
      <w:jc w:val="center"/>
    </w:pPr>
    <w:rPr>
      <w:rFonts w:ascii="仿宋_GB2312" w:hAnsi="Arial Black" w:eastAsia="仿宋_GB2312"/>
      <w:kern w:val="44"/>
      <w:sz w:val="24"/>
    </w:rPr>
  </w:style>
  <w:style w:type="character" w:customStyle="1" w:styleId="62">
    <w:name w:val="表格文字 Char"/>
    <w:link w:val="61"/>
    <w:uiPriority w:val="0"/>
    <w:rPr>
      <w:rFonts w:ascii="仿宋_GB2312" w:hAnsi="Arial Black" w:eastAsia="仿宋_GB2312"/>
      <w:kern w:val="44"/>
      <w:sz w:val="24"/>
      <w:szCs w:val="24"/>
    </w:rPr>
  </w:style>
  <w:style w:type="character" w:customStyle="1" w:styleId="63">
    <w:name w:val="正文样式 Char"/>
    <w:link w:val="64"/>
    <w:qFormat/>
    <w:uiPriority w:val="0"/>
    <w:rPr>
      <w:rFonts w:ascii="宋体" w:hAnsi="宋体"/>
      <w:kern w:val="2"/>
      <w:sz w:val="24"/>
      <w:szCs w:val="24"/>
    </w:rPr>
  </w:style>
  <w:style w:type="paragraph" w:customStyle="1" w:styleId="64">
    <w:name w:val="正文样式"/>
    <w:basedOn w:val="1"/>
    <w:link w:val="63"/>
    <w:qFormat/>
    <w:uiPriority w:val="0"/>
    <w:pPr>
      <w:spacing w:line="460" w:lineRule="exact"/>
      <w:ind w:firstLine="200" w:firstLineChars="200"/>
    </w:pPr>
    <w:rPr>
      <w:rFonts w:ascii="宋体" w:hAnsi="宋体"/>
      <w:sz w:val="24"/>
    </w:rPr>
  </w:style>
  <w:style w:type="character" w:customStyle="1" w:styleId="65">
    <w:name w:val="HTML 预设格式 字符"/>
    <w:basedOn w:val="23"/>
    <w:link w:val="17"/>
    <w:uiPriority w:val="0"/>
    <w:rPr>
      <w:rFonts w:ascii="Arial" w:hAnsi="Arial" w:cs="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15"/>
    <customShpInfo spid="_x0000_s11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37</Pages>
  <Words>22769</Words>
  <Characters>25829</Characters>
  <Lines>204</Lines>
  <Paragraphs>57</Paragraphs>
  <TotalTime>2604</TotalTime>
  <ScaleCrop>false</ScaleCrop>
  <LinksUpToDate>false</LinksUpToDate>
  <CharactersWithSpaces>26043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123</cp:lastModifiedBy>
  <cp:lastPrinted>2021-05-07T04:58:00Z</cp:lastPrinted>
  <dcterms:modified xsi:type="dcterms:W3CDTF">2022-12-28T02:18:30Z</dcterms:modified>
  <dc:title>附件2</dc:title>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ECE9B52076824E02BB888C8BD8EED9CE</vt:lpwstr>
  </property>
</Properties>
</file>