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44"/>
          <w:szCs w:val="44"/>
        </w:rPr>
      </w:pPr>
    </w:p>
    <w:p>
      <w:pPr>
        <w:spacing w:line="440" w:lineRule="exact"/>
        <w:jc w:val="center"/>
        <w:rPr>
          <w:rFonts w:hint="eastAsia" w:ascii="仿宋_GB2312" w:hAnsi="仿宋_GB2312" w:eastAsia="仿宋_GB2312" w:cs="仿宋_GB2312"/>
          <w:b/>
          <w:bCs/>
          <w:sz w:val="44"/>
          <w:szCs w:val="44"/>
        </w:rPr>
      </w:pPr>
    </w:p>
    <w:p>
      <w:pPr>
        <w:spacing w:line="560" w:lineRule="exact"/>
        <w:jc w:val="center"/>
        <w:rPr>
          <w:rFonts w:hint="eastAsia" w:ascii="仿宋_GB2312" w:hAnsi="仿宋_GB2312" w:eastAsia="仿宋_GB2312" w:cs="仿宋_GB2312"/>
          <w:sz w:val="48"/>
          <w:szCs w:val="48"/>
        </w:rPr>
      </w:pPr>
      <w:r>
        <w:rPr>
          <w:rFonts w:hint="eastAsia" w:ascii="仿宋_GB2312" w:hAnsi="仿宋_GB2312" w:eastAsia="仿宋_GB2312" w:cs="仿宋_GB2312"/>
          <w:sz w:val="48"/>
          <w:szCs w:val="48"/>
        </w:rPr>
        <w:t>西安市</w:t>
      </w:r>
      <w:r>
        <w:rPr>
          <w:rFonts w:hint="eastAsia" w:ascii="仿宋_GB2312" w:hAnsi="仿宋_GB2312" w:eastAsia="仿宋_GB2312" w:cs="仿宋_GB2312"/>
          <w:sz w:val="48"/>
          <w:szCs w:val="48"/>
        </w:rPr>
        <w:t>莲湖</w:t>
      </w:r>
      <w:r>
        <w:rPr>
          <w:rFonts w:hint="eastAsia" w:ascii="仿宋_GB2312" w:hAnsi="仿宋_GB2312" w:eastAsia="仿宋_GB2312" w:cs="仿宋_GB2312"/>
          <w:sz w:val="48"/>
          <w:szCs w:val="48"/>
        </w:rPr>
        <w:t>区</w:t>
      </w:r>
      <w:r>
        <w:rPr>
          <w:rFonts w:hint="eastAsia" w:ascii="仿宋_GB2312" w:hAnsi="仿宋_GB2312" w:eastAsia="仿宋_GB2312" w:cs="仿宋_GB2312"/>
          <w:sz w:val="48"/>
          <w:szCs w:val="48"/>
          <w:lang w:val="en-US" w:eastAsia="zh-CN"/>
        </w:rPr>
        <w:t>工业信息化和交通</w:t>
      </w:r>
      <w:r>
        <w:rPr>
          <w:rFonts w:hint="eastAsia" w:ascii="仿宋_GB2312" w:hAnsi="仿宋_GB2312" w:eastAsia="仿宋_GB2312" w:cs="仿宋_GB2312"/>
          <w:sz w:val="48"/>
          <w:szCs w:val="48"/>
        </w:rPr>
        <w:t>局</w:t>
      </w:r>
    </w:p>
    <w:p>
      <w:pPr>
        <w:spacing w:line="560" w:lineRule="exact"/>
        <w:jc w:val="center"/>
        <w:rPr>
          <w:rFonts w:hint="eastAsia" w:ascii="仿宋_GB2312" w:hAnsi="仿宋_GB2312" w:eastAsia="仿宋_GB2312" w:cs="仿宋_GB2312"/>
          <w:sz w:val="48"/>
          <w:szCs w:val="48"/>
        </w:rPr>
      </w:pPr>
      <w:r>
        <w:rPr>
          <w:rFonts w:hint="eastAsia" w:ascii="仿宋_GB2312" w:hAnsi="仿宋_GB2312" w:eastAsia="仿宋_GB2312" w:cs="仿宋_GB2312"/>
          <w:sz w:val="48"/>
          <w:szCs w:val="48"/>
        </w:rPr>
        <w:t>2020</w:t>
      </w:r>
      <w:r>
        <w:rPr>
          <w:rFonts w:hint="eastAsia" w:ascii="仿宋_GB2312" w:hAnsi="仿宋_GB2312" w:eastAsia="仿宋_GB2312" w:cs="仿宋_GB2312"/>
          <w:sz w:val="48"/>
          <w:szCs w:val="48"/>
        </w:rPr>
        <w:t>年</w:t>
      </w:r>
      <w:r>
        <w:rPr>
          <w:rFonts w:hint="eastAsia" w:ascii="仿宋_GB2312" w:hAnsi="仿宋_GB2312" w:eastAsia="仿宋_GB2312" w:cs="仿宋_GB2312"/>
          <w:sz w:val="48"/>
          <w:szCs w:val="48"/>
        </w:rPr>
        <w:t>度</w:t>
      </w:r>
      <w:r>
        <w:rPr>
          <w:rFonts w:hint="eastAsia" w:ascii="仿宋_GB2312" w:hAnsi="仿宋_GB2312" w:eastAsia="仿宋_GB2312" w:cs="仿宋_GB2312"/>
          <w:sz w:val="48"/>
          <w:szCs w:val="48"/>
        </w:rPr>
        <w:t>部门决算</w:t>
      </w:r>
    </w:p>
    <w:p>
      <w:pPr>
        <w:spacing w:line="560" w:lineRule="exact"/>
        <w:jc w:val="center"/>
        <w:rPr>
          <w:rFonts w:hint="eastAsia" w:ascii="仿宋_GB2312" w:hAnsi="仿宋_GB2312" w:eastAsia="仿宋_GB2312" w:cs="仿宋_GB2312"/>
          <w:b/>
          <w:bCs/>
          <w:sz w:val="44"/>
          <w:szCs w:val="44"/>
        </w:rPr>
      </w:pPr>
    </w:p>
    <w:p>
      <w:pPr>
        <w:spacing w:line="560" w:lineRule="exact"/>
        <w:jc w:val="center"/>
        <w:rPr>
          <w:rFonts w:hint="eastAsia" w:ascii="仿宋_GB2312" w:hAnsi="仿宋_GB2312" w:eastAsia="仿宋_GB2312" w:cs="仿宋_GB2312"/>
          <w:b/>
          <w:bCs/>
          <w:sz w:val="44"/>
          <w:szCs w:val="44"/>
        </w:rPr>
      </w:pPr>
    </w:p>
    <w:p>
      <w:pPr>
        <w:spacing w:line="560" w:lineRule="exact"/>
        <w:jc w:val="center"/>
        <w:rPr>
          <w:rFonts w:hint="eastAsia" w:ascii="仿宋_GB2312" w:hAnsi="仿宋_GB2312" w:eastAsia="仿宋_GB2312" w:cs="仿宋_GB2312"/>
          <w:b/>
          <w:bCs/>
          <w:sz w:val="44"/>
          <w:szCs w:val="44"/>
        </w:rPr>
      </w:pPr>
    </w:p>
    <w:p>
      <w:pPr>
        <w:spacing w:line="560" w:lineRule="exact"/>
        <w:jc w:val="center"/>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560" w:lineRule="exact"/>
        <w:rPr>
          <w:rFonts w:hint="eastAsia" w:ascii="仿宋_GB2312" w:hAnsi="仿宋_GB2312" w:eastAsia="仿宋_GB2312" w:cs="仿宋_GB2312"/>
          <w:b/>
          <w:bCs/>
          <w:sz w:val="44"/>
          <w:szCs w:val="44"/>
        </w:rPr>
      </w:pPr>
    </w:p>
    <w:p>
      <w:pPr>
        <w:spacing w:line="400" w:lineRule="exact"/>
        <w:ind w:firstLine="2570" w:firstLineChars="800"/>
        <w:rPr>
          <w:rFonts w:hint="eastAsia" w:ascii="仿宋_GB2312" w:hAnsi="仿宋_GB2312" w:eastAsia="仿宋_GB2312" w:cs="仿宋_GB2312"/>
          <w:b/>
          <w:bCs/>
          <w:sz w:val="32"/>
          <w:szCs w:val="32"/>
        </w:rPr>
      </w:pPr>
    </w:p>
    <w:p>
      <w:pPr>
        <w:spacing w:line="400" w:lineRule="exact"/>
        <w:ind w:firstLine="2570" w:firstLineChars="800"/>
        <w:rPr>
          <w:rFonts w:hint="eastAsia" w:ascii="仿宋_GB2312" w:hAnsi="仿宋_GB2312" w:eastAsia="仿宋_GB2312" w:cs="仿宋_GB2312"/>
          <w:b/>
          <w:bCs/>
          <w:sz w:val="32"/>
          <w:szCs w:val="32"/>
        </w:rPr>
      </w:pPr>
    </w:p>
    <w:p>
      <w:pPr>
        <w:spacing w:line="400" w:lineRule="exact"/>
        <w:ind w:firstLine="2570" w:firstLineChars="800"/>
        <w:jc w:val="left"/>
        <w:rPr>
          <w:rFonts w:hint="eastAsia" w:ascii="仿宋_GB2312" w:hAnsi="仿宋_GB2312" w:eastAsia="仿宋_GB2312" w:cs="仿宋_GB2312"/>
          <w:b/>
          <w:bCs/>
          <w:sz w:val="32"/>
          <w:szCs w:val="32"/>
        </w:rPr>
      </w:pPr>
    </w:p>
    <w:p>
      <w:pPr>
        <w:spacing w:line="400" w:lineRule="exact"/>
        <w:ind w:firstLine="2088" w:firstLineChars="650"/>
        <w:jc w:val="left"/>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保密审查情况：</w:t>
      </w:r>
      <w:r>
        <w:rPr>
          <w:rFonts w:hint="eastAsia" w:ascii="仿宋_GB2312" w:hAnsi="仿宋_GB2312" w:eastAsia="仿宋_GB2312" w:cs="仿宋_GB2312"/>
          <w:b/>
          <w:bCs/>
          <w:sz w:val="32"/>
          <w:szCs w:val="32"/>
          <w:lang w:eastAsia="zh-CN"/>
        </w:rPr>
        <w:t>已审查</w:t>
      </w:r>
    </w:p>
    <w:p>
      <w:pPr>
        <w:spacing w:line="400" w:lineRule="exact"/>
        <w:ind w:firstLine="2088" w:firstLineChars="650"/>
        <w:jc w:val="left"/>
        <w:rPr>
          <w:rFonts w:hint="eastAsia" w:ascii="仿宋_GB2312" w:hAnsi="仿宋_GB2312" w:eastAsia="仿宋_GB2312" w:cs="仿宋_GB2312"/>
          <w:b/>
          <w:bCs/>
          <w:sz w:val="32"/>
          <w:szCs w:val="32"/>
        </w:rPr>
      </w:pPr>
    </w:p>
    <w:p>
      <w:pPr>
        <w:spacing w:line="400" w:lineRule="exact"/>
        <w:ind w:firstLine="2088" w:firstLineChars="65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部门主要负责人审签情况：</w:t>
      </w:r>
      <w:r>
        <w:rPr>
          <w:rFonts w:hint="eastAsia" w:ascii="仿宋_GB2312" w:hAnsi="仿宋_GB2312" w:eastAsia="仿宋_GB2312" w:cs="仿宋_GB2312"/>
          <w:b/>
          <w:bCs/>
          <w:sz w:val="32"/>
          <w:szCs w:val="32"/>
          <w:lang w:eastAsia="zh-CN"/>
        </w:rPr>
        <w:t>已审</w:t>
      </w:r>
      <w:r>
        <w:rPr>
          <w:rFonts w:hint="eastAsia" w:ascii="仿宋_GB2312" w:hAnsi="仿宋_GB2312" w:eastAsia="仿宋_GB2312" w:cs="仿宋_GB2312"/>
          <w:b/>
          <w:bCs/>
          <w:sz w:val="32"/>
          <w:szCs w:val="32"/>
          <w:lang w:val="en-US" w:eastAsia="zh-CN"/>
        </w:rPr>
        <w:t>签</w:t>
      </w:r>
    </w:p>
    <w:p>
      <w:pPr>
        <w:spacing w:line="400" w:lineRule="exact"/>
        <w:ind w:firstLine="1928" w:firstLineChars="600"/>
        <w:jc w:val="left"/>
        <w:rPr>
          <w:rFonts w:hint="eastAsia" w:ascii="仿宋_GB2312" w:hAnsi="仿宋_GB2312" w:eastAsia="仿宋_GB2312" w:cs="仿宋_GB2312"/>
          <w:b/>
          <w:bCs/>
          <w:sz w:val="32"/>
          <w:szCs w:val="32"/>
        </w:rPr>
      </w:pPr>
    </w:p>
    <w:p>
      <w:pPr>
        <w:spacing w:line="400" w:lineRule="exact"/>
        <w:ind w:firstLine="2088" w:firstLineChars="650"/>
        <w:rPr>
          <w:rFonts w:hint="eastAsia" w:ascii="仿宋_GB2312" w:hAnsi="仿宋_GB2312" w:eastAsia="仿宋_GB2312" w:cs="仿宋_GB2312"/>
          <w:b/>
          <w:bCs/>
          <w:sz w:val="32"/>
          <w:szCs w:val="32"/>
        </w:rPr>
      </w:pPr>
    </w:p>
    <w:p>
      <w:pPr>
        <w:spacing w:line="4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p>
    <w:p>
      <w:pPr>
        <w:spacing w:line="400" w:lineRule="exact"/>
        <w:rPr>
          <w:rFonts w:hint="eastAsia" w:ascii="仿宋_GB2312" w:hAnsi="仿宋_GB2312" w:eastAsia="仿宋_GB2312" w:cs="仿宋_GB2312"/>
          <w:bCs/>
          <w:color w:val="000000"/>
          <w:kern w:val="0"/>
          <w:sz w:val="36"/>
          <w:szCs w:val="36"/>
        </w:rPr>
        <w:sectPr>
          <w:headerReference r:id="rId4" w:type="first"/>
          <w:footerReference r:id="rId5" w:type="default"/>
          <w:headerReference r:id="rId3" w:type="even"/>
          <w:pgSz w:w="11906" w:h="16838"/>
          <w:pgMar w:top="2098" w:right="1474" w:bottom="1984" w:left="1587" w:header="851" w:footer="992" w:gutter="0"/>
          <w:cols w:space="720" w:num="1"/>
          <w:docGrid w:type="lines" w:linePitch="315" w:charSpace="0"/>
        </w:sectPr>
      </w:pPr>
    </w:p>
    <w:p>
      <w:pPr>
        <w:jc w:val="center"/>
        <w:rPr>
          <w:rFonts w:hint="eastAsia" w:ascii="仿宋_GB2312" w:hAnsi="仿宋_GB2312" w:eastAsia="仿宋_GB2312" w:cs="仿宋_GB2312"/>
          <w:bCs/>
          <w:color w:val="000000"/>
          <w:kern w:val="0"/>
          <w:sz w:val="36"/>
          <w:szCs w:val="36"/>
        </w:rPr>
      </w:pPr>
      <w:r>
        <w:rPr>
          <w:rFonts w:hint="eastAsia" w:ascii="仿宋_GB2312" w:hAnsi="仿宋_GB2312" w:eastAsia="仿宋_GB2312" w:cs="仿宋_GB2312"/>
          <w:bCs/>
          <w:color w:val="000000"/>
          <w:kern w:val="0"/>
          <w:sz w:val="36"/>
          <w:szCs w:val="36"/>
        </w:rPr>
        <w:t>目</w:t>
      </w:r>
      <w:r>
        <w:rPr>
          <w:rFonts w:hint="eastAsia" w:ascii="仿宋_GB2312" w:hAnsi="仿宋_GB2312" w:eastAsia="仿宋_GB2312" w:cs="仿宋_GB2312"/>
          <w:bCs/>
          <w:color w:val="000000"/>
          <w:kern w:val="0"/>
          <w:sz w:val="36"/>
          <w:szCs w:val="36"/>
        </w:rPr>
        <w:t xml:space="preserve">  </w:t>
      </w:r>
      <w:r>
        <w:rPr>
          <w:rFonts w:hint="eastAsia" w:ascii="仿宋_GB2312" w:hAnsi="仿宋_GB2312" w:eastAsia="仿宋_GB2312" w:cs="仿宋_GB2312"/>
          <w:bCs/>
          <w:color w:val="000000"/>
          <w:kern w:val="0"/>
          <w:sz w:val="36"/>
          <w:szCs w:val="36"/>
        </w:rPr>
        <w:t>录</w:t>
      </w:r>
    </w:p>
    <w:p>
      <w:pPr>
        <w:widowControl/>
        <w:jc w:val="center"/>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第一部分</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部门概况</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一、部门主要职责及内设机构</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二、部门决算单位构成</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三、部门人员情况</w:t>
      </w:r>
    </w:p>
    <w:p>
      <w:pPr>
        <w:widowControl/>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第二部分</w:t>
      </w:r>
      <w:r>
        <w:rPr>
          <w:rFonts w:hint="eastAsia" w:ascii="仿宋_GB2312" w:hAnsi="仿宋_GB2312" w:eastAsia="仿宋_GB2312" w:cs="仿宋_GB2312"/>
          <w:color w:val="000000"/>
          <w:kern w:val="0"/>
          <w:sz w:val="32"/>
          <w:szCs w:val="32"/>
        </w:rPr>
        <w:t xml:space="preserve">  2020</w:t>
      </w:r>
      <w:r>
        <w:rPr>
          <w:rFonts w:hint="eastAsia" w:ascii="仿宋_GB2312" w:hAnsi="仿宋_GB2312" w:eastAsia="仿宋_GB2312" w:cs="仿宋_GB2312"/>
          <w:color w:val="000000"/>
          <w:kern w:val="0"/>
          <w:sz w:val="32"/>
          <w:szCs w:val="32"/>
        </w:rPr>
        <w:t>年部门决算表</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一、收入支出决算总表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二、收入决算表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三、支出决算表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四、财政拨款收入支出决算总表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五、一般公共预算财政拨款支出决算表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六、一般公共预算财政拨款基本支出决算表</w:t>
      </w:r>
      <w:r>
        <w:rPr>
          <w:rFonts w:hint="eastAsia" w:ascii="仿宋_GB2312" w:hAnsi="仿宋_GB2312" w:eastAsia="仿宋_GB2312" w:cs="仿宋_GB2312"/>
          <w:color w:val="000000"/>
          <w:kern w:val="0"/>
          <w:sz w:val="32"/>
          <w:szCs w:val="32"/>
        </w:rPr>
        <w:t xml:space="preserve">    </w:t>
      </w:r>
    </w:p>
    <w:p>
      <w:pPr>
        <w:widowControl/>
        <w:ind w:left="640" w:hanging="640" w:hanging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七、一般公共预算财政拨款“三公”经费及会议费、培训费支出决算表</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八、政府性基金预算财政拨款收入支出决算表</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九、国有资本经营预算财政拨款支出决算表</w:t>
      </w:r>
    </w:p>
    <w:p>
      <w:pPr>
        <w:widowControl/>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第三部分</w:t>
      </w:r>
      <w:r>
        <w:rPr>
          <w:rFonts w:hint="eastAsia" w:ascii="仿宋_GB2312" w:hAnsi="仿宋_GB2312" w:eastAsia="仿宋_GB2312" w:cs="仿宋_GB2312"/>
          <w:color w:val="000000"/>
          <w:kern w:val="0"/>
          <w:sz w:val="32"/>
          <w:szCs w:val="32"/>
        </w:rPr>
        <w:t xml:space="preserve">  2020</w:t>
      </w:r>
      <w:r>
        <w:rPr>
          <w:rFonts w:hint="eastAsia" w:ascii="仿宋_GB2312" w:hAnsi="仿宋_GB2312" w:eastAsia="仿宋_GB2312" w:cs="仿宋_GB2312"/>
          <w:color w:val="000000"/>
          <w:kern w:val="0"/>
          <w:sz w:val="32"/>
          <w:szCs w:val="32"/>
        </w:rPr>
        <w:t>年部门决算情况说明</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一、收入支出决算总体情况说明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二、收入决算情况说明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三、支出决算情况说明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四、财政拨款收入支出决算总体情况说明</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五、一般公共预算财政拨款支出决算情况说明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六、一般公共预算财政拨款基本支出决算情况说明</w:t>
      </w:r>
      <w:r>
        <w:rPr>
          <w:rFonts w:hint="eastAsia" w:ascii="仿宋_GB2312" w:hAnsi="仿宋_GB2312" w:eastAsia="仿宋_GB2312" w:cs="仿宋_GB2312"/>
          <w:color w:val="000000"/>
          <w:kern w:val="0"/>
          <w:sz w:val="32"/>
          <w:szCs w:val="32"/>
        </w:rPr>
        <w:t xml:space="preserve">   </w:t>
      </w:r>
    </w:p>
    <w:p>
      <w:pPr>
        <w:widowControl/>
        <w:ind w:left="640" w:hanging="640" w:hanging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七、一般公共预算财政拨款“三公”经费及会议费、培训费支出决算情况说明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八、政府性基金预算财政拨款收入支出情况说明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九、国有资本经营财政拨款收入支出情况说明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十、机关运行经费支出情况说明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十一、政府采购支出情况说明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十二、国有资产占用及购置情况说明</w:t>
      </w:r>
      <w:r>
        <w:rPr>
          <w:rFonts w:hint="eastAsia" w:ascii="仿宋_GB2312" w:hAnsi="仿宋_GB2312" w:eastAsia="仿宋_GB2312" w:cs="仿宋_GB2312"/>
          <w:color w:val="000000"/>
          <w:kern w:val="0"/>
          <w:sz w:val="32"/>
          <w:szCs w:val="32"/>
        </w:rPr>
        <w:t xml:space="preserve"> </w:t>
      </w:r>
    </w:p>
    <w:p>
      <w:pPr>
        <w:widowControl/>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十三、预算绩效情况说明</w:t>
      </w:r>
      <w:r>
        <w:rPr>
          <w:rFonts w:hint="eastAsia" w:ascii="仿宋_GB2312" w:hAnsi="仿宋_GB2312" w:eastAsia="仿宋_GB2312" w:cs="仿宋_GB2312"/>
          <w:color w:val="000000"/>
          <w:kern w:val="0"/>
          <w:sz w:val="32"/>
          <w:szCs w:val="32"/>
        </w:rPr>
        <w:t xml:space="preserve"> </w:t>
      </w:r>
    </w:p>
    <w:p>
      <w:pPr>
        <w:widowControl/>
        <w:jc w:val="cente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第四部分</w:t>
      </w: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专业名词解释</w:t>
      </w:r>
    </w:p>
    <w:p>
      <w:pPr>
        <w:jc w:val="center"/>
        <w:rPr>
          <w:rFonts w:hint="eastAsia" w:ascii="仿宋_GB2312" w:hAnsi="仿宋_GB2312" w:eastAsia="仿宋_GB2312" w:cs="仿宋_GB2312"/>
          <w:color w:val="000000"/>
          <w:kern w:val="0"/>
          <w:sz w:val="44"/>
          <w:szCs w:val="44"/>
        </w:rPr>
      </w:pPr>
    </w:p>
    <w:p>
      <w:pPr>
        <w:pStyle w:val="2"/>
        <w:rPr>
          <w:rFonts w:hint="eastAsia" w:ascii="仿宋_GB2312" w:hAnsi="仿宋_GB2312" w:eastAsia="仿宋_GB2312" w:cs="仿宋_GB2312"/>
        </w:rPr>
      </w:pPr>
    </w:p>
    <w:p>
      <w:pPr>
        <w:jc w:val="center"/>
        <w:rPr>
          <w:rFonts w:hint="eastAsia" w:ascii="仿宋_GB2312" w:hAnsi="仿宋_GB2312" w:eastAsia="仿宋_GB2312" w:cs="仿宋_GB2312"/>
          <w:color w:val="000000"/>
          <w:kern w:val="0"/>
          <w:sz w:val="44"/>
          <w:szCs w:val="44"/>
        </w:rPr>
      </w:pPr>
      <w:r>
        <w:rPr>
          <w:rFonts w:hint="eastAsia" w:ascii="仿宋_GB2312" w:hAnsi="仿宋_GB2312" w:eastAsia="仿宋_GB2312" w:cs="仿宋_GB2312"/>
          <w:color w:val="000000"/>
          <w:kern w:val="0"/>
          <w:sz w:val="44"/>
          <w:szCs w:val="44"/>
        </w:rPr>
        <w:t>第一部分</w:t>
      </w:r>
      <w:r>
        <w:rPr>
          <w:rFonts w:hint="eastAsia" w:ascii="仿宋_GB2312" w:hAnsi="仿宋_GB2312" w:eastAsia="仿宋_GB2312" w:cs="仿宋_GB2312"/>
          <w:color w:val="000000"/>
          <w:kern w:val="0"/>
          <w:sz w:val="44"/>
          <w:szCs w:val="44"/>
        </w:rPr>
        <w:t xml:space="preserve"> </w:t>
      </w:r>
      <w:r>
        <w:rPr>
          <w:rFonts w:hint="eastAsia" w:ascii="仿宋_GB2312" w:hAnsi="仿宋_GB2312" w:eastAsia="仿宋_GB2312" w:cs="仿宋_GB2312"/>
          <w:color w:val="000000"/>
          <w:kern w:val="0"/>
          <w:sz w:val="44"/>
          <w:szCs w:val="44"/>
        </w:rPr>
        <w:t>部门概况</w:t>
      </w:r>
    </w:p>
    <w:p>
      <w:pPr>
        <w:widowControl/>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一、部门主要职责及内设机构</w:t>
      </w:r>
    </w:p>
    <w:p>
      <w:pPr>
        <w:widowControl/>
        <w:ind w:firstLine="643" w:firstLineChars="200"/>
        <w:jc w:val="left"/>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（一）主要职责。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一、部门主要职责及机构设置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960" w:firstLineChars="30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贯彻执行国家和省、市有关工业和信息化、军民融合、大数据、新经济产业、交通运输行业、信用工作方面的法律法规和方针政策，起草有关规范性文件，实施产业引导、政策扶持，调整优化产业结构，加强相关产业的对外交流与合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2.负责拟订全区工业和信息化融合、军民融合、大数据、新经济产业、交通运输行业发展规划和年度计划，并组织实施。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推动工业和信息化融合、军民融合、大数据、新经济产业、交通运输行业技术创新进步和发展应用，以先进适用技术改造提升传统产业；贯彻执行全市数据技术标准并推广应用；协调组织实施有关国家、省、市、区重大技术创新项目，推进相关技术成果产业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提出优化产业布局、调整结构的政策建议；检测分析全区工业信息产业经济运行态势，进行预测预警和信息引导；推进全区工业和信息化融合；协调解决新型工业化进程中的重大问题；负责盐业、医药等工业行业管理工作；加强工业应急管理、指导行业安全和质量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5.组织协调装备制造业振兴发展。贯彻重大技术装备发展和自主创新的有关重大专项的实施，推进重大技术装备国产化，推动引进重大技术装备的消化、吸收和创新。</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6.贯彻落实工业节能降耗和资源综合利用、清洁生产促进政策措施、发展规划；推动工业能源节约和资源综合利用工作，组织协调相关重大示范工程和新产品、新技术、新设备、新材料的推广应用。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7.负责提出全区工业固定资产投资规模和方向、区级财政性资金安排的意见；负责工业固定资产投资项目管理工作。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8.负责中小微企业、非公有制经济（民营经济）的综合协调和服务工作；拟定促进中小微企业、非公有制经济（民营经济）发展相关政策措施并组织实施；负责推动中小企业服务体系建设；负责亲商助企工作，开展面向大企业相关服务工作，推动大型骨干企业加快发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9.负责电子信息产品制造和软件服务业的行业管理工作；协调区内电信网、互联网、专用通信网的建设工作，为数据资源管理与信息安全基础设施建设、技术创新提供保障；组织协调重大系统装备、微电子等基础产品的开发与生产，促进电子信息技术的推广应用；推动软件公共服务体系和平台建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10.负责推动全区社会信用体系建设。联系、协调和引导相关部门开展社会信用体系建设，监督和管理信用服务机构、行业协会和信用服务市场，推动和规范信用服务业发展；组织开展社会信用体系建设的宣传和培训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11.负责完善大数据和新经济产业发展体制机制，指导大数据和新经济产业发展，推动大数据和新经济产业研究和应用，完善服务导向的数据资源管理体系，配合数据资源建设管理工作。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12.负责统筹新型智慧城市建设、政府数字化转型工作；协调推进新型智慧城市重大项目建设，组织智慧城市重大课题研究，推动数据资源在政府管理和社会治理领域的应用；配合政务数据和公共数据资源的目录制定、归集管理和开放共享；负责推进大数据与政务服务融合、推广与应用；推动大数据、云计算、人工智能等产业发展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13.推动和协调“互联网+”、信息技术等新经济产业发展工作，负责协调，指导“互联网+”、信息技术在科技、健康、环保、旅游等领域的应用，促进“互联网+”、信息技术等产业技术创新和产业化、标准化；指导有关行业协会、学会、联盟机构等社会组织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14.负责联系对接上级军民融合机构；负责收集汇总全区军民融合发展需求，进行信息分析研究，提出推进全区军民融合发展的政策建议；协调推进全区军民融合领域体制机制改革；指导军民融合创新体系、平台建设，开展协调服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15.负责协调各区级有关部门军民融合发展工作。协调全区部队及军工企事业单位军民融合工作。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16.负责协调全区国防交通战备物资和交通战备动员，检查、监督全区国防交通工作。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17.监测、分析民营经济和非公有经济运行态势，分类、统计并发布相关信息，建立运行预警机制；指导民营经济和非公有经济调整产业结构和企业布局。</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18.承担全区道路运输市场的监管责任。负责所属道路运输及相关道路运输场站、机动车维修、船舶水运等行业管理工作；监督执行交通运输有关技术标准和营运规范；维护道路交通运输行业平等竞争秩序；参与拟定物流业发展规划并监督实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19.牵头组织全区交通运输综合治理工作。研究拟订全区交通运输治理工作方案和年度计划，并组织落实；组织开展交通运输管理监督检查和考核工作。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20.负责全区道路运输和水上交通的安全生产监督管理工作；负责交通运输行业应急处置；依法组织或参与有关安全事故的调查处理。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21.指导交通运输信息化建设，监测分析运行情况，开展相关统计工作，发布有关信息；指导交通运输行业环境保护和节能减排工作。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22.负责机关及所属事业单位安全生产管理工作。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23.承办区委、区政府交办的其他事项。</w:t>
      </w:r>
    </w:p>
    <w:p>
      <w:pPr>
        <w:widowControl/>
        <w:ind w:firstLine="643" w:firstLineChars="200"/>
        <w:jc w:val="left"/>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（二）内设机构。</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1.办公室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负责机关政务工作，制定机关工作制度，督促检查机关工作制度的落实；负责机关会议的组织和决定事项的督办；负责人大代表建议、议案和政协委员提案的办理；负责文电、机要、保密、档案、信访、接待、计划生育工作；负责机关和所属单位财务、国有资产管理和后勤服务等工作；负责机关和所属单位的党组织建设、党风廉政、机构编制、干部人事、劳动工资、培训、离退休人员服务管理等工作；负责依法行政工作；负责机关规范性文件的合法性审核工作；承办行政复议和应诉工作；负责组织实施目标责任综合考核工作；完成领导交办的其他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2.工业和信息化科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贯彻执行工业和信息化、信用工作方面的法律法规和方针政策，实施产业引导、政策扶持，调整优化产业结构，加强相关产业的对外交流与合作；拟定全区工业发展规划、年度计划，并组织实施；推动工业技术创新进步，推进相关技术成果化；提出优化产业布局、调整结构的政策建议；监测分析全区信息产业经济运行态势，进行预测预警和信息引导；协调解决新型工业化进程中的重大问题；负责盐业、医药等工业行业管理工作；加强工业应急管理、指导行业安全和质量管理工作；推动工业能源节约和资源综合利用工作；负责全区工业固定资产投资项目管理工作；组织协调装备制造业振兴发展；推动全区电子信息产业制造业服务业和软件服务业发展；负责中小微企业、非公有制经济（民营经济）的综合协调和服务工作；推动全区社会信用体系建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3.大数据和新经济产业发展科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贯彻执行国家关于发展大数据、新经济产业的相关法律、法规和方针政策；负责完善大数据和新经济产业发展体制机制，推动大数据和新经济产业研究和应用；统筹新型智慧城市建设、政府数字化转型工作；配合政务数据和公共数据资源的目录制定、归集管理和开放共享；负责推进大数据与政务服务融合、推广与应用；会同有关部门拟定大数据、云计算、人工智能等产业和“互联网+”、技术信息等新经济产业发展战略、规划和年度计划并组织实施，推动产业发展；负责大数据、云计算、人工智能等产业业务培训、实践等工作；组织开展大数据产业、云计算等产业的推介、招商活动；协调、指导“互联网+”、信息技术在科技、健康、环保、旅游等领域的应用，促进“互联网+”、信息技术等产业技术创新和产业化、标准化；指导有关行业协会、学会、；联盟机构等社会组织工作；组织开展“互联网+”、信息技术相关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4.军民融合科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贯彻执行全市军民融合发展地方性法规、制度和标准并组织实施；研究拟订全区军民融合发展规划、年度计划；协调推进全区军民融合领域体制机制改革；负责审查规范全区以“军民融合”名义开展工作或举办活动；负责与驻区部队和军工企事业单位沟通联系；负责联系对接上级军民融合机构；负责全区军民融合会议的组织和会议决定事项的督办；负责协调各区级有关部门的军民融合发展工作；协调全区部队及军工企事业单位军民融合工作；参与推进全区军民融合发展重大项目建设和重要事项的协调服务等；负责指导军民融合创新体系、平台建设；负责收集汇总全区军民融合发展需求，进行信息分析研究，提出推进全区军民融合发展的政策建议；负责协调全区国防交通战备物资和交通战备动员，检查、监督全区国防交通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5.交通运输科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负责全区交通运输工作的管理和指导；负责起草交通运输行业中长期发展规划和年度计划；组织开展交通运输管理监督检查和考核工作；维护道路交通运输行业平等竞争秩序；参与拟订物流业发展规划，承担物流交通运输市场有关管理工作；负责所属道路运输及相关道路运输场站、机动车维修、船舶水运等行业管理工作；负责交通运输行业信息化建设和相关数据统计工作；负责全区道路交通运输行业对外交流与合作；负责交通运输行业安全生产监督管理、应急处置、环境保护、节能减排等工作；负责依法组织或参与有关安全事故的调查处理；承担区客运站周边秩序整治活动领导小组办公室、区校车安全联席会议办公室日常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二、2020年度部门工作任务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（1）学习宣传贯彻党的十九大精神，抓好党建和干部队伍 建设工作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（2）努力追赶超越,抓好工业发展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（3）围绕企业需求，全面提升民营经济服务水平</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（4）做好信息化建设和大数据局筹备相关工作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（5）深化亲商助企，弘扬优秀企业家精神</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（6）持续开展客运站场周边秩序整治工作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（7）做好安全生产、源头治超等交通运输行业管理工作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（8）深入推进校车安全管理工作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（9）有效落实交通服务保障组营商环境各项工作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（10）牵头抓好军民融合补短板促发展工作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6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（11）持续抓好“铁腕治霾”工作</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二、部门决算单位构成</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w:t>
      </w:r>
      <w:r>
        <w:rPr>
          <w:rFonts w:hint="eastAsia" w:ascii="仿宋_GB2312" w:hAnsi="仿宋_GB2312" w:eastAsia="仿宋_GB2312" w:cs="仿宋_GB2312"/>
          <w:sz w:val="32"/>
          <w:szCs w:val="32"/>
        </w:rPr>
        <w:t>入</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决算</w:t>
      </w:r>
      <w:r>
        <w:rPr>
          <w:rFonts w:hint="eastAsia" w:ascii="仿宋_GB2312" w:hAnsi="仿宋_GB2312" w:eastAsia="仿宋_GB2312" w:cs="仿宋_GB2312"/>
          <w:sz w:val="32"/>
          <w:szCs w:val="32"/>
        </w:rPr>
        <w:t>编</w:t>
      </w:r>
      <w:r>
        <w:rPr>
          <w:rFonts w:hint="eastAsia" w:ascii="仿宋_GB2312" w:hAnsi="仿宋_GB2312" w:eastAsia="仿宋_GB2312" w:cs="仿宋_GB2312"/>
          <w:sz w:val="32"/>
          <w:szCs w:val="32"/>
        </w:rPr>
        <w:t>制范</w:t>
      </w:r>
      <w:r>
        <w:rPr>
          <w:rFonts w:hint="eastAsia" w:ascii="仿宋_GB2312" w:hAnsi="仿宋_GB2312" w:eastAsia="仿宋_GB2312" w:cs="仿宋_GB2312"/>
          <w:sz w:val="32"/>
          <w:szCs w:val="32"/>
        </w:rPr>
        <w:t>围</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位共</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个，包括本</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rPr>
        <w:t>及所属</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color w:val="000000"/>
          <w:kern w:val="0"/>
          <w:sz w:val="31"/>
          <w:szCs w:val="31"/>
        </w:rPr>
        <w:t>二</w:t>
      </w:r>
      <w:r>
        <w:rPr>
          <w:rFonts w:hint="eastAsia" w:ascii="仿宋_GB2312" w:hAnsi="仿宋_GB2312" w:eastAsia="仿宋_GB2312" w:cs="仿宋_GB2312"/>
          <w:color w:val="000000"/>
          <w:kern w:val="0"/>
          <w:sz w:val="31"/>
          <w:szCs w:val="31"/>
        </w:rPr>
        <w:t>级预</w:t>
      </w:r>
      <w:r>
        <w:rPr>
          <w:rFonts w:hint="eastAsia" w:ascii="仿宋_GB2312" w:hAnsi="仿宋_GB2312" w:eastAsia="仿宋_GB2312" w:cs="仿宋_GB2312"/>
          <w:color w:val="000000"/>
          <w:kern w:val="0"/>
          <w:sz w:val="31"/>
          <w:szCs w:val="31"/>
        </w:rPr>
        <w:t>算</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位：</w:t>
      </w:r>
    </w:p>
    <w:tbl>
      <w:tblPr>
        <w:tblStyle w:val="9"/>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atLeast"/>
        </w:trPr>
        <w:tc>
          <w:tcPr>
            <w:tcW w:w="1681"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7278"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7278" w:type="dxa"/>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西安市莲湖区</w:t>
            </w:r>
            <w:r>
              <w:rPr>
                <w:rFonts w:hint="eastAsia" w:ascii="仿宋_GB2312" w:hAnsi="仿宋_GB2312" w:eastAsia="仿宋_GB2312" w:cs="仿宋_GB2312"/>
                <w:color w:val="000000"/>
                <w:sz w:val="32"/>
                <w:szCs w:val="32"/>
                <w:lang w:val="en-US" w:eastAsia="zh-CN"/>
              </w:rPr>
              <w:t>工业信息化和交通局</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p>
        </w:tc>
        <w:tc>
          <w:tcPr>
            <w:tcW w:w="7278" w:type="dxa"/>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0"/>
                <w:szCs w:val="20"/>
                <w:u w:val="none"/>
                <w:lang w:val="en-US" w:eastAsia="zh-CN" w:bidi="ar-SA"/>
              </w:rPr>
            </w:pPr>
            <w:r>
              <w:rPr>
                <w:rFonts w:hint="eastAsia" w:ascii="仿宋_GB2312" w:hAnsi="仿宋_GB2312" w:eastAsia="仿宋_GB2312" w:cs="仿宋_GB2312"/>
                <w:i w:val="0"/>
                <w:iCs w:val="0"/>
                <w:color w:val="000000"/>
                <w:kern w:val="0"/>
                <w:sz w:val="32"/>
                <w:szCs w:val="32"/>
                <w:u w:val="none"/>
                <w:lang w:val="en-US" w:eastAsia="zh-CN" w:bidi="ar"/>
              </w:rPr>
              <w:t>西安市交通运输综合执法支队莲湖大队</w:t>
            </w:r>
            <w:r>
              <w:rPr>
                <w:rFonts w:hint="eastAsia" w:ascii="仿宋_GB2312" w:hAnsi="仿宋_GB2312" w:eastAsia="仿宋_GB2312" w:cs="仿宋_GB2312"/>
                <w:i w:val="0"/>
                <w:iCs w:val="0"/>
                <w:color w:val="000000"/>
                <w:kern w:val="0"/>
                <w:sz w:val="32"/>
                <w:szCs w:val="32"/>
                <w:u w:val="none"/>
                <w:lang w:val="en-US" w:eastAsia="zh-CN" w:bidi="ar"/>
              </w:rPr>
              <w:t>（下属）</w:t>
            </w:r>
          </w:p>
        </w:tc>
      </w:tr>
    </w:tbl>
    <w:p>
      <w:pPr>
        <w:ind w:firstLine="640"/>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Cs/>
          <w:color w:val="000000"/>
          <w:kern w:val="0"/>
          <w:sz w:val="32"/>
          <w:szCs w:val="32"/>
        </w:rPr>
        <w:t>部门人员情况</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年底，本部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t>员编</w:t>
      </w:r>
      <w:r>
        <w:rPr>
          <w:rFonts w:hint="eastAsia" w:ascii="仿宋_GB2312" w:hAnsi="仿宋_GB2312" w:eastAsia="仿宋_GB2312" w:cs="仿宋_GB2312"/>
          <w:sz w:val="32"/>
          <w:szCs w:val="32"/>
        </w:rPr>
        <w:t>制</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rPr>
        <w:t>编</w:t>
      </w:r>
      <w:r>
        <w:rPr>
          <w:rFonts w:hint="eastAsia" w:ascii="仿宋_GB2312" w:hAnsi="仿宋_GB2312" w:eastAsia="仿宋_GB2312" w:cs="仿宋_GB2312"/>
          <w:sz w:val="32"/>
          <w:szCs w:val="32"/>
        </w:rPr>
        <w:t>制</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人、事</w:t>
      </w:r>
      <w:r>
        <w:rPr>
          <w:rFonts w:hint="eastAsia" w:ascii="仿宋_GB2312" w:hAnsi="仿宋_GB2312" w:eastAsia="仿宋_GB2312" w:cs="仿宋_GB2312"/>
          <w:sz w:val="32"/>
          <w:szCs w:val="32"/>
        </w:rPr>
        <w:t>业编</w:t>
      </w:r>
      <w:r>
        <w:rPr>
          <w:rFonts w:hint="eastAsia" w:ascii="仿宋_GB2312" w:hAnsi="仿宋_GB2312" w:eastAsia="仿宋_GB2312" w:cs="仿宋_GB2312"/>
          <w:sz w:val="32"/>
          <w:szCs w:val="32"/>
        </w:rPr>
        <w:t>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t>实</w:t>
      </w:r>
      <w:r>
        <w:rPr>
          <w:rFonts w:hint="eastAsia" w:ascii="仿宋_GB2312" w:hAnsi="仿宋_GB2312" w:eastAsia="仿宋_GB2312" w:cs="仿宋_GB2312"/>
          <w:sz w:val="32"/>
          <w:szCs w:val="32"/>
        </w:rPr>
        <w:t>有人</w:t>
      </w:r>
      <w:r>
        <w:rPr>
          <w:rFonts w:hint="eastAsia" w:ascii="仿宋_GB2312" w:hAnsi="仿宋_GB2312" w:eastAsia="仿宋_GB2312" w:cs="仿宋_GB2312"/>
          <w:sz w:val="32"/>
          <w:szCs w:val="32"/>
        </w:rPr>
        <w:t>员</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人，其中行政</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人、事</w:t>
      </w:r>
      <w:r>
        <w:rPr>
          <w:rFonts w:hint="eastAsia" w:ascii="仿宋_GB2312" w:hAnsi="仿宋_GB2312" w:eastAsia="仿宋_GB2312" w:cs="仿宋_GB2312"/>
          <w:sz w:val="32"/>
          <w:szCs w:val="32"/>
        </w:rPr>
        <w:t>业</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位管理的离退休人</w:t>
      </w:r>
      <w:r>
        <w:rPr>
          <w:rFonts w:hint="eastAsia" w:ascii="仿宋_GB2312" w:hAnsi="仿宋_GB2312" w:eastAsia="仿宋_GB2312" w:cs="仿宋_GB2312"/>
          <w:sz w:val="32"/>
          <w:szCs w:val="32"/>
        </w:rPr>
        <w:t>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w:t>
      </w:r>
    </w:p>
    <w:p>
      <w:pPr>
        <w:pStyle w:val="2"/>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4572000" cy="2743200"/>
            <wp:effectExtent l="4445" t="4445" r="8255" b="825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其下属</w:t>
      </w:r>
      <w:r>
        <w:rPr>
          <w:rFonts w:hint="eastAsia" w:ascii="仿宋_GB2312" w:hAnsi="仿宋_GB2312" w:eastAsia="仿宋_GB2312" w:cs="仿宋_GB2312"/>
          <w:i w:val="0"/>
          <w:iCs w:val="0"/>
          <w:color w:val="000000"/>
          <w:kern w:val="0"/>
          <w:sz w:val="32"/>
          <w:szCs w:val="32"/>
          <w:u w:val="none"/>
          <w:lang w:val="en-US" w:eastAsia="zh-CN" w:bidi="ar"/>
        </w:rPr>
        <w:t>交通运输综合执法支队莲湖大队</w:t>
      </w:r>
      <w:r>
        <w:rPr>
          <w:rFonts w:hint="eastAsia" w:ascii="仿宋_GB2312" w:hAnsi="仿宋_GB2312" w:eastAsia="仿宋_GB2312" w:cs="仿宋_GB2312"/>
          <w:color w:val="000000"/>
          <w:kern w:val="0"/>
          <w:sz w:val="32"/>
          <w:szCs w:val="32"/>
          <w:lang w:val="en-US" w:eastAsia="zh-CN" w:bidi="ar"/>
        </w:rPr>
        <w:t xml:space="preserve">人员编制 25 人，其中事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业编制 25 人；实有人员 15 人，事业 15 人。单位管理的离退 </w:t>
      </w:r>
    </w:p>
    <w:p>
      <w:pPr>
        <w:keepNext w:val="0"/>
        <w:keepLines w:val="0"/>
        <w:widowControl/>
        <w:suppressLineNumbers w:val="0"/>
        <w:jc w:val="left"/>
        <w:rPr>
          <w:rFonts w:hint="eastAsia" w:ascii="仿宋_GB2312" w:hAnsi="仿宋_GB2312" w:eastAsia="仿宋_GB2312" w:cs="仿宋_GB2312"/>
          <w:lang w:val="en-US" w:eastAsia="zh-CN"/>
        </w:rPr>
      </w:pPr>
      <w:r>
        <w:rPr>
          <w:rFonts w:hint="eastAsia" w:ascii="仿宋_GB2312" w:hAnsi="仿宋_GB2312" w:eastAsia="仿宋_GB2312" w:cs="仿宋_GB2312"/>
          <w:color w:val="000000"/>
          <w:kern w:val="0"/>
          <w:sz w:val="32"/>
          <w:szCs w:val="32"/>
          <w:lang w:val="en-US" w:eastAsia="zh-CN" w:bidi="ar"/>
        </w:rPr>
        <w:t>休人员 24 人。</w:t>
      </w:r>
    </w:p>
    <w:p>
      <w:pPr>
        <w:pStyle w:val="2"/>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rPr>
        <w:drawing>
          <wp:inline distT="0" distB="0" distL="114300" distR="114300">
            <wp:extent cx="5207000" cy="2410460"/>
            <wp:effectExtent l="5080" t="4445" r="7620" b="10795"/>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
        <w:rPr>
          <w:rFonts w:hint="eastAsia" w:ascii="仿宋_GB2312" w:hAnsi="仿宋_GB2312" w:eastAsia="仿宋_GB2312" w:cs="仿宋_GB2312"/>
        </w:rPr>
      </w:pPr>
    </w:p>
    <w:p>
      <w:pPr>
        <w:ind w:firstLine="640"/>
        <w:rPr>
          <w:rFonts w:hint="eastAsia" w:ascii="仿宋_GB2312" w:hAnsi="仿宋_GB2312" w:eastAsia="仿宋_GB2312" w:cs="仿宋_GB2312"/>
          <w:color w:val="FF0000"/>
          <w:sz w:val="32"/>
          <w:szCs w:val="32"/>
          <w:lang w:eastAsia="zh-CN"/>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r>
        <w:rPr>
          <w:rFonts w:hint="eastAsia" w:ascii="仿宋_GB2312" w:hAnsi="仿宋_GB2312" w:eastAsia="仿宋_GB2312" w:cs="仿宋_GB2312"/>
          <w:color w:val="000000"/>
          <w:kern w:val="0"/>
          <w:sz w:val="44"/>
          <w:szCs w:val="44"/>
        </w:rPr>
        <w:t>第二部分</w:t>
      </w:r>
      <w:r>
        <w:rPr>
          <w:rFonts w:hint="eastAsia" w:ascii="仿宋_GB2312" w:hAnsi="仿宋_GB2312" w:eastAsia="仿宋_GB2312" w:cs="仿宋_GB2312"/>
          <w:color w:val="000000"/>
          <w:kern w:val="0"/>
          <w:sz w:val="44"/>
          <w:szCs w:val="44"/>
        </w:rPr>
        <w:t xml:space="preserve"> 2020</w:t>
      </w:r>
      <w:r>
        <w:rPr>
          <w:rFonts w:hint="eastAsia" w:ascii="仿宋_GB2312" w:hAnsi="仿宋_GB2312" w:eastAsia="仿宋_GB2312" w:cs="仿宋_GB2312"/>
          <w:color w:val="000000"/>
          <w:kern w:val="0"/>
          <w:sz w:val="44"/>
          <w:szCs w:val="44"/>
        </w:rPr>
        <w:t>年度部门决算表</w:t>
      </w:r>
    </w:p>
    <w:tbl>
      <w:tblPr>
        <w:tblStyle w:val="9"/>
        <w:tblpPr w:leftFromText="180" w:rightFromText="180" w:topFromText="200" w:bottomFromText="200" w:vertAnchor="text" w:horzAnchor="page" w:tblpX="1430" w:tblpY="456"/>
        <w:tblOverlap w:val="never"/>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35"/>
        <w:gridCol w:w="4110"/>
        <w:gridCol w:w="1047"/>
        <w:gridCol w:w="3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序号</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内容</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是否</w:t>
            </w: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空表</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表格为空的理由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表1</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表2</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收入决算表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表3</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表4</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财政拨款收入支出决算总表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表5</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一般公共预算财政拨款支出决算表</w:t>
            </w:r>
          </w:p>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（按功能分类科目）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表6</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一般公共预算财政拨款基本支出决算表 （按经济分类科目）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表7</w:t>
            </w:r>
          </w:p>
        </w:tc>
        <w:tc>
          <w:tcPr>
            <w:tcW w:w="411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一般公共预算财政拨款“三公”经费及会议费、培训费支出决算表</w:t>
            </w:r>
          </w:p>
        </w:tc>
        <w:tc>
          <w:tcPr>
            <w:tcW w:w="1047"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否</w:t>
            </w:r>
          </w:p>
        </w:tc>
        <w:tc>
          <w:tcPr>
            <w:tcW w:w="310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表8</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政府性基金预算财政拨款收入支出</w:t>
            </w:r>
          </w:p>
          <w:p>
            <w:pPr>
              <w:widowControl/>
              <w:jc w:val="left"/>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是</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本部门无政府性基金预算财政拨款收入支出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表9</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国有资本经营预算财政拨款支出决算表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是</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本部门无国有资本经营预算财政拨款支出</w:t>
            </w:r>
          </w:p>
        </w:tc>
      </w:tr>
    </w:tbl>
    <w:p>
      <w:pPr>
        <w:widowControl/>
        <w:rPr>
          <w:rFonts w:hint="eastAsia" w:ascii="仿宋_GB2312" w:hAnsi="仿宋_GB2312" w:eastAsia="仿宋_GB2312" w:cs="仿宋_GB2312"/>
          <w:color w:val="000000"/>
          <w:kern w:val="0"/>
          <w:sz w:val="44"/>
          <w:szCs w:val="44"/>
        </w:rPr>
      </w:pPr>
    </w:p>
    <w:p>
      <w:pPr>
        <w:widowControl/>
        <w:ind w:firstLine="3213" w:firstLineChars="1000"/>
        <w:jc w:val="both"/>
        <w:textAlignment w:val="center"/>
        <w:rPr>
          <w:rFonts w:hint="eastAsia" w:ascii="仿宋_GB2312" w:hAnsi="仿宋_GB2312" w:eastAsia="仿宋_GB2312" w:cs="仿宋_GB2312"/>
          <w:b/>
          <w:bCs/>
          <w:sz w:val="32"/>
          <w:szCs w:val="32"/>
        </w:rPr>
      </w:pPr>
    </w:p>
    <w:p>
      <w:pPr>
        <w:widowControl/>
        <w:ind w:firstLine="3213" w:firstLineChars="1000"/>
        <w:jc w:val="both"/>
        <w:textAlignment w:val="center"/>
        <w:rPr>
          <w:rFonts w:hint="eastAsia" w:ascii="仿宋_GB2312" w:hAnsi="仿宋_GB2312" w:eastAsia="仿宋_GB2312" w:cs="仿宋_GB2312"/>
          <w:b/>
          <w:bCs/>
          <w:sz w:val="32"/>
          <w:szCs w:val="32"/>
        </w:rPr>
      </w:pPr>
    </w:p>
    <w:p>
      <w:pPr>
        <w:widowControl/>
        <w:ind w:firstLine="3213" w:firstLineChars="1000"/>
        <w:jc w:val="both"/>
        <w:textAlignment w:val="center"/>
        <w:rPr>
          <w:rFonts w:hint="eastAsia" w:ascii="仿宋_GB2312" w:hAnsi="仿宋_GB2312" w:eastAsia="仿宋_GB2312" w:cs="仿宋_GB2312"/>
          <w:b/>
          <w:bCs/>
          <w:sz w:val="32"/>
          <w:szCs w:val="32"/>
        </w:rPr>
      </w:pPr>
    </w:p>
    <w:p>
      <w:pPr>
        <w:widowControl/>
        <w:ind w:firstLine="3213" w:firstLineChars="1000"/>
        <w:jc w:val="both"/>
        <w:textAlignment w:val="center"/>
        <w:rPr>
          <w:rFonts w:hint="eastAsia" w:ascii="仿宋_GB2312" w:hAnsi="仿宋_GB2312" w:eastAsia="仿宋_GB2312" w:cs="仿宋_GB2312"/>
          <w:b/>
          <w:bCs/>
          <w:sz w:val="32"/>
          <w:szCs w:val="32"/>
        </w:rPr>
      </w:pPr>
    </w:p>
    <w:p>
      <w:pPr>
        <w:widowControl/>
        <w:ind w:firstLine="3213" w:firstLineChars="1000"/>
        <w:jc w:val="both"/>
        <w:textAlignment w:val="center"/>
        <w:rPr>
          <w:rFonts w:hint="eastAsia" w:ascii="仿宋_GB2312" w:hAnsi="仿宋_GB2312" w:eastAsia="仿宋_GB2312" w:cs="仿宋_GB2312"/>
          <w:b/>
          <w:color w:val="000000"/>
          <w:kern w:val="0"/>
          <w:sz w:val="40"/>
          <w:szCs w:val="40"/>
        </w:rPr>
      </w:pPr>
      <w:r>
        <w:rPr>
          <w:rFonts w:hint="eastAsia" w:ascii="仿宋_GB2312" w:hAnsi="仿宋_GB2312" w:eastAsia="仿宋_GB2312" w:cs="仿宋_GB2312"/>
          <w:b/>
          <w:bCs/>
          <w:sz w:val="32"/>
          <w:szCs w:val="32"/>
        </w:rPr>
        <w:t>收入支出决算总表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01</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val="en-US" w:eastAsia="zh-CN"/>
        </w:rPr>
        <w:t>西安市莲湖区工业信息化和交通局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val="0"/>
          <w:bCs w:val="0"/>
          <w:sz w:val="20"/>
          <w:szCs w:val="20"/>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lang w:val="en-US" w:eastAsia="zh-CN"/>
        </w:rPr>
        <w:t xml:space="preserve">       </w:t>
      </w:r>
      <w:r>
        <w:rPr>
          <w:rFonts w:hint="eastAsia" w:ascii="仿宋_GB2312" w:hAnsi="仿宋_GB2312" w:eastAsia="仿宋_GB2312" w:cs="仿宋_GB2312"/>
          <w:b/>
          <w:bCs/>
          <w:szCs w:val="21"/>
        </w:rPr>
        <w:t>金额单位：万元</w:t>
      </w:r>
    </w:p>
    <w:tbl>
      <w:tblPr>
        <w:tblStyle w:val="9"/>
        <w:tblpPr w:leftFromText="180" w:rightFromText="180" w:vertAnchor="text" w:horzAnchor="page" w:tblpX="1584" w:tblpY="89"/>
        <w:tblOverlap w:val="never"/>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388"/>
        <w:gridCol w:w="1080"/>
        <w:gridCol w:w="3090"/>
        <w:gridCol w:w="1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收</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支</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w:t>
            </w:r>
            <w:r>
              <w:rPr>
                <w:rFonts w:hint="eastAsia" w:ascii="仿宋_GB2312" w:hAnsi="仿宋_GB2312" w:eastAsia="仿宋_GB2312" w:cs="仿宋_GB2312"/>
                <w:color w:val="000000"/>
                <w:kern w:val="0"/>
                <w:szCs w:val="21"/>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714.87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w:t>
            </w:r>
            <w:r>
              <w:rPr>
                <w:rFonts w:hint="eastAsia" w:ascii="仿宋_GB2312" w:hAnsi="仿宋_GB2312" w:eastAsia="仿宋_GB2312" w:cs="仿宋_GB2312"/>
                <w:color w:val="000000"/>
                <w:kern w:val="0"/>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w:t>
            </w:r>
            <w:r>
              <w:rPr>
                <w:rFonts w:hint="eastAsia" w:ascii="仿宋_GB2312" w:hAnsi="仿宋_GB2312" w:eastAsia="仿宋_GB2312" w:cs="仿宋_GB2312"/>
                <w:color w:val="000000"/>
                <w:kern w:val="0"/>
                <w:szCs w:val="21"/>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2.</w:t>
            </w:r>
            <w:r>
              <w:rPr>
                <w:rFonts w:hint="eastAsia" w:ascii="仿宋_GB2312" w:hAnsi="仿宋_GB2312" w:eastAsia="仿宋_GB2312" w:cs="仿宋_GB2312"/>
                <w:color w:val="000000"/>
                <w:kern w:val="0"/>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w:t>
            </w:r>
            <w:r>
              <w:rPr>
                <w:rFonts w:hint="eastAsia" w:ascii="仿宋_GB2312" w:hAnsi="仿宋_GB2312" w:eastAsia="仿宋_GB2312" w:cs="仿宋_GB2312"/>
                <w:color w:val="000000"/>
                <w:kern w:val="0"/>
                <w:szCs w:val="21"/>
              </w:rPr>
              <w:t>国有资本经营预算财政拨款</w:t>
            </w:r>
            <w:r>
              <w:rPr>
                <w:rFonts w:hint="eastAsia" w:ascii="仿宋_GB2312" w:hAnsi="仿宋_GB2312" w:eastAsia="仿宋_GB2312" w:cs="仿宋_GB2312"/>
                <w:color w:val="000000"/>
                <w:kern w:val="0"/>
                <w:szCs w:val="21"/>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3.</w:t>
            </w:r>
            <w:r>
              <w:rPr>
                <w:rFonts w:hint="eastAsia" w:ascii="仿宋_GB2312" w:hAnsi="仿宋_GB2312" w:eastAsia="仿宋_GB2312" w:cs="仿宋_GB2312"/>
                <w:color w:val="000000"/>
                <w:kern w:val="0"/>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4.</w:t>
            </w:r>
            <w:r>
              <w:rPr>
                <w:rFonts w:hint="eastAsia" w:ascii="仿宋_GB2312" w:hAnsi="仿宋_GB2312" w:eastAsia="仿宋_GB2312" w:cs="仿宋_GB2312"/>
                <w:color w:val="000000"/>
                <w:kern w:val="0"/>
                <w:szCs w:val="21"/>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4.</w:t>
            </w:r>
            <w:r>
              <w:rPr>
                <w:rFonts w:hint="eastAsia" w:ascii="仿宋_GB2312" w:hAnsi="仿宋_GB2312" w:eastAsia="仿宋_GB2312" w:cs="仿宋_GB2312"/>
                <w:color w:val="000000"/>
                <w:kern w:val="0"/>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w:t>
            </w:r>
            <w:r>
              <w:rPr>
                <w:rFonts w:hint="eastAsia" w:ascii="仿宋_GB2312" w:hAnsi="仿宋_GB2312" w:eastAsia="仿宋_GB2312" w:cs="仿宋_GB2312"/>
                <w:color w:val="000000"/>
                <w:kern w:val="0"/>
                <w:szCs w:val="21"/>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5.</w:t>
            </w:r>
            <w:r>
              <w:rPr>
                <w:rFonts w:hint="eastAsia" w:ascii="仿宋_GB2312" w:hAnsi="仿宋_GB2312" w:eastAsia="仿宋_GB2312" w:cs="仿宋_GB2312"/>
                <w:color w:val="000000"/>
                <w:kern w:val="0"/>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6.</w:t>
            </w:r>
            <w:r>
              <w:rPr>
                <w:rFonts w:hint="eastAsia" w:ascii="仿宋_GB2312" w:hAnsi="仿宋_GB2312" w:eastAsia="仿宋_GB2312" w:cs="仿宋_GB2312"/>
                <w:color w:val="000000"/>
                <w:kern w:val="0"/>
                <w:szCs w:val="21"/>
              </w:rPr>
              <w:t>经营收入</w:t>
            </w:r>
          </w:p>
        </w:tc>
        <w:tc>
          <w:tcPr>
            <w:tcW w:w="1080" w:type="dxa"/>
            <w:tcBorders>
              <w:top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6.</w:t>
            </w:r>
            <w:r>
              <w:rPr>
                <w:rFonts w:hint="eastAsia" w:ascii="仿宋_GB2312" w:hAnsi="仿宋_GB2312" w:eastAsia="仿宋_GB2312" w:cs="仿宋_GB2312"/>
                <w:color w:val="000000"/>
                <w:kern w:val="0"/>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7.</w:t>
            </w:r>
            <w:r>
              <w:rPr>
                <w:rFonts w:hint="eastAsia" w:ascii="仿宋_GB2312" w:hAnsi="仿宋_GB2312" w:eastAsia="仿宋_GB2312" w:cs="仿宋_GB2312"/>
                <w:color w:val="000000"/>
                <w:kern w:val="0"/>
                <w:szCs w:val="21"/>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7.</w:t>
            </w:r>
            <w:r>
              <w:rPr>
                <w:rFonts w:hint="eastAsia" w:ascii="仿宋_GB2312" w:hAnsi="仿宋_GB2312" w:eastAsia="仿宋_GB2312" w:cs="仿宋_GB2312"/>
                <w:color w:val="000000"/>
                <w:kern w:val="0"/>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8.</w:t>
            </w:r>
            <w:r>
              <w:rPr>
                <w:rFonts w:hint="eastAsia" w:ascii="仿宋_GB2312" w:hAnsi="仿宋_GB2312" w:eastAsia="仿宋_GB2312" w:cs="仿宋_GB2312"/>
                <w:color w:val="000000"/>
                <w:kern w:val="0"/>
                <w:szCs w:val="21"/>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8.</w:t>
            </w:r>
            <w:r>
              <w:rPr>
                <w:rFonts w:hint="eastAsia" w:ascii="仿宋_GB2312" w:hAnsi="仿宋_GB2312" w:eastAsia="仿宋_GB2312" w:cs="仿宋_GB2312"/>
                <w:color w:val="000000"/>
                <w:kern w:val="0"/>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9.</w:t>
            </w:r>
            <w:r>
              <w:rPr>
                <w:rFonts w:hint="eastAsia" w:ascii="仿宋_GB2312" w:hAnsi="仿宋_GB2312" w:eastAsia="仿宋_GB2312" w:cs="仿宋_GB2312"/>
                <w:color w:val="000000"/>
                <w:kern w:val="0"/>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p>
        </w:tc>
        <w:tc>
          <w:tcPr>
            <w:tcW w:w="1080" w:type="dxa"/>
            <w:tcBorders>
              <w:top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10.</w:t>
            </w:r>
            <w:r>
              <w:rPr>
                <w:rFonts w:hint="eastAsia" w:ascii="仿宋_GB2312" w:hAnsi="仿宋_GB2312" w:eastAsia="仿宋_GB2312" w:cs="仿宋_GB2312"/>
                <w:color w:val="000000"/>
                <w:kern w:val="0"/>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 w:val="20"/>
                <w:szCs w:val="20"/>
              </w:rPr>
              <w:t xml:space="preserve"> </w:t>
            </w:r>
          </w:p>
        </w:tc>
        <w:tc>
          <w:tcPr>
            <w:tcW w:w="1080" w:type="dxa"/>
            <w:tcBorders>
              <w:top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11.</w:t>
            </w:r>
            <w:r>
              <w:rPr>
                <w:rFonts w:hint="eastAsia" w:ascii="仿宋_GB2312" w:hAnsi="仿宋_GB2312" w:eastAsia="仿宋_GB2312" w:cs="仿宋_GB2312"/>
                <w:color w:val="000000"/>
                <w:kern w:val="0"/>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12.</w:t>
            </w:r>
            <w:r>
              <w:rPr>
                <w:rFonts w:hint="eastAsia" w:ascii="仿宋_GB2312" w:hAnsi="仿宋_GB2312" w:eastAsia="仿宋_GB2312" w:cs="仿宋_GB2312"/>
                <w:color w:val="000000"/>
                <w:kern w:val="0"/>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13.</w:t>
            </w:r>
            <w:r>
              <w:rPr>
                <w:rFonts w:hint="eastAsia" w:ascii="仿宋_GB2312" w:hAnsi="仿宋_GB2312" w:eastAsia="仿宋_GB2312" w:cs="仿宋_GB2312"/>
                <w:color w:val="000000"/>
                <w:kern w:val="0"/>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490.87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14.</w:t>
            </w:r>
            <w:r>
              <w:rPr>
                <w:rFonts w:hint="eastAsia" w:ascii="仿宋_GB2312" w:hAnsi="仿宋_GB2312" w:eastAsia="仿宋_GB2312" w:cs="仿宋_GB2312"/>
                <w:color w:val="000000"/>
                <w:kern w:val="0"/>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221.87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15.</w:t>
            </w:r>
            <w:r>
              <w:rPr>
                <w:rFonts w:hint="eastAsia" w:ascii="仿宋_GB2312" w:hAnsi="仿宋_GB2312" w:eastAsia="仿宋_GB2312" w:cs="仿宋_GB2312"/>
                <w:color w:val="000000"/>
                <w:kern w:val="0"/>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16.</w:t>
            </w:r>
            <w:r>
              <w:rPr>
                <w:rFonts w:hint="eastAsia" w:ascii="仿宋_GB2312" w:hAnsi="仿宋_GB2312" w:eastAsia="仿宋_GB2312" w:cs="仿宋_GB2312"/>
                <w:color w:val="000000"/>
                <w:kern w:val="0"/>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17.</w:t>
            </w:r>
            <w:r>
              <w:rPr>
                <w:rFonts w:hint="eastAsia" w:ascii="仿宋_GB2312" w:hAnsi="仿宋_GB2312" w:eastAsia="仿宋_GB2312" w:cs="仿宋_GB2312"/>
                <w:color w:val="000000"/>
                <w:kern w:val="0"/>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18.</w:t>
            </w:r>
            <w:r>
              <w:rPr>
                <w:rFonts w:hint="eastAsia" w:ascii="仿宋_GB2312" w:hAnsi="仿宋_GB2312" w:eastAsia="仿宋_GB2312" w:cs="仿宋_GB2312"/>
                <w:color w:val="000000"/>
                <w:kern w:val="0"/>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19.</w:t>
            </w:r>
            <w:r>
              <w:rPr>
                <w:rFonts w:hint="eastAsia" w:ascii="仿宋_GB2312" w:hAnsi="仿宋_GB2312" w:eastAsia="仿宋_GB2312" w:cs="仿宋_GB2312"/>
                <w:color w:val="000000"/>
                <w:kern w:val="0"/>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20.</w:t>
            </w:r>
            <w:r>
              <w:rPr>
                <w:rFonts w:hint="eastAsia" w:ascii="仿宋_GB2312" w:hAnsi="仿宋_GB2312" w:eastAsia="仿宋_GB2312" w:cs="仿宋_GB2312"/>
                <w:color w:val="000000"/>
                <w:kern w:val="0"/>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 xml:space="preserve">  21.</w:t>
            </w:r>
            <w:r>
              <w:rPr>
                <w:rFonts w:hint="eastAsia" w:ascii="仿宋_GB2312" w:hAnsi="仿宋_GB2312" w:eastAsia="仿宋_GB2312" w:cs="仿宋_GB2312"/>
                <w:color w:val="000000"/>
                <w:kern w:val="0"/>
                <w:szCs w:val="21"/>
              </w:rPr>
              <w:t>国有资本经营预算支出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22.</w:t>
            </w:r>
            <w:r>
              <w:rPr>
                <w:rFonts w:hint="eastAsia" w:ascii="仿宋_GB2312" w:hAnsi="仿宋_GB2312" w:eastAsia="仿宋_GB2312" w:cs="仿宋_GB2312"/>
                <w:color w:val="000000"/>
                <w:kern w:val="0"/>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23.</w:t>
            </w:r>
            <w:r>
              <w:rPr>
                <w:rFonts w:hint="eastAsia" w:ascii="仿宋_GB2312" w:hAnsi="仿宋_GB2312" w:eastAsia="仿宋_GB2312" w:cs="仿宋_GB2312"/>
                <w:color w:val="000000"/>
                <w:kern w:val="0"/>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716.37</w:t>
            </w:r>
            <w:r>
              <w:rPr>
                <w:rFonts w:hint="eastAsia" w:ascii="仿宋_GB2312" w:hAnsi="仿宋_GB2312" w:eastAsia="仿宋_GB2312" w:cs="仿宋_GB2312"/>
                <w:color w:val="000000"/>
                <w:kern w:val="0"/>
                <w:szCs w:val="21"/>
              </w:rPr>
              <w:t xml:space="preserve"> </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hint="eastAsia" w:ascii="仿宋_GB2312" w:hAnsi="仿宋_GB2312" w:eastAsia="仿宋_GB2312" w:cs="仿宋_GB2312"/>
                <w:b/>
                <w:color w:val="000000"/>
                <w:szCs w:val="21"/>
              </w:rPr>
            </w:pPr>
            <w:r>
              <w:rPr>
                <w:rFonts w:hint="eastAsia" w:ascii="仿宋_GB2312" w:hAnsi="仿宋_GB2312" w:eastAsia="仿宋_GB2312" w:cs="仿宋_GB2312"/>
              </w:rPr>
              <w:t>715.33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使用非财政拨款结余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color w:val="000000"/>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结余分配</w:t>
            </w:r>
            <w:r>
              <w:rPr>
                <w:rFonts w:hint="eastAsia" w:ascii="仿宋_GB2312" w:hAnsi="仿宋_GB2312" w:eastAsia="仿宋_GB2312" w:cs="仿宋_GB2312"/>
                <w:bCs/>
                <w:color w:val="000000"/>
                <w:kern w:val="0"/>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5.07</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721.45</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721.45</w:t>
            </w:r>
          </w:p>
        </w:tc>
      </w:tr>
    </w:tbl>
    <w:p>
      <w:pPr>
        <w:jc w:val="left"/>
        <w:rPr>
          <w:rFonts w:hint="eastAsia" w:ascii="仿宋_GB2312" w:hAnsi="仿宋_GB2312" w:eastAsia="仿宋_GB2312" w:cs="仿宋_GB2312"/>
          <w:b/>
          <w:bCs/>
          <w:szCs w:val="21"/>
        </w:rPr>
      </w:pPr>
      <w:r>
        <w:rPr>
          <w:rFonts w:hint="eastAsia" w:ascii="仿宋_GB2312" w:hAnsi="仿宋_GB2312" w:eastAsia="仿宋_GB2312" w:cs="仿宋_GB2312"/>
          <w:b/>
          <w:bCs/>
          <w:szCs w:val="21"/>
        </w:rPr>
        <w:t xml:space="preserve">                                      </w:t>
      </w:r>
    </w:p>
    <w:p>
      <w:pPr>
        <w:widowControl/>
        <w:jc w:val="left"/>
        <w:rPr>
          <w:rFonts w:hint="eastAsia" w:ascii="仿宋_GB2312" w:hAnsi="仿宋_GB2312" w:eastAsia="仿宋_GB2312" w:cs="仿宋_GB2312"/>
          <w:sz w:val="48"/>
          <w:szCs w:val="48"/>
        </w:rPr>
      </w:pPr>
      <w:r>
        <w:rPr>
          <w:rFonts w:hint="eastAsia" w:ascii="仿宋_GB2312" w:hAnsi="仿宋_GB2312" w:eastAsia="仿宋_GB2312" w:cs="仿宋_GB2312"/>
          <w:color w:val="000000"/>
          <w:kern w:val="0"/>
          <w:szCs w:val="21"/>
        </w:rPr>
        <w:t>注：本表反映部门本年度的总收支和年末结转结余情况。本表金额转换为万元时，因四舍五入可能存在尾差。</w:t>
      </w: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ind w:firstLine="3534" w:firstLineChars="11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收入决算表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02</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 w:val="48"/>
          <w:szCs w:val="48"/>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 w:val="20"/>
          <w:szCs w:val="20"/>
          <w:lang w:val="en-US" w:eastAsia="zh-CN"/>
        </w:rPr>
        <w:t>西安市莲湖区工业信息化和交通局</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r>
        <w:rPr>
          <w:rFonts w:hint="eastAsia" w:ascii="仿宋_GB2312" w:hAnsi="仿宋_GB2312" w:eastAsia="仿宋_GB2312" w:cs="仿宋_GB2312"/>
          <w:b/>
          <w:bCs/>
          <w:szCs w:val="21"/>
        </w:rPr>
        <w:t xml:space="preserve">                            </w:t>
      </w:r>
    </w:p>
    <w:tbl>
      <w:tblPr>
        <w:tblStyle w:val="9"/>
        <w:tblW w:w="886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27"/>
        <w:gridCol w:w="896"/>
        <w:gridCol w:w="714"/>
        <w:gridCol w:w="818"/>
        <w:gridCol w:w="772"/>
        <w:gridCol w:w="720"/>
        <w:gridCol w:w="1470"/>
        <w:gridCol w:w="750"/>
        <w:gridCol w:w="990"/>
        <w:gridCol w:w="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18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项目</w:t>
            </w:r>
          </w:p>
        </w:tc>
        <w:tc>
          <w:tcPr>
            <w:tcW w:w="71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本年收入合计</w:t>
            </w:r>
          </w:p>
        </w:tc>
        <w:tc>
          <w:tcPr>
            <w:tcW w:w="8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财政拨款收入</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经营</w:t>
            </w:r>
          </w:p>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其他</w:t>
            </w:r>
          </w:p>
          <w:p>
            <w:pPr>
              <w:widowControl/>
              <w:jc w:val="center"/>
              <w:textAlignment w:val="center"/>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kern w:val="0"/>
                <w:sz w:val="21"/>
                <w:szCs w:val="21"/>
              </w:rPr>
              <w:t>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2"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kern w:val="0"/>
                <w:sz w:val="21"/>
                <w:szCs w:val="21"/>
              </w:rPr>
              <w:t>功能分类科目编码</w:t>
            </w:r>
          </w:p>
        </w:tc>
        <w:tc>
          <w:tcPr>
            <w:tcW w:w="896"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21"/>
                <w:szCs w:val="21"/>
              </w:rPr>
            </w:pPr>
            <w:r>
              <w:rPr>
                <w:rFonts w:hint="eastAsia" w:ascii="仿宋_GB2312" w:hAnsi="仿宋_GB2312" w:eastAsia="仿宋_GB2312" w:cs="仿宋_GB2312"/>
                <w:b/>
                <w:color w:val="000000"/>
                <w:kern w:val="0"/>
                <w:sz w:val="21"/>
                <w:szCs w:val="21"/>
              </w:rPr>
              <w:t>科目</w:t>
            </w:r>
          </w:p>
          <w:p>
            <w:pPr>
              <w:widowControl/>
              <w:jc w:val="center"/>
              <w:textAlignment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kern w:val="0"/>
                <w:sz w:val="21"/>
                <w:szCs w:val="21"/>
              </w:rPr>
              <w:t>名称</w:t>
            </w:r>
          </w:p>
        </w:tc>
        <w:tc>
          <w:tcPr>
            <w:tcW w:w="714"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c>
          <w:tcPr>
            <w:tcW w:w="818"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 xml:space="preserve">其中：教育 </w:t>
            </w:r>
          </w:p>
          <w:p>
            <w:pPr>
              <w:ind w:firstLine="843" w:firstLineChars="400"/>
              <w:rPr>
                <w:rFonts w:hint="eastAsia" w:ascii="仿宋_GB2312" w:hAnsi="仿宋_GB2312" w:eastAsia="仿宋_GB2312" w:cs="仿宋_GB2312"/>
                <w:b/>
                <w:color w:val="000000"/>
                <w:sz w:val="21"/>
                <w:szCs w:val="21"/>
              </w:rPr>
            </w:pPr>
            <w:r>
              <w:rPr>
                <w:rFonts w:hint="eastAsia" w:ascii="仿宋_GB2312" w:hAnsi="仿宋_GB2312" w:eastAsia="仿宋_GB2312" w:cs="仿宋_GB2312"/>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18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b/>
                <w:bCs/>
                <w:color w:val="000000"/>
                <w:kern w:val="0"/>
                <w:sz w:val="21"/>
                <w:szCs w:val="21"/>
              </w:rPr>
              <w:t>合计</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716.37</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714.87</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卫生健康支出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rPr>
            </w:pPr>
            <w:r>
              <w:rPr>
                <w:rFonts w:hint="eastAsia" w:ascii="仿宋_GB2312" w:hAnsi="仿宋_GB2312" w:eastAsia="仿宋_GB2312" w:cs="仿宋_GB2312"/>
                <w:color w:val="000000"/>
                <w:sz w:val="21"/>
                <w:szCs w:val="21"/>
                <w:lang w:val="en-US" w:eastAsia="zh-CN"/>
              </w:rPr>
              <w:t>2.59</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21004</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公共卫生</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2.59</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2100410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突发公共卫生事件应急处理</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2.59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rPr>
            </w:pPr>
            <w:r>
              <w:rPr>
                <w:rFonts w:hint="eastAsia" w:ascii="仿宋_GB2312" w:hAnsi="仿宋_GB2312" w:eastAsia="仿宋_GB2312" w:cs="仿宋_GB2312"/>
                <w:color w:val="000000"/>
                <w:sz w:val="21"/>
                <w:szCs w:val="21"/>
                <w:lang w:val="en-US" w:eastAsia="zh-CN"/>
              </w:rPr>
              <w:t>2.59</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214</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交通运输支出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sz w:val="21"/>
                <w:szCs w:val="21"/>
              </w:rPr>
              <w:t>490.87</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sz w:val="21"/>
                <w:szCs w:val="21"/>
              </w:rPr>
              <w:t>490.87</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21401</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公路水路运输</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sz w:val="21"/>
                <w:szCs w:val="21"/>
              </w:rPr>
              <w:t>490.87</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sz w:val="21"/>
                <w:szCs w:val="21"/>
              </w:rPr>
              <w:t>490.87</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2140112</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公路运输管理</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sz w:val="21"/>
                <w:szCs w:val="21"/>
              </w:rPr>
              <w:t>490.87</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val="0"/>
                <w:bCs w:val="0"/>
                <w:color w:val="000000"/>
                <w:kern w:val="2"/>
                <w:sz w:val="21"/>
                <w:szCs w:val="21"/>
                <w:lang w:val="en-US" w:eastAsia="zh-CN" w:bidi="ar-SA"/>
              </w:rPr>
            </w:pPr>
            <w:r>
              <w:rPr>
                <w:rFonts w:hint="eastAsia" w:ascii="仿宋_GB2312" w:hAnsi="仿宋_GB2312" w:eastAsia="仿宋_GB2312" w:cs="仿宋_GB2312"/>
                <w:b w:val="0"/>
                <w:bCs w:val="0"/>
                <w:sz w:val="21"/>
                <w:szCs w:val="21"/>
              </w:rPr>
              <w:t>490.87</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215</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资源勘探工业信息等支出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w:t>
            </w:r>
            <w:r>
              <w:rPr>
                <w:rFonts w:hint="eastAsia" w:ascii="仿宋_GB2312" w:hAnsi="仿宋_GB2312" w:eastAsia="仿宋_GB2312" w:cs="仿宋_GB2312"/>
                <w:color w:val="000000"/>
                <w:sz w:val="21"/>
                <w:szCs w:val="21"/>
                <w:lang w:val="en-US" w:eastAsia="zh-CN"/>
              </w:rPr>
              <w:t>2</w:t>
            </w:r>
            <w:r>
              <w:rPr>
                <w:rFonts w:hint="eastAsia" w:ascii="仿宋_GB2312" w:hAnsi="仿宋_GB2312" w:eastAsia="仿宋_GB2312" w:cs="仿宋_GB2312"/>
                <w:color w:val="000000"/>
                <w:sz w:val="21"/>
                <w:szCs w:val="21"/>
              </w:rPr>
              <w:t>.</w:t>
            </w:r>
            <w:r>
              <w:rPr>
                <w:rFonts w:hint="eastAsia" w:ascii="仿宋_GB2312" w:hAnsi="仿宋_GB2312" w:eastAsia="仿宋_GB2312" w:cs="仿宋_GB2312"/>
                <w:color w:val="000000"/>
                <w:sz w:val="21"/>
                <w:szCs w:val="21"/>
                <w:lang w:val="en-US" w:eastAsia="zh-CN"/>
              </w:rPr>
              <w:t>9</w:t>
            </w:r>
            <w:r>
              <w:rPr>
                <w:rFonts w:hint="eastAsia" w:ascii="仿宋_GB2312" w:hAnsi="仿宋_GB2312" w:eastAsia="仿宋_GB2312" w:cs="仿宋_GB2312"/>
                <w:color w:val="000000"/>
                <w:sz w:val="21"/>
                <w:szCs w:val="21"/>
              </w:rPr>
              <w:t>1</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221.41</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21505</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工业和信息产业监管</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w:t>
            </w:r>
            <w:r>
              <w:rPr>
                <w:rFonts w:hint="eastAsia" w:ascii="仿宋_GB2312" w:hAnsi="仿宋_GB2312" w:eastAsia="仿宋_GB2312" w:cs="仿宋_GB2312"/>
                <w:color w:val="000000"/>
                <w:sz w:val="21"/>
                <w:szCs w:val="21"/>
                <w:lang w:val="en-US" w:eastAsia="zh-CN"/>
              </w:rPr>
              <w:t>2</w:t>
            </w:r>
            <w:r>
              <w:rPr>
                <w:rFonts w:hint="eastAsia" w:ascii="仿宋_GB2312" w:hAnsi="仿宋_GB2312" w:eastAsia="仿宋_GB2312" w:cs="仿宋_GB2312"/>
                <w:color w:val="000000"/>
                <w:sz w:val="21"/>
                <w:szCs w:val="21"/>
              </w:rPr>
              <w:t>.</w:t>
            </w:r>
            <w:r>
              <w:rPr>
                <w:rFonts w:hint="eastAsia" w:ascii="仿宋_GB2312" w:hAnsi="仿宋_GB2312" w:eastAsia="仿宋_GB2312" w:cs="仿宋_GB2312"/>
                <w:color w:val="000000"/>
                <w:sz w:val="21"/>
                <w:szCs w:val="21"/>
                <w:lang w:val="en-US" w:eastAsia="zh-CN"/>
              </w:rPr>
              <w:t>9</w:t>
            </w:r>
            <w:r>
              <w:rPr>
                <w:rFonts w:hint="eastAsia" w:ascii="仿宋_GB2312" w:hAnsi="仿宋_GB2312" w:eastAsia="仿宋_GB2312" w:cs="仿宋_GB2312"/>
                <w:color w:val="000000"/>
                <w:sz w:val="21"/>
                <w:szCs w:val="21"/>
              </w:rPr>
              <w:t>1</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221.41</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2150501</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行政运行</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w:t>
            </w:r>
            <w:r>
              <w:rPr>
                <w:rFonts w:hint="eastAsia" w:ascii="仿宋_GB2312" w:hAnsi="仿宋_GB2312" w:eastAsia="仿宋_GB2312" w:cs="仿宋_GB2312"/>
                <w:color w:val="000000"/>
                <w:sz w:val="21"/>
                <w:szCs w:val="21"/>
                <w:lang w:val="en-US" w:eastAsia="zh-CN"/>
              </w:rPr>
              <w:t>2</w:t>
            </w:r>
            <w:r>
              <w:rPr>
                <w:rFonts w:hint="eastAsia" w:ascii="仿宋_GB2312" w:hAnsi="仿宋_GB2312" w:eastAsia="仿宋_GB2312" w:cs="仿宋_GB2312"/>
                <w:color w:val="000000"/>
                <w:sz w:val="21"/>
                <w:szCs w:val="21"/>
              </w:rPr>
              <w:t>.</w:t>
            </w:r>
            <w:r>
              <w:rPr>
                <w:rFonts w:hint="eastAsia" w:ascii="仿宋_GB2312" w:hAnsi="仿宋_GB2312" w:eastAsia="仿宋_GB2312" w:cs="仿宋_GB2312"/>
                <w:color w:val="000000"/>
                <w:sz w:val="21"/>
                <w:szCs w:val="21"/>
                <w:lang w:val="en-US" w:eastAsia="zh-CN"/>
              </w:rPr>
              <w:t>9</w:t>
            </w:r>
            <w:r>
              <w:rPr>
                <w:rFonts w:hint="eastAsia" w:ascii="仿宋_GB2312" w:hAnsi="仿宋_GB2312" w:eastAsia="仿宋_GB2312" w:cs="仿宋_GB2312"/>
                <w:color w:val="000000"/>
                <w:sz w:val="21"/>
                <w:szCs w:val="21"/>
              </w:rPr>
              <w:t>2</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201.42</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2150510</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xml:space="preserve"> 工业和信息产业支持</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4.99</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sz w:val="21"/>
                <w:szCs w:val="21"/>
                <w:lang w:eastAsia="zh-CN"/>
              </w:rPr>
              <w:t>4</w:t>
            </w:r>
            <w:r>
              <w:rPr>
                <w:rFonts w:hint="eastAsia" w:ascii="仿宋_GB2312" w:hAnsi="仿宋_GB2312" w:eastAsia="仿宋_GB2312" w:cs="仿宋_GB2312"/>
                <w:sz w:val="21"/>
                <w:szCs w:val="21"/>
                <w:lang w:val="en-US" w:eastAsia="zh-CN"/>
              </w:rPr>
              <w:t>.99</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2150599</w:t>
            </w:r>
          </w:p>
        </w:tc>
        <w:tc>
          <w:tcPr>
            <w:tcW w:w="89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其他工业和信息产业监管支出</w:t>
            </w:r>
          </w:p>
        </w:tc>
        <w:tc>
          <w:tcPr>
            <w:tcW w:w="71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15.00</w:t>
            </w:r>
          </w:p>
        </w:tc>
        <w:tc>
          <w:tcPr>
            <w:tcW w:w="81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sz w:val="21"/>
                <w:szCs w:val="21"/>
                <w:lang w:val="en-US" w:eastAsia="zh-CN"/>
              </w:rPr>
              <w:t>15.00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0.00</w:t>
            </w:r>
          </w:p>
        </w:tc>
      </w:tr>
    </w:tbl>
    <w:p>
      <w:pPr>
        <w:widowControl/>
        <w:jc w:val="left"/>
        <w:rPr>
          <w:rFonts w:hint="eastAsia" w:ascii="仿宋_GB2312" w:hAnsi="仿宋_GB2312" w:eastAsia="仿宋_GB2312" w:cs="仿宋_GB2312"/>
        </w:rPr>
      </w:pPr>
      <w:r>
        <w:rPr>
          <w:rFonts w:hint="eastAsia" w:ascii="仿宋_GB2312" w:hAnsi="仿宋_GB2312" w:eastAsia="仿宋_GB2312" w:cs="仿宋_GB2312"/>
          <w:szCs w:val="21"/>
        </w:rPr>
        <w:t>注：本表反映部门本年度取得的各项收入情况。</w:t>
      </w:r>
      <w:r>
        <w:rPr>
          <w:rFonts w:hint="eastAsia" w:ascii="仿宋_GB2312" w:hAnsi="仿宋_GB2312" w:eastAsia="仿宋_GB2312" w:cs="仿宋_GB2312"/>
          <w:color w:val="000000"/>
          <w:kern w:val="0"/>
          <w:szCs w:val="21"/>
        </w:rPr>
        <w:t>本表金额转换为万元时，因四舍五入可能存在尾差。</w:t>
      </w:r>
    </w:p>
    <w:p>
      <w:pPr>
        <w:ind w:firstLine="3534" w:firstLineChars="11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支出决算表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 w:val="24"/>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03</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 w:val="48"/>
          <w:szCs w:val="48"/>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 w:val="20"/>
          <w:szCs w:val="20"/>
          <w:lang w:val="en-US" w:eastAsia="zh-CN"/>
        </w:rPr>
        <w:t>西安市莲湖区工业信息化和交通局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val="0"/>
          <w:bCs w:val="0"/>
          <w:sz w:val="20"/>
          <w:szCs w:val="20"/>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r>
        <w:rPr>
          <w:rFonts w:hint="eastAsia" w:ascii="仿宋_GB2312" w:hAnsi="仿宋_GB2312" w:eastAsia="仿宋_GB2312" w:cs="仿宋_GB2312"/>
          <w:b/>
          <w:bCs/>
          <w:szCs w:val="21"/>
        </w:rPr>
        <w:t xml:space="preserve">                                </w:t>
      </w:r>
    </w:p>
    <w:tbl>
      <w:tblPr>
        <w:tblStyle w:val="9"/>
        <w:tblW w:w="88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本年支出</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上缴上</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对附属单位</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715.33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507.52</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207.81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卫生健康支出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21004</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公共卫生</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2100410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突发公共卫生事件应急处理</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2.59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214</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交通运输支出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b w:val="0"/>
                <w:bCs w:val="0"/>
              </w:rPr>
              <w:t>490.87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305.64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185.23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21401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公路水路运输</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b w:val="0"/>
                <w:bCs w:val="0"/>
              </w:rPr>
              <w:t>490.87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305.64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185.23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2140112</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公路运输管理</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b w:val="0"/>
                <w:bCs w:val="0"/>
              </w:rPr>
              <w:t>490.87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305.64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185.23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资源勘探工业信息等支出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221.87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19.99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工业和信息产业监管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221.87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19.99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2150501</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201.88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201.88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工业和信息产业支持</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4.99</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4.99</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2150599</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其他工业和信息产业监管支出</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15.00</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bl>
    <w:p>
      <w:pPr>
        <w:widowControl/>
        <w:jc w:val="left"/>
        <w:rPr>
          <w:rFonts w:hint="eastAsia" w:ascii="仿宋_GB2312" w:hAnsi="仿宋_GB2312" w:eastAsia="仿宋_GB2312" w:cs="仿宋_GB2312"/>
        </w:rPr>
      </w:pPr>
      <w:r>
        <w:rPr>
          <w:rFonts w:hint="eastAsia" w:ascii="仿宋_GB2312" w:hAnsi="仿宋_GB2312" w:eastAsia="仿宋_GB2312" w:cs="仿宋_GB2312"/>
          <w:szCs w:val="21"/>
        </w:rPr>
        <w:t>注：本表反映部门本年度各项支出情况。</w:t>
      </w:r>
      <w:r>
        <w:rPr>
          <w:rFonts w:hint="eastAsia" w:ascii="仿宋_GB2312" w:hAnsi="仿宋_GB2312" w:eastAsia="仿宋_GB2312" w:cs="仿宋_GB2312"/>
          <w:color w:val="000000"/>
          <w:kern w:val="0"/>
          <w:szCs w:val="21"/>
        </w:rPr>
        <w:t>本表金额转换为万元时，因四舍五入可能存在尾差。</w:t>
      </w:r>
    </w:p>
    <w:p>
      <w:pPr>
        <w:ind w:firstLine="2249" w:firstLineChars="700"/>
        <w:jc w:val="both"/>
        <w:rPr>
          <w:rFonts w:hint="eastAsia" w:ascii="仿宋_GB2312" w:hAnsi="仿宋_GB2312" w:eastAsia="仿宋_GB2312" w:cs="仿宋_GB2312"/>
          <w:b/>
          <w:bCs/>
          <w:sz w:val="32"/>
          <w:szCs w:val="32"/>
        </w:rPr>
      </w:pPr>
    </w:p>
    <w:p>
      <w:pPr>
        <w:ind w:firstLine="2249" w:firstLineChars="700"/>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p>
    <w:p>
      <w:pPr>
        <w:ind w:firstLine="2249" w:firstLineChars="7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财政拨款收入支出决算总表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04</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 w:val="20"/>
          <w:szCs w:val="20"/>
          <w:lang w:val="en-US" w:eastAsia="zh-CN"/>
        </w:rPr>
        <w:t>西安市莲湖区工业信息化和交通局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val="0"/>
          <w:bCs w:val="0"/>
          <w:sz w:val="20"/>
          <w:szCs w:val="20"/>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p>
    <w:tbl>
      <w:tblPr>
        <w:tblStyle w:val="9"/>
        <w:tblpPr w:leftFromText="180" w:rightFromText="180" w:vertAnchor="text" w:horzAnchor="page" w:tblpX="1584" w:tblpY="99"/>
        <w:tblOverlap w:val="never"/>
        <w:tblW w:w="89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443"/>
        <w:gridCol w:w="1038"/>
        <w:gridCol w:w="2330"/>
        <w:gridCol w:w="808"/>
        <w:gridCol w:w="1015"/>
        <w:gridCol w:w="1166"/>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trPr>
        <w:tc>
          <w:tcPr>
            <w:tcW w:w="248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sz w:val="18"/>
                <w:szCs w:val="18"/>
              </w:rPr>
              <w:t>收入</w:t>
            </w:r>
          </w:p>
        </w:tc>
        <w:tc>
          <w:tcPr>
            <w:tcW w:w="531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sz w:val="18"/>
                <w:szCs w:val="18"/>
              </w:rPr>
              <w:t>支出</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项</w:t>
            </w:r>
            <w:r>
              <w:rPr>
                <w:rFonts w:hint="eastAsia" w:ascii="仿宋_GB2312" w:hAnsi="仿宋_GB2312" w:eastAsia="仿宋_GB2312" w:cs="仿宋_GB2312"/>
                <w:b/>
                <w:color w:val="000000"/>
                <w:kern w:val="0"/>
                <w:sz w:val="18"/>
                <w:szCs w:val="18"/>
              </w:rPr>
              <w:t xml:space="preserve">    </w:t>
            </w:r>
            <w:r>
              <w:rPr>
                <w:rFonts w:hint="eastAsia" w:ascii="仿宋_GB2312" w:hAnsi="仿宋_GB2312" w:eastAsia="仿宋_GB2312" w:cs="仿宋_GB2312"/>
                <w:b/>
                <w:color w:val="000000"/>
                <w:kern w:val="0"/>
                <w:sz w:val="18"/>
                <w:szCs w:val="18"/>
              </w:rPr>
              <w:t>目</w:t>
            </w: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决算数</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一般公共预</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政府性基金</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预算财政拨款</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国有资本经营</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rPr>
              <w:t>一般公共预算财政拨款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714.87</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w:t>
            </w:r>
            <w:r>
              <w:rPr>
                <w:rFonts w:hint="eastAsia" w:ascii="仿宋_GB2312" w:hAnsi="仿宋_GB2312" w:eastAsia="仿宋_GB2312" w:cs="仿宋_GB2312"/>
                <w:color w:val="000000"/>
                <w:kern w:val="0"/>
                <w:sz w:val="18"/>
                <w:szCs w:val="18"/>
              </w:rPr>
              <w:t>一般公共服务支出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r>
              <w:rPr>
                <w:rFonts w:hint="eastAsia" w:ascii="仿宋_GB2312" w:hAnsi="仿宋_GB2312" w:eastAsia="仿宋_GB2312" w:cs="仿宋_GB2312"/>
                <w:color w:val="000000"/>
                <w:kern w:val="0"/>
                <w:sz w:val="18"/>
                <w:szCs w:val="18"/>
              </w:rPr>
              <w:t>政府性基金预算财政拨款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lang w:val="en-US" w:eastAsia="zh-CN"/>
              </w:rPr>
            </w:pPr>
            <w:r>
              <w:rPr>
                <w:rFonts w:hint="eastAsia" w:ascii="仿宋_GB2312" w:hAnsi="仿宋_GB2312" w:eastAsia="仿宋_GB2312" w:cs="仿宋_GB2312"/>
                <w:color w:val="000000"/>
                <w:szCs w:val="21"/>
                <w:lang w:val="en-US" w:eastAsia="zh-CN"/>
              </w:rPr>
              <w:t>0.00</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w:t>
            </w:r>
            <w:r>
              <w:rPr>
                <w:rFonts w:hint="eastAsia" w:ascii="仿宋_GB2312" w:hAnsi="仿宋_GB2312" w:eastAsia="仿宋_GB2312" w:cs="仿宋_GB2312"/>
                <w:color w:val="000000"/>
                <w:kern w:val="0"/>
                <w:sz w:val="18"/>
                <w:szCs w:val="18"/>
              </w:rPr>
              <w:t>外交支出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sz w:val="18"/>
                <w:szCs w:val="18"/>
              </w:rPr>
              <w:t>3.</w:t>
            </w:r>
            <w:r>
              <w:rPr>
                <w:rFonts w:hint="eastAsia" w:ascii="仿宋_GB2312" w:hAnsi="仿宋_GB2312" w:eastAsia="仿宋_GB2312" w:cs="仿宋_GB2312"/>
                <w:color w:val="000000"/>
                <w:sz w:val="18"/>
                <w:szCs w:val="18"/>
              </w:rPr>
              <w:t>国有资本经营预算收入</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lang w:val="en-US" w:eastAsia="zh-CN"/>
              </w:rPr>
            </w:pPr>
            <w:r>
              <w:rPr>
                <w:rFonts w:hint="eastAsia" w:ascii="仿宋_GB2312" w:hAnsi="仿宋_GB2312" w:eastAsia="仿宋_GB2312" w:cs="仿宋_GB2312"/>
                <w:color w:val="000000"/>
                <w:szCs w:val="21"/>
                <w:lang w:val="en-US" w:eastAsia="zh-CN"/>
              </w:rPr>
              <w:t>0.00</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3.</w:t>
            </w:r>
            <w:r>
              <w:rPr>
                <w:rFonts w:hint="eastAsia" w:ascii="仿宋_GB2312" w:hAnsi="仿宋_GB2312" w:eastAsia="仿宋_GB2312" w:cs="仿宋_GB2312"/>
                <w:color w:val="000000"/>
                <w:kern w:val="0"/>
                <w:sz w:val="18"/>
                <w:szCs w:val="18"/>
              </w:rPr>
              <w:t>国防支出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4.</w:t>
            </w:r>
            <w:r>
              <w:rPr>
                <w:rFonts w:hint="eastAsia" w:ascii="仿宋_GB2312" w:hAnsi="仿宋_GB2312" w:eastAsia="仿宋_GB2312" w:cs="仿宋_GB2312"/>
                <w:color w:val="000000"/>
                <w:kern w:val="0"/>
                <w:sz w:val="18"/>
                <w:szCs w:val="18"/>
              </w:rPr>
              <w:t>公共安全支出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5.</w:t>
            </w:r>
            <w:r>
              <w:rPr>
                <w:rFonts w:hint="eastAsia" w:ascii="仿宋_GB2312" w:hAnsi="仿宋_GB2312" w:eastAsia="仿宋_GB2312" w:cs="仿宋_GB2312"/>
                <w:color w:val="000000"/>
                <w:kern w:val="0"/>
                <w:sz w:val="18"/>
                <w:szCs w:val="18"/>
              </w:rPr>
              <w:t>教育支出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6.</w:t>
            </w:r>
            <w:r>
              <w:rPr>
                <w:rFonts w:hint="eastAsia" w:ascii="仿宋_GB2312" w:hAnsi="仿宋_GB2312" w:eastAsia="仿宋_GB2312" w:cs="仿宋_GB2312"/>
                <w:color w:val="000000"/>
                <w:kern w:val="0"/>
                <w:sz w:val="18"/>
                <w:szCs w:val="18"/>
              </w:rPr>
              <w:t>科学技术支出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7.</w:t>
            </w:r>
            <w:r>
              <w:rPr>
                <w:rFonts w:hint="eastAsia" w:ascii="仿宋_GB2312" w:hAnsi="仿宋_GB2312" w:eastAsia="仿宋_GB2312" w:cs="仿宋_GB2312"/>
                <w:color w:val="000000"/>
                <w:spacing w:val="-11"/>
                <w:w w:val="98"/>
                <w:kern w:val="0"/>
                <w:sz w:val="18"/>
                <w:szCs w:val="18"/>
              </w:rPr>
              <w:t>文化旅游体育与传媒支出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8.</w:t>
            </w:r>
            <w:r>
              <w:rPr>
                <w:rFonts w:hint="eastAsia" w:ascii="仿宋_GB2312" w:hAnsi="仿宋_GB2312" w:eastAsia="仿宋_GB2312" w:cs="仿宋_GB2312"/>
                <w:color w:val="000000"/>
                <w:kern w:val="0"/>
                <w:sz w:val="18"/>
                <w:szCs w:val="18"/>
              </w:rPr>
              <w:t>社会保障和就业支出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9.</w:t>
            </w:r>
            <w:r>
              <w:rPr>
                <w:rFonts w:hint="eastAsia" w:ascii="仿宋_GB2312" w:hAnsi="仿宋_GB2312" w:eastAsia="仿宋_GB2312" w:cs="仿宋_GB2312"/>
                <w:color w:val="000000"/>
                <w:kern w:val="0"/>
                <w:sz w:val="18"/>
                <w:szCs w:val="18"/>
              </w:rPr>
              <w:t>卫生健康支出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10.</w:t>
            </w:r>
            <w:r>
              <w:rPr>
                <w:rFonts w:hint="eastAsia" w:ascii="仿宋_GB2312" w:hAnsi="仿宋_GB2312" w:eastAsia="仿宋_GB2312" w:cs="仿宋_GB2312"/>
                <w:color w:val="000000"/>
                <w:kern w:val="0"/>
                <w:sz w:val="18"/>
                <w:szCs w:val="18"/>
              </w:rPr>
              <w:t>节能环保支出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11.</w:t>
            </w:r>
            <w:r>
              <w:rPr>
                <w:rFonts w:hint="eastAsia" w:ascii="仿宋_GB2312" w:hAnsi="仿宋_GB2312" w:eastAsia="仿宋_GB2312" w:cs="仿宋_GB2312"/>
                <w:color w:val="000000"/>
                <w:kern w:val="0"/>
                <w:sz w:val="18"/>
                <w:szCs w:val="18"/>
              </w:rPr>
              <w:t>城乡社区支出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12.</w:t>
            </w:r>
            <w:r>
              <w:rPr>
                <w:rFonts w:hint="eastAsia" w:ascii="仿宋_GB2312" w:hAnsi="仿宋_GB2312" w:eastAsia="仿宋_GB2312" w:cs="仿宋_GB2312"/>
                <w:color w:val="000000"/>
                <w:kern w:val="0"/>
                <w:sz w:val="18"/>
                <w:szCs w:val="18"/>
              </w:rPr>
              <w:t>农林水支出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13.</w:t>
            </w:r>
            <w:r>
              <w:rPr>
                <w:rFonts w:hint="eastAsia" w:ascii="仿宋_GB2312" w:hAnsi="仿宋_GB2312" w:eastAsia="仿宋_GB2312" w:cs="仿宋_GB2312"/>
                <w:color w:val="000000"/>
                <w:kern w:val="0"/>
                <w:sz w:val="18"/>
                <w:szCs w:val="18"/>
              </w:rPr>
              <w:t>交通运输支出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rPr>
              <w:t>490.87</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rPr>
              <w:t>490.87</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14.</w:t>
            </w:r>
            <w:r>
              <w:rPr>
                <w:rFonts w:hint="eastAsia" w:ascii="仿宋_GB2312" w:hAnsi="仿宋_GB2312" w:eastAsia="仿宋_GB2312" w:cs="仿宋_GB2312"/>
                <w:color w:val="000000"/>
                <w:kern w:val="0"/>
                <w:sz w:val="18"/>
                <w:szCs w:val="18"/>
              </w:rPr>
              <w:t>资源勘探信息等支出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220.37</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220.37</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15.</w:t>
            </w:r>
            <w:r>
              <w:rPr>
                <w:rFonts w:hint="eastAsia" w:ascii="仿宋_GB2312" w:hAnsi="仿宋_GB2312" w:eastAsia="仿宋_GB2312" w:cs="仿宋_GB2312"/>
                <w:color w:val="000000"/>
                <w:kern w:val="0"/>
                <w:sz w:val="18"/>
                <w:szCs w:val="18"/>
              </w:rPr>
              <w:t>商业服务业等支出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16.</w:t>
            </w:r>
            <w:r>
              <w:rPr>
                <w:rFonts w:hint="eastAsia" w:ascii="仿宋_GB2312" w:hAnsi="仿宋_GB2312" w:eastAsia="仿宋_GB2312" w:cs="仿宋_GB2312"/>
                <w:color w:val="000000"/>
                <w:kern w:val="0"/>
                <w:sz w:val="18"/>
                <w:szCs w:val="18"/>
              </w:rPr>
              <w:t>金融支出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17.</w:t>
            </w:r>
            <w:r>
              <w:rPr>
                <w:rFonts w:hint="eastAsia" w:ascii="仿宋_GB2312" w:hAnsi="仿宋_GB2312" w:eastAsia="仿宋_GB2312" w:cs="仿宋_GB2312"/>
                <w:color w:val="000000"/>
                <w:kern w:val="0"/>
                <w:sz w:val="18"/>
                <w:szCs w:val="18"/>
              </w:rPr>
              <w:t>援助其他地区支出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18.</w:t>
            </w:r>
            <w:r>
              <w:rPr>
                <w:rFonts w:hint="eastAsia" w:ascii="仿宋_GB2312" w:hAnsi="仿宋_GB2312" w:eastAsia="仿宋_GB2312" w:cs="仿宋_GB2312"/>
                <w:color w:val="000000"/>
                <w:kern w:val="0"/>
                <w:sz w:val="18"/>
                <w:szCs w:val="18"/>
              </w:rPr>
              <w:t>自然资源海洋气象等支出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19.</w:t>
            </w:r>
            <w:r>
              <w:rPr>
                <w:rFonts w:hint="eastAsia" w:ascii="仿宋_GB2312" w:hAnsi="仿宋_GB2312" w:eastAsia="仿宋_GB2312" w:cs="仿宋_GB2312"/>
                <w:color w:val="000000"/>
                <w:kern w:val="0"/>
                <w:sz w:val="18"/>
                <w:szCs w:val="18"/>
              </w:rPr>
              <w:t>住房保障支出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20.</w:t>
            </w:r>
            <w:r>
              <w:rPr>
                <w:rFonts w:hint="eastAsia" w:ascii="仿宋_GB2312" w:hAnsi="仿宋_GB2312" w:eastAsia="仿宋_GB2312" w:cs="仿宋_GB2312"/>
                <w:color w:val="000000"/>
                <w:kern w:val="0"/>
                <w:sz w:val="18"/>
                <w:szCs w:val="18"/>
              </w:rPr>
              <w:t>粮油物资储备支出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rPr>
              <w:t>21.</w:t>
            </w:r>
            <w:r>
              <w:rPr>
                <w:rFonts w:hint="eastAsia" w:ascii="仿宋_GB2312" w:hAnsi="仿宋_GB2312" w:eastAsia="仿宋_GB2312" w:cs="仿宋_GB2312"/>
                <w:color w:val="000000"/>
                <w:kern w:val="0"/>
                <w:sz w:val="18"/>
                <w:szCs w:val="18"/>
              </w:rPr>
              <w:t>国有资本经营预算支出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22.</w:t>
            </w:r>
            <w:r>
              <w:rPr>
                <w:rFonts w:hint="eastAsia" w:ascii="仿宋_GB2312" w:hAnsi="仿宋_GB2312" w:eastAsia="仿宋_GB2312" w:cs="仿宋_GB2312"/>
                <w:color w:val="000000"/>
                <w:kern w:val="0"/>
                <w:sz w:val="18"/>
                <w:szCs w:val="18"/>
              </w:rPr>
              <w:t>灾害防治及应急管理支出</w:t>
            </w:r>
          </w:p>
        </w:tc>
        <w:tc>
          <w:tcPr>
            <w:tcW w:w="808"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仿宋_GB2312" w:hAnsi="仿宋_GB2312" w:eastAsia="仿宋_GB2312" w:cs="仿宋_GB2312"/>
                <w:color w:val="000000"/>
                <w:sz w:val="18"/>
                <w:szCs w:val="18"/>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23.</w:t>
            </w:r>
            <w:r>
              <w:rPr>
                <w:rFonts w:hint="eastAsia" w:ascii="仿宋_GB2312" w:hAnsi="仿宋_GB2312" w:eastAsia="仿宋_GB2312" w:cs="仿宋_GB2312"/>
                <w:color w:val="000000"/>
                <w:kern w:val="0"/>
                <w:sz w:val="18"/>
                <w:szCs w:val="18"/>
              </w:rPr>
              <w:t>其他支出</w:t>
            </w:r>
          </w:p>
        </w:tc>
        <w:tc>
          <w:tcPr>
            <w:tcW w:w="808"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szCs w:val="21"/>
                <w:lang w:val="en-US" w:eastAsia="zh-CN"/>
              </w:rPr>
              <w:t>0.00</w:t>
            </w:r>
          </w:p>
        </w:tc>
        <w:tc>
          <w:tcPr>
            <w:tcW w:w="1015" w:type="dxa"/>
            <w:tcBorders>
              <w:top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c>
          <w:tcPr>
            <w:tcW w:w="1166" w:type="dxa"/>
            <w:tcBorders>
              <w:top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c>
          <w:tcPr>
            <w:tcW w:w="1165" w:type="dxa"/>
            <w:tcBorders>
              <w:top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lang w:val="en-US" w:eastAsia="zh-CN"/>
              </w:rPr>
              <w:t>0.00</w:t>
            </w:r>
          </w:p>
        </w:tc>
      </w:tr>
    </w:tbl>
    <w:p>
      <w:pPr>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 w:val="32"/>
          <w:szCs w:val="32"/>
        </w:rPr>
        <w:t>财政拨款收入支出决算总表</w:t>
      </w:r>
      <w:r>
        <w:rPr>
          <w:rFonts w:hint="eastAsia" w:ascii="仿宋_GB2312" w:hAnsi="仿宋_GB2312" w:eastAsia="仿宋_GB2312" w:cs="仿宋_GB2312"/>
          <w:b/>
          <w:bCs/>
          <w:sz w:val="32"/>
          <w:szCs w:val="32"/>
        </w:rPr>
        <w:t xml:space="preserve"> </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04</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 w:val="20"/>
          <w:szCs w:val="20"/>
          <w:lang w:val="en-US" w:eastAsia="zh-CN"/>
        </w:rPr>
        <w:t>西安市莲湖区工业信息化和交通局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val="0"/>
          <w:bCs w:val="0"/>
          <w:sz w:val="20"/>
          <w:szCs w:val="20"/>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r>
        <w:rPr>
          <w:rFonts w:hint="eastAsia" w:ascii="仿宋_GB2312" w:hAnsi="仿宋_GB2312" w:eastAsia="仿宋_GB2312" w:cs="仿宋_GB2312"/>
          <w:b/>
          <w:bCs/>
          <w:szCs w:val="21"/>
        </w:rPr>
        <w:t xml:space="preserve">                             </w:t>
      </w:r>
    </w:p>
    <w:tbl>
      <w:tblPr>
        <w:tblStyle w:val="9"/>
        <w:tblW w:w="89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34"/>
        <w:gridCol w:w="958"/>
        <w:gridCol w:w="2319"/>
        <w:gridCol w:w="808"/>
        <w:gridCol w:w="1015"/>
        <w:gridCol w:w="1166"/>
        <w:gridCol w:w="11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249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sz w:val="18"/>
                <w:szCs w:val="18"/>
              </w:rPr>
              <w:t>收入</w:t>
            </w:r>
          </w:p>
        </w:tc>
        <w:tc>
          <w:tcPr>
            <w:tcW w:w="6462"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sz w:val="18"/>
                <w:szCs w:val="18"/>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项</w:t>
            </w:r>
            <w:r>
              <w:rPr>
                <w:rFonts w:hint="eastAsia" w:ascii="仿宋_GB2312" w:hAnsi="仿宋_GB2312" w:eastAsia="仿宋_GB2312" w:cs="仿宋_GB2312"/>
                <w:b/>
                <w:color w:val="000000"/>
                <w:kern w:val="0"/>
                <w:sz w:val="18"/>
                <w:szCs w:val="18"/>
              </w:rPr>
              <w:t xml:space="preserve">    </w:t>
            </w:r>
            <w:r>
              <w:rPr>
                <w:rFonts w:hint="eastAsia" w:ascii="仿宋_GB2312" w:hAnsi="仿宋_GB2312" w:eastAsia="仿宋_GB2312" w:cs="仿宋_GB2312"/>
                <w:b/>
                <w:color w:val="000000"/>
                <w:kern w:val="0"/>
                <w:sz w:val="18"/>
                <w:szCs w:val="18"/>
              </w:rPr>
              <w:t>目</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决算数</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一般公共预</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政府性基金</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预算财政拨款</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国有资本经营</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kern w:val="0"/>
                <w:sz w:val="18"/>
                <w:szCs w:val="18"/>
              </w:rPr>
              <w:t>本年收入合计</w:t>
            </w:r>
          </w:p>
        </w:tc>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 w:val="18"/>
                <w:szCs w:val="18"/>
              </w:rPr>
            </w:pPr>
            <w:r>
              <w:rPr>
                <w:rFonts w:hint="eastAsia" w:ascii="仿宋_GB2312" w:hAnsi="仿宋_GB2312" w:eastAsia="仿宋_GB2312" w:cs="仿宋_GB2312"/>
                <w:i w:val="0"/>
                <w:iCs w:val="0"/>
                <w:color w:val="000000"/>
                <w:kern w:val="0"/>
                <w:sz w:val="22"/>
                <w:szCs w:val="22"/>
                <w:u w:val="none"/>
                <w:lang w:val="en-US" w:eastAsia="zh-CN" w:bidi="ar"/>
              </w:rPr>
              <w:t>714.87</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 w:val="18"/>
                <w:szCs w:val="18"/>
              </w:rPr>
            </w:pPr>
            <w:r>
              <w:rPr>
                <w:rFonts w:hint="eastAsia" w:ascii="仿宋_GB2312" w:hAnsi="仿宋_GB2312" w:eastAsia="仿宋_GB2312" w:cs="仿宋_GB2312"/>
                <w:b/>
                <w:color w:val="000000"/>
                <w:kern w:val="0"/>
                <w:sz w:val="18"/>
                <w:szCs w:val="18"/>
              </w:rPr>
              <w:t>本年支出合计</w:t>
            </w:r>
          </w:p>
        </w:tc>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713.83</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713.83</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color w:val="00000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年初财政拨款</w:t>
            </w:r>
          </w:p>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结转和结余</w:t>
            </w:r>
          </w:p>
        </w:tc>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 w:val="18"/>
                <w:szCs w:val="18"/>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3.05</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年末财政拨款</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color w:val="000000"/>
                <w:kern w:val="0"/>
                <w:sz w:val="18"/>
                <w:szCs w:val="18"/>
              </w:rPr>
              <w:t>结转和结余</w:t>
            </w:r>
          </w:p>
        </w:tc>
        <w:tc>
          <w:tcPr>
            <w:tcW w:w="80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4.09</w:t>
            </w:r>
          </w:p>
        </w:tc>
        <w:tc>
          <w:tcPr>
            <w:tcW w:w="10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4.09</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color w:val="00000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color w:val="000000"/>
                <w:szCs w:val="21"/>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一般公共预算</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kern w:val="0"/>
                <w:sz w:val="18"/>
                <w:szCs w:val="18"/>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3.05</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政府性基金预算</w:t>
            </w:r>
          </w:p>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color w:val="000000"/>
                <w:szCs w:val="21"/>
                <w:lang w:val="en-US" w:eastAsia="zh-CN"/>
              </w:rPr>
              <w:t>0.00</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ind w:left="360" w:hanging="360" w:hangingChars="200"/>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国有资本经营</w:t>
            </w:r>
          </w:p>
          <w:p>
            <w:pPr>
              <w:widowControl/>
              <w:jc w:val="center"/>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color w:val="000000"/>
                <w:szCs w:val="21"/>
                <w:lang w:val="en-US" w:eastAsia="zh-CN"/>
              </w:rPr>
              <w:t>0.00</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1"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收入总计</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b/>
                <w:color w:val="000000"/>
                <w:kern w:val="0"/>
                <w:sz w:val="18"/>
                <w:szCs w:val="18"/>
                <w:lang w:val="en-US" w:eastAsia="zh-CN"/>
              </w:rPr>
            </w:pPr>
            <w:r>
              <w:rPr>
                <w:rFonts w:hint="eastAsia" w:ascii="仿宋_GB2312" w:hAnsi="仿宋_GB2312" w:eastAsia="仿宋_GB2312" w:cs="仿宋_GB2312"/>
                <w:b/>
                <w:color w:val="000000"/>
                <w:kern w:val="0"/>
                <w:sz w:val="18"/>
                <w:szCs w:val="18"/>
                <w:lang w:val="en-US" w:eastAsia="zh-CN"/>
              </w:rPr>
              <w:t>224.21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 w:val="18"/>
                <w:szCs w:val="18"/>
              </w:rPr>
            </w:pPr>
            <w:r>
              <w:rPr>
                <w:rFonts w:hint="eastAsia" w:ascii="仿宋_GB2312" w:hAnsi="仿宋_GB2312" w:eastAsia="仿宋_GB2312" w:cs="仿宋_GB2312"/>
                <w:b/>
                <w:color w:val="000000"/>
                <w:kern w:val="0"/>
                <w:sz w:val="18"/>
                <w:szCs w:val="18"/>
              </w:rPr>
              <w:t>支出总计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b/>
                <w:color w:val="000000"/>
                <w:kern w:val="0"/>
                <w:szCs w:val="21"/>
                <w:lang w:val="en-US" w:eastAsia="zh-CN"/>
              </w:rPr>
              <w:t>224.21</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lang w:val="en-US" w:eastAsia="zh-CN"/>
              </w:rPr>
            </w:pPr>
            <w:r>
              <w:rPr>
                <w:rFonts w:hint="eastAsia" w:ascii="仿宋_GB2312" w:hAnsi="仿宋_GB2312" w:eastAsia="仿宋_GB2312" w:cs="仿宋_GB2312"/>
                <w:b/>
                <w:color w:val="000000"/>
                <w:kern w:val="0"/>
                <w:szCs w:val="21"/>
                <w:lang w:val="en-US" w:eastAsia="zh-CN"/>
              </w:rPr>
              <w:t>224.21</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color w:val="000000"/>
                <w:szCs w:val="21"/>
                <w:lang w:val="en-US" w:eastAsia="zh-CN"/>
              </w:rPr>
              <w:t>0.00</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color w:val="000000"/>
                <w:szCs w:val="21"/>
                <w:lang w:val="en-US" w:eastAsia="zh-CN"/>
              </w:rPr>
              <w:t>0.00</w:t>
            </w:r>
          </w:p>
        </w:tc>
      </w:tr>
    </w:tbl>
    <w:p>
      <w:pPr>
        <w:rPr>
          <w:rFonts w:hint="eastAsia" w:ascii="仿宋_GB2312" w:hAnsi="仿宋_GB2312" w:eastAsia="仿宋_GB2312" w:cs="仿宋_GB2312"/>
          <w:szCs w:val="21"/>
        </w:rPr>
      </w:pPr>
    </w:p>
    <w:p>
      <w:pPr>
        <w:widowControl/>
        <w:jc w:val="left"/>
        <w:rPr>
          <w:rFonts w:hint="eastAsia" w:ascii="仿宋_GB2312" w:hAnsi="仿宋_GB2312" w:eastAsia="仿宋_GB2312" w:cs="仿宋_GB2312"/>
        </w:rPr>
      </w:pPr>
      <w:r>
        <w:rPr>
          <w:rFonts w:hint="eastAsia" w:ascii="仿宋_GB2312" w:hAnsi="仿宋_GB2312" w:eastAsia="仿宋_GB2312" w:cs="仿宋_GB2312"/>
          <w:szCs w:val="21"/>
        </w:rPr>
        <w:t>注：本表反映部门本年度一般公共预算财政拨款和政府性基金预算财政拨款的总收支和年末结转结余情况。</w:t>
      </w:r>
      <w:r>
        <w:rPr>
          <w:rFonts w:hint="eastAsia" w:ascii="仿宋_GB2312" w:hAnsi="仿宋_GB2312" w:eastAsia="仿宋_GB2312" w:cs="仿宋_GB2312"/>
          <w:color w:val="000000"/>
          <w:kern w:val="0"/>
          <w:szCs w:val="21"/>
        </w:rPr>
        <w:t>本表金额转换为万元时，因四舍五入可能存在尾差。</w:t>
      </w:r>
    </w:p>
    <w:p>
      <w:pPr>
        <w:ind w:firstLine="643" w:firstLineChars="200"/>
        <w:jc w:val="both"/>
        <w:rPr>
          <w:rFonts w:hint="eastAsia" w:ascii="仿宋_GB2312" w:hAnsi="仿宋_GB2312" w:eastAsia="仿宋_GB2312" w:cs="仿宋_GB2312"/>
          <w:b/>
          <w:bCs/>
          <w:sz w:val="32"/>
          <w:szCs w:val="32"/>
        </w:rPr>
      </w:pPr>
    </w:p>
    <w:p>
      <w:pPr>
        <w:ind w:firstLine="643" w:firstLineChars="200"/>
        <w:jc w:val="both"/>
        <w:rPr>
          <w:rFonts w:hint="eastAsia" w:ascii="仿宋_GB2312" w:hAnsi="仿宋_GB2312" w:eastAsia="仿宋_GB2312" w:cs="仿宋_GB2312"/>
          <w:b/>
          <w:bCs/>
          <w:sz w:val="32"/>
          <w:szCs w:val="32"/>
        </w:rPr>
      </w:pPr>
    </w:p>
    <w:p>
      <w:pPr>
        <w:ind w:firstLine="643" w:firstLineChars="200"/>
        <w:jc w:val="both"/>
        <w:rPr>
          <w:rFonts w:hint="eastAsia" w:ascii="仿宋_GB2312" w:hAnsi="仿宋_GB2312" w:eastAsia="仿宋_GB2312" w:cs="仿宋_GB2312"/>
          <w:b/>
          <w:bCs/>
          <w:sz w:val="32"/>
          <w:szCs w:val="32"/>
        </w:rPr>
      </w:pPr>
    </w:p>
    <w:p>
      <w:pPr>
        <w:ind w:firstLine="643" w:firstLineChars="200"/>
        <w:jc w:val="both"/>
        <w:rPr>
          <w:rFonts w:hint="eastAsia" w:ascii="仿宋_GB2312" w:hAnsi="仿宋_GB2312" w:eastAsia="仿宋_GB2312" w:cs="仿宋_GB2312"/>
          <w:b/>
          <w:bCs/>
          <w:sz w:val="32"/>
          <w:szCs w:val="32"/>
        </w:rPr>
      </w:pPr>
    </w:p>
    <w:p>
      <w:pPr>
        <w:ind w:firstLine="643" w:firstLineChars="200"/>
        <w:jc w:val="both"/>
        <w:rPr>
          <w:rFonts w:hint="eastAsia" w:ascii="仿宋_GB2312" w:hAnsi="仿宋_GB2312" w:eastAsia="仿宋_GB2312" w:cs="仿宋_GB2312"/>
          <w:b/>
          <w:bCs/>
          <w:sz w:val="32"/>
          <w:szCs w:val="32"/>
        </w:rPr>
      </w:pPr>
    </w:p>
    <w:p>
      <w:pPr>
        <w:ind w:firstLine="643" w:firstLineChars="200"/>
        <w:jc w:val="both"/>
        <w:rPr>
          <w:rFonts w:hint="eastAsia" w:ascii="仿宋_GB2312" w:hAnsi="仿宋_GB2312" w:eastAsia="仿宋_GB2312" w:cs="仿宋_GB2312"/>
          <w:b/>
          <w:bCs/>
          <w:sz w:val="32"/>
          <w:szCs w:val="32"/>
        </w:rPr>
      </w:pPr>
    </w:p>
    <w:p>
      <w:pPr>
        <w:ind w:firstLine="321" w:firstLineChars="1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一般公共预算财政拨款支出决算表（按功能分类科目）</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05</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lang w:val="en-US" w:eastAsia="zh-CN"/>
        </w:rPr>
        <w:t>西</w:t>
      </w:r>
      <w:r>
        <w:rPr>
          <w:rFonts w:hint="eastAsia" w:ascii="仿宋_GB2312" w:hAnsi="仿宋_GB2312" w:eastAsia="仿宋_GB2312" w:cs="仿宋_GB2312"/>
          <w:b/>
          <w:bCs/>
          <w:sz w:val="20"/>
          <w:szCs w:val="20"/>
          <w:lang w:val="en-US" w:eastAsia="zh-CN"/>
        </w:rPr>
        <w:t>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bCs/>
          <w:sz w:val="20"/>
          <w:szCs w:val="20"/>
          <w:lang w:val="en-US" w:eastAsia="zh-CN"/>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p>
    <w:tbl>
      <w:tblPr>
        <w:tblStyle w:val="9"/>
        <w:tblpPr w:leftFromText="180" w:rightFromText="180" w:vertAnchor="text" w:horzAnchor="page" w:tblpX="1571" w:tblpY="9"/>
        <w:tblOverlap w:val="never"/>
        <w:tblW w:w="87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功能分类</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b/>
                <w:bCs/>
                <w:color w:val="000000"/>
                <w:kern w:val="0"/>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713.83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506.02</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429.00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77.02</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207.81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21004</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公共卫生</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kern w:val="0"/>
                <w:szCs w:val="21"/>
              </w:rPr>
              <w:t xml:space="preserve">    </w:t>
            </w:r>
            <w:r>
              <w:rPr>
                <w:rFonts w:hint="eastAsia" w:ascii="仿宋_GB2312" w:hAnsi="仿宋_GB2312" w:eastAsia="仿宋_GB2312" w:cs="仿宋_GB2312"/>
                <w:color w:val="000000"/>
                <w:kern w:val="0"/>
                <w:szCs w:val="21"/>
                <w:lang w:val="en-US" w:eastAsia="zh-CN"/>
              </w:rPr>
              <w:t>2100410</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突发公共卫生事件应急处理</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2.59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szCs w:val="21"/>
                <w:lang w:val="en-US" w:eastAsia="zh-CN"/>
              </w:rPr>
              <w:t>214</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交通运输支出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490.87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305.64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241.19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64.45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rPr>
              <w:t>185.23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szCs w:val="21"/>
                <w:lang w:val="en-US" w:eastAsia="zh-CN"/>
              </w:rPr>
              <w:t>21401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公路水路运输</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490.87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305.64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241.19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64.45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rPr>
              <w:t>185.23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szCs w:val="21"/>
                <w:lang w:val="en-US" w:eastAsia="zh-CN"/>
              </w:rPr>
              <w:t>2140112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公路运输管理</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490.87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305.64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241.19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64.45</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rPr>
              <w:t>185.23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资源勘探工业信息等支出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220.37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19.99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工业和信息产业监管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220.37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19.99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200.38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200.38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187.82</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12.56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工业和信息产业支持</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4.99</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2150599</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 xml:space="preserve">  其他工业和信息产业监管支出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val="en-US" w:eastAsia="zh-CN"/>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bl>
    <w:p>
      <w:pPr>
        <w:jc w:val="left"/>
        <w:rPr>
          <w:rFonts w:hint="eastAsia" w:ascii="仿宋_GB2312" w:hAnsi="仿宋_GB2312" w:eastAsia="仿宋_GB2312" w:cs="仿宋_GB2312"/>
          <w:b/>
          <w:bCs/>
          <w:szCs w:val="21"/>
        </w:rPr>
      </w:pPr>
    </w:p>
    <w:p>
      <w:pPr>
        <w:rPr>
          <w:rFonts w:hint="eastAsia" w:ascii="仿宋_GB2312" w:hAnsi="仿宋_GB2312" w:eastAsia="仿宋_GB2312" w:cs="仿宋_GB2312"/>
          <w:b/>
          <w:bCs/>
          <w:szCs w:val="21"/>
        </w:rPr>
      </w:pPr>
      <w:r>
        <w:rPr>
          <w:rFonts w:hint="eastAsia" w:ascii="仿宋_GB2312" w:hAnsi="仿宋_GB2312" w:eastAsia="仿宋_GB2312" w:cs="仿宋_GB2312"/>
          <w:b/>
          <w:bCs/>
          <w:szCs w:val="21"/>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szCs w:val="21"/>
        </w:rPr>
        <w:t>注：本表反映部门本年度一般公共预算财政拨款实际支出情况。</w:t>
      </w:r>
      <w:r>
        <w:rPr>
          <w:rFonts w:hint="eastAsia" w:ascii="仿宋_GB2312" w:hAnsi="仿宋_GB2312" w:eastAsia="仿宋_GB2312" w:cs="仿宋_GB2312"/>
          <w:color w:val="000000"/>
          <w:kern w:val="0"/>
          <w:szCs w:val="21"/>
        </w:rPr>
        <w:t>本表金额转换为万元时，因四舍五入可能存在尾差。</w:t>
      </w:r>
    </w:p>
    <w:p>
      <w:pPr>
        <w:ind w:firstLine="321" w:firstLineChars="100"/>
        <w:jc w:val="both"/>
        <w:rPr>
          <w:rFonts w:hint="eastAsia" w:ascii="仿宋_GB2312" w:hAnsi="仿宋_GB2312" w:eastAsia="仿宋_GB2312" w:cs="仿宋_GB2312"/>
          <w:b/>
          <w:bCs/>
          <w:sz w:val="32"/>
          <w:szCs w:val="32"/>
        </w:rPr>
      </w:pPr>
    </w:p>
    <w:p>
      <w:pPr>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一般公共预算财政拨款基本支出决算表（按经济分类科目）</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06</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lang w:val="en-US" w:eastAsia="zh-CN"/>
        </w:rPr>
        <w:t>西</w:t>
      </w:r>
      <w:r>
        <w:rPr>
          <w:rFonts w:hint="eastAsia" w:ascii="仿宋_GB2312" w:hAnsi="仿宋_GB2312" w:eastAsia="仿宋_GB2312" w:cs="仿宋_GB2312"/>
          <w:b/>
          <w:bCs/>
          <w:sz w:val="20"/>
          <w:szCs w:val="20"/>
          <w:lang w:val="en-US" w:eastAsia="zh-CN"/>
        </w:rPr>
        <w:t>安市莲湖区工业信息化和交通局</w:t>
      </w:r>
      <w:r>
        <w:rPr>
          <w:rFonts w:hint="eastAsia" w:ascii="仿宋_GB2312" w:hAnsi="仿宋_GB2312" w:eastAsia="仿宋_GB2312" w:cs="仿宋_GB2312"/>
          <w:b/>
          <w:bCs/>
          <w:sz w:val="20"/>
          <w:szCs w:val="20"/>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r>
        <w:rPr>
          <w:rFonts w:hint="eastAsia" w:ascii="仿宋_GB2312" w:hAnsi="仿宋_GB2312" w:eastAsia="仿宋_GB2312" w:cs="仿宋_GB2312"/>
          <w:b/>
          <w:bCs/>
          <w:szCs w:val="21"/>
        </w:rPr>
        <w:t xml:space="preserve">                                   </w:t>
      </w:r>
    </w:p>
    <w:tbl>
      <w:tblPr>
        <w:tblStyle w:val="9"/>
        <w:tblW w:w="88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57"/>
        <w:gridCol w:w="2046"/>
        <w:gridCol w:w="1659"/>
        <w:gridCol w:w="1437"/>
        <w:gridCol w:w="1363"/>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经济分类</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lang w:val="en-US" w:eastAsia="zh-CN"/>
              </w:rPr>
            </w:pPr>
            <w:r>
              <w:rPr>
                <w:rFonts w:hint="eastAsia" w:ascii="仿宋_GB2312" w:hAnsi="仿宋_GB2312" w:eastAsia="仿宋_GB2312" w:cs="仿宋_GB2312"/>
                <w:b/>
                <w:color w:val="000000"/>
                <w:szCs w:val="21"/>
                <w:lang w:val="en-US" w:eastAsia="zh-CN"/>
              </w:rPr>
              <w:t>506.02</w:t>
            </w:r>
          </w:p>
        </w:tc>
        <w:tc>
          <w:tcPr>
            <w:tcW w:w="1437" w:type="dxa"/>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lang w:val="en-US" w:eastAsia="zh-CN"/>
              </w:rPr>
            </w:pPr>
            <w:r>
              <w:rPr>
                <w:rFonts w:hint="eastAsia" w:ascii="仿宋_GB2312" w:hAnsi="仿宋_GB2312" w:eastAsia="仿宋_GB2312" w:cs="仿宋_GB2312"/>
                <w:b/>
                <w:color w:val="000000"/>
                <w:szCs w:val="21"/>
                <w:lang w:val="en-US" w:eastAsia="zh-CN"/>
              </w:rPr>
              <w:t>429.00</w:t>
            </w:r>
          </w:p>
        </w:tc>
        <w:tc>
          <w:tcPr>
            <w:tcW w:w="1363" w:type="dxa"/>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lang w:val="en-US" w:eastAsia="zh-CN"/>
              </w:rPr>
            </w:pPr>
            <w:r>
              <w:rPr>
                <w:rFonts w:hint="eastAsia" w:ascii="仿宋_GB2312" w:hAnsi="仿宋_GB2312" w:eastAsia="仿宋_GB2312" w:cs="仿宋_GB2312"/>
                <w:b/>
                <w:color w:val="000000"/>
                <w:szCs w:val="21"/>
                <w:lang w:val="en-US" w:eastAsia="zh-CN"/>
              </w:rPr>
              <w:t>77.02</w:t>
            </w:r>
          </w:p>
        </w:tc>
        <w:tc>
          <w:tcPr>
            <w:tcW w:w="1155" w:type="dxa"/>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429.00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107.34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41.25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129.30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49.32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42.11</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30109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15.07</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9.57</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4.02</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7.98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30113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 xml:space="preserve">  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16.71</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30114</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 xml:space="preserve">  医疗费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1.08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30199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 xml:space="preserve">  其他工资福利支出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5.25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77.02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2.04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30204</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手续费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30207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 xml:space="preserve">  邮电费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1.10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i w:val="0"/>
                <w:iCs w:val="0"/>
                <w:color w:val="000000"/>
                <w:kern w:val="0"/>
                <w:sz w:val="22"/>
                <w:szCs w:val="22"/>
                <w:u w:val="none"/>
                <w:lang w:val="en-US" w:eastAsia="zh-CN" w:bidi="ar"/>
              </w:rPr>
              <w:t>30216</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培训费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i w:val="0"/>
                <w:iCs w:val="0"/>
                <w:color w:val="000000"/>
                <w:kern w:val="0"/>
                <w:sz w:val="22"/>
                <w:szCs w:val="22"/>
                <w:u w:val="none"/>
                <w:lang w:val="en-US" w:eastAsia="zh-CN" w:bidi="ar"/>
              </w:rPr>
              <w:t>30226</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劳务费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0.25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i w:val="0"/>
                <w:iCs w:val="0"/>
                <w:color w:val="000000"/>
                <w:kern w:val="0"/>
                <w:sz w:val="22"/>
                <w:szCs w:val="22"/>
                <w:u w:val="none"/>
                <w:lang w:val="en-US" w:eastAsia="zh-CN" w:bidi="ar"/>
              </w:rPr>
              <w:t>30228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工会经费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0.79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i w:val="0"/>
                <w:iCs w:val="0"/>
                <w:color w:val="000000"/>
                <w:kern w:val="0"/>
                <w:sz w:val="22"/>
                <w:szCs w:val="22"/>
                <w:u w:val="none"/>
                <w:lang w:val="en-US" w:eastAsia="zh-CN" w:bidi="ar"/>
              </w:rPr>
              <w:t>30229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福利费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64.22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i w:val="0"/>
                <w:iCs w:val="0"/>
                <w:color w:val="000000"/>
                <w:kern w:val="0"/>
                <w:sz w:val="22"/>
                <w:szCs w:val="22"/>
                <w:u w:val="none"/>
                <w:lang w:val="en-US" w:eastAsia="zh-CN" w:bidi="ar"/>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 xml:space="preserve">  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8.56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bl>
    <w:p>
      <w:pPr>
        <w:widowControl/>
        <w:jc w:val="left"/>
        <w:rPr>
          <w:rFonts w:hint="eastAsia" w:ascii="仿宋_GB2312" w:hAnsi="仿宋_GB2312" w:eastAsia="仿宋_GB2312" w:cs="仿宋_GB2312"/>
        </w:rPr>
      </w:pPr>
      <w:r>
        <w:rPr>
          <w:rFonts w:hint="eastAsia" w:ascii="仿宋_GB2312" w:hAnsi="仿宋_GB2312" w:eastAsia="仿宋_GB2312" w:cs="仿宋_GB2312"/>
          <w:szCs w:val="21"/>
        </w:rPr>
        <w:t>注：本表反映部门本年度一般公共预算财政拨款基本支出明细情况。</w:t>
      </w:r>
      <w:r>
        <w:rPr>
          <w:rFonts w:hint="eastAsia" w:ascii="仿宋_GB2312" w:hAnsi="仿宋_GB2312" w:eastAsia="仿宋_GB2312" w:cs="仿宋_GB2312"/>
          <w:color w:val="000000"/>
          <w:kern w:val="0"/>
          <w:szCs w:val="21"/>
        </w:rPr>
        <w:t>本表金额转换为万元时，因四舍五入可能存在尾差。</w:t>
      </w: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p>
    <w:p>
      <w:pPr>
        <w:ind w:firstLine="1928" w:firstLineChars="6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一般公共预算财政拨款“三公”经费</w:t>
      </w:r>
    </w:p>
    <w:p>
      <w:pPr>
        <w:spacing w:line="52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及会议费、培训费支出决算表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07</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p>
    <w:tbl>
      <w:tblPr>
        <w:tblStyle w:val="9"/>
        <w:tblW w:w="88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培训费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公务</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Cs/>
                <w:color w:val="000000"/>
                <w:szCs w:val="21"/>
              </w:rPr>
            </w:pPr>
            <w:r>
              <w:rPr>
                <w:rFonts w:hint="eastAsia" w:ascii="仿宋_GB2312" w:hAnsi="仿宋_GB2312" w:eastAsia="仿宋_GB2312" w:cs="仿宋_GB2312"/>
                <w:bCs/>
                <w:color w:val="000000"/>
                <w:kern w:val="0"/>
                <w:szCs w:val="21"/>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11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111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9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23.34</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i w:val="0"/>
                <w:iCs w:val="0"/>
                <w:color w:val="000000"/>
                <w:kern w:val="0"/>
                <w:sz w:val="22"/>
                <w:szCs w:val="22"/>
                <w:u w:val="none"/>
                <w:lang w:val="en-US" w:eastAsia="zh-CN" w:bidi="ar"/>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b/>
                <w:color w:val="000000"/>
                <w:szCs w:val="21"/>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0.05</w:t>
            </w:r>
          </w:p>
        </w:tc>
      </w:tr>
    </w:tbl>
    <w:p>
      <w:pPr>
        <w:widowControl/>
        <w:jc w:val="left"/>
        <w:rPr>
          <w:rFonts w:hint="eastAsia" w:ascii="仿宋_GB2312" w:hAnsi="仿宋_GB2312" w:eastAsia="仿宋_GB2312" w:cs="仿宋_GB2312"/>
          <w:szCs w:val="21"/>
        </w:rPr>
      </w:pPr>
      <w:r>
        <w:rPr>
          <w:rFonts w:hint="eastAsia" w:ascii="仿宋_GB2312" w:hAnsi="仿宋_GB2312" w:eastAsia="仿宋_GB2312" w:cs="仿宋_GB2312"/>
          <w:szCs w:val="21"/>
        </w:rPr>
        <w:t>注：本表反映部门本年度一般公共预算财政拨款“三公”经费、会议费、培训费的支出预决算情况。其中，预算数为全年预算数，反映按规定程序调整后的预算数；决算数是包括当年一般公共预算财政拨款和以前年度结转资金安排的实际支出。</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rPr>
        <w:t>本表金额转换为万元时，因四舍五入可能存在尾差。</w: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jc w:val="center"/>
        <w:rPr>
          <w:rFonts w:hint="eastAsia" w:ascii="仿宋_GB2312" w:hAnsi="仿宋_GB2312" w:eastAsia="仿宋_GB2312" w:cs="仿宋_GB2312"/>
          <w:b/>
          <w:bCs/>
          <w:sz w:val="32"/>
          <w:szCs w:val="32"/>
        </w:rPr>
      </w:pPr>
    </w:p>
    <w:p>
      <w:pPr>
        <w:ind w:firstLine="1285" w:firstLineChars="400"/>
        <w:jc w:val="both"/>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政府性基金预算财政拨款收入支出决算表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08</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p>
    <w:tbl>
      <w:tblPr>
        <w:tblStyle w:val="9"/>
        <w:tblW w:w="88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年末结转</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b/>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r>
    </w:tbl>
    <w:p>
      <w:pPr>
        <w:widowControl/>
        <w:jc w:val="left"/>
        <w:rPr>
          <w:rFonts w:hint="eastAsia" w:ascii="仿宋_GB2312" w:hAnsi="仿宋_GB2312" w:eastAsia="仿宋_GB2312" w:cs="仿宋_GB2312"/>
          <w:color w:val="FF0000"/>
          <w:szCs w:val="21"/>
        </w:rPr>
      </w:pPr>
      <w:r>
        <w:rPr>
          <w:rFonts w:hint="eastAsia" w:ascii="仿宋_GB2312" w:hAnsi="仿宋_GB2312" w:eastAsia="仿宋_GB2312" w:cs="仿宋_GB2312"/>
          <w:szCs w:val="21"/>
        </w:rPr>
        <w:t>注：本表反映部门本年度政府性基金预算财政拨款收入、支出及结转和结余情况</w:t>
      </w:r>
      <w:r>
        <w:rPr>
          <w:rFonts w:hint="eastAsia" w:ascii="仿宋_GB2312" w:hAnsi="仿宋_GB2312" w:eastAsia="仿宋_GB2312" w:cs="仿宋_GB2312"/>
          <w:szCs w:val="21"/>
        </w:rPr>
        <w:t>，</w:t>
      </w:r>
      <w:r>
        <w:rPr>
          <w:rFonts w:hint="eastAsia" w:ascii="仿宋_GB2312" w:hAnsi="仿宋_GB2312" w:eastAsia="仿宋_GB2312" w:cs="仿宋_GB2312"/>
          <w:color w:val="FF0000"/>
          <w:szCs w:val="21"/>
        </w:rPr>
        <w:t>本部门本年度</w:t>
      </w:r>
    </w:p>
    <w:p>
      <w:pPr>
        <w:widowControl/>
        <w:jc w:val="left"/>
        <w:rPr>
          <w:rFonts w:hint="eastAsia" w:ascii="仿宋_GB2312" w:hAnsi="仿宋_GB2312" w:eastAsia="仿宋_GB2312" w:cs="仿宋_GB2312"/>
          <w:szCs w:val="21"/>
        </w:rPr>
      </w:pPr>
      <w:r>
        <w:rPr>
          <w:rFonts w:hint="eastAsia" w:ascii="仿宋_GB2312" w:hAnsi="仿宋_GB2312" w:eastAsia="仿宋_GB2312" w:cs="仿宋_GB2312"/>
          <w:color w:val="FF0000"/>
          <w:szCs w:val="21"/>
        </w:rPr>
        <w:t>无政府性基金预算财政拨款收入支出。</w:t>
      </w:r>
      <w:r>
        <w:rPr>
          <w:rFonts w:hint="eastAsia" w:ascii="仿宋_GB2312" w:hAnsi="仿宋_GB2312" w:eastAsia="仿宋_GB2312" w:cs="仿宋_GB2312"/>
          <w:szCs w:val="21"/>
        </w:rPr>
        <w:t>如空表请备注</w:t>
      </w:r>
    </w:p>
    <w:p>
      <w:pPr>
        <w:rPr>
          <w:rFonts w:hint="eastAsia" w:ascii="仿宋_GB2312" w:hAnsi="仿宋_GB2312" w:eastAsia="仿宋_GB2312" w:cs="仿宋_GB2312"/>
          <w:color w:val="FF0000"/>
        </w:rPr>
      </w:pPr>
    </w:p>
    <w:p>
      <w:pPr>
        <w:ind w:firstLine="1285" w:firstLineChars="400"/>
        <w:jc w:val="both"/>
        <w:rPr>
          <w:rFonts w:hint="eastAsia" w:ascii="仿宋_GB2312" w:hAnsi="仿宋_GB2312" w:eastAsia="仿宋_GB2312" w:cs="仿宋_GB2312"/>
          <w:color w:val="000000"/>
          <w:kern w:val="0"/>
          <w:sz w:val="44"/>
          <w:szCs w:val="44"/>
        </w:rPr>
      </w:pPr>
      <w:r>
        <w:rPr>
          <w:rFonts w:hint="eastAsia" w:ascii="仿宋_GB2312" w:hAnsi="仿宋_GB2312" w:eastAsia="仿宋_GB2312" w:cs="仿宋_GB2312"/>
          <w:b/>
          <w:bCs/>
          <w:sz w:val="32"/>
          <w:szCs w:val="32"/>
        </w:rPr>
        <w:t>国有资本经营预算财政拨款支出决算表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sz w:val="24"/>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b/>
          <w:bCs/>
          <w:szCs w:val="21"/>
        </w:rPr>
        <w:t>公开</w:t>
      </w:r>
      <w:r>
        <w:rPr>
          <w:rFonts w:hint="eastAsia" w:ascii="仿宋_GB2312" w:hAnsi="仿宋_GB2312" w:eastAsia="仿宋_GB2312" w:cs="仿宋_GB2312"/>
          <w:b/>
          <w:bCs/>
          <w:szCs w:val="21"/>
        </w:rPr>
        <w:t>09</w:t>
      </w:r>
      <w:r>
        <w:rPr>
          <w:rFonts w:hint="eastAsia" w:ascii="仿宋_GB2312" w:hAnsi="仿宋_GB2312" w:eastAsia="仿宋_GB2312" w:cs="仿宋_GB2312"/>
          <w:b/>
          <w:bCs/>
          <w:szCs w:val="21"/>
        </w:rPr>
        <w:t>表</w:t>
      </w:r>
    </w:p>
    <w:p>
      <w:pPr>
        <w:jc w:val="right"/>
        <w:rPr>
          <w:rFonts w:hint="eastAsia" w:ascii="仿宋_GB2312" w:hAnsi="仿宋_GB2312" w:eastAsia="仿宋_GB2312" w:cs="仿宋_GB2312"/>
          <w:b/>
          <w:bCs/>
          <w:szCs w:val="21"/>
        </w:rPr>
      </w:pPr>
      <w:r>
        <w:rPr>
          <w:rFonts w:hint="eastAsia" w:ascii="仿宋_GB2312" w:hAnsi="仿宋_GB2312" w:eastAsia="仿宋_GB2312" w:cs="仿宋_GB2312"/>
          <w:b/>
          <w:bCs/>
          <w:szCs w:val="21"/>
        </w:rPr>
        <w:t>编制部门：</w:t>
      </w:r>
      <w:r>
        <w:rPr>
          <w:rFonts w:hint="eastAsia" w:ascii="仿宋_GB2312" w:hAnsi="仿宋_GB2312" w:eastAsia="仿宋_GB2312" w:cs="仿宋_GB2312"/>
          <w:b/>
          <w:bCs/>
          <w:szCs w:val="21"/>
        </w:rPr>
        <w:t xml:space="preserve">                                                            </w:t>
      </w:r>
      <w:r>
        <w:rPr>
          <w:rFonts w:hint="eastAsia" w:ascii="仿宋_GB2312" w:hAnsi="仿宋_GB2312" w:eastAsia="仿宋_GB2312" w:cs="仿宋_GB2312"/>
          <w:b/>
          <w:bCs/>
          <w:szCs w:val="21"/>
        </w:rPr>
        <w:t>金额单位：万元</w:t>
      </w:r>
    </w:p>
    <w:tbl>
      <w:tblPr>
        <w:tblStyle w:val="9"/>
        <w:tblW w:w="88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672"/>
        <w:gridCol w:w="1870"/>
        <w:gridCol w:w="1523"/>
        <w:gridCol w:w="1881"/>
        <w:gridCol w:w="19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w:t>
            </w:r>
            <w:r>
              <w:rPr>
                <w:rFonts w:hint="eastAsia" w:ascii="仿宋_GB2312" w:hAnsi="仿宋_GB2312" w:eastAsia="仿宋_GB2312" w:cs="仿宋_GB2312"/>
                <w:b/>
                <w:color w:val="000000"/>
                <w:kern w:val="0"/>
                <w:szCs w:val="21"/>
              </w:rPr>
              <w:t xml:space="preserve">    </w:t>
            </w:r>
            <w:r>
              <w:rPr>
                <w:rFonts w:hint="eastAsia" w:ascii="仿宋_GB2312" w:hAnsi="仿宋_GB2312" w:eastAsia="仿宋_GB2312" w:cs="仿宋_GB2312"/>
                <w:b/>
                <w:color w:val="000000"/>
                <w:kern w:val="0"/>
                <w:szCs w:val="21"/>
              </w:rPr>
              <w:t>目</w:t>
            </w:r>
          </w:p>
        </w:tc>
        <w:tc>
          <w:tcPr>
            <w:tcW w:w="5331" w:type="dxa"/>
            <w:gridSpan w:val="3"/>
            <w:tcBorders>
              <w:top w:val="single" w:color="000000" w:sz="4" w:space="0"/>
              <w:left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3"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kern w:val="0"/>
                <w:szCs w:val="21"/>
              </w:rPr>
            </w:pPr>
            <w:r>
              <w:rPr>
                <w:rFonts w:hint="eastAsia" w:ascii="仿宋_GB2312" w:hAnsi="仿宋_GB2312" w:eastAsia="仿宋_GB2312" w:cs="仿宋_GB2312"/>
                <w:b/>
                <w:color w:val="000000"/>
                <w:kern w:val="0"/>
                <w:szCs w:val="21"/>
              </w:rPr>
              <w:t>功能分类</w:t>
            </w:r>
          </w:p>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科目编码</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科目名称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小计</w:t>
            </w:r>
          </w:p>
        </w:tc>
        <w:tc>
          <w:tcPr>
            <w:tcW w:w="18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基本支出</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b/>
                <w:color w:val="000000"/>
                <w:szCs w:val="21"/>
              </w:rPr>
            </w:pPr>
            <w:r>
              <w:rPr>
                <w:rFonts w:hint="eastAsia" w:ascii="仿宋_GB2312" w:hAnsi="仿宋_GB2312" w:eastAsia="仿宋_GB2312" w:cs="仿宋_GB2312"/>
                <w:b/>
                <w:color w:val="000000"/>
                <w:kern w:val="0"/>
                <w:szCs w:val="21"/>
              </w:rPr>
              <w:t>合计</w:t>
            </w:r>
          </w:p>
        </w:tc>
        <w:tc>
          <w:tcPr>
            <w:tcW w:w="152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b/>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Cs w:val="21"/>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_GB2312" w:hAnsi="仿宋_GB2312" w:eastAsia="仿宋_GB2312" w:cs="仿宋_GB2312"/>
                <w:color w:val="000000"/>
                <w:szCs w:val="21"/>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color w:val="000000"/>
                <w:szCs w:val="21"/>
              </w:rPr>
            </w:pPr>
          </w:p>
        </w:tc>
      </w:tr>
    </w:tbl>
    <w:p>
      <w:pPr>
        <w:widowControl/>
        <w:jc w:val="left"/>
        <w:rPr>
          <w:rFonts w:hint="eastAsia" w:ascii="仿宋_GB2312" w:hAnsi="仿宋_GB2312" w:eastAsia="仿宋_GB2312" w:cs="仿宋_GB2312"/>
          <w:szCs w:val="21"/>
        </w:rPr>
      </w:pPr>
    </w:p>
    <w:p>
      <w:pPr>
        <w:widowControl/>
        <w:jc w:val="left"/>
        <w:rPr>
          <w:rFonts w:hint="eastAsia" w:ascii="仿宋_GB2312" w:hAnsi="仿宋_GB2312" w:eastAsia="仿宋_GB2312" w:cs="仿宋_GB2312"/>
          <w:szCs w:val="21"/>
        </w:rPr>
      </w:pPr>
      <w:r>
        <w:rPr>
          <w:rFonts w:hint="eastAsia" w:ascii="仿宋_GB2312" w:hAnsi="仿宋_GB2312" w:eastAsia="仿宋_GB2312" w:cs="仿宋_GB2312"/>
          <w:szCs w:val="21"/>
        </w:rPr>
        <w:t>注：本表反映部门本年度国有资本经营预算财政拨款支出情况</w:t>
      </w:r>
      <w:r>
        <w:rPr>
          <w:rFonts w:hint="eastAsia" w:ascii="仿宋_GB2312" w:hAnsi="仿宋_GB2312" w:eastAsia="仿宋_GB2312" w:cs="仿宋_GB2312"/>
          <w:szCs w:val="21"/>
        </w:rPr>
        <w:t>，</w:t>
      </w:r>
      <w:r>
        <w:rPr>
          <w:rFonts w:hint="eastAsia" w:ascii="仿宋_GB2312" w:hAnsi="仿宋_GB2312" w:eastAsia="仿宋_GB2312" w:cs="仿宋_GB2312"/>
          <w:color w:val="FF0000"/>
          <w:szCs w:val="21"/>
        </w:rPr>
        <w:t>本部门本年无度国有资本经营预算财政拨款支出。</w:t>
      </w:r>
      <w:r>
        <w:rPr>
          <w:rFonts w:hint="eastAsia" w:ascii="仿宋_GB2312" w:hAnsi="仿宋_GB2312" w:eastAsia="仿宋_GB2312" w:cs="仿宋_GB2312"/>
          <w:szCs w:val="21"/>
        </w:rPr>
        <w:t>如空表请备注</w:t>
      </w:r>
    </w:p>
    <w:p>
      <w:pPr>
        <w:spacing w:line="560" w:lineRule="exact"/>
        <w:ind w:firstLine="880" w:firstLineChars="200"/>
        <w:jc w:val="both"/>
        <w:rPr>
          <w:rFonts w:hint="eastAsia" w:ascii="仿宋_GB2312" w:hAnsi="仿宋_GB2312" w:eastAsia="仿宋_GB2312" w:cs="仿宋_GB2312"/>
          <w:color w:val="000000"/>
          <w:kern w:val="0"/>
          <w:sz w:val="44"/>
          <w:szCs w:val="44"/>
        </w:rPr>
      </w:pPr>
      <w:r>
        <w:rPr>
          <w:rFonts w:hint="eastAsia" w:ascii="仿宋_GB2312" w:hAnsi="仿宋_GB2312" w:eastAsia="仿宋_GB2312" w:cs="仿宋_GB2312"/>
          <w:color w:val="000000"/>
          <w:kern w:val="0"/>
          <w:sz w:val="44"/>
          <w:szCs w:val="44"/>
        </w:rPr>
        <w:t>第三部分</w:t>
      </w:r>
      <w:r>
        <w:rPr>
          <w:rFonts w:hint="eastAsia" w:ascii="仿宋_GB2312" w:hAnsi="仿宋_GB2312" w:eastAsia="仿宋_GB2312" w:cs="仿宋_GB2312"/>
          <w:color w:val="000000"/>
          <w:kern w:val="0"/>
          <w:sz w:val="44"/>
          <w:szCs w:val="44"/>
        </w:rPr>
        <w:t xml:space="preserve"> 2020 </w:t>
      </w:r>
      <w:r>
        <w:rPr>
          <w:rFonts w:hint="eastAsia" w:ascii="仿宋_GB2312" w:hAnsi="仿宋_GB2312" w:eastAsia="仿宋_GB2312" w:cs="仿宋_GB2312"/>
          <w:color w:val="000000"/>
          <w:kern w:val="0"/>
          <w:sz w:val="44"/>
          <w:szCs w:val="44"/>
        </w:rPr>
        <w:t>年部门决算情况说明</w:t>
      </w:r>
    </w:p>
    <w:p>
      <w:pPr>
        <w:widowControl/>
        <w:spacing w:line="560" w:lineRule="exact"/>
        <w:rPr>
          <w:rFonts w:hint="eastAsia" w:ascii="仿宋_GB2312" w:hAnsi="仿宋_GB2312" w:eastAsia="仿宋_GB2312" w:cs="仿宋_GB2312"/>
          <w:color w:val="000000"/>
          <w:kern w:val="0"/>
          <w:sz w:val="44"/>
          <w:szCs w:val="44"/>
        </w:rPr>
      </w:pP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一、收入支出决算总体情况说明</w:t>
      </w:r>
      <w:r>
        <w:rPr>
          <w:rFonts w:hint="eastAsia" w:ascii="仿宋_GB2312" w:hAnsi="仿宋_GB2312" w:eastAsia="仿宋_GB2312" w:cs="仿宋_GB2312"/>
          <w:color w:val="000000"/>
          <w:kern w:val="0"/>
          <w:sz w:val="32"/>
          <w:szCs w:val="32"/>
        </w:rPr>
        <w:t xml:space="preserve"> </w:t>
      </w:r>
    </w:p>
    <w:p>
      <w:pPr>
        <w:widowControl/>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2020年收入</w:t>
      </w:r>
      <w:r>
        <w:rPr>
          <w:rFonts w:hint="eastAsia" w:ascii="仿宋_GB2312" w:hAnsi="仿宋_GB2312" w:eastAsia="仿宋_GB2312" w:cs="仿宋_GB2312"/>
          <w:sz w:val="32"/>
          <w:szCs w:val="32"/>
          <w:lang w:val="en-US" w:eastAsia="zh-CN"/>
        </w:rPr>
        <w:t>合计225.51万元，</w:t>
      </w:r>
      <w:r>
        <w:rPr>
          <w:rFonts w:hint="eastAsia" w:ascii="仿宋_GB2312" w:hAnsi="仿宋_GB2312" w:eastAsia="仿宋_GB2312" w:cs="仿宋_GB2312"/>
          <w:sz w:val="32"/>
          <w:szCs w:val="32"/>
        </w:rPr>
        <w:t>总体情况及比上年减少</w:t>
      </w:r>
      <w:r>
        <w:rPr>
          <w:rFonts w:hint="eastAsia" w:ascii="仿宋_GB2312" w:hAnsi="仿宋_GB2312" w:eastAsia="仿宋_GB2312" w:cs="仿宋_GB2312"/>
          <w:sz w:val="32"/>
          <w:szCs w:val="32"/>
          <w:lang w:val="en-US" w:eastAsia="zh-CN"/>
        </w:rPr>
        <w:t>484.77万元，下降68.25%，主要原因是其他收入大幅减少。</w:t>
      </w:r>
    </w:p>
    <w:p>
      <w:pPr>
        <w:widowControl/>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2020年支出</w:t>
      </w:r>
      <w:r>
        <w:rPr>
          <w:rFonts w:hint="eastAsia" w:ascii="仿宋_GB2312" w:hAnsi="仿宋_GB2312" w:eastAsia="仿宋_GB2312" w:cs="仿宋_GB2312"/>
          <w:sz w:val="32"/>
          <w:szCs w:val="32"/>
          <w:lang w:val="en-US" w:eastAsia="zh-CN"/>
        </w:rPr>
        <w:t>合计224.46万元，</w:t>
      </w:r>
      <w:r>
        <w:rPr>
          <w:rFonts w:hint="eastAsia" w:ascii="仿宋_GB2312" w:hAnsi="仿宋_GB2312" w:eastAsia="仿宋_GB2312" w:cs="仿宋_GB2312"/>
          <w:sz w:val="32"/>
          <w:szCs w:val="32"/>
        </w:rPr>
        <w:t>总体情况及比上年减少</w:t>
      </w:r>
      <w:r>
        <w:rPr>
          <w:rFonts w:hint="eastAsia" w:ascii="仿宋_GB2312" w:hAnsi="仿宋_GB2312" w:eastAsia="仿宋_GB2312" w:cs="仿宋_GB2312"/>
          <w:sz w:val="32"/>
          <w:szCs w:val="32"/>
          <w:lang w:val="en-US" w:eastAsia="zh-CN"/>
        </w:rPr>
        <w:t>485.82万元，下降68.39%，主要原因是项目支出大幅减少。</w:t>
      </w:r>
    </w:p>
    <w:p>
      <w:pPr>
        <w:pStyle w:val="6"/>
        <w:pBdr>
          <w:bottom w:val="none" w:color="auto" w:sz="0" w:space="0"/>
        </w:pBdr>
        <w:tabs>
          <w:tab w:val="right" w:pos="8307"/>
          <w:tab w:val="clear" w:pos="8306"/>
        </w:tabs>
        <w:ind w:firstLine="1280" w:firstLineChars="400"/>
        <w:jc w:val="both"/>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rPr>
        <w:t>201</w:t>
      </w:r>
      <w:r>
        <w:rPr>
          <w:rFonts w:hint="eastAsia" w:ascii="仿宋_GB2312" w:hAnsi="仿宋_GB2312" w:eastAsia="仿宋_GB2312" w:cs="仿宋_GB2312"/>
          <w:snapToGrid w:val="0"/>
          <w:color w:val="000000"/>
          <w:sz w:val="32"/>
          <w:szCs w:val="32"/>
          <w:lang w:val="en-US" w:eastAsia="zh-CN"/>
        </w:rPr>
        <w:t>9</w:t>
      </w:r>
      <w:r>
        <w:rPr>
          <w:rFonts w:hint="eastAsia" w:ascii="仿宋_GB2312" w:hAnsi="仿宋_GB2312" w:eastAsia="仿宋_GB2312" w:cs="仿宋_GB2312"/>
          <w:snapToGrid w:val="0"/>
          <w:color w:val="000000"/>
          <w:sz w:val="32"/>
          <w:szCs w:val="32"/>
        </w:rPr>
        <w:t>--20</w:t>
      </w:r>
      <w:r>
        <w:rPr>
          <w:rFonts w:hint="eastAsia" w:ascii="仿宋_GB2312" w:hAnsi="仿宋_GB2312" w:eastAsia="仿宋_GB2312" w:cs="仿宋_GB2312"/>
          <w:snapToGrid w:val="0"/>
          <w:color w:val="000000"/>
          <w:sz w:val="32"/>
          <w:szCs w:val="32"/>
          <w:lang w:val="en-US" w:eastAsia="zh-CN"/>
        </w:rPr>
        <w:t>20</w:t>
      </w:r>
      <w:r>
        <w:rPr>
          <w:rFonts w:hint="eastAsia" w:ascii="仿宋_GB2312" w:hAnsi="仿宋_GB2312" w:eastAsia="仿宋_GB2312" w:cs="仿宋_GB2312"/>
          <w:snapToGrid w:val="0"/>
          <w:color w:val="000000"/>
          <w:sz w:val="32"/>
          <w:szCs w:val="32"/>
        </w:rPr>
        <w:t>年收入支出对比表（万元）</w:t>
      </w:r>
    </w:p>
    <w:tbl>
      <w:tblPr>
        <w:tblStyle w:val="9"/>
        <w:tblW w:w="8820" w:type="dxa"/>
        <w:tblInd w:w="0" w:type="dxa"/>
        <w:tblLayout w:type="fixed"/>
        <w:tblCellMar>
          <w:top w:w="0" w:type="dxa"/>
          <w:left w:w="0" w:type="dxa"/>
          <w:bottom w:w="0" w:type="dxa"/>
          <w:right w:w="0" w:type="dxa"/>
        </w:tblCellMar>
      </w:tblPr>
      <w:tblGrid>
        <w:gridCol w:w="2445"/>
        <w:gridCol w:w="2250"/>
        <w:gridCol w:w="2100"/>
        <w:gridCol w:w="2025"/>
      </w:tblGrid>
      <w:tr>
        <w:trPr>
          <w:trHeight w:val="500" w:hRule="atLeast"/>
        </w:trPr>
        <w:tc>
          <w:tcPr>
            <w:tcW w:w="244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2019年度收入</w:t>
            </w:r>
          </w:p>
        </w:tc>
        <w:tc>
          <w:tcPr>
            <w:tcW w:w="22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20</w:t>
            </w:r>
            <w:r>
              <w:rPr>
                <w:rFonts w:hint="eastAsia" w:ascii="仿宋_GB2312" w:hAnsi="仿宋_GB2312" w:eastAsia="仿宋_GB2312" w:cs="仿宋_GB2312"/>
                <w:snapToGrid w:val="0"/>
                <w:color w:val="000000"/>
                <w:sz w:val="32"/>
                <w:szCs w:val="32"/>
                <w:lang w:val="en-US" w:eastAsia="zh-CN" w:bidi="ar"/>
              </w:rPr>
              <w:t>20</w:t>
            </w:r>
            <w:r>
              <w:rPr>
                <w:rFonts w:hint="eastAsia" w:ascii="仿宋_GB2312" w:hAnsi="仿宋_GB2312" w:eastAsia="仿宋_GB2312" w:cs="仿宋_GB2312"/>
                <w:snapToGrid w:val="0"/>
                <w:color w:val="000000"/>
                <w:sz w:val="32"/>
                <w:szCs w:val="32"/>
                <w:lang w:bidi="ar"/>
              </w:rPr>
              <w:t>年度收入</w:t>
            </w:r>
          </w:p>
        </w:tc>
        <w:tc>
          <w:tcPr>
            <w:tcW w:w="21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2019年度支出</w:t>
            </w:r>
          </w:p>
        </w:tc>
        <w:tc>
          <w:tcPr>
            <w:tcW w:w="20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20</w:t>
            </w:r>
            <w:r>
              <w:rPr>
                <w:rFonts w:hint="eastAsia" w:ascii="仿宋_GB2312" w:hAnsi="仿宋_GB2312" w:eastAsia="仿宋_GB2312" w:cs="仿宋_GB2312"/>
                <w:snapToGrid w:val="0"/>
                <w:color w:val="000000"/>
                <w:sz w:val="32"/>
                <w:szCs w:val="32"/>
                <w:lang w:val="en-US" w:eastAsia="zh-CN" w:bidi="ar"/>
              </w:rPr>
              <w:t>20</w:t>
            </w:r>
            <w:r>
              <w:rPr>
                <w:rFonts w:hint="eastAsia" w:ascii="仿宋_GB2312" w:hAnsi="仿宋_GB2312" w:eastAsia="仿宋_GB2312" w:cs="仿宋_GB2312"/>
                <w:snapToGrid w:val="0"/>
                <w:color w:val="000000"/>
                <w:sz w:val="32"/>
                <w:szCs w:val="32"/>
                <w:lang w:bidi="ar"/>
              </w:rPr>
              <w:t>年度支出</w:t>
            </w:r>
          </w:p>
        </w:tc>
      </w:tr>
      <w:tr>
        <w:tblPrEx>
          <w:tblCellMar>
            <w:top w:w="0" w:type="dxa"/>
            <w:left w:w="0" w:type="dxa"/>
            <w:bottom w:w="0" w:type="dxa"/>
            <w:right w:w="0" w:type="dxa"/>
          </w:tblCellMar>
        </w:tblPrEx>
        <w:trPr>
          <w:trHeight w:val="500" w:hRule="atLeast"/>
        </w:trPr>
        <w:tc>
          <w:tcPr>
            <w:tcW w:w="244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710.28</w:t>
            </w:r>
          </w:p>
        </w:tc>
        <w:tc>
          <w:tcPr>
            <w:tcW w:w="225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bidi="ar"/>
              </w:rPr>
              <w:t>225.51</w:t>
            </w:r>
          </w:p>
        </w:tc>
        <w:tc>
          <w:tcPr>
            <w:tcW w:w="21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rPr>
            </w:pPr>
            <w:r>
              <w:rPr>
                <w:rFonts w:hint="eastAsia" w:ascii="仿宋_GB2312" w:hAnsi="仿宋_GB2312" w:eastAsia="仿宋_GB2312" w:cs="仿宋_GB2312"/>
                <w:snapToGrid w:val="0"/>
                <w:color w:val="000000"/>
                <w:sz w:val="32"/>
                <w:szCs w:val="32"/>
                <w:lang w:bidi="ar"/>
              </w:rPr>
              <w:t>710.28</w:t>
            </w:r>
          </w:p>
        </w:tc>
        <w:tc>
          <w:tcPr>
            <w:tcW w:w="20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sz w:val="32"/>
                <w:szCs w:val="32"/>
                <w:lang w:val="en-US" w:eastAsia="zh-CN"/>
              </w:rPr>
            </w:pPr>
            <w:r>
              <w:rPr>
                <w:rFonts w:hint="eastAsia" w:ascii="仿宋_GB2312" w:hAnsi="仿宋_GB2312" w:eastAsia="仿宋_GB2312" w:cs="仿宋_GB2312"/>
                <w:snapToGrid w:val="0"/>
                <w:color w:val="000000"/>
                <w:sz w:val="32"/>
                <w:szCs w:val="32"/>
                <w:lang w:val="en-US" w:eastAsia="zh-CN" w:bidi="ar"/>
              </w:rPr>
              <w:t>224.46</w:t>
            </w:r>
          </w:p>
        </w:tc>
      </w:tr>
    </w:tbl>
    <w:p>
      <w:pPr>
        <w:pStyle w:val="2"/>
        <w:rPr>
          <w:rFonts w:hint="eastAsia" w:ascii="仿宋_GB2312" w:hAnsi="仿宋_GB2312" w:eastAsia="仿宋_GB2312" w:cs="仿宋_GB2312"/>
          <w:color w:val="000000"/>
          <w:kern w:val="0"/>
          <w:sz w:val="32"/>
          <w:szCs w:val="32"/>
        </w:rPr>
      </w:pPr>
    </w:p>
    <w:p>
      <w:pPr>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4572000" cy="2743200"/>
            <wp:effectExtent l="4445" t="4445" r="8255" b="8255"/>
            <wp:docPr id="6" name="图表 5" descr="7b0a202020202263686172745265734964223a2022343632353833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二、收入决算情况说明</w:t>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kern w:val="0"/>
          <w:sz w:val="32"/>
          <w:szCs w:val="32"/>
        </w:rPr>
        <w:t>2020年收入合计</w:t>
      </w:r>
      <w:r>
        <w:rPr>
          <w:rFonts w:hint="eastAsia" w:ascii="仿宋_GB2312" w:hAnsi="仿宋_GB2312" w:eastAsia="仿宋_GB2312" w:cs="仿宋_GB2312"/>
          <w:sz w:val="32"/>
          <w:szCs w:val="32"/>
          <w:lang w:val="en-US" w:eastAsia="zh-CN"/>
        </w:rPr>
        <w:t>225.51万元</w:t>
      </w:r>
      <w:r>
        <w:rPr>
          <w:rFonts w:hint="eastAsia" w:ascii="仿宋_GB2312" w:hAnsi="仿宋_GB2312" w:eastAsia="仿宋_GB2312" w:cs="仿宋_GB2312"/>
          <w:color w:val="000000"/>
          <w:kern w:val="0"/>
          <w:sz w:val="32"/>
          <w:szCs w:val="32"/>
        </w:rPr>
        <w:t>，其中：财政拨款收入</w:t>
      </w:r>
      <w:r>
        <w:rPr>
          <w:rFonts w:hint="eastAsia" w:ascii="仿宋_GB2312" w:hAnsi="仿宋_GB2312" w:eastAsia="仿宋_GB2312" w:cs="仿宋_GB2312"/>
          <w:color w:val="000000"/>
          <w:kern w:val="0"/>
          <w:sz w:val="32"/>
          <w:szCs w:val="32"/>
          <w:lang w:val="en-US" w:eastAsia="zh-CN"/>
        </w:rPr>
        <w:t>224.01</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99.33</w:t>
      </w:r>
      <w:r>
        <w:rPr>
          <w:rFonts w:hint="eastAsia" w:ascii="仿宋_GB2312" w:hAnsi="仿宋_GB2312" w:eastAsia="仿宋_GB2312" w:cs="仿宋_GB2312"/>
          <w:color w:val="000000"/>
          <w:kern w:val="0"/>
          <w:sz w:val="32"/>
          <w:szCs w:val="32"/>
        </w:rPr>
        <w:t>%；事业收入</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%；经营收入</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%；其他收入</w:t>
      </w:r>
      <w:r>
        <w:rPr>
          <w:rFonts w:hint="eastAsia" w:ascii="仿宋_GB2312" w:hAnsi="仿宋_GB2312" w:eastAsia="仿宋_GB2312" w:cs="仿宋_GB2312"/>
          <w:color w:val="000000"/>
          <w:kern w:val="0"/>
          <w:sz w:val="32"/>
          <w:szCs w:val="32"/>
          <w:lang w:val="en-US" w:eastAsia="zh-CN"/>
        </w:rPr>
        <w:t>1.50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0.67</w:t>
      </w:r>
      <w:r>
        <w:rPr>
          <w:rFonts w:hint="eastAsia" w:ascii="仿宋_GB2312" w:hAnsi="仿宋_GB2312" w:eastAsia="仿宋_GB2312" w:cs="仿宋_GB2312"/>
          <w:color w:val="000000"/>
          <w:kern w:val="0"/>
          <w:sz w:val="32"/>
          <w:szCs w:val="32"/>
        </w:rPr>
        <w:t>%。</w:t>
      </w:r>
    </w:p>
    <w:p>
      <w:pPr>
        <w:pStyle w:val="2"/>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5167630" cy="2625725"/>
            <wp:effectExtent l="4445" t="4445" r="9525" b="1143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三、支出决算情况说明</w:t>
      </w:r>
      <w:r>
        <w:rPr>
          <w:rFonts w:hint="eastAsia" w:ascii="仿宋_GB2312" w:hAnsi="仿宋_GB2312" w:eastAsia="仿宋_GB2312" w:cs="仿宋_GB2312"/>
          <w:color w:val="000000"/>
          <w:kern w:val="0"/>
          <w:sz w:val="32"/>
          <w:szCs w:val="32"/>
        </w:rPr>
        <w:t xml:space="preserve">  </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2020年支出合计</w:t>
      </w:r>
      <w:r>
        <w:rPr>
          <w:rFonts w:hint="eastAsia" w:ascii="仿宋_GB2312" w:hAnsi="仿宋_GB2312" w:eastAsia="仿宋_GB2312" w:cs="仿宋_GB2312"/>
          <w:color w:val="000000"/>
          <w:kern w:val="0"/>
          <w:sz w:val="32"/>
          <w:szCs w:val="32"/>
        </w:rPr>
        <w:t>224.46</w:t>
      </w:r>
      <w:r>
        <w:rPr>
          <w:rFonts w:hint="eastAsia" w:ascii="仿宋_GB2312" w:hAnsi="仿宋_GB2312" w:eastAsia="仿宋_GB2312" w:cs="仿宋_GB2312"/>
          <w:color w:val="000000"/>
          <w:kern w:val="0"/>
          <w:sz w:val="32"/>
          <w:szCs w:val="32"/>
        </w:rPr>
        <w:t>万元，其中：基本支出</w:t>
      </w:r>
      <w:r>
        <w:rPr>
          <w:rFonts w:hint="eastAsia" w:ascii="仿宋_GB2312" w:hAnsi="仿宋_GB2312" w:eastAsia="仿宋_GB2312" w:cs="仿宋_GB2312"/>
          <w:color w:val="000000"/>
          <w:kern w:val="0"/>
          <w:sz w:val="32"/>
          <w:szCs w:val="32"/>
          <w:lang w:val="en-US" w:eastAsia="zh-CN"/>
        </w:rPr>
        <w:t>204.46</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91.09</w:t>
      </w:r>
      <w:r>
        <w:rPr>
          <w:rFonts w:hint="eastAsia" w:ascii="仿宋_GB2312" w:hAnsi="仿宋_GB2312" w:eastAsia="仿宋_GB2312" w:cs="仿宋_GB2312"/>
          <w:color w:val="000000"/>
          <w:kern w:val="0"/>
          <w:sz w:val="32"/>
          <w:szCs w:val="32"/>
        </w:rPr>
        <w:t>%；项目支出</w:t>
      </w:r>
      <w:r>
        <w:rPr>
          <w:rFonts w:hint="eastAsia" w:ascii="仿宋_GB2312" w:hAnsi="仿宋_GB2312" w:eastAsia="仿宋_GB2312" w:cs="仿宋_GB2312"/>
          <w:color w:val="000000"/>
          <w:kern w:val="0"/>
          <w:sz w:val="32"/>
          <w:szCs w:val="32"/>
          <w:lang w:val="en-US" w:eastAsia="zh-CN"/>
        </w:rPr>
        <w:t>20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8.91</w:t>
      </w:r>
      <w:r>
        <w:rPr>
          <w:rFonts w:hint="eastAsia" w:ascii="仿宋_GB2312" w:hAnsi="仿宋_GB2312" w:eastAsia="仿宋_GB2312" w:cs="仿宋_GB2312"/>
          <w:color w:val="000000"/>
          <w:kern w:val="0"/>
          <w:sz w:val="32"/>
          <w:szCs w:val="32"/>
        </w:rPr>
        <w:t>%；经营支出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w:t>
      </w:r>
    </w:p>
    <w:p>
      <w:pPr>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5198745" cy="2594610"/>
            <wp:effectExtent l="4445" t="4445" r="16510" b="17145"/>
            <wp:docPr id="3"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四、财政拨款收入支出决算总体情况说明</w:t>
      </w:r>
      <w:r>
        <w:rPr>
          <w:rFonts w:hint="eastAsia" w:ascii="仿宋_GB2312" w:hAnsi="仿宋_GB2312" w:eastAsia="仿宋_GB2312" w:cs="仿宋_GB2312"/>
          <w:color w:val="000000"/>
          <w:kern w:val="0"/>
          <w:sz w:val="32"/>
          <w:szCs w:val="32"/>
        </w:rPr>
        <w:t xml:space="preserve">  </w:t>
      </w:r>
    </w:p>
    <w:p>
      <w:pPr>
        <w:widowControl/>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2020年</w:t>
      </w:r>
      <w:r>
        <w:rPr>
          <w:rFonts w:hint="eastAsia" w:ascii="仿宋_GB2312" w:hAnsi="仿宋_GB2312" w:eastAsia="仿宋_GB2312" w:cs="仿宋_GB2312"/>
          <w:color w:val="000000"/>
          <w:kern w:val="0"/>
          <w:sz w:val="32"/>
          <w:szCs w:val="32"/>
        </w:rPr>
        <w:t>财政拨款</w:t>
      </w:r>
      <w:r>
        <w:rPr>
          <w:rFonts w:hint="eastAsia" w:ascii="仿宋_GB2312" w:hAnsi="仿宋_GB2312" w:eastAsia="仿宋_GB2312" w:cs="仿宋_GB2312"/>
          <w:sz w:val="32"/>
          <w:szCs w:val="32"/>
        </w:rPr>
        <w:t>收入总体情况及比上年减少</w:t>
      </w:r>
      <w:r>
        <w:rPr>
          <w:rFonts w:hint="eastAsia" w:ascii="仿宋_GB2312" w:hAnsi="仿宋_GB2312" w:eastAsia="仿宋_GB2312" w:cs="仿宋_GB2312"/>
          <w:sz w:val="32"/>
          <w:szCs w:val="32"/>
          <w:lang w:val="en-US" w:eastAsia="zh-CN"/>
        </w:rPr>
        <w:t>484.77万元，下降68.25%，主要原因是其他收入大幅减少。</w:t>
      </w:r>
    </w:p>
    <w:p>
      <w:pPr>
        <w:pStyle w:val="2"/>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5016500" cy="2462530"/>
            <wp:effectExtent l="4445" t="4445" r="8255" b="9525"/>
            <wp:docPr id="10" name="图表 9" descr="7b0a202020202263686172745265734964223a202234313637363637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widowControl/>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2020年</w:t>
      </w:r>
      <w:r>
        <w:rPr>
          <w:rFonts w:hint="eastAsia" w:ascii="仿宋_GB2312" w:hAnsi="仿宋_GB2312" w:eastAsia="仿宋_GB2312" w:cs="仿宋_GB2312"/>
          <w:color w:val="000000"/>
          <w:kern w:val="0"/>
          <w:sz w:val="32"/>
          <w:szCs w:val="32"/>
        </w:rPr>
        <w:t>财政拨款</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224.46万元，</w:t>
      </w:r>
      <w:r>
        <w:rPr>
          <w:rFonts w:hint="eastAsia" w:ascii="仿宋_GB2312" w:hAnsi="仿宋_GB2312" w:eastAsia="仿宋_GB2312" w:cs="仿宋_GB2312"/>
          <w:sz w:val="32"/>
          <w:szCs w:val="32"/>
        </w:rPr>
        <w:t>总体情况及比上年减少</w:t>
      </w:r>
      <w:r>
        <w:rPr>
          <w:rFonts w:hint="eastAsia" w:ascii="仿宋_GB2312" w:hAnsi="仿宋_GB2312" w:eastAsia="仿宋_GB2312" w:cs="仿宋_GB2312"/>
          <w:sz w:val="32"/>
          <w:szCs w:val="32"/>
          <w:lang w:val="en-US" w:eastAsia="zh-CN"/>
        </w:rPr>
        <w:t>485.82万元，下降68.39%，主要原因是项目支出大幅减少。</w:t>
      </w:r>
    </w:p>
    <w:p>
      <w:pPr>
        <w:pStyle w:val="2"/>
        <w:rPr>
          <w:rFonts w:hint="eastAsia" w:ascii="仿宋_GB2312" w:hAnsi="仿宋_GB2312" w:eastAsia="仿宋_GB2312" w:cs="仿宋_GB2312"/>
          <w:lang w:val="en-US" w:eastAsia="zh-CN"/>
        </w:rPr>
      </w:pPr>
      <w:r>
        <w:rPr>
          <w:rFonts w:hint="eastAsia" w:ascii="仿宋_GB2312" w:hAnsi="仿宋_GB2312" w:eastAsia="仿宋_GB2312" w:cs="仿宋_GB2312"/>
        </w:rPr>
        <w:drawing>
          <wp:inline distT="0" distB="0" distL="114300" distR="114300">
            <wp:extent cx="5214620" cy="2711450"/>
            <wp:effectExtent l="4445" t="4445" r="13335" b="14605"/>
            <wp:docPr id="11" name="图表 10" descr="7b0a202020202263686172745265734964223a202232303239313132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五、一般公共预算财政拨款支出决算情况说明</w:t>
      </w:r>
    </w:p>
    <w:p>
      <w:pPr>
        <w:widowControl/>
        <w:spacing w:line="560" w:lineRule="exact"/>
        <w:ind w:firstLine="643" w:firstLineChars="200"/>
        <w:jc w:val="left"/>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（一）财政拨款支出决算总体情况说明。</w:t>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2020 年财政拨款支出</w:t>
      </w:r>
      <w:r>
        <w:rPr>
          <w:rFonts w:hint="eastAsia" w:ascii="仿宋_GB2312" w:hAnsi="仿宋_GB2312" w:eastAsia="仿宋_GB2312" w:cs="仿宋_GB2312"/>
          <w:sz w:val="32"/>
          <w:szCs w:val="32"/>
          <w:lang w:val="en-US" w:eastAsia="zh-CN"/>
        </w:rPr>
        <w:t>224.46</w:t>
      </w:r>
      <w:r>
        <w:rPr>
          <w:rFonts w:hint="eastAsia" w:ascii="仿宋_GB2312" w:hAnsi="仿宋_GB2312" w:eastAsia="仿宋_GB2312" w:cs="仿宋_GB2312"/>
          <w:color w:val="000000"/>
          <w:kern w:val="0"/>
          <w:sz w:val="32"/>
          <w:szCs w:val="32"/>
        </w:rPr>
        <w:t>万元，占本年支出合计的</w:t>
      </w:r>
      <w:r>
        <w:rPr>
          <w:rFonts w:hint="eastAsia" w:ascii="仿宋_GB2312" w:hAnsi="仿宋_GB2312" w:eastAsia="仿宋_GB2312" w:cs="仿宋_GB2312"/>
          <w:color w:val="000000"/>
          <w:kern w:val="0"/>
          <w:sz w:val="32"/>
          <w:szCs w:val="32"/>
          <w:lang w:val="en-US" w:eastAsia="zh-CN"/>
        </w:rPr>
        <w:t>91.09</w:t>
      </w:r>
      <w:r>
        <w:rPr>
          <w:rFonts w:hint="eastAsia" w:ascii="仿宋_GB2312" w:hAnsi="仿宋_GB2312" w:eastAsia="仿宋_GB2312" w:cs="仿宋_GB2312"/>
          <w:color w:val="000000"/>
          <w:kern w:val="0"/>
          <w:sz w:val="32"/>
          <w:szCs w:val="32"/>
        </w:rPr>
        <w:t>%。与上年相比，财政拨款支出减少</w:t>
      </w:r>
      <w:r>
        <w:rPr>
          <w:rFonts w:hint="eastAsia" w:ascii="仿宋_GB2312" w:hAnsi="仿宋_GB2312" w:eastAsia="仿宋_GB2312" w:cs="仿宋_GB2312"/>
          <w:sz w:val="32"/>
          <w:szCs w:val="32"/>
          <w:lang w:val="en-US" w:eastAsia="zh-CN"/>
        </w:rPr>
        <w:t>485.82</w:t>
      </w:r>
      <w:r>
        <w:rPr>
          <w:rFonts w:hint="eastAsia" w:ascii="仿宋_GB2312" w:hAnsi="仿宋_GB2312" w:eastAsia="仿宋_GB2312" w:cs="仿宋_GB2312"/>
          <w:color w:val="000000"/>
          <w:kern w:val="0"/>
          <w:sz w:val="32"/>
          <w:szCs w:val="32"/>
        </w:rPr>
        <w:t>万元，减少</w:t>
      </w:r>
      <w:r>
        <w:rPr>
          <w:rFonts w:hint="eastAsia" w:ascii="仿宋_GB2312" w:hAnsi="仿宋_GB2312" w:eastAsia="仿宋_GB2312" w:cs="仿宋_GB2312"/>
          <w:sz w:val="32"/>
          <w:szCs w:val="32"/>
          <w:lang w:val="en-US" w:eastAsia="zh-CN"/>
        </w:rPr>
        <w:t>68.39</w:t>
      </w:r>
      <w:r>
        <w:rPr>
          <w:rFonts w:hint="eastAsia" w:ascii="仿宋_GB2312" w:hAnsi="仿宋_GB2312" w:eastAsia="仿宋_GB2312" w:cs="仿宋_GB2312"/>
          <w:color w:val="000000"/>
          <w:kern w:val="0"/>
          <w:sz w:val="32"/>
          <w:szCs w:val="32"/>
        </w:rPr>
        <w:t>%，主要原因是</w:t>
      </w:r>
      <w:r>
        <w:rPr>
          <w:rFonts w:hint="eastAsia" w:ascii="仿宋_GB2312" w:hAnsi="仿宋_GB2312" w:eastAsia="仿宋_GB2312" w:cs="仿宋_GB2312"/>
          <w:sz w:val="32"/>
          <w:szCs w:val="32"/>
          <w:lang w:val="en-US" w:eastAsia="zh-CN"/>
        </w:rPr>
        <w:t>项目支出大幅减少</w:t>
      </w:r>
      <w:r>
        <w:rPr>
          <w:rFonts w:hint="eastAsia" w:ascii="仿宋_GB2312" w:hAnsi="仿宋_GB2312" w:eastAsia="仿宋_GB2312" w:cs="仿宋_GB2312"/>
          <w:color w:val="000000"/>
          <w:kern w:val="0"/>
          <w:sz w:val="32"/>
          <w:szCs w:val="32"/>
        </w:rPr>
        <w:t>。</w:t>
      </w:r>
    </w:p>
    <w:p>
      <w:pPr>
        <w:pStyle w:val="2"/>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5190490" cy="2045335"/>
            <wp:effectExtent l="5080" t="4445" r="11430" b="7620"/>
            <wp:docPr id="5" name="图表 10" descr="7b0a202020202263686172745265734964223a20223230323931313234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56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（二）财政拨款支出决算具体情况说明。</w:t>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2020 年财政拨款支出预算为</w:t>
      </w:r>
      <w:r>
        <w:rPr>
          <w:rFonts w:hint="eastAsia" w:ascii="仿宋_GB2312" w:hAnsi="仿宋_GB2312" w:eastAsia="仿宋_GB2312" w:cs="仿宋_GB2312"/>
          <w:i w:val="0"/>
          <w:iCs w:val="0"/>
          <w:caps w:val="0"/>
          <w:color w:val="333333"/>
          <w:spacing w:val="0"/>
          <w:sz w:val="32"/>
          <w:szCs w:val="32"/>
          <w:shd w:val="clear" w:fill="FFFFFF"/>
        </w:rPr>
        <w:t>139.54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sz w:val="32"/>
          <w:szCs w:val="32"/>
          <w:lang w:val="en-US" w:eastAsia="zh-CN"/>
        </w:rPr>
        <w:t>224.46</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160.86</w:t>
      </w:r>
      <w:r>
        <w:rPr>
          <w:rFonts w:hint="eastAsia" w:ascii="仿宋_GB2312" w:hAnsi="仿宋_GB2312" w:eastAsia="仿宋_GB2312" w:cs="仿宋_GB2312"/>
          <w:color w:val="000000"/>
          <w:kern w:val="0"/>
          <w:sz w:val="32"/>
          <w:szCs w:val="32"/>
        </w:rPr>
        <w:t xml:space="preserve">%。按照政府功能分类科目，其中： </w:t>
      </w:r>
    </w:p>
    <w:p>
      <w:pPr>
        <w:widowControl/>
        <w:spacing w:line="560" w:lineRule="exact"/>
        <w:ind w:firstLine="643" w:firstLineChars="200"/>
        <w:jc w:val="left"/>
        <w:rPr>
          <w:rFonts w:hint="eastAsia" w:ascii="仿宋_GB2312" w:hAnsi="仿宋_GB2312" w:eastAsia="仿宋_GB2312" w:cs="仿宋_GB2312"/>
        </w:rPr>
      </w:pPr>
      <w:r>
        <w:rPr>
          <w:rFonts w:hint="eastAsia" w:ascii="仿宋_GB2312" w:hAnsi="仿宋_GB2312" w:eastAsia="仿宋_GB2312" w:cs="仿宋_GB2312"/>
          <w:b/>
          <w:color w:val="000000"/>
          <w:kern w:val="0"/>
          <w:sz w:val="32"/>
          <w:szCs w:val="32"/>
        </w:rPr>
        <w:t xml:space="preserve">1.一般公共服务支出（类）财政事务（款）行政运行（项）。 </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i w:val="0"/>
          <w:iCs w:val="0"/>
          <w:caps w:val="0"/>
          <w:color w:val="333333"/>
          <w:spacing w:val="0"/>
          <w:sz w:val="32"/>
          <w:szCs w:val="32"/>
          <w:shd w:val="clear" w:fill="FFFFFF"/>
        </w:rPr>
        <w:t>139.54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222.96</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159.78</w:t>
      </w:r>
      <w:r>
        <w:rPr>
          <w:rFonts w:hint="eastAsia" w:ascii="仿宋_GB2312" w:hAnsi="仿宋_GB2312" w:eastAsia="仿宋_GB2312" w:cs="仿宋_GB2312"/>
          <w:color w:val="000000"/>
          <w:kern w:val="0"/>
          <w:sz w:val="32"/>
          <w:szCs w:val="32"/>
        </w:rPr>
        <w:t>%。决算数大于预算数的主要原因是</w:t>
      </w:r>
      <w:r>
        <w:rPr>
          <w:rFonts w:hint="eastAsia" w:ascii="仿宋_GB2312" w:hAnsi="仿宋_GB2312" w:eastAsia="仿宋_GB2312" w:cs="仿宋_GB2312"/>
          <w:color w:val="000000"/>
          <w:kern w:val="0"/>
          <w:sz w:val="32"/>
          <w:szCs w:val="32"/>
          <w:lang w:eastAsia="zh-CN"/>
        </w:rPr>
        <w:t>社保基数及人员工资调整</w:t>
      </w:r>
      <w:r>
        <w:rPr>
          <w:rFonts w:hint="eastAsia" w:ascii="仿宋_GB2312" w:hAnsi="仿宋_GB2312" w:eastAsia="仿宋_GB2312" w:cs="仿宋_GB2312"/>
          <w:color w:val="000000"/>
          <w:kern w:val="0"/>
          <w:sz w:val="32"/>
          <w:szCs w:val="32"/>
        </w:rPr>
        <w:t>。</w:t>
      </w:r>
    </w:p>
    <w:p>
      <w:pPr>
        <w:widowControl/>
        <w:spacing w:line="560" w:lineRule="exact"/>
        <w:ind w:firstLine="643" w:firstLineChars="200"/>
        <w:jc w:val="left"/>
        <w:rPr>
          <w:rFonts w:hint="eastAsia" w:ascii="仿宋_GB2312" w:hAnsi="仿宋_GB2312" w:eastAsia="仿宋_GB2312" w:cs="仿宋_GB2312"/>
        </w:rPr>
      </w:pPr>
      <w:r>
        <w:rPr>
          <w:rFonts w:hint="eastAsia" w:ascii="仿宋_GB2312" w:hAnsi="仿宋_GB2312" w:eastAsia="仿宋_GB2312" w:cs="仿宋_GB2312"/>
          <w:b/>
          <w:color w:val="000000"/>
          <w:kern w:val="0"/>
          <w:sz w:val="32"/>
          <w:szCs w:val="32"/>
          <w:lang w:val="en-US" w:eastAsia="zh-CN"/>
        </w:rPr>
        <w:t>2.</w:t>
      </w:r>
      <w:r>
        <w:rPr>
          <w:rFonts w:hint="eastAsia" w:ascii="仿宋_GB2312" w:hAnsi="仿宋_GB2312" w:eastAsia="仿宋_GB2312" w:cs="仿宋_GB2312"/>
          <w:b/>
          <w:color w:val="000000"/>
          <w:kern w:val="0"/>
          <w:sz w:val="32"/>
          <w:szCs w:val="32"/>
        </w:rPr>
        <w:t>一般公共服务支出（类）财政事务（款）行政运行（项）。</w:t>
      </w:r>
    </w:p>
    <w:p>
      <w:pPr>
        <w:widowControl/>
        <w:spacing w:line="560" w:lineRule="exact"/>
        <w:ind w:firstLine="640" w:firstLineChars="200"/>
        <w:jc w:val="left"/>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i w:val="0"/>
          <w:iCs w:val="0"/>
          <w:caps w:val="0"/>
          <w:color w:val="333333"/>
          <w:spacing w:val="0"/>
          <w:sz w:val="32"/>
          <w:szCs w:val="32"/>
          <w:shd w:val="clear" w:fill="FFFFFF"/>
        </w:rPr>
        <w:t>139.54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i w:val="0"/>
          <w:iCs w:val="0"/>
          <w:caps w:val="0"/>
          <w:color w:val="333333"/>
          <w:spacing w:val="0"/>
          <w:sz w:val="32"/>
          <w:szCs w:val="32"/>
          <w:shd w:val="clear" w:fill="FFFFFF"/>
        </w:rPr>
        <w:t>119.54</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1，67</w:t>
      </w:r>
      <w:r>
        <w:rPr>
          <w:rFonts w:hint="eastAsia" w:ascii="仿宋_GB2312" w:hAnsi="仿宋_GB2312" w:eastAsia="仿宋_GB2312" w:cs="仿宋_GB2312"/>
          <w:color w:val="000000"/>
          <w:kern w:val="0"/>
          <w:sz w:val="32"/>
          <w:szCs w:val="32"/>
        </w:rPr>
        <w:t>%。决算数</w:t>
      </w:r>
      <w:r>
        <w:rPr>
          <w:rFonts w:hint="eastAsia" w:ascii="仿宋_GB2312" w:hAnsi="仿宋_GB2312" w:eastAsia="仿宋_GB2312" w:cs="仿宋_GB2312"/>
          <w:color w:val="000000"/>
          <w:kern w:val="0"/>
          <w:sz w:val="32"/>
          <w:szCs w:val="32"/>
          <w:lang w:val="en-US" w:eastAsia="zh-CN"/>
        </w:rPr>
        <w:t>小</w:t>
      </w:r>
      <w:r>
        <w:rPr>
          <w:rFonts w:hint="eastAsia" w:ascii="仿宋_GB2312" w:hAnsi="仿宋_GB2312" w:eastAsia="仿宋_GB2312" w:cs="仿宋_GB2312"/>
          <w:color w:val="000000"/>
          <w:kern w:val="0"/>
          <w:sz w:val="32"/>
          <w:szCs w:val="32"/>
        </w:rPr>
        <w:t>于预算数的主要原因是</w:t>
      </w:r>
      <w:r>
        <w:rPr>
          <w:rFonts w:hint="eastAsia" w:ascii="仿宋_GB2312" w:hAnsi="仿宋_GB2312" w:eastAsia="仿宋_GB2312" w:cs="仿宋_GB2312"/>
          <w:i w:val="0"/>
          <w:iCs w:val="0"/>
          <w:caps w:val="0"/>
          <w:color w:val="333333"/>
          <w:spacing w:val="0"/>
          <w:sz w:val="32"/>
          <w:szCs w:val="32"/>
          <w:shd w:val="clear" w:fill="FFFFFF"/>
        </w:rPr>
        <w:t>办公费用增加</w:t>
      </w:r>
      <w:r>
        <w:rPr>
          <w:rFonts w:hint="eastAsia" w:ascii="仿宋_GB2312" w:hAnsi="仿宋_GB2312" w:eastAsia="仿宋_GB2312" w:cs="仿宋_GB2312"/>
          <w:i w:val="0"/>
          <w:iCs w:val="0"/>
          <w:caps w:val="0"/>
          <w:color w:val="333333"/>
          <w:spacing w:val="0"/>
          <w:sz w:val="32"/>
          <w:szCs w:val="32"/>
          <w:shd w:val="clear" w:fill="FFFFFF"/>
          <w:lang w:eastAsia="zh-CN"/>
        </w:rPr>
        <w:t>。</w:t>
      </w:r>
    </w:p>
    <w:p>
      <w:pPr>
        <w:rPr>
          <w:rFonts w:hint="eastAsia" w:ascii="仿宋_GB2312" w:hAnsi="仿宋_GB2312" w:eastAsia="仿宋_GB2312" w:cs="仿宋_GB2312"/>
        </w:rPr>
      </w:pPr>
    </w:p>
    <w:p>
      <w:pPr>
        <w:numPr>
          <w:ilvl w:val="0"/>
          <w:numId w:val="1"/>
        </w:numPr>
        <w:ind w:left="0" w:leftChars="0" w:firstLine="0" w:firstLineChars="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一般公共服务支出（类）财政事务（款）</w:t>
      </w:r>
      <w:r>
        <w:rPr>
          <w:rFonts w:hint="eastAsia" w:ascii="仿宋_GB2312" w:hAnsi="仿宋_GB2312" w:eastAsia="仿宋_GB2312" w:cs="仿宋_GB2312"/>
          <w:i w:val="0"/>
          <w:iCs w:val="0"/>
          <w:caps w:val="0"/>
          <w:color w:val="333333"/>
          <w:spacing w:val="0"/>
          <w:sz w:val="32"/>
          <w:szCs w:val="32"/>
          <w:shd w:val="clear" w:fill="FFFFFF"/>
        </w:rPr>
        <w:t>工业和信息产业支持</w:t>
      </w:r>
      <w:r>
        <w:rPr>
          <w:rFonts w:hint="eastAsia" w:ascii="仿宋_GB2312" w:hAnsi="仿宋_GB2312" w:eastAsia="仿宋_GB2312" w:cs="仿宋_GB2312"/>
          <w:b/>
          <w:color w:val="000000"/>
          <w:kern w:val="0"/>
          <w:sz w:val="32"/>
          <w:szCs w:val="32"/>
        </w:rPr>
        <w:t>（项）。</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i w:val="0"/>
          <w:iCs w:val="0"/>
          <w:caps w:val="0"/>
          <w:color w:val="333333"/>
          <w:spacing w:val="0"/>
          <w:sz w:val="32"/>
          <w:szCs w:val="32"/>
          <w:shd w:val="clear" w:fill="FFFFFF"/>
        </w:rPr>
        <w:t>139.54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3.58</w:t>
      </w:r>
      <w:r>
        <w:rPr>
          <w:rFonts w:hint="eastAsia" w:ascii="仿宋_GB2312" w:hAnsi="仿宋_GB2312" w:eastAsia="仿宋_GB2312" w:cs="仿宋_GB2312"/>
          <w:color w:val="000000"/>
          <w:kern w:val="0"/>
          <w:sz w:val="32"/>
          <w:szCs w:val="32"/>
        </w:rPr>
        <w:t>%。决算数</w:t>
      </w:r>
      <w:r>
        <w:rPr>
          <w:rFonts w:hint="eastAsia" w:ascii="仿宋_GB2312" w:hAnsi="仿宋_GB2312" w:eastAsia="仿宋_GB2312" w:cs="仿宋_GB2312"/>
          <w:color w:val="000000"/>
          <w:kern w:val="0"/>
          <w:sz w:val="32"/>
          <w:szCs w:val="32"/>
          <w:lang w:val="en-US" w:eastAsia="zh-CN"/>
        </w:rPr>
        <w:t>小于</w:t>
      </w:r>
      <w:r>
        <w:rPr>
          <w:rFonts w:hint="eastAsia" w:ascii="仿宋_GB2312" w:hAnsi="仿宋_GB2312" w:eastAsia="仿宋_GB2312" w:cs="仿宋_GB2312"/>
          <w:color w:val="000000"/>
          <w:kern w:val="0"/>
          <w:sz w:val="32"/>
          <w:szCs w:val="32"/>
        </w:rPr>
        <w:t>预算数的主要原因是</w:t>
      </w:r>
      <w:r>
        <w:rPr>
          <w:rFonts w:hint="eastAsia" w:ascii="仿宋_GB2312" w:hAnsi="仿宋_GB2312" w:eastAsia="仿宋_GB2312" w:cs="仿宋_GB2312"/>
          <w:color w:val="000000"/>
          <w:kern w:val="0"/>
          <w:sz w:val="32"/>
          <w:szCs w:val="32"/>
          <w:lang w:val="en-US" w:eastAsia="zh-CN"/>
        </w:rPr>
        <w:t>办公</w:t>
      </w:r>
      <w:r>
        <w:rPr>
          <w:rFonts w:hint="eastAsia" w:ascii="仿宋_GB2312" w:hAnsi="仿宋_GB2312" w:eastAsia="仿宋_GB2312" w:cs="仿宋_GB2312"/>
          <w:color w:val="000000"/>
          <w:kern w:val="0"/>
          <w:sz w:val="32"/>
          <w:szCs w:val="32"/>
          <w:lang w:val="en-US" w:eastAsia="zh-CN"/>
        </w:rPr>
        <w:t>经费增加</w:t>
      </w:r>
      <w:r>
        <w:rPr>
          <w:rFonts w:hint="eastAsia" w:ascii="仿宋_GB2312" w:hAnsi="仿宋_GB2312" w:eastAsia="仿宋_GB2312" w:cs="仿宋_GB2312"/>
          <w:color w:val="000000"/>
          <w:kern w:val="0"/>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六、一般公共预算财政拨款基本支出决算情况说明</w:t>
      </w:r>
      <w:r>
        <w:rPr>
          <w:rFonts w:hint="eastAsia" w:ascii="仿宋_GB2312" w:hAnsi="仿宋_GB2312" w:eastAsia="仿宋_GB2312" w:cs="仿宋_GB2312"/>
          <w:color w:val="000000"/>
          <w:kern w:val="0"/>
          <w:sz w:val="32"/>
          <w:szCs w:val="32"/>
        </w:rPr>
        <w:t xml:space="preserve"> </w:t>
      </w:r>
    </w:p>
    <w:p>
      <w:pPr>
        <w:widowControl/>
        <w:numPr>
          <w:ilvl w:val="0"/>
          <w:numId w:val="0"/>
        </w:numPr>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2020年一般公共预算财政拨款基本支出</w:t>
      </w:r>
      <w:r>
        <w:rPr>
          <w:rFonts w:hint="eastAsia" w:ascii="仿宋_GB2312" w:hAnsi="仿宋_GB2312" w:eastAsia="仿宋_GB2312" w:cs="仿宋_GB2312"/>
          <w:color w:val="000000"/>
          <w:kern w:val="0"/>
          <w:sz w:val="32"/>
          <w:szCs w:val="32"/>
          <w:lang w:val="en-US" w:eastAsia="zh-CN"/>
        </w:rPr>
        <w:t>506.02</w:t>
      </w:r>
      <w:r>
        <w:rPr>
          <w:rFonts w:hint="eastAsia" w:ascii="仿宋_GB2312" w:hAnsi="仿宋_GB2312" w:eastAsia="仿宋_GB2312" w:cs="仿宋_GB2312"/>
          <w:color w:val="000000"/>
          <w:kern w:val="0"/>
          <w:sz w:val="32"/>
          <w:szCs w:val="32"/>
        </w:rPr>
        <w:t>万元，包括：人员经费支出</w:t>
      </w:r>
      <w:r>
        <w:rPr>
          <w:rFonts w:hint="eastAsia" w:ascii="仿宋_GB2312" w:hAnsi="仿宋_GB2312" w:eastAsia="仿宋_GB2312" w:cs="仿宋_GB2312"/>
          <w:color w:val="000000"/>
          <w:kern w:val="0"/>
          <w:sz w:val="32"/>
          <w:szCs w:val="32"/>
          <w:lang w:val="en-US" w:eastAsia="zh-CN"/>
        </w:rPr>
        <w:t>429.00</w:t>
      </w:r>
      <w:r>
        <w:rPr>
          <w:rFonts w:hint="eastAsia" w:ascii="仿宋_GB2312" w:hAnsi="仿宋_GB2312" w:eastAsia="仿宋_GB2312" w:cs="仿宋_GB2312"/>
          <w:color w:val="000000"/>
          <w:kern w:val="0"/>
          <w:sz w:val="32"/>
          <w:szCs w:val="32"/>
        </w:rPr>
        <w:t>万元和公用经费支出</w:t>
      </w:r>
      <w:r>
        <w:rPr>
          <w:rFonts w:hint="eastAsia" w:ascii="仿宋_GB2312" w:hAnsi="仿宋_GB2312" w:eastAsia="仿宋_GB2312" w:cs="仿宋_GB2312"/>
          <w:color w:val="000000"/>
          <w:kern w:val="0"/>
          <w:sz w:val="32"/>
          <w:szCs w:val="32"/>
          <w:lang w:val="en-US" w:eastAsia="zh-CN"/>
        </w:rPr>
        <w:t>77.02</w:t>
      </w:r>
      <w:r>
        <w:rPr>
          <w:rFonts w:hint="eastAsia" w:ascii="仿宋_GB2312" w:hAnsi="仿宋_GB2312" w:eastAsia="仿宋_GB2312" w:cs="仿宋_GB2312"/>
          <w:color w:val="000000"/>
          <w:kern w:val="0"/>
          <w:sz w:val="32"/>
          <w:szCs w:val="32"/>
        </w:rPr>
        <w:t>万元。</w:t>
      </w:r>
    </w:p>
    <w:p>
      <w:pPr>
        <w:pStyle w:val="7"/>
        <w:spacing w:line="560" w:lineRule="exact"/>
        <w:ind w:firstLine="643"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b/>
          <w:bCs/>
          <w:color w:val="000000"/>
          <w:kern w:val="0"/>
          <w:sz w:val="32"/>
          <w:szCs w:val="32"/>
        </w:rPr>
        <w:t>人员经费</w:t>
      </w:r>
      <w:r>
        <w:rPr>
          <w:rFonts w:hint="eastAsia" w:ascii="仿宋_GB2312" w:hAnsi="仿宋_GB2312" w:eastAsia="仿宋_GB2312" w:cs="仿宋_GB2312"/>
          <w:color w:val="000000"/>
          <w:kern w:val="0"/>
          <w:sz w:val="32"/>
          <w:szCs w:val="32"/>
          <w:lang w:val="en-US" w:eastAsia="zh-CN"/>
        </w:rPr>
        <w:t>429.00</w:t>
      </w:r>
      <w:r>
        <w:rPr>
          <w:rFonts w:hint="eastAsia" w:ascii="仿宋_GB2312" w:hAnsi="仿宋_GB2312" w:eastAsia="仿宋_GB2312" w:cs="仿宋_GB2312"/>
          <w:color w:val="000000"/>
          <w:kern w:val="0"/>
          <w:sz w:val="32"/>
          <w:szCs w:val="32"/>
          <w:lang w:val="en-US" w:eastAsia="zh-CN"/>
        </w:rPr>
        <w:t>万元，主要包括（单位支出涉及的款级科目）基本工资</w:t>
      </w:r>
      <w:r>
        <w:rPr>
          <w:rFonts w:hint="eastAsia" w:ascii="仿宋_GB2312" w:hAnsi="仿宋_GB2312" w:eastAsia="仿宋_GB2312" w:cs="仿宋_GB2312"/>
          <w:color w:val="000000"/>
          <w:kern w:val="0"/>
          <w:sz w:val="32"/>
          <w:szCs w:val="32"/>
          <w:lang w:val="en-US" w:eastAsia="zh-CN"/>
        </w:rPr>
        <w:t>107.34</w:t>
      </w:r>
      <w:r>
        <w:rPr>
          <w:rFonts w:hint="eastAsia" w:ascii="仿宋_GB2312" w:hAnsi="仿宋_GB2312" w:eastAsia="仿宋_GB2312" w:cs="仿宋_GB2312"/>
          <w:color w:val="000000"/>
          <w:kern w:val="0"/>
          <w:sz w:val="32"/>
          <w:szCs w:val="32"/>
          <w:lang w:val="en-US" w:eastAsia="zh-CN"/>
        </w:rPr>
        <w:t>万元，津贴补贴</w:t>
      </w:r>
      <w:r>
        <w:rPr>
          <w:rFonts w:hint="eastAsia" w:ascii="仿宋_GB2312" w:hAnsi="仿宋_GB2312" w:eastAsia="仿宋_GB2312" w:cs="仿宋_GB2312"/>
          <w:color w:val="000000"/>
          <w:kern w:val="0"/>
          <w:sz w:val="32"/>
          <w:szCs w:val="32"/>
          <w:lang w:val="en-US" w:eastAsia="zh-CN"/>
        </w:rPr>
        <w:t>41.25</w:t>
      </w:r>
      <w:r>
        <w:rPr>
          <w:rFonts w:hint="eastAsia" w:ascii="仿宋_GB2312" w:hAnsi="仿宋_GB2312" w:eastAsia="仿宋_GB2312" w:cs="仿宋_GB2312"/>
          <w:color w:val="000000"/>
          <w:kern w:val="0"/>
          <w:sz w:val="32"/>
          <w:szCs w:val="32"/>
          <w:lang w:val="en-US" w:eastAsia="zh-CN"/>
        </w:rPr>
        <w:t>万元，奖金</w:t>
      </w:r>
      <w:r>
        <w:rPr>
          <w:rFonts w:hint="eastAsia" w:ascii="仿宋_GB2312" w:hAnsi="仿宋_GB2312" w:eastAsia="仿宋_GB2312" w:cs="仿宋_GB2312"/>
          <w:color w:val="000000"/>
          <w:kern w:val="0"/>
          <w:sz w:val="32"/>
          <w:szCs w:val="32"/>
          <w:lang w:val="en-US" w:eastAsia="zh-CN"/>
        </w:rPr>
        <w:t>129.3</w:t>
      </w:r>
      <w:r>
        <w:rPr>
          <w:rFonts w:hint="eastAsia" w:ascii="仿宋_GB2312" w:hAnsi="仿宋_GB2312" w:eastAsia="仿宋_GB2312" w:cs="仿宋_GB2312"/>
          <w:color w:val="000000"/>
          <w:kern w:val="0"/>
          <w:sz w:val="32"/>
          <w:szCs w:val="32"/>
          <w:lang w:val="en-US" w:eastAsia="zh-CN"/>
        </w:rPr>
        <w:t>万元，</w:t>
      </w:r>
      <w:bookmarkStart w:id="0" w:name="_GoBack"/>
      <w:bookmarkEnd w:id="0"/>
      <w:r>
        <w:rPr>
          <w:rFonts w:hint="eastAsia" w:ascii="仿宋_GB2312" w:hAnsi="仿宋_GB2312" w:eastAsia="仿宋_GB2312" w:cs="仿宋_GB2312"/>
          <w:color w:val="000000"/>
          <w:kern w:val="0"/>
          <w:sz w:val="32"/>
          <w:szCs w:val="32"/>
          <w:lang w:val="en-US" w:eastAsia="zh-CN"/>
        </w:rPr>
        <w:t>绩效工资49.32</w:t>
      </w:r>
      <w:r>
        <w:rPr>
          <w:rFonts w:hint="eastAsia" w:ascii="仿宋_GB2312" w:hAnsi="仿宋_GB2312" w:eastAsia="仿宋_GB2312" w:cs="仿宋_GB2312"/>
          <w:color w:val="000000"/>
          <w:kern w:val="0"/>
          <w:sz w:val="32"/>
          <w:szCs w:val="32"/>
          <w:lang w:val="en-US" w:eastAsia="zh-CN"/>
        </w:rPr>
        <w:t>万元，</w:t>
      </w:r>
      <w:r>
        <w:rPr>
          <w:rFonts w:hint="eastAsia" w:ascii="仿宋_GB2312" w:hAnsi="仿宋_GB2312" w:eastAsia="仿宋_GB2312" w:cs="仿宋_GB2312"/>
          <w:color w:val="000000"/>
          <w:kern w:val="0"/>
          <w:sz w:val="32"/>
          <w:szCs w:val="32"/>
          <w:lang w:val="en-US" w:eastAsia="zh-CN"/>
        </w:rPr>
        <w:t>机关事业单位基本养老缴费</w:t>
      </w:r>
      <w:r>
        <w:rPr>
          <w:rFonts w:hint="eastAsia" w:ascii="仿宋_GB2312" w:hAnsi="仿宋_GB2312" w:eastAsia="仿宋_GB2312" w:cs="仿宋_GB2312"/>
          <w:color w:val="000000"/>
          <w:kern w:val="0"/>
          <w:sz w:val="32"/>
          <w:szCs w:val="32"/>
          <w:lang w:val="en-US" w:eastAsia="zh-CN"/>
        </w:rPr>
        <w:t>42.11</w:t>
      </w:r>
      <w:r>
        <w:rPr>
          <w:rFonts w:hint="eastAsia" w:ascii="仿宋_GB2312" w:hAnsi="仿宋_GB2312" w:eastAsia="仿宋_GB2312" w:cs="仿宋_GB2312"/>
          <w:color w:val="000000"/>
          <w:kern w:val="0"/>
          <w:sz w:val="32"/>
          <w:szCs w:val="32"/>
          <w:lang w:val="en-US" w:eastAsia="zh-CN"/>
        </w:rPr>
        <w:t>万元，职业年金缴费15.07</w:t>
      </w:r>
      <w:r>
        <w:rPr>
          <w:rFonts w:hint="eastAsia" w:ascii="仿宋_GB2312" w:hAnsi="仿宋_GB2312" w:eastAsia="仿宋_GB2312" w:cs="仿宋_GB2312"/>
          <w:color w:val="000000"/>
          <w:kern w:val="0"/>
          <w:sz w:val="32"/>
          <w:szCs w:val="32"/>
          <w:lang w:val="en-US" w:eastAsia="zh-CN"/>
        </w:rPr>
        <w:t>万元，</w:t>
      </w:r>
      <w:r>
        <w:rPr>
          <w:rFonts w:hint="eastAsia" w:ascii="仿宋_GB2312" w:hAnsi="仿宋_GB2312" w:eastAsia="仿宋_GB2312" w:cs="仿宋_GB2312"/>
          <w:color w:val="000000"/>
          <w:kern w:val="0"/>
          <w:sz w:val="32"/>
          <w:szCs w:val="32"/>
          <w:lang w:val="en-US" w:eastAsia="zh-CN"/>
        </w:rPr>
        <w:t>职工基本医疗保险缴费</w:t>
      </w:r>
      <w:r>
        <w:rPr>
          <w:rFonts w:hint="eastAsia" w:ascii="仿宋_GB2312" w:hAnsi="仿宋_GB2312" w:eastAsia="仿宋_GB2312" w:cs="仿宋_GB2312"/>
          <w:color w:val="000000"/>
          <w:kern w:val="0"/>
          <w:sz w:val="32"/>
          <w:szCs w:val="32"/>
          <w:lang w:val="en-US" w:eastAsia="zh-CN"/>
        </w:rPr>
        <w:t>9.57</w:t>
      </w:r>
      <w:r>
        <w:rPr>
          <w:rFonts w:hint="eastAsia" w:ascii="仿宋_GB2312" w:hAnsi="仿宋_GB2312" w:eastAsia="仿宋_GB2312" w:cs="仿宋_GB2312"/>
          <w:color w:val="000000"/>
          <w:kern w:val="0"/>
          <w:sz w:val="32"/>
          <w:szCs w:val="32"/>
          <w:lang w:val="en-US" w:eastAsia="zh-CN"/>
        </w:rPr>
        <w:t>万元，</w:t>
      </w:r>
      <w:r>
        <w:rPr>
          <w:rFonts w:hint="eastAsia" w:ascii="仿宋_GB2312" w:hAnsi="仿宋_GB2312" w:eastAsia="仿宋_GB2312" w:cs="仿宋_GB2312"/>
          <w:i w:val="0"/>
          <w:iCs w:val="0"/>
          <w:color w:val="000000"/>
          <w:kern w:val="0"/>
          <w:sz w:val="32"/>
          <w:szCs w:val="32"/>
          <w:u w:val="none"/>
          <w:lang w:val="en-US" w:eastAsia="zh-CN" w:bidi="ar"/>
        </w:rPr>
        <w:t>公务员医疗补助缴费4.02</w:t>
      </w:r>
      <w:r>
        <w:rPr>
          <w:rFonts w:hint="eastAsia" w:ascii="仿宋_GB2312" w:hAnsi="仿宋_GB2312" w:eastAsia="仿宋_GB2312" w:cs="仿宋_GB2312"/>
          <w:i w:val="0"/>
          <w:iCs w:val="0"/>
          <w:color w:val="000000"/>
          <w:kern w:val="0"/>
          <w:sz w:val="32"/>
          <w:szCs w:val="32"/>
          <w:u w:val="none"/>
          <w:lang w:val="en-US" w:eastAsia="zh-CN" w:bidi="ar"/>
        </w:rPr>
        <w:t>万元，</w:t>
      </w:r>
      <w:r>
        <w:rPr>
          <w:rFonts w:hint="eastAsia" w:ascii="仿宋_GB2312" w:hAnsi="仿宋_GB2312" w:eastAsia="仿宋_GB2312" w:cs="仿宋_GB2312"/>
          <w:i w:val="0"/>
          <w:iCs w:val="0"/>
          <w:color w:val="000000"/>
          <w:kern w:val="0"/>
          <w:sz w:val="32"/>
          <w:szCs w:val="32"/>
          <w:u w:val="none"/>
          <w:lang w:val="en-US" w:eastAsia="zh-CN" w:bidi="ar"/>
        </w:rPr>
        <w:t xml:space="preserve">  其他社会保障缴费7.98</w:t>
      </w:r>
      <w:r>
        <w:rPr>
          <w:rFonts w:hint="eastAsia" w:ascii="仿宋_GB2312" w:hAnsi="仿宋_GB2312" w:eastAsia="仿宋_GB2312" w:cs="仿宋_GB2312"/>
          <w:i w:val="0"/>
          <w:iCs w:val="0"/>
          <w:color w:val="000000"/>
          <w:kern w:val="0"/>
          <w:sz w:val="32"/>
          <w:szCs w:val="32"/>
          <w:u w:val="none"/>
          <w:lang w:val="en-US" w:eastAsia="zh-CN" w:bidi="ar"/>
        </w:rPr>
        <w:t>万元，</w:t>
      </w:r>
      <w:r>
        <w:rPr>
          <w:rFonts w:hint="eastAsia" w:ascii="仿宋_GB2312" w:hAnsi="仿宋_GB2312" w:eastAsia="仿宋_GB2312" w:cs="仿宋_GB2312"/>
          <w:i w:val="0"/>
          <w:iCs w:val="0"/>
          <w:color w:val="000000"/>
          <w:kern w:val="0"/>
          <w:sz w:val="32"/>
          <w:szCs w:val="32"/>
          <w:u w:val="none"/>
          <w:lang w:val="en-US" w:eastAsia="zh-CN" w:bidi="ar"/>
        </w:rPr>
        <w:t xml:space="preserve"> 住房公积金16.71</w:t>
      </w:r>
      <w:r>
        <w:rPr>
          <w:rFonts w:hint="eastAsia" w:ascii="仿宋_GB2312" w:hAnsi="仿宋_GB2312" w:eastAsia="仿宋_GB2312" w:cs="仿宋_GB2312"/>
          <w:i w:val="0"/>
          <w:iCs w:val="0"/>
          <w:color w:val="000000"/>
          <w:kern w:val="0"/>
          <w:sz w:val="32"/>
          <w:szCs w:val="32"/>
          <w:u w:val="none"/>
          <w:lang w:val="en-US" w:eastAsia="zh-CN" w:bidi="ar"/>
        </w:rPr>
        <w:t>万元，</w:t>
      </w:r>
      <w:r>
        <w:rPr>
          <w:rFonts w:hint="eastAsia" w:ascii="仿宋_GB2312" w:hAnsi="仿宋_GB2312" w:eastAsia="仿宋_GB2312" w:cs="仿宋_GB2312"/>
          <w:i w:val="0"/>
          <w:iCs w:val="0"/>
          <w:color w:val="000000"/>
          <w:kern w:val="0"/>
          <w:sz w:val="32"/>
          <w:szCs w:val="32"/>
          <w:u w:val="none"/>
          <w:lang w:val="en-US" w:eastAsia="zh-CN" w:bidi="ar"/>
        </w:rPr>
        <w:t>医疗费1.08</w:t>
      </w:r>
      <w:r>
        <w:rPr>
          <w:rFonts w:hint="eastAsia" w:ascii="仿宋_GB2312" w:hAnsi="仿宋_GB2312" w:eastAsia="仿宋_GB2312" w:cs="仿宋_GB2312"/>
          <w:i w:val="0"/>
          <w:iCs w:val="0"/>
          <w:color w:val="000000"/>
          <w:kern w:val="0"/>
          <w:sz w:val="32"/>
          <w:szCs w:val="32"/>
          <w:u w:val="none"/>
          <w:lang w:val="en-US" w:eastAsia="zh-CN" w:bidi="ar"/>
        </w:rPr>
        <w:t>万元，</w:t>
      </w:r>
      <w:r>
        <w:rPr>
          <w:rFonts w:hint="eastAsia" w:ascii="仿宋_GB2312" w:hAnsi="仿宋_GB2312" w:eastAsia="仿宋_GB2312" w:cs="仿宋_GB2312"/>
          <w:color w:val="000000"/>
          <w:kern w:val="0"/>
          <w:sz w:val="32"/>
          <w:szCs w:val="32"/>
          <w:lang w:val="en-US" w:eastAsia="zh-CN"/>
        </w:rPr>
        <w:t>其他工资福利支出5.25万元。</w:t>
      </w:r>
    </w:p>
    <w:p>
      <w:pPr>
        <w:pStyle w:val="7"/>
        <w:bidi w:val="0"/>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公用经费</w:t>
      </w:r>
      <w:r>
        <w:rPr>
          <w:rFonts w:hint="eastAsia" w:ascii="仿宋_GB2312" w:hAnsi="仿宋_GB2312" w:eastAsia="仿宋_GB2312" w:cs="仿宋_GB2312"/>
          <w:sz w:val="32"/>
          <w:szCs w:val="32"/>
          <w:lang w:val="en-US" w:eastAsia="zh-CN"/>
        </w:rPr>
        <w:t>77.02万元，主要包括（单位支出涉及的款级科目）办公费2.04万元，邮电费1.10万元，培训费0.05万元，劳务费0.25万元，工会经费0.79万元，福利费64.22万元，其他交通费用8.56万元。</w:t>
      </w:r>
    </w:p>
    <w:p>
      <w:pPr>
        <w:pStyle w:val="7"/>
        <w:numPr>
          <w:ilvl w:val="0"/>
          <w:numId w:val="2"/>
        </w:numPr>
        <w:bidi w:val="0"/>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一般公共预算财政拨款“三公”经费及会议费、培训费支出决算情况说明</w:t>
      </w:r>
    </w:p>
    <w:p>
      <w:pPr>
        <w:pStyle w:val="7"/>
        <w:numPr>
          <w:ilvl w:val="0"/>
          <w:numId w:val="3"/>
        </w:numPr>
        <w:bidi w:val="0"/>
        <w:ind w:leftChars="200" w:right="0" w:rightChars="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“三公”经费财政拨款支出决算总体情况说明。</w:t>
      </w:r>
    </w:p>
    <w:p>
      <w:pPr>
        <w:pStyle w:val="7"/>
        <w:numPr>
          <w:numId w:val="0"/>
        </w:numPr>
        <w:bidi w:val="0"/>
        <w:ind w:right="0" w:rightChars="0" w:firstLine="640" w:firstLineChars="200"/>
        <w:rPr>
          <w:rFonts w:hint="eastAsia" w:ascii="仿宋_GB2312" w:hAnsi="仿宋_GB2312" w:eastAsia="仿宋_GB2312" w:cs="仿宋_GB2312"/>
        </w:rPr>
      </w:pPr>
      <w:r>
        <w:rPr>
          <w:rFonts w:hint="eastAsia" w:ascii="仿宋_GB2312" w:hAnsi="仿宋_GB2312" w:eastAsia="仿宋_GB2312" w:cs="仿宋_GB2312"/>
          <w:color w:val="000000"/>
          <w:kern w:val="0"/>
          <w:sz w:val="32"/>
          <w:szCs w:val="32"/>
        </w:rPr>
        <w:t>2020年“三公”经费财政拨款支出预算为</w:t>
      </w:r>
      <w:r>
        <w:rPr>
          <w:rFonts w:hint="eastAsia" w:ascii="仿宋_GB2312" w:hAnsi="仿宋_GB2312" w:eastAsia="仿宋_GB2312" w:cs="仿宋_GB2312"/>
          <w:color w:val="000000"/>
          <w:kern w:val="0"/>
          <w:sz w:val="32"/>
          <w:szCs w:val="32"/>
        </w:rPr>
        <w:t>23.34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rPr>
        <w:t>23.34</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100</w:t>
      </w:r>
      <w:r>
        <w:rPr>
          <w:rFonts w:hint="eastAsia" w:ascii="仿宋_GB2312" w:hAnsi="仿宋_GB2312" w:eastAsia="仿宋_GB2312" w:cs="仿宋_GB2312"/>
          <w:color w:val="000000"/>
          <w:kern w:val="0"/>
          <w:sz w:val="32"/>
          <w:szCs w:val="32"/>
        </w:rPr>
        <w:t>%。决算数较预算数增加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万元，主要原因是</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rPr>
        <w:t>运行</w:t>
      </w:r>
      <w:r>
        <w:rPr>
          <w:rFonts w:hint="eastAsia" w:ascii="仿宋_GB2312" w:hAnsi="仿宋_GB2312" w:eastAsia="仿宋_GB2312" w:cs="仿宋_GB2312"/>
          <w:sz w:val="32"/>
          <w:szCs w:val="32"/>
        </w:rPr>
        <w:t>维护</w:t>
      </w:r>
      <w:r>
        <w:rPr>
          <w:rFonts w:hint="eastAsia" w:ascii="仿宋_GB2312" w:hAnsi="仿宋_GB2312" w:eastAsia="仿宋_GB2312" w:cs="仿宋_GB2312"/>
          <w:sz w:val="32"/>
          <w:szCs w:val="32"/>
          <w:lang w:val="en-US" w:eastAsia="zh-CN"/>
        </w:rPr>
        <w:t>和培训费增加</w:t>
      </w:r>
      <w:r>
        <w:rPr>
          <w:rFonts w:hint="eastAsia" w:ascii="仿宋_GB2312" w:hAnsi="仿宋_GB2312" w:eastAsia="仿宋_GB2312" w:cs="仿宋_GB2312"/>
          <w:color w:val="000000"/>
          <w:kern w:val="0"/>
          <w:sz w:val="32"/>
          <w:szCs w:val="32"/>
        </w:rPr>
        <w:t>。</w:t>
      </w:r>
    </w:p>
    <w:p>
      <w:pPr>
        <w:spacing w:line="56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（二）“三公”经费财政拨款支出决算具体情况说明。</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2020年“三公”经费财政拨款支出决算中，因公出国（境）费支出决算</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%；公务用车购置费支出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%；公务用车运行</w:t>
      </w:r>
      <w:r>
        <w:rPr>
          <w:rFonts w:hint="eastAsia" w:ascii="仿宋_GB2312" w:hAnsi="仿宋_GB2312" w:eastAsia="仿宋_GB2312" w:cs="仿宋_GB2312"/>
          <w:sz w:val="32"/>
          <w:szCs w:val="32"/>
        </w:rPr>
        <w:t>维护</w:t>
      </w:r>
      <w:r>
        <w:rPr>
          <w:rFonts w:hint="eastAsia" w:ascii="仿宋_GB2312" w:hAnsi="仿宋_GB2312" w:eastAsia="仿宋_GB2312" w:cs="仿宋_GB2312"/>
          <w:color w:val="000000"/>
          <w:kern w:val="0"/>
          <w:sz w:val="32"/>
          <w:szCs w:val="32"/>
        </w:rPr>
        <w:t>费支出决算</w:t>
      </w:r>
      <w:r>
        <w:rPr>
          <w:rFonts w:hint="eastAsia" w:ascii="仿宋_GB2312" w:hAnsi="仿宋_GB2312" w:eastAsia="仿宋_GB2312" w:cs="仿宋_GB2312"/>
          <w:color w:val="000000"/>
          <w:kern w:val="0"/>
          <w:sz w:val="32"/>
          <w:szCs w:val="32"/>
        </w:rPr>
        <w:t>23.34</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100</w:t>
      </w:r>
      <w:r>
        <w:rPr>
          <w:rFonts w:hint="eastAsia" w:ascii="仿宋_GB2312" w:hAnsi="仿宋_GB2312" w:eastAsia="仿宋_GB2312" w:cs="仿宋_GB2312"/>
          <w:color w:val="000000"/>
          <w:kern w:val="0"/>
          <w:sz w:val="32"/>
          <w:szCs w:val="32"/>
        </w:rPr>
        <w:t>%；公务接待费支出决算</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万元，占</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%。具体情况如下：</w:t>
      </w:r>
    </w:p>
    <w:tbl>
      <w:tblPr>
        <w:tblStyle w:val="9"/>
        <w:tblW w:w="8715" w:type="dxa"/>
        <w:tblInd w:w="0" w:type="dxa"/>
        <w:tblLayout w:type="autofit"/>
        <w:tblCellMar>
          <w:top w:w="0" w:type="dxa"/>
          <w:left w:w="0" w:type="dxa"/>
          <w:bottom w:w="0" w:type="dxa"/>
          <w:right w:w="0" w:type="dxa"/>
        </w:tblCellMar>
      </w:tblPr>
      <w:tblGrid>
        <w:gridCol w:w="2179"/>
        <w:gridCol w:w="2417"/>
        <w:gridCol w:w="2417"/>
        <w:gridCol w:w="1702"/>
      </w:tblGrid>
      <w:tr>
        <w:tblPrEx>
          <w:tblCellMar>
            <w:top w:w="0" w:type="dxa"/>
            <w:left w:w="0" w:type="dxa"/>
            <w:bottom w:w="0" w:type="dxa"/>
            <w:right w:w="0" w:type="dxa"/>
          </w:tblCellMar>
        </w:tblPrEx>
        <w:trPr>
          <w:trHeight w:val="500" w:hRule="atLeast"/>
        </w:trPr>
        <w:tc>
          <w:tcPr>
            <w:tcW w:w="8715" w:type="dxa"/>
            <w:gridSpan w:val="4"/>
            <w:tcBorders>
              <w:top w:val="nil"/>
              <w:left w:val="nil"/>
              <w:bottom w:val="nil"/>
              <w:right w:val="nil"/>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“三公”经费财政拨款支出决算表（万元）</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因公出国（境）支出</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公务用车购置费用支出</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公务用车运行维护费用</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公务接待费支出</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0</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0</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lang w:val="en-US" w:eastAsia="zh-CN"/>
              </w:rPr>
            </w:pPr>
            <w:r>
              <w:rPr>
                <w:rFonts w:hint="eastAsia" w:ascii="仿宋_GB2312" w:hAnsi="仿宋_GB2312" w:eastAsia="仿宋_GB2312" w:cs="仿宋_GB2312"/>
                <w:snapToGrid w:val="0"/>
                <w:color w:val="000000"/>
                <w:lang w:val="en-US" w:eastAsia="zh-CN" w:bidi="ar"/>
              </w:rPr>
              <w:t>23.34</w:t>
            </w:r>
          </w:p>
        </w:tc>
        <w:tc>
          <w:tcPr>
            <w:tcW w:w="0" w:type="auto"/>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hint="eastAsia" w:ascii="仿宋_GB2312" w:hAnsi="仿宋_GB2312" w:eastAsia="仿宋_GB2312" w:cs="仿宋_GB2312"/>
                <w:snapToGrid w:val="0"/>
                <w:color w:val="000000"/>
              </w:rPr>
            </w:pPr>
            <w:r>
              <w:rPr>
                <w:rFonts w:hint="eastAsia" w:ascii="仿宋_GB2312" w:hAnsi="仿宋_GB2312" w:eastAsia="仿宋_GB2312" w:cs="仿宋_GB2312"/>
                <w:snapToGrid w:val="0"/>
                <w:color w:val="000000"/>
                <w:lang w:bidi="ar"/>
              </w:rPr>
              <w:t>0</w:t>
            </w:r>
          </w:p>
        </w:tc>
      </w:tr>
    </w:tbl>
    <w:p>
      <w:pPr>
        <w:pStyle w:val="2"/>
        <w:rPr>
          <w:rFonts w:hint="eastAsia" w:ascii="仿宋_GB2312" w:hAnsi="仿宋_GB2312" w:eastAsia="仿宋_GB2312" w:cs="仿宋_GB2312"/>
        </w:rPr>
      </w:pPr>
      <w:r>
        <w:rPr>
          <w:rFonts w:hint="eastAsia" w:ascii="仿宋_GB2312" w:hAnsi="仿宋_GB2312" w:eastAsia="仿宋_GB2312" w:cs="仿宋_GB2312"/>
        </w:rPr>
        <w:drawing>
          <wp:inline distT="0" distB="0" distL="114300" distR="114300">
            <wp:extent cx="5150485" cy="2375535"/>
            <wp:effectExtent l="4445" t="4445" r="13970" b="45720"/>
            <wp:docPr id="13" name="图表 12" descr="7b0a202020202263686172745265734964223a20223230343732323036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1.因公出国（境）支出情况</w:t>
      </w:r>
      <w:r>
        <w:rPr>
          <w:rFonts w:hint="eastAsia" w:ascii="仿宋_GB2312" w:hAnsi="仿宋_GB2312" w:eastAsia="仿宋_GB2312" w:cs="仿宋_GB2312"/>
          <w:b/>
          <w:color w:val="000000"/>
          <w:kern w:val="0"/>
          <w:sz w:val="32"/>
          <w:szCs w:val="32"/>
        </w:rPr>
        <w:t>说明</w:t>
      </w:r>
      <w:r>
        <w:rPr>
          <w:rFonts w:hint="eastAsia" w:ascii="仿宋_GB2312" w:hAnsi="仿宋_GB2312" w:eastAsia="仿宋_GB2312" w:cs="仿宋_GB2312"/>
          <w:b/>
          <w:bCs/>
          <w:sz w:val="32"/>
          <w:szCs w:val="32"/>
        </w:rPr>
        <w:t>。</w:t>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sz w:val="32"/>
          <w:szCs w:val="32"/>
        </w:rPr>
        <w:t>2020年因公出国（境）团组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%，决算数较预算数减少</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2.公务用车购置费用支出情况</w:t>
      </w:r>
      <w:r>
        <w:rPr>
          <w:rFonts w:hint="eastAsia" w:ascii="仿宋_GB2312" w:hAnsi="仿宋_GB2312" w:eastAsia="仿宋_GB2312" w:cs="仿宋_GB2312"/>
          <w:b/>
          <w:color w:val="000000"/>
          <w:kern w:val="0"/>
          <w:sz w:val="32"/>
          <w:szCs w:val="32"/>
        </w:rPr>
        <w:t>说明</w:t>
      </w:r>
      <w:r>
        <w:rPr>
          <w:rFonts w:hint="eastAsia" w:ascii="仿宋_GB2312" w:hAnsi="仿宋_GB2312" w:eastAsia="仿宋_GB2312" w:cs="仿宋_GB2312"/>
          <w:b/>
          <w:bCs/>
          <w:sz w:val="32"/>
          <w:szCs w:val="32"/>
        </w:rPr>
        <w:t>。</w:t>
      </w:r>
    </w:p>
    <w:p>
      <w:pPr>
        <w:widowControl/>
        <w:spacing w:line="560" w:lineRule="exact"/>
        <w:ind w:firstLine="640" w:firstLineChars="200"/>
        <w:jc w:val="left"/>
        <w:rPr>
          <w:rFonts w:hint="eastAsia" w:ascii="仿宋_GB2312" w:hAnsi="仿宋_GB2312" w:eastAsia="仿宋_GB2312" w:cs="仿宋_GB2312"/>
        </w:rPr>
      </w:pPr>
      <w:r>
        <w:rPr>
          <w:rFonts w:hint="eastAsia" w:ascii="仿宋_GB2312" w:hAnsi="仿宋_GB2312" w:eastAsia="仿宋_GB2312" w:cs="仿宋_GB2312"/>
          <w:sz w:val="32"/>
          <w:szCs w:val="32"/>
        </w:rPr>
        <w:t>2020年购置车辆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%，决算数较预算数减少</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3.公务用车运行维护费用支出情况</w:t>
      </w:r>
      <w:r>
        <w:rPr>
          <w:rFonts w:hint="eastAsia" w:ascii="仿宋_GB2312" w:hAnsi="仿宋_GB2312" w:eastAsia="仿宋_GB2312" w:cs="仿宋_GB2312"/>
          <w:b/>
          <w:color w:val="000000"/>
          <w:kern w:val="0"/>
          <w:sz w:val="32"/>
          <w:szCs w:val="32"/>
        </w:rPr>
        <w:t>说明</w:t>
      </w:r>
      <w:r>
        <w:rPr>
          <w:rFonts w:hint="eastAsia" w:ascii="仿宋_GB2312" w:hAnsi="仿宋_GB2312" w:eastAsia="仿宋_GB2312" w:cs="仿宋_GB2312"/>
          <w:b/>
          <w:bCs/>
          <w:sz w:val="32"/>
          <w:szCs w:val="32"/>
        </w:rPr>
        <w:t>。</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rPr>
        <w:t>运行</w:t>
      </w:r>
      <w:r>
        <w:rPr>
          <w:rFonts w:hint="eastAsia" w:ascii="仿宋_GB2312" w:hAnsi="仿宋_GB2312" w:eastAsia="仿宋_GB2312" w:cs="仿宋_GB2312"/>
          <w:sz w:val="32"/>
          <w:szCs w:val="32"/>
        </w:rPr>
        <w:t>维护费</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rPr>
        <w:t>23.34</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rPr>
        <w:t>23.34</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100</w:t>
      </w:r>
      <w:r>
        <w:rPr>
          <w:rFonts w:hint="eastAsia" w:ascii="仿宋_GB2312" w:hAnsi="仿宋_GB2312" w:eastAsia="仿宋_GB2312" w:cs="仿宋_GB2312"/>
          <w:color w:val="000000"/>
          <w:kern w:val="0"/>
          <w:sz w:val="32"/>
          <w:szCs w:val="32"/>
        </w:rPr>
        <w:t>%，决算数较预算数减少</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万元，主要原因是</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rPr>
        <w:t>运行</w:t>
      </w:r>
      <w:r>
        <w:rPr>
          <w:rFonts w:hint="eastAsia" w:ascii="仿宋_GB2312" w:hAnsi="仿宋_GB2312" w:eastAsia="仿宋_GB2312" w:cs="仿宋_GB2312"/>
          <w:sz w:val="32"/>
          <w:szCs w:val="32"/>
        </w:rPr>
        <w:t>维护</w:t>
      </w:r>
      <w:r>
        <w:rPr>
          <w:rFonts w:hint="eastAsia" w:ascii="仿宋_GB2312" w:hAnsi="仿宋_GB2312" w:eastAsia="仿宋_GB2312" w:cs="仿宋_GB2312"/>
          <w:color w:val="000000"/>
          <w:kern w:val="0"/>
          <w:sz w:val="32"/>
          <w:szCs w:val="32"/>
        </w:rPr>
        <w:t>。</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4.公务接待费支出情况</w:t>
      </w:r>
      <w:r>
        <w:rPr>
          <w:rFonts w:hint="eastAsia" w:ascii="仿宋_GB2312" w:hAnsi="仿宋_GB2312" w:eastAsia="仿宋_GB2312" w:cs="仿宋_GB2312"/>
          <w:b/>
          <w:color w:val="000000"/>
          <w:kern w:val="0"/>
          <w:sz w:val="32"/>
          <w:szCs w:val="32"/>
        </w:rPr>
        <w:t>说明</w:t>
      </w:r>
      <w:r>
        <w:rPr>
          <w:rFonts w:hint="eastAsia" w:ascii="仿宋_GB2312" w:hAnsi="仿宋_GB2312" w:eastAsia="仿宋_GB2312" w:cs="仿宋_GB2312"/>
          <w:b/>
          <w:bCs/>
          <w:sz w:val="32"/>
          <w:szCs w:val="32"/>
        </w:rPr>
        <w:t>。</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2020年公务接待</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color w:val="000000"/>
          <w:kern w:val="0"/>
          <w:sz w:val="32"/>
          <w:szCs w:val="32"/>
        </w:rPr>
        <w:t>，完成预算的</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%，决算数较预算数减少</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w:t>
      </w:r>
    </w:p>
    <w:p>
      <w:pPr>
        <w:spacing w:line="56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（三）培训费支出情况说明。</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rPr>
        <w:t>培</w:t>
      </w:r>
      <w:r>
        <w:rPr>
          <w:rFonts w:hint="eastAsia" w:ascii="仿宋_GB2312" w:hAnsi="仿宋_GB2312" w:eastAsia="仿宋_GB2312" w:cs="仿宋_GB2312"/>
          <w:sz w:val="32"/>
          <w:szCs w:val="32"/>
        </w:rPr>
        <w:t>训费</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0.05</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%，决算数较预算数增加</w:t>
      </w:r>
      <w:r>
        <w:rPr>
          <w:rFonts w:hint="eastAsia" w:ascii="仿宋_GB2312" w:hAnsi="仿宋_GB2312" w:eastAsia="仿宋_GB2312" w:cs="仿宋_GB2312"/>
          <w:color w:val="000000"/>
          <w:kern w:val="0"/>
          <w:sz w:val="32"/>
          <w:szCs w:val="32"/>
          <w:lang w:val="en-US" w:eastAsia="zh-CN"/>
        </w:rPr>
        <w:t>0.05</w:t>
      </w:r>
      <w:r>
        <w:rPr>
          <w:rFonts w:hint="eastAsia" w:ascii="仿宋_GB2312" w:hAnsi="仿宋_GB2312" w:eastAsia="仿宋_GB2312" w:cs="仿宋_GB2312"/>
          <w:color w:val="000000"/>
          <w:kern w:val="0"/>
          <w:sz w:val="32"/>
          <w:szCs w:val="32"/>
        </w:rPr>
        <w:t>万元，主要原因是</w:t>
      </w:r>
      <w:r>
        <w:rPr>
          <w:rFonts w:hint="eastAsia" w:ascii="仿宋_GB2312" w:hAnsi="仿宋_GB2312" w:eastAsia="仿宋_GB2312" w:cs="仿宋_GB2312"/>
          <w:color w:val="000000"/>
          <w:kern w:val="0"/>
          <w:sz w:val="32"/>
          <w:szCs w:val="32"/>
          <w:lang w:val="en-US" w:eastAsia="zh-CN"/>
        </w:rPr>
        <w:t>工作增加</w:t>
      </w:r>
      <w:r>
        <w:rPr>
          <w:rFonts w:hint="eastAsia" w:ascii="仿宋_GB2312" w:hAnsi="仿宋_GB2312" w:eastAsia="仿宋_GB2312" w:cs="仿宋_GB2312"/>
          <w:color w:val="000000"/>
          <w:kern w:val="0"/>
          <w:sz w:val="32"/>
          <w:szCs w:val="32"/>
        </w:rPr>
        <w:t>。</w:t>
      </w:r>
    </w:p>
    <w:p>
      <w:pPr>
        <w:spacing w:line="560" w:lineRule="exact"/>
        <w:ind w:firstLine="643" w:firstLineChars="200"/>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（四）会议费支出情况说明。</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rPr>
        <w:t>会</w:t>
      </w:r>
      <w:r>
        <w:rPr>
          <w:rFonts w:hint="eastAsia" w:ascii="仿宋_GB2312" w:hAnsi="仿宋_GB2312" w:eastAsia="仿宋_GB2312" w:cs="仿宋_GB2312"/>
          <w:sz w:val="32"/>
          <w:szCs w:val="32"/>
        </w:rPr>
        <w:t>议费</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%，决算数较预算数减少</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kern w:val="0"/>
          <w:sz w:val="32"/>
          <w:szCs w:val="32"/>
        </w:rPr>
        <w:t>万元。</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八、政府性基金预算财政拨款收入支出情况说明</w:t>
      </w:r>
      <w:r>
        <w:rPr>
          <w:rFonts w:hint="eastAsia" w:ascii="仿宋_GB2312" w:hAnsi="仿宋_GB2312" w:eastAsia="仿宋_GB2312" w:cs="仿宋_GB2312"/>
          <w:color w:val="000000"/>
          <w:kern w:val="0"/>
          <w:sz w:val="32"/>
          <w:szCs w:val="32"/>
        </w:rPr>
        <w:t xml:space="preserve"> </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无政府性基金决算收支，并已公</w:t>
      </w:r>
      <w:r>
        <w:rPr>
          <w:rFonts w:hint="eastAsia" w:ascii="仿宋_GB2312" w:hAnsi="仿宋_GB2312" w:eastAsia="仿宋_GB2312" w:cs="仿宋_GB2312"/>
          <w:sz w:val="32"/>
          <w:szCs w:val="32"/>
        </w:rPr>
        <w:t>开</w:t>
      </w:r>
      <w:r>
        <w:rPr>
          <w:rFonts w:hint="eastAsia" w:ascii="仿宋_GB2312" w:hAnsi="仿宋_GB2312" w:eastAsia="仿宋_GB2312" w:cs="仿宋_GB2312"/>
          <w:sz w:val="32"/>
          <w:szCs w:val="32"/>
        </w:rPr>
        <w:t>空表</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九、国有资本经营财政拨款收入支出情况说明</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无国有</w:t>
      </w:r>
      <w:r>
        <w:rPr>
          <w:rFonts w:hint="eastAsia" w:ascii="仿宋_GB2312" w:hAnsi="仿宋_GB2312" w:eastAsia="仿宋_GB2312" w:cs="仿宋_GB2312"/>
          <w:sz w:val="32"/>
          <w:szCs w:val="32"/>
        </w:rPr>
        <w:t>资</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rPr>
        <w:t>经营</w:t>
      </w:r>
      <w:r>
        <w:rPr>
          <w:rFonts w:hint="eastAsia" w:ascii="仿宋_GB2312" w:hAnsi="仿宋_GB2312" w:eastAsia="仿宋_GB2312" w:cs="仿宋_GB2312"/>
          <w:sz w:val="32"/>
          <w:szCs w:val="32"/>
        </w:rPr>
        <w:t>决算</w:t>
      </w:r>
      <w:r>
        <w:rPr>
          <w:rFonts w:hint="eastAsia" w:ascii="仿宋_GB2312" w:hAnsi="仿宋_GB2312" w:eastAsia="仿宋_GB2312" w:cs="仿宋_GB2312"/>
          <w:sz w:val="32"/>
          <w:szCs w:val="32"/>
        </w:rPr>
        <w:t>拨</w:t>
      </w:r>
      <w:r>
        <w:rPr>
          <w:rFonts w:hint="eastAsia" w:ascii="仿宋_GB2312" w:hAnsi="仿宋_GB2312" w:eastAsia="仿宋_GB2312" w:cs="仿宋_GB2312"/>
          <w:sz w:val="32"/>
          <w:szCs w:val="32"/>
        </w:rPr>
        <w:t>款收支，并已公</w:t>
      </w:r>
      <w:r>
        <w:rPr>
          <w:rFonts w:hint="eastAsia" w:ascii="仿宋_GB2312" w:hAnsi="仿宋_GB2312" w:eastAsia="仿宋_GB2312" w:cs="仿宋_GB2312"/>
          <w:sz w:val="32"/>
          <w:szCs w:val="32"/>
        </w:rPr>
        <w:t>开</w:t>
      </w:r>
      <w:r>
        <w:rPr>
          <w:rFonts w:hint="eastAsia" w:ascii="仿宋_GB2312" w:hAnsi="仿宋_GB2312" w:eastAsia="仿宋_GB2312" w:cs="仿宋_GB2312"/>
          <w:sz w:val="32"/>
          <w:szCs w:val="32"/>
        </w:rPr>
        <w:t>空表</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十、机关运行经费支出情况说明。</w:t>
      </w:r>
    </w:p>
    <w:p>
      <w:pPr>
        <w:widowControl/>
        <w:spacing w:line="560" w:lineRule="exact"/>
        <w:ind w:firstLine="62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1"/>
          <w:szCs w:val="31"/>
        </w:rPr>
        <w:t>2020</w:t>
      </w:r>
      <w:r>
        <w:rPr>
          <w:rFonts w:hint="eastAsia" w:ascii="仿宋_GB2312" w:hAnsi="仿宋_GB2312" w:eastAsia="仿宋_GB2312" w:cs="仿宋_GB2312"/>
          <w:color w:val="000000"/>
          <w:kern w:val="0"/>
          <w:sz w:val="31"/>
          <w:szCs w:val="31"/>
        </w:rPr>
        <w:t>年机</w:t>
      </w:r>
      <w:r>
        <w:rPr>
          <w:rFonts w:hint="eastAsia" w:ascii="仿宋_GB2312" w:hAnsi="仿宋_GB2312" w:eastAsia="仿宋_GB2312" w:cs="仿宋_GB2312"/>
          <w:color w:val="000000"/>
          <w:kern w:val="0"/>
          <w:sz w:val="31"/>
          <w:szCs w:val="31"/>
        </w:rPr>
        <w:t>关</w:t>
      </w:r>
      <w:r>
        <w:rPr>
          <w:rFonts w:hint="eastAsia" w:ascii="仿宋_GB2312" w:hAnsi="仿宋_GB2312" w:eastAsia="仿宋_GB2312" w:cs="仿宋_GB2312"/>
          <w:color w:val="000000"/>
          <w:kern w:val="0"/>
          <w:sz w:val="31"/>
          <w:szCs w:val="31"/>
        </w:rPr>
        <w:t>运行</w:t>
      </w:r>
      <w:r>
        <w:rPr>
          <w:rFonts w:hint="eastAsia" w:ascii="仿宋_GB2312" w:hAnsi="仿宋_GB2312" w:eastAsia="仿宋_GB2312" w:cs="仿宋_GB2312"/>
          <w:color w:val="000000"/>
          <w:kern w:val="0"/>
          <w:sz w:val="31"/>
          <w:szCs w:val="31"/>
        </w:rPr>
        <w:t>经费</w:t>
      </w:r>
      <w:r>
        <w:rPr>
          <w:rFonts w:hint="eastAsia" w:ascii="仿宋_GB2312" w:hAnsi="仿宋_GB2312" w:eastAsia="仿宋_GB2312" w:cs="仿宋_GB2312"/>
          <w:color w:val="000000"/>
          <w:kern w:val="0"/>
          <w:sz w:val="32"/>
          <w:szCs w:val="32"/>
        </w:rPr>
        <w:t>预算为</w:t>
      </w:r>
      <w:r>
        <w:rPr>
          <w:rFonts w:hint="eastAsia" w:ascii="仿宋_GB2312" w:hAnsi="仿宋_GB2312" w:eastAsia="仿宋_GB2312" w:cs="仿宋_GB2312"/>
          <w:color w:val="000000"/>
          <w:kern w:val="0"/>
          <w:sz w:val="32"/>
          <w:szCs w:val="32"/>
          <w:lang w:val="en-US" w:eastAsia="zh-CN"/>
        </w:rPr>
        <w:t>14.26</w:t>
      </w:r>
      <w:r>
        <w:rPr>
          <w:rFonts w:hint="eastAsia" w:ascii="仿宋_GB2312" w:hAnsi="仿宋_GB2312" w:eastAsia="仿宋_GB2312" w:cs="仿宋_GB2312"/>
          <w:color w:val="000000"/>
          <w:kern w:val="0"/>
          <w:sz w:val="32"/>
          <w:szCs w:val="32"/>
        </w:rPr>
        <w:t>万元，支出决算为</w:t>
      </w:r>
      <w:r>
        <w:rPr>
          <w:rFonts w:hint="eastAsia" w:ascii="仿宋_GB2312" w:hAnsi="仿宋_GB2312" w:eastAsia="仿宋_GB2312" w:cs="仿宋_GB2312"/>
          <w:color w:val="000000"/>
          <w:kern w:val="0"/>
          <w:sz w:val="32"/>
          <w:szCs w:val="32"/>
          <w:lang w:val="en-US" w:eastAsia="zh-CN"/>
        </w:rPr>
        <w:t>14.56</w:t>
      </w:r>
      <w:r>
        <w:rPr>
          <w:rFonts w:hint="eastAsia" w:ascii="仿宋_GB2312" w:hAnsi="仿宋_GB2312" w:eastAsia="仿宋_GB2312" w:cs="仿宋_GB2312"/>
          <w:color w:val="000000"/>
          <w:kern w:val="0"/>
          <w:sz w:val="32"/>
          <w:szCs w:val="32"/>
        </w:rPr>
        <w:t>万元，完成预算的</w:t>
      </w:r>
      <w:r>
        <w:rPr>
          <w:rFonts w:hint="eastAsia" w:ascii="仿宋_GB2312" w:hAnsi="仿宋_GB2312" w:eastAsia="仿宋_GB2312" w:cs="仿宋_GB2312"/>
          <w:color w:val="000000"/>
          <w:kern w:val="0"/>
          <w:sz w:val="32"/>
          <w:szCs w:val="32"/>
          <w:lang w:val="en-US" w:eastAsia="zh-CN"/>
        </w:rPr>
        <w:t>102.10</w:t>
      </w:r>
      <w:r>
        <w:rPr>
          <w:rFonts w:hint="eastAsia" w:ascii="仿宋_GB2312" w:hAnsi="仿宋_GB2312" w:eastAsia="仿宋_GB2312" w:cs="仿宋_GB2312"/>
          <w:color w:val="000000"/>
          <w:kern w:val="0"/>
          <w:sz w:val="32"/>
          <w:szCs w:val="32"/>
        </w:rPr>
        <w:t>%。决算数较预算数增加</w:t>
      </w:r>
      <w:r>
        <w:rPr>
          <w:rFonts w:hint="eastAsia" w:ascii="仿宋_GB2312" w:hAnsi="仿宋_GB2312" w:eastAsia="仿宋_GB2312" w:cs="仿宋_GB2312"/>
          <w:color w:val="000000"/>
          <w:kern w:val="0"/>
          <w:sz w:val="32"/>
          <w:szCs w:val="32"/>
          <w:lang w:val="en-US" w:eastAsia="zh-CN"/>
        </w:rPr>
        <w:t>0.3</w:t>
      </w:r>
      <w:r>
        <w:rPr>
          <w:rFonts w:hint="eastAsia" w:ascii="仿宋_GB2312" w:hAnsi="仿宋_GB2312" w:eastAsia="仿宋_GB2312" w:cs="仿宋_GB2312"/>
          <w:color w:val="000000"/>
          <w:kern w:val="0"/>
          <w:sz w:val="32"/>
          <w:szCs w:val="32"/>
        </w:rPr>
        <w:t>万元，主要原因是</w:t>
      </w:r>
      <w:r>
        <w:rPr>
          <w:rFonts w:hint="eastAsia" w:ascii="仿宋_GB2312" w:hAnsi="仿宋_GB2312" w:eastAsia="仿宋_GB2312" w:cs="仿宋_GB2312"/>
          <w:color w:val="000000"/>
          <w:kern w:val="0"/>
          <w:sz w:val="32"/>
          <w:szCs w:val="32"/>
          <w:lang w:val="en-US" w:eastAsia="zh-CN" w:bidi="ar-SA"/>
        </w:rPr>
        <w:t>本年其他交通费用增加</w:t>
      </w:r>
      <w:r>
        <w:rPr>
          <w:rFonts w:hint="eastAsia" w:ascii="仿宋_GB2312" w:hAnsi="仿宋_GB2312" w:eastAsia="仿宋_GB2312" w:cs="仿宋_GB2312"/>
          <w:color w:val="000000"/>
          <w:kern w:val="0"/>
          <w:sz w:val="32"/>
          <w:szCs w:val="32"/>
        </w:rPr>
        <w:t>。</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十一、政府采购支出情况说明</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年无政府采</w:t>
      </w:r>
      <w:r>
        <w:rPr>
          <w:rFonts w:hint="eastAsia" w:ascii="仿宋_GB2312" w:hAnsi="仿宋_GB2312" w:eastAsia="仿宋_GB2312" w:cs="仿宋_GB2312"/>
          <w:sz w:val="32"/>
          <w:szCs w:val="32"/>
        </w:rPr>
        <w:t>购</w:t>
      </w:r>
      <w:r>
        <w:rPr>
          <w:rFonts w:hint="eastAsia" w:ascii="仿宋_GB2312" w:hAnsi="仿宋_GB2312" w:eastAsia="仿宋_GB2312" w:cs="仿宋_GB2312"/>
          <w:sz w:val="32"/>
          <w:szCs w:val="32"/>
        </w:rPr>
        <w:t>支出</w:t>
      </w:r>
    </w:p>
    <w:p>
      <w:pPr>
        <w:widowControl/>
        <w:spacing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十二、国有资产占用及购置情况说明</w:t>
      </w:r>
    </w:p>
    <w:p>
      <w:pPr>
        <w:spacing w:line="560" w:lineRule="exact"/>
        <w:ind w:firstLine="640"/>
        <w:rPr>
          <w:rFonts w:hint="eastAsia" w:ascii="仿宋_GB2312" w:hAnsi="仿宋_GB2312" w:eastAsia="仿宋_GB2312" w:cs="仿宋_GB231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年末，本部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机</w:t>
      </w:r>
      <w:r>
        <w:rPr>
          <w:rFonts w:hint="eastAsia" w:ascii="仿宋_GB2312" w:hAnsi="仿宋_GB2312" w:eastAsia="仿宋_GB2312" w:cs="仿宋_GB2312"/>
          <w:sz w:val="32"/>
          <w:szCs w:val="32"/>
        </w:rPr>
        <w:t>关</w:t>
      </w:r>
      <w:r>
        <w:rPr>
          <w:rFonts w:hint="eastAsia" w:ascii="仿宋_GB2312" w:hAnsi="仿宋_GB2312" w:eastAsia="仿宋_GB2312" w:cs="仿宋_GB2312"/>
          <w:sz w:val="32"/>
          <w:szCs w:val="32"/>
        </w:rPr>
        <w:t>及所属</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位共有</w:t>
      </w:r>
      <w:r>
        <w:rPr>
          <w:rFonts w:hint="eastAsia" w:ascii="仿宋_GB2312" w:hAnsi="仿宋_GB2312" w:eastAsia="仿宋_GB2312" w:cs="仿宋_GB2312"/>
          <w:sz w:val="32"/>
          <w:szCs w:val="32"/>
        </w:rPr>
        <w:t>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，其中副部（省）</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，主要</w:t>
      </w:r>
      <w:r>
        <w:rPr>
          <w:rFonts w:hint="eastAsia" w:ascii="仿宋_GB2312" w:hAnsi="仿宋_GB2312" w:eastAsia="仿宋_GB2312" w:cs="仿宋_GB2312"/>
          <w:sz w:val="32"/>
          <w:szCs w:val="32"/>
        </w:rPr>
        <w:t>领导</w:t>
      </w:r>
      <w:r>
        <w:rPr>
          <w:rFonts w:hint="eastAsia" w:ascii="仿宋_GB2312" w:hAnsi="仿宋_GB2312" w:eastAsia="仿宋_GB2312" w:cs="仿宋_GB2312"/>
          <w:sz w:val="32"/>
          <w:szCs w:val="32"/>
        </w:rPr>
        <w:t>干部用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，机要通信用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应</w:t>
      </w:r>
      <w:r>
        <w:rPr>
          <w:rFonts w:hint="eastAsia" w:ascii="仿宋_GB2312" w:hAnsi="仿宋_GB2312" w:eastAsia="仿宋_GB2312" w:cs="仿宋_GB2312"/>
          <w:sz w:val="32"/>
          <w:szCs w:val="32"/>
        </w:rPr>
        <w:t>急保障用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执</w:t>
      </w:r>
      <w:r>
        <w:rPr>
          <w:rFonts w:hint="eastAsia" w:ascii="仿宋_GB2312" w:hAnsi="仿宋_GB2312" w:eastAsia="仿宋_GB2312" w:cs="仿宋_GB2312"/>
          <w:sz w:val="32"/>
          <w:szCs w:val="32"/>
        </w:rPr>
        <w:t>法</w:t>
      </w:r>
      <w:r>
        <w:rPr>
          <w:rFonts w:hint="eastAsia" w:ascii="仿宋_GB2312" w:hAnsi="仿宋_GB2312" w:eastAsia="仿宋_GB2312" w:cs="仿宋_GB2312"/>
          <w:sz w:val="32"/>
          <w:szCs w:val="32"/>
        </w:rPr>
        <w:t>执</w:t>
      </w:r>
      <w:r>
        <w:rPr>
          <w:rFonts w:hint="eastAsia" w:ascii="仿宋_GB2312" w:hAnsi="仿宋_GB2312" w:eastAsia="仿宋_GB2312" w:cs="仿宋_GB2312"/>
          <w:sz w:val="32"/>
          <w:szCs w:val="32"/>
        </w:rPr>
        <w:t>勤用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，特</w:t>
      </w:r>
      <w:r>
        <w:rPr>
          <w:rFonts w:hint="eastAsia" w:ascii="仿宋_GB2312" w:hAnsi="仿宋_GB2312" w:eastAsia="仿宋_GB2312" w:cs="仿宋_GB2312"/>
          <w:sz w:val="32"/>
          <w:szCs w:val="32"/>
        </w:rPr>
        <w:t>种专业</w:t>
      </w:r>
      <w:r>
        <w:rPr>
          <w:rFonts w:hint="eastAsia" w:ascii="仿宋_GB2312" w:hAnsi="仿宋_GB2312" w:eastAsia="仿宋_GB2312" w:cs="仿宋_GB2312"/>
          <w:sz w:val="32"/>
          <w:szCs w:val="32"/>
        </w:rPr>
        <w:t>技</w:t>
      </w:r>
      <w:r>
        <w:rPr>
          <w:rFonts w:hint="eastAsia" w:ascii="仿宋_GB2312" w:hAnsi="仿宋_GB2312" w:eastAsia="仿宋_GB2312" w:cs="仿宋_GB2312"/>
          <w:sz w:val="32"/>
          <w:szCs w:val="32"/>
        </w:rPr>
        <w:t>术</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，离退休干部用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，其他用</w:t>
      </w:r>
      <w:r>
        <w:rPr>
          <w:rFonts w:hint="eastAsia" w:ascii="仿宋_GB2312" w:hAnsi="仿宋_GB2312" w:eastAsia="仿宋_GB2312" w:cs="仿宋_GB2312"/>
          <w:sz w:val="32"/>
          <w:szCs w:val="32"/>
        </w:rPr>
        <w:t>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价</w:t>
      </w:r>
      <w:r>
        <w:rPr>
          <w:rFonts w:hint="eastAsia" w:ascii="仿宋_GB2312" w:hAnsi="仿宋_GB2312" w:eastAsia="仿宋_GB2312" w:cs="仿宋_GB2312"/>
          <w:sz w:val="32"/>
          <w:szCs w:val="32"/>
        </w:rPr>
        <w:t>50</w:t>
      </w:r>
      <w:r>
        <w:rPr>
          <w:rFonts w:hint="eastAsia" w:ascii="仿宋_GB2312" w:hAnsi="仿宋_GB2312" w:eastAsia="仿宋_GB2312" w:cs="仿宋_GB2312"/>
          <w:sz w:val="32"/>
          <w:szCs w:val="32"/>
        </w:rPr>
        <w:t>万元以上的通用</w:t>
      </w:r>
      <w:r>
        <w:rPr>
          <w:rFonts w:hint="eastAsia" w:ascii="仿宋_GB2312" w:hAnsi="仿宋_GB2312" w:eastAsia="仿宋_GB2312" w:cs="仿宋_GB2312"/>
          <w:sz w:val="32"/>
          <w:szCs w:val="32"/>
        </w:rPr>
        <w:t>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价</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万元以上的</w:t>
      </w:r>
      <w:r>
        <w:rPr>
          <w:rFonts w:hint="eastAsia" w:ascii="仿宋_GB2312" w:hAnsi="仿宋_GB2312" w:eastAsia="仿宋_GB2312" w:cs="仿宋_GB2312"/>
          <w:sz w:val="32"/>
          <w:szCs w:val="32"/>
        </w:rPr>
        <w:t>专</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rPr>
        <w:t>年当年</w:t>
      </w:r>
      <w:r>
        <w:rPr>
          <w:rFonts w:hint="eastAsia" w:ascii="仿宋_GB2312" w:hAnsi="仿宋_GB2312" w:eastAsia="仿宋_GB2312" w:cs="仿宋_GB2312"/>
          <w:sz w:val="32"/>
          <w:szCs w:val="32"/>
        </w:rPr>
        <w:t>购</w:t>
      </w:r>
      <w:r>
        <w:rPr>
          <w:rFonts w:hint="eastAsia" w:ascii="仿宋_GB2312" w:hAnsi="仿宋_GB2312" w:eastAsia="仿宋_GB2312" w:cs="仿宋_GB2312"/>
          <w:sz w:val="32"/>
          <w:szCs w:val="32"/>
        </w:rPr>
        <w:t>置</w:t>
      </w:r>
      <w:r>
        <w:rPr>
          <w:rFonts w:hint="eastAsia" w:ascii="仿宋_GB2312" w:hAnsi="仿宋_GB2312" w:eastAsia="仿宋_GB2312" w:cs="仿宋_GB2312"/>
          <w:sz w:val="32"/>
          <w:szCs w:val="32"/>
        </w:rPr>
        <w:t>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t>购</w:t>
      </w:r>
      <w:r>
        <w:rPr>
          <w:rFonts w:hint="eastAsia" w:ascii="仿宋_GB2312" w:hAnsi="仿宋_GB2312" w:eastAsia="仿宋_GB2312" w:cs="仿宋_GB2312"/>
          <w:sz w:val="32"/>
          <w:szCs w:val="32"/>
        </w:rPr>
        <w:t>置</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价</w:t>
      </w:r>
      <w:r>
        <w:rPr>
          <w:rFonts w:hint="eastAsia" w:ascii="仿宋_GB2312" w:hAnsi="仿宋_GB2312" w:eastAsia="仿宋_GB2312" w:cs="仿宋_GB2312"/>
          <w:sz w:val="32"/>
          <w:szCs w:val="32"/>
        </w:rPr>
        <w:t>50</w:t>
      </w:r>
      <w:r>
        <w:rPr>
          <w:rFonts w:hint="eastAsia" w:ascii="仿宋_GB2312" w:hAnsi="仿宋_GB2312" w:eastAsia="仿宋_GB2312" w:cs="仿宋_GB2312"/>
          <w:sz w:val="32"/>
          <w:szCs w:val="32"/>
        </w:rPr>
        <w:t>万元以上的通用</w:t>
      </w:r>
      <w:r>
        <w:rPr>
          <w:rFonts w:hint="eastAsia" w:ascii="仿宋_GB2312" w:hAnsi="仿宋_GB2312" w:eastAsia="仿宋_GB2312" w:cs="仿宋_GB2312"/>
          <w:sz w:val="32"/>
          <w:szCs w:val="32"/>
        </w:rPr>
        <w:t>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rPr>
        <w:t>购</w:t>
      </w:r>
      <w:r>
        <w:rPr>
          <w:rFonts w:hint="eastAsia" w:ascii="仿宋_GB2312" w:hAnsi="仿宋_GB2312" w:eastAsia="仿宋_GB2312" w:cs="仿宋_GB2312"/>
          <w:sz w:val="32"/>
          <w:szCs w:val="32"/>
        </w:rPr>
        <w:t>置</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价</w:t>
      </w:r>
      <w:r>
        <w:rPr>
          <w:rFonts w:hint="eastAsia" w:ascii="仿宋_GB2312" w:hAnsi="仿宋_GB2312" w:eastAsia="仿宋_GB2312" w:cs="仿宋_GB2312"/>
          <w:sz w:val="32"/>
          <w:szCs w:val="32"/>
        </w:rPr>
        <w:t>100</w:t>
      </w:r>
      <w:r>
        <w:rPr>
          <w:rFonts w:hint="eastAsia" w:ascii="仿宋_GB2312" w:hAnsi="仿宋_GB2312" w:eastAsia="仿宋_GB2312" w:cs="仿宋_GB2312"/>
          <w:sz w:val="32"/>
          <w:szCs w:val="32"/>
        </w:rPr>
        <w:t>万元以上的</w:t>
      </w:r>
      <w:r>
        <w:rPr>
          <w:rFonts w:hint="eastAsia" w:ascii="仿宋_GB2312" w:hAnsi="仿宋_GB2312" w:eastAsia="仿宋_GB2312" w:cs="仿宋_GB2312"/>
          <w:sz w:val="32"/>
          <w:szCs w:val="32"/>
        </w:rPr>
        <w:t>专</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tbl>
      <w:tblPr>
        <w:tblStyle w:val="9"/>
        <w:tblW w:w="101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1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4" w:hRule="atLeast"/>
        </w:trPr>
        <w:tc>
          <w:tcPr>
            <w:tcW w:w="10157" w:type="dxa"/>
            <w:tcBorders>
              <w:top w:val="nil"/>
              <w:left w:val="nil"/>
              <w:bottom w:val="nil"/>
              <w:right w:val="nil"/>
              <w:tl2br w:val="nil"/>
              <w:tr2bl w:val="nil"/>
            </w:tcBorders>
            <w:noWrap/>
          </w:tcPr>
          <w:p>
            <w:pPr>
              <w:widowControl/>
              <w:spacing w:line="56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十三、预算绩效情况说明</w:t>
            </w:r>
          </w:p>
          <w:p>
            <w:pPr>
              <w:widowControl/>
              <w:spacing w:line="560" w:lineRule="exact"/>
              <w:ind w:left="1281" w:leftChars="304" w:hanging="643" w:hangingChars="200"/>
              <w:jc w:val="left"/>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 xml:space="preserve">（一）预算绩效管理工作开展情况说明。     </w:t>
            </w:r>
          </w:p>
          <w:p>
            <w:pPr>
              <w:adjustRightInd w:val="0"/>
              <w:snapToGrid w:val="0"/>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根据预算绩效管理要求，本部门组织对2020</w:t>
            </w:r>
            <w:r>
              <w:rPr>
                <w:rFonts w:hint="eastAsia" w:ascii="仿宋_GB2312" w:hAnsi="仿宋_GB2312" w:eastAsia="仿宋_GB2312" w:cs="仿宋_GB2312"/>
                <w:sz w:val="32"/>
                <w:szCs w:val="40"/>
              </w:rPr>
              <w:t>年一般公共预算项目支出全面开展绩效自评，其中，一级项目</w:t>
            </w:r>
            <w:r>
              <w:rPr>
                <w:rFonts w:hint="eastAsia" w:ascii="仿宋_GB2312" w:hAnsi="仿宋_GB2312" w:eastAsia="仿宋_GB2312" w:cs="仿宋_GB2312"/>
                <w:sz w:val="32"/>
                <w:szCs w:val="40"/>
                <w:lang w:val="en-US" w:eastAsia="zh-CN"/>
              </w:rPr>
              <w:t>7</w:t>
            </w:r>
            <w:r>
              <w:rPr>
                <w:rFonts w:hint="eastAsia" w:ascii="仿宋_GB2312" w:hAnsi="仿宋_GB2312" w:eastAsia="仿宋_GB2312" w:cs="仿宋_GB2312"/>
                <w:sz w:val="32"/>
                <w:szCs w:val="40"/>
              </w:rPr>
              <w:t>个，二级项目</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个，共涉及资金</w:t>
            </w:r>
            <w:r>
              <w:rPr>
                <w:rFonts w:hint="eastAsia" w:ascii="仿宋_GB2312" w:hAnsi="仿宋_GB2312" w:eastAsia="仿宋_GB2312" w:cs="仿宋_GB2312"/>
                <w:sz w:val="32"/>
                <w:szCs w:val="40"/>
                <w:lang w:val="en-US" w:eastAsia="zh-CN"/>
              </w:rPr>
              <w:t>20</w:t>
            </w:r>
            <w:r>
              <w:rPr>
                <w:rFonts w:hint="eastAsia" w:ascii="仿宋_GB2312" w:hAnsi="仿宋_GB2312" w:eastAsia="仿宋_GB2312" w:cs="仿宋_GB2312"/>
                <w:sz w:val="32"/>
                <w:szCs w:val="40"/>
              </w:rPr>
              <w:t>万元，占一般公共预算项目支出总额的</w:t>
            </w:r>
            <w:r>
              <w:rPr>
                <w:rFonts w:hint="eastAsia" w:ascii="仿宋_GB2312" w:hAnsi="仿宋_GB2312" w:eastAsia="仿宋_GB2312" w:cs="仿宋_GB2312"/>
                <w:sz w:val="32"/>
                <w:szCs w:val="40"/>
                <w:lang w:val="en-US" w:eastAsia="zh-CN"/>
              </w:rPr>
              <w:t>69.77</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rPr>
              <w:t>。组织对2020</w:t>
            </w:r>
            <w:r>
              <w:rPr>
                <w:rFonts w:hint="eastAsia" w:ascii="仿宋_GB2312" w:hAnsi="仿宋_GB2312" w:eastAsia="仿宋_GB2312" w:cs="仿宋_GB2312"/>
                <w:sz w:val="32"/>
                <w:szCs w:val="40"/>
              </w:rPr>
              <w:t>年</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个政府性基金预算项目支出开展绩效自评，共涉及资金</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万元，占政府性基金预算项目支出总额的</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rPr>
              <w:t>。</w:t>
            </w:r>
          </w:p>
          <w:p>
            <w:pPr>
              <w:widowControl/>
              <w:spacing w:line="560" w:lineRule="exact"/>
              <w:ind w:firstLine="643" w:firstLineChars="200"/>
              <w:jc w:val="left"/>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（二）部门决算中项目绩效自评结果。</w:t>
            </w:r>
          </w:p>
          <w:p>
            <w:pPr>
              <w:adjustRightInd w:val="0"/>
              <w:snapToGrid w:val="0"/>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本部门在区级部门决算中反映</w:t>
            </w:r>
            <w:r>
              <w:rPr>
                <w:rFonts w:hint="eastAsia" w:ascii="仿宋_GB2312" w:hAnsi="仿宋_GB2312" w:eastAsia="仿宋_GB2312" w:cs="仿宋_GB2312"/>
                <w:color w:val="000000"/>
                <w:kern w:val="0"/>
                <w:sz w:val="32"/>
                <w:szCs w:val="32"/>
                <w:lang w:val="en-US" w:eastAsia="zh-CN"/>
              </w:rPr>
              <w:t>客运站场周边秩序整治经费、</w:t>
            </w:r>
            <w:r>
              <w:rPr>
                <w:rFonts w:hint="eastAsia" w:ascii="仿宋_GB2312" w:hAnsi="仿宋_GB2312" w:eastAsia="仿宋_GB2312" w:cs="仿宋_GB2312"/>
                <w:sz w:val="32"/>
                <w:szCs w:val="32"/>
              </w:rPr>
              <w:t>汽修行业铁腕治霾工作经费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“散乱污”企业专项整治工作经费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诚信体系建设、大数据及新经济产业建设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强工业稳增长经费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军民融合工作经费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亲商助企经费</w:t>
            </w:r>
            <w:r>
              <w:rPr>
                <w:rFonts w:hint="eastAsia" w:ascii="仿宋_GB2312" w:hAnsi="仿宋_GB2312" w:eastAsia="仿宋_GB2312" w:cs="仿宋_GB2312"/>
                <w:sz w:val="32"/>
                <w:szCs w:val="40"/>
              </w:rPr>
              <w:t>等</w:t>
            </w:r>
            <w:r>
              <w:rPr>
                <w:rFonts w:hint="eastAsia" w:ascii="仿宋_GB2312" w:hAnsi="仿宋_GB2312" w:eastAsia="仿宋_GB2312" w:cs="仿宋_GB2312"/>
                <w:sz w:val="32"/>
                <w:szCs w:val="40"/>
                <w:lang w:val="en-US" w:eastAsia="zh-CN"/>
              </w:rPr>
              <w:t>7</w:t>
            </w:r>
            <w:r>
              <w:rPr>
                <w:rFonts w:hint="eastAsia" w:ascii="仿宋_GB2312" w:hAnsi="仿宋_GB2312" w:eastAsia="仿宋_GB2312" w:cs="仿宋_GB2312"/>
                <w:sz w:val="32"/>
                <w:szCs w:val="40"/>
              </w:rPr>
              <w:t>个一级项目绩效自评结果。</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lang w:val="en-US" w:eastAsia="zh-CN"/>
              </w:rPr>
              <w:t>客运站场周边秩序整治经费</w:t>
            </w:r>
            <w:r>
              <w:rPr>
                <w:rFonts w:hint="eastAsia" w:ascii="仿宋_GB2312" w:hAnsi="仿宋_GB2312" w:eastAsia="仿宋_GB2312" w:cs="仿宋_GB2312"/>
                <w:sz w:val="32"/>
                <w:szCs w:val="40"/>
              </w:rPr>
              <w:t>项目绩效自评综述：项目全年预算数</w:t>
            </w:r>
            <w:r>
              <w:rPr>
                <w:rFonts w:hint="eastAsia" w:ascii="仿宋_GB2312" w:hAnsi="仿宋_GB2312" w:eastAsia="仿宋_GB2312" w:cs="仿宋_GB2312"/>
                <w:sz w:val="32"/>
                <w:szCs w:val="40"/>
                <w:lang w:val="en-US" w:eastAsia="zh-CN"/>
              </w:rPr>
              <w:t>1</w:t>
            </w:r>
            <w:r>
              <w:rPr>
                <w:rFonts w:hint="eastAsia" w:ascii="仿宋_GB2312" w:hAnsi="仿宋_GB2312" w:eastAsia="仿宋_GB2312" w:cs="仿宋_GB2312"/>
                <w:sz w:val="32"/>
                <w:szCs w:val="40"/>
              </w:rPr>
              <w:t>万元，执行数</w:t>
            </w:r>
            <w:r>
              <w:rPr>
                <w:rFonts w:hint="eastAsia" w:ascii="仿宋_GB2312" w:hAnsi="仿宋_GB2312" w:eastAsia="仿宋_GB2312" w:cs="仿宋_GB2312"/>
                <w:sz w:val="32"/>
                <w:szCs w:val="40"/>
                <w:lang w:val="en-US" w:eastAsia="zh-CN"/>
              </w:rPr>
              <w:t>1</w:t>
            </w:r>
            <w:r>
              <w:rPr>
                <w:rFonts w:hint="eastAsia" w:ascii="仿宋_GB2312" w:hAnsi="仿宋_GB2312" w:eastAsia="仿宋_GB2312" w:cs="仿宋_GB2312"/>
                <w:sz w:val="32"/>
                <w:szCs w:val="40"/>
              </w:rPr>
              <w:t>万元，完成预算的</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项目绩效目标完成情况：</w:t>
            </w:r>
            <w:r>
              <w:rPr>
                <w:rFonts w:hint="eastAsia" w:ascii="仿宋_GB2312" w:hAnsi="仿宋_GB2312" w:eastAsia="仿宋_GB2312" w:cs="仿宋_GB2312"/>
                <w:sz w:val="32"/>
                <w:szCs w:val="40"/>
                <w:lang w:val="en-US" w:eastAsia="zh-CN"/>
              </w:rPr>
              <w:t>我局联合交通运输支队</w:t>
            </w:r>
            <w:r>
              <w:rPr>
                <w:rFonts w:hint="eastAsia" w:ascii="仿宋_GB2312" w:hAnsi="仿宋_GB2312" w:eastAsia="仿宋_GB2312" w:cs="仿宋_GB2312"/>
                <w:color w:val="000000"/>
                <w:kern w:val="0"/>
                <w:sz w:val="32"/>
                <w:szCs w:val="32"/>
                <w:lang w:val="en-US" w:eastAsia="zh-CN"/>
              </w:rPr>
              <w:t>开展交通运输行业企业安全生产联合执法，</w:t>
            </w:r>
            <w:r>
              <w:rPr>
                <w:rFonts w:hint="eastAsia" w:ascii="仿宋_GB2312" w:hAnsi="仿宋_GB2312" w:eastAsia="仿宋_GB2312" w:cs="仿宋_GB2312"/>
                <w:sz w:val="32"/>
                <w:szCs w:val="32"/>
              </w:rPr>
              <w:t>扫黑除恶、行业法规法制宣传，消除辖区交通运输行业安全隐患，规范辖区交通运输市场，优化我区交通运输营商环境</w:t>
            </w:r>
            <w:r>
              <w:rPr>
                <w:rFonts w:hint="eastAsia" w:ascii="仿宋_GB2312" w:hAnsi="仿宋_GB2312" w:eastAsia="仿宋_GB2312" w:cs="仿宋_GB2312"/>
                <w:sz w:val="32"/>
                <w:szCs w:val="40"/>
              </w:rPr>
              <w:t>发现的问题及原因：</w:t>
            </w:r>
            <w:r>
              <w:rPr>
                <w:rFonts w:hint="eastAsia" w:ascii="仿宋_GB2312" w:hAnsi="仿宋_GB2312" w:eastAsia="仿宋_GB2312" w:cs="仿宋_GB2312"/>
                <w:sz w:val="32"/>
                <w:szCs w:val="40"/>
                <w:lang w:val="en-US" w:eastAsia="zh-CN"/>
              </w:rPr>
              <w:t>在调研、检查中发现有些企业对</w:t>
            </w:r>
            <w:r>
              <w:rPr>
                <w:rFonts w:hint="eastAsia" w:ascii="仿宋_GB2312" w:hAnsi="仿宋_GB2312" w:eastAsia="仿宋_GB2312" w:cs="仿宋_GB2312"/>
                <w:sz w:val="32"/>
                <w:szCs w:val="32"/>
              </w:rPr>
              <w:t>交通运输行业安全隐患</w:t>
            </w:r>
            <w:r>
              <w:rPr>
                <w:rFonts w:hint="eastAsia" w:ascii="仿宋_GB2312" w:hAnsi="仿宋_GB2312" w:eastAsia="仿宋_GB2312" w:cs="仿宋_GB2312"/>
                <w:sz w:val="32"/>
                <w:szCs w:val="32"/>
                <w:lang w:val="en-US" w:eastAsia="zh-CN"/>
              </w:rPr>
              <w:t>认识不充分，实际操作不过关</w:t>
            </w:r>
            <w:r>
              <w:rPr>
                <w:rFonts w:hint="eastAsia" w:ascii="仿宋_GB2312" w:hAnsi="仿宋_GB2312" w:eastAsia="仿宋_GB2312" w:cs="仿宋_GB2312"/>
                <w:sz w:val="32"/>
                <w:szCs w:val="40"/>
              </w:rPr>
              <w:t>。下一步改进措施：</w:t>
            </w:r>
            <w:r>
              <w:rPr>
                <w:rFonts w:hint="eastAsia" w:ascii="仿宋_GB2312" w:hAnsi="仿宋_GB2312" w:eastAsia="仿宋_GB2312" w:cs="仿宋_GB2312"/>
                <w:sz w:val="32"/>
                <w:szCs w:val="40"/>
                <w:lang w:val="en-US" w:eastAsia="zh-CN"/>
              </w:rPr>
              <w:t>联系企业加强</w:t>
            </w:r>
            <w:r>
              <w:rPr>
                <w:rFonts w:hint="eastAsia" w:ascii="仿宋_GB2312" w:hAnsi="仿宋_GB2312" w:eastAsia="仿宋_GB2312" w:cs="仿宋_GB2312"/>
                <w:sz w:val="32"/>
                <w:szCs w:val="32"/>
              </w:rPr>
              <w:t>行业法规法制宣传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加强检查力度及频率</w:t>
            </w:r>
            <w:r>
              <w:rPr>
                <w:rFonts w:hint="eastAsia" w:ascii="仿宋_GB2312" w:hAnsi="仿宋_GB2312" w:eastAsia="仿宋_GB2312" w:cs="仿宋_GB2312"/>
                <w:sz w:val="32"/>
                <w:szCs w:val="40"/>
              </w:rPr>
              <w:t>。</w:t>
            </w:r>
          </w:p>
          <w:p>
            <w:pPr>
              <w:rPr>
                <w:rFonts w:hint="eastAsia" w:ascii="仿宋_GB2312" w:hAnsi="仿宋_GB2312" w:eastAsia="仿宋_GB2312" w:cs="仿宋_GB2312"/>
                <w:b/>
                <w:bCs/>
                <w:color w:val="000000"/>
                <w:kern w:val="0"/>
                <w:sz w:val="36"/>
                <w:szCs w:val="36"/>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1"/>
              <w:gridCol w:w="200"/>
              <w:gridCol w:w="514"/>
              <w:gridCol w:w="152"/>
              <w:gridCol w:w="841"/>
              <w:gridCol w:w="527"/>
              <w:gridCol w:w="123"/>
              <w:gridCol w:w="989"/>
              <w:gridCol w:w="1074"/>
              <w:gridCol w:w="97"/>
              <w:gridCol w:w="944"/>
              <w:gridCol w:w="322"/>
              <w:gridCol w:w="776"/>
              <w:gridCol w:w="49"/>
              <w:gridCol w:w="672"/>
              <w:gridCol w:w="307"/>
              <w:gridCol w:w="638"/>
              <w:gridCol w:w="1026"/>
              <w:gridCol w:w="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59" w:hRule="atLeast"/>
              </w:trPr>
              <w:tc>
                <w:tcPr>
                  <w:tcW w:w="1114"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004" w:type="dxa"/>
                  <w:gridSpan w:val="1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客运站场周边秩序整治经费</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63" w:hRule="atLeast"/>
              </w:trPr>
              <w:tc>
                <w:tcPr>
                  <w:tcW w:w="1114"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31" w:type="dxa"/>
                  <w:gridSpan w:val="6"/>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13" w:type="dxa"/>
                  <w:gridSpan w:val="6"/>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西安市交通运输综合执法支队莲湖大队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1093" w:hRule="atLeast"/>
              </w:trPr>
              <w:tc>
                <w:tcPr>
                  <w:tcW w:w="1114"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19"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84"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6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542" w:type="dxa"/>
                  <w:gridSpan w:val="7"/>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19"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w:t>
                  </w: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　</w:t>
                  </w:r>
                </w:p>
              </w:tc>
              <w:tc>
                <w:tcPr>
                  <w:tcW w:w="86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542" w:type="dxa"/>
                  <w:gridSpan w:val="7"/>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w:t>
                  </w: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w:t>
                  </w:r>
                  <w:r>
                    <w:rPr>
                      <w:rFonts w:hint="eastAsia" w:ascii="仿宋_GB2312" w:hAnsi="仿宋_GB2312" w:eastAsia="仿宋_GB2312" w:cs="仿宋_GB2312"/>
                      <w:color w:val="000000"/>
                      <w:kern w:val="0"/>
                      <w:sz w:val="22"/>
                      <w:szCs w:val="22"/>
                    </w:rPr>
                    <w:t>　</w:t>
                  </w:r>
                </w:p>
              </w:tc>
              <w:tc>
                <w:tcPr>
                  <w:tcW w:w="86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542" w:type="dxa"/>
                  <w:gridSpan w:val="7"/>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2542" w:type="dxa"/>
                  <w:gridSpan w:val="7"/>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0"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09"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673" w:type="dxa"/>
                  <w:gridSpan w:val="9"/>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1409" w:hRule="atLeast"/>
              </w:trPr>
              <w:tc>
                <w:tcPr>
                  <w:tcW w:w="436" w:type="dxa"/>
                  <w:vMerge w:val="continue"/>
                  <w:vAlign w:val="center"/>
                </w:tcPr>
                <w:p>
                  <w:pPr>
                    <w:rPr>
                      <w:rFonts w:hint="eastAsia" w:ascii="仿宋_GB2312" w:hAnsi="仿宋_GB2312" w:eastAsia="仿宋_GB2312" w:cs="仿宋_GB2312"/>
                    </w:rPr>
                  </w:pPr>
                </w:p>
              </w:tc>
              <w:tc>
                <w:tcPr>
                  <w:tcW w:w="4009"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1.开展交通运输行业安全生产联合执法不下于10次。2.扫黑除恶、行业法规法制宣传不超于5次。3.消除辖区交通运输行业安全隐患排查不少于5次。</w:t>
                  </w:r>
                  <w:r>
                    <w:rPr>
                      <w:rFonts w:hint="eastAsia" w:ascii="仿宋_GB2312" w:hAnsi="仿宋_GB2312" w:eastAsia="仿宋_GB2312" w:cs="仿宋_GB2312"/>
                      <w:color w:val="000000"/>
                      <w:kern w:val="0"/>
                      <w:sz w:val="22"/>
                      <w:szCs w:val="22"/>
                    </w:rPr>
                    <w:t>　</w:t>
                  </w:r>
                </w:p>
              </w:tc>
              <w:tc>
                <w:tcPr>
                  <w:tcW w:w="4673" w:type="dxa"/>
                  <w:gridSpan w:val="9"/>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1.开展交通运输行业安全生产联合执法不下于12次。2.扫黑除恶、行业法规法制宣传不超于7次。3.消除辖区交通运输行业安全隐患排查不少于8次。</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866"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78"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28" w:type="dxa"/>
                  <w:gridSpan w:val="4"/>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8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81"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47" w:type="dxa"/>
                  <w:gridSpan w:val="3"/>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64"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315"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rPr>
                      <w:rFonts w:hint="eastAsia" w:ascii="仿宋_GB2312" w:hAnsi="仿宋_GB2312" w:eastAsia="仿宋_GB2312" w:cs="仿宋_GB2312"/>
                    </w:rPr>
                  </w:pPr>
                </w:p>
              </w:tc>
              <w:tc>
                <w:tcPr>
                  <w:tcW w:w="1019" w:type="dxa"/>
                  <w:vMerge w:val="continue"/>
                  <w:vAlign w:val="center"/>
                </w:tcPr>
                <w:p>
                  <w:pPr>
                    <w:rPr>
                      <w:rFonts w:hint="eastAsia" w:ascii="仿宋_GB2312" w:hAnsi="仿宋_GB2312" w:eastAsia="仿宋_GB2312" w:cs="仿宋_GB2312"/>
                    </w:rPr>
                  </w:pPr>
                </w:p>
              </w:tc>
              <w:tc>
                <w:tcPr>
                  <w:tcW w:w="884" w:type="dxa"/>
                  <w:vMerge w:val="continue"/>
                  <w:vAlign w:val="center"/>
                </w:tcPr>
                <w:p>
                  <w:pPr>
                    <w:rPr>
                      <w:rFonts w:hint="eastAsia" w:ascii="仿宋_GB2312" w:hAnsi="仿宋_GB2312" w:eastAsia="仿宋_GB2312" w:cs="仿宋_GB2312"/>
                    </w:rPr>
                  </w:pPr>
                </w:p>
              </w:tc>
              <w:tc>
                <w:tcPr>
                  <w:tcW w:w="881" w:type="dxa"/>
                  <w:gridSpan w:val="2"/>
                  <w:vMerge w:val="continue"/>
                  <w:vAlign w:val="center"/>
                </w:tcPr>
                <w:p>
                  <w:pPr>
                    <w:rPr>
                      <w:rFonts w:hint="eastAsia" w:ascii="仿宋_GB2312" w:hAnsi="仿宋_GB2312" w:eastAsia="仿宋_GB2312" w:cs="仿宋_GB2312"/>
                    </w:rPr>
                  </w:pPr>
                </w:p>
              </w:tc>
              <w:tc>
                <w:tcPr>
                  <w:tcW w:w="1247" w:type="dxa"/>
                  <w:gridSpan w:val="3"/>
                  <w:vMerge w:val="continue"/>
                  <w:vAlign w:val="center"/>
                </w:tcPr>
                <w:p>
                  <w:pPr>
                    <w:rPr>
                      <w:rFonts w:hint="eastAsia" w:ascii="仿宋_GB2312" w:hAnsi="仿宋_GB2312" w:eastAsia="仿宋_GB2312" w:cs="仿宋_GB2312"/>
                    </w:rPr>
                  </w:pPr>
                </w:p>
              </w:tc>
              <w:tc>
                <w:tcPr>
                  <w:tcW w:w="881" w:type="dxa"/>
                  <w:gridSpan w:val="2"/>
                  <w:vMerge w:val="continue"/>
                  <w:vAlign w:val="center"/>
                </w:tcPr>
                <w:p>
                  <w:pPr>
                    <w:rPr>
                      <w:rFonts w:hint="eastAsia" w:ascii="仿宋_GB2312" w:hAnsi="仿宋_GB2312" w:eastAsia="仿宋_GB2312" w:cs="仿宋_GB2312"/>
                    </w:rPr>
                  </w:pPr>
                </w:p>
              </w:tc>
              <w:tc>
                <w:tcPr>
                  <w:tcW w:w="1664" w:type="dxa"/>
                  <w:gridSpan w:val="2"/>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95"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28" w:type="dxa"/>
                  <w:gridSpan w:val="4"/>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安全生产联合检查次数</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10次</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12</w:t>
                  </w: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次</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61"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行业法规法制宣传次数</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5次</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7次</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57"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安全隐患排查次数</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5次</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8次</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检查及时率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100%</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100%</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宣传覆盖率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排查合格</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88%</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75"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安全生产检查经费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0.35万元</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0.35万元</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08"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行业法规法制宣传经费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0.3万元</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0.3万元</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65"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安全隐患排查经费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0.35万元</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0.35万元</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74"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89"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消除安全隐患规范交通运输营商环境</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531"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721" w:hRule="atLeast"/>
              </w:trPr>
              <w:tc>
                <w:tcPr>
                  <w:tcW w:w="436" w:type="dxa"/>
                  <w:vMerge w:val="continue"/>
                  <w:vAlign w:val="center"/>
                </w:tcPr>
                <w:p>
                  <w:pPr>
                    <w:rPr>
                      <w:rFonts w:hint="eastAsia" w:ascii="仿宋_GB2312" w:hAnsi="仿宋_GB2312" w:eastAsia="仿宋_GB2312" w:cs="仿宋_GB2312"/>
                    </w:rPr>
                  </w:pPr>
                </w:p>
              </w:tc>
              <w:tc>
                <w:tcPr>
                  <w:tcW w:w="678" w:type="dxa"/>
                  <w:gridSpan w:val="2"/>
                  <w:vMerge w:val="continue"/>
                  <w:vAlign w:val="center"/>
                </w:tcPr>
                <w:p>
                  <w:pPr>
                    <w:rPr>
                      <w:rFonts w:hint="eastAsia" w:ascii="仿宋_GB2312" w:hAnsi="仿宋_GB2312" w:eastAsia="仿宋_GB2312" w:cs="仿宋_GB2312"/>
                    </w:rPr>
                  </w:pP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83" w:hRule="atLeast"/>
              </w:trPr>
              <w:tc>
                <w:tcPr>
                  <w:tcW w:w="436" w:type="dxa"/>
                  <w:vMerge w:val="continue"/>
                  <w:vAlign w:val="center"/>
                </w:tcPr>
                <w:p>
                  <w:pPr>
                    <w:rPr>
                      <w:rFonts w:hint="eastAsia" w:ascii="仿宋_GB2312" w:hAnsi="仿宋_GB2312" w:eastAsia="仿宋_GB2312" w:cs="仿宋_GB2312"/>
                    </w:rPr>
                  </w:pPr>
                </w:p>
              </w:tc>
              <w:tc>
                <w:tcPr>
                  <w:tcW w:w="678"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28"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辖区群众满意度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≥85%</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9" w:type="dxa"/>
                <w:trHeight w:val="466" w:hRule="atLeast"/>
              </w:trPr>
              <w:tc>
                <w:tcPr>
                  <w:tcW w:w="5326" w:type="dxa"/>
                  <w:gridSpan w:val="11"/>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47" w:type="dxa"/>
                  <w:gridSpan w:val="3"/>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81"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9247" w:type="dxa"/>
                  <w:gridSpan w:val="19"/>
                  <w:tcBorders>
                    <w:top w:val="nil"/>
                    <w:left w:val="nil"/>
                    <w:bottom w:val="nil"/>
                    <w:right w:val="nil"/>
                    <w:tl2br w:val="nil"/>
                    <w:tr2bl w:val="nil"/>
                  </w:tcBorders>
                  <w:noWrap/>
                  <w:vAlign w:val="center"/>
                </w:tcPr>
                <w:p>
                  <w:pPr>
                    <w:jc w:val="center"/>
                    <w:rPr>
                      <w:rFonts w:hint="eastAsia" w:ascii="仿宋_GB2312" w:hAnsi="仿宋_GB2312" w:eastAsia="仿宋_GB2312" w:cs="仿宋_GB2312"/>
                      <w:b/>
                      <w:bCs/>
                      <w:color w:val="000000"/>
                      <w:kern w:val="0"/>
                      <w:sz w:val="36"/>
                      <w:szCs w:val="36"/>
                    </w:rPr>
                  </w:pP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sz w:val="32"/>
                      <w:szCs w:val="32"/>
                    </w:rPr>
                    <w:t>汽修行业铁腕治霾工作经费项目绩效自评综述：项目全年预算数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项目绩效目标完成情况：</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b w:val="0"/>
                      <w:bCs w:val="0"/>
                      <w:sz w:val="32"/>
                      <w:szCs w:val="32"/>
                    </w:rPr>
                    <w:t xml:space="preserve">对辖区汽修企业开展走访、调研、检查，统一规范企业铁腕治霾资料 </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对辖区汽修行业铁腕治霾开展专项整治3.对辖区单位及个人汽修行业铁腕治霾工作进行培训、宣传工作</w:t>
                  </w:r>
                  <w:r>
                    <w:rPr>
                      <w:rFonts w:hint="eastAsia" w:ascii="仿宋_GB2312" w:hAnsi="仿宋_GB2312" w:eastAsia="仿宋_GB2312" w:cs="仿宋_GB2312"/>
                      <w:sz w:val="32"/>
                      <w:szCs w:val="32"/>
                    </w:rPr>
                    <w:t>发现的问题及原因：</w:t>
                  </w:r>
                  <w:r>
                    <w:rPr>
                      <w:rFonts w:hint="eastAsia" w:ascii="仿宋_GB2312" w:hAnsi="仿宋_GB2312" w:eastAsia="仿宋_GB2312" w:cs="仿宋_GB2312"/>
                      <w:sz w:val="32"/>
                      <w:szCs w:val="32"/>
                      <w:lang w:val="en-US" w:eastAsia="zh-CN"/>
                    </w:rPr>
                    <w:t>个别企业环保意识不够</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对辖区</w:t>
                  </w:r>
                  <w:r>
                    <w:rPr>
                      <w:rFonts w:hint="eastAsia" w:ascii="仿宋_GB2312" w:hAnsi="仿宋_GB2312" w:eastAsia="仿宋_GB2312" w:cs="仿宋_GB2312"/>
                      <w:b w:val="0"/>
                      <w:bCs w:val="0"/>
                      <w:sz w:val="32"/>
                      <w:szCs w:val="32"/>
                    </w:rPr>
                    <w:t>霾</w:t>
                  </w:r>
                  <w:r>
                    <w:rPr>
                      <w:rFonts w:hint="eastAsia" w:ascii="仿宋_GB2312" w:hAnsi="仿宋_GB2312" w:eastAsia="仿宋_GB2312" w:cs="仿宋_GB2312"/>
                      <w:sz w:val="32"/>
                      <w:szCs w:val="32"/>
                      <w:lang w:val="en-US" w:eastAsia="zh-CN"/>
                    </w:rPr>
                    <w:t>重点工业企业加强环保</w:t>
                  </w:r>
                  <w:r>
                    <w:rPr>
                      <w:rFonts w:hint="eastAsia" w:ascii="仿宋_GB2312" w:hAnsi="仿宋_GB2312" w:eastAsia="仿宋_GB2312" w:cs="仿宋_GB2312"/>
                      <w:sz w:val="32"/>
                      <w:szCs w:val="32"/>
                    </w:rPr>
                    <w:t>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加强检查力度及频率</w:t>
                  </w:r>
                  <w:r>
                    <w:rPr>
                      <w:rFonts w:hint="eastAsia" w:ascii="仿宋_GB2312" w:hAnsi="仿宋_GB2312" w:eastAsia="仿宋_GB2312" w:cs="仿宋_GB2312"/>
                      <w:sz w:val="32"/>
                      <w:szCs w:val="32"/>
                    </w:rPr>
                    <w:t>。</w:t>
                  </w:r>
                </w:p>
                <w:p>
                  <w:pPr>
                    <w:jc w:val="center"/>
                    <w:rPr>
                      <w:rFonts w:hint="eastAsia" w:ascii="仿宋_GB2312" w:hAnsi="仿宋_GB2312" w:eastAsia="仿宋_GB2312" w:cs="仿宋_GB2312"/>
                      <w:b/>
                      <w:bCs/>
                      <w:color w:val="000000"/>
                      <w:kern w:val="0"/>
                      <w:sz w:val="36"/>
                      <w:szCs w:val="36"/>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004"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汽修行业铁腕治霾工作经费</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31"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13"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19"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84"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19"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3</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3</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3</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pPr>
                          <w:rPr>
                            <w:rFonts w:hint="eastAsia" w:ascii="仿宋_GB2312" w:hAnsi="仿宋_GB2312" w:eastAsia="仿宋_GB2312" w:cs="仿宋_GB2312"/>
                          </w:rPr>
                        </w:pP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1对辖区汽修企业展开走访、调研、检查，.统一规范企业铁腕治霾资料。2.对辖区汽修行业铁腕治霾开展专项整治。3.对企业及个人汽修行业铁腕治霾工作进行培训、宣传次数不低于5次。</w:t>
                        </w:r>
                        <w:r>
                          <w:rPr>
                            <w:rFonts w:hint="eastAsia" w:ascii="仿宋_GB2312" w:hAnsi="仿宋_GB2312" w:eastAsia="仿宋_GB2312" w:cs="仿宋_GB2312"/>
                            <w:color w:val="000000"/>
                            <w:kern w:val="0"/>
                            <w:sz w:val="22"/>
                            <w:szCs w:val="22"/>
                          </w:rPr>
                          <w:t>　</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1整合汽修企业铁腕治霾资料。2.汽修行业铁腕治霾专项整治。3.企业及个人汽修行业进行培训、宣传不低于8次。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7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2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8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47"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6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Merge w:val="continue"/>
                        <w:vAlign w:val="center"/>
                      </w:tcPr>
                      <w:p>
                        <w:pPr>
                          <w:rPr>
                            <w:rFonts w:hint="eastAsia" w:ascii="仿宋_GB2312" w:hAnsi="仿宋_GB2312" w:eastAsia="仿宋_GB2312" w:cs="仿宋_GB2312"/>
                          </w:rPr>
                        </w:pPr>
                      </w:p>
                    </w:tc>
                    <w:tc>
                      <w:tcPr>
                        <w:tcW w:w="884" w:type="dxa"/>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247" w:type="dxa"/>
                        <w:gridSpan w:val="2"/>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664"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调研企业整合资料</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汽修治霾专项整治</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企业及个人汽修行业进行培训、宣传</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5次</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8次</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企业资料整合率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汽修治霾专项整治率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宣传覆盖率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对企业调研、统一资料成本</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铁腕治霾专项整治成本</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0.5万元</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0.5万元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企业人员培训、宣传成本</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0.5万元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0.5万元</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企业治污减霾，提高辖区内空气质量</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pPr>
                          <w:rPr>
                            <w:rFonts w:hint="eastAsia" w:ascii="仿宋_GB2312" w:hAnsi="仿宋_GB2312" w:eastAsia="仿宋_GB2312" w:cs="仿宋_GB2312"/>
                          </w:rPr>
                        </w:pPr>
                      </w:p>
                    </w:tc>
                    <w:tc>
                      <w:tcPr>
                        <w:tcW w:w="67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群众满意度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≥90%</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326"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ind w:firstLine="2530" w:firstLineChars="700"/>
                    <w:rPr>
                      <w:rFonts w:hint="eastAsia" w:ascii="仿宋_GB2312" w:hAnsi="仿宋_GB2312" w:eastAsia="仿宋_GB2312" w:cs="仿宋_GB2312"/>
                      <w:b/>
                      <w:bCs/>
                      <w:color w:val="000000"/>
                      <w:kern w:val="0"/>
                      <w:sz w:val="36"/>
                      <w:szCs w:val="36"/>
                    </w:rPr>
                  </w:pP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sz w:val="32"/>
                      <w:szCs w:val="32"/>
                    </w:rPr>
                    <w:t>“散乱污”企业专项整治工作经费</w:t>
                  </w:r>
                  <w:r>
                    <w:rPr>
                      <w:rFonts w:hint="eastAsia" w:ascii="仿宋_GB2312" w:hAnsi="仿宋_GB2312" w:eastAsia="仿宋_GB2312" w:cs="仿宋_GB2312"/>
                      <w:sz w:val="32"/>
                      <w:szCs w:val="32"/>
                    </w:rPr>
                    <w:t>项目绩效自评综述：项目全年预算数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项目绩效目标完成情况：</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b w:val="0"/>
                      <w:bCs w:val="0"/>
                      <w:sz w:val="32"/>
                      <w:szCs w:val="32"/>
                    </w:rPr>
                    <w:t>加强对工业错峰生产企业及“散乱污”企业的监督检查，确保各企业能认真扎实落实相关工作要求。2：召开培训会是为了更好的指导制定减排措施、相应环保要求。</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：通过正面宣传是为了在社会上、在企业中树立环保意识。</w:t>
                  </w:r>
                  <w:r>
                    <w:rPr>
                      <w:rFonts w:hint="eastAsia" w:ascii="仿宋_GB2312" w:hAnsi="仿宋_GB2312" w:eastAsia="仿宋_GB2312" w:cs="仿宋_GB2312"/>
                      <w:sz w:val="32"/>
                      <w:szCs w:val="32"/>
                    </w:rPr>
                    <w:t>发现的问题及原因：</w:t>
                  </w:r>
                  <w:r>
                    <w:rPr>
                      <w:rFonts w:hint="eastAsia" w:ascii="仿宋_GB2312" w:hAnsi="仿宋_GB2312" w:eastAsia="仿宋_GB2312" w:cs="仿宋_GB2312"/>
                      <w:sz w:val="32"/>
                      <w:szCs w:val="32"/>
                      <w:lang w:val="en-US" w:eastAsia="zh-CN"/>
                    </w:rPr>
                    <w:t>个别企业环保意识不够，</w:t>
                  </w:r>
                  <w:r>
                    <w:rPr>
                      <w:rFonts w:hint="eastAsia" w:ascii="仿宋_GB2312" w:hAnsi="仿宋_GB2312" w:eastAsia="仿宋_GB2312" w:cs="仿宋_GB2312"/>
                      <w:b w:val="0"/>
                      <w:bCs w:val="0"/>
                      <w:sz w:val="32"/>
                      <w:szCs w:val="32"/>
                    </w:rPr>
                    <w:t>散乱污</w:t>
                  </w:r>
                  <w:r>
                    <w:rPr>
                      <w:rFonts w:hint="eastAsia" w:ascii="仿宋_GB2312" w:hAnsi="仿宋_GB2312" w:eastAsia="仿宋_GB2312" w:cs="仿宋_GB2312"/>
                      <w:b w:val="0"/>
                      <w:bCs w:val="0"/>
                      <w:sz w:val="32"/>
                      <w:szCs w:val="32"/>
                      <w:lang w:val="en-US" w:eastAsia="zh-CN"/>
                    </w:rPr>
                    <w:t>治理不够积极</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对辖区</w:t>
                  </w:r>
                  <w:r>
                    <w:rPr>
                      <w:rFonts w:hint="eastAsia" w:ascii="仿宋_GB2312" w:hAnsi="仿宋_GB2312" w:eastAsia="仿宋_GB2312" w:cs="仿宋_GB2312"/>
                      <w:b w:val="0"/>
                      <w:bCs w:val="0"/>
                      <w:sz w:val="32"/>
                      <w:szCs w:val="32"/>
                    </w:rPr>
                    <w:t>“散乱污”企业</w:t>
                  </w:r>
                  <w:r>
                    <w:rPr>
                      <w:rFonts w:hint="eastAsia" w:ascii="仿宋_GB2312" w:hAnsi="仿宋_GB2312" w:eastAsia="仿宋_GB2312" w:cs="仿宋_GB2312"/>
                      <w:sz w:val="32"/>
                      <w:szCs w:val="32"/>
                      <w:lang w:val="en-US" w:eastAsia="zh-CN"/>
                    </w:rPr>
                    <w:t>加强检查力度及频率</w:t>
                  </w:r>
                  <w:r>
                    <w:rPr>
                      <w:rFonts w:hint="eastAsia" w:ascii="仿宋_GB2312" w:hAnsi="仿宋_GB2312" w:eastAsia="仿宋_GB2312" w:cs="仿宋_GB2312"/>
                      <w:sz w:val="32"/>
                      <w:szCs w:val="32"/>
                    </w:rPr>
                    <w:t>。</w:t>
                  </w:r>
                </w:p>
                <w:p>
                  <w:pPr>
                    <w:ind w:firstLine="2530" w:firstLineChars="7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117"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“散乱污”企业专项整治工作经费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78"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62"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33"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97"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33"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rPr>
                        </w:pP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66"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739"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42" w:type="dxa"/>
                        <w:vMerge w:val="continue"/>
                        <w:vAlign w:val="center"/>
                      </w:tcPr>
                      <w:p>
                        <w:pPr>
                          <w:rPr>
                            <w:rFonts w:hint="eastAsia" w:ascii="仿宋_GB2312" w:hAnsi="仿宋_GB2312" w:eastAsia="仿宋_GB2312" w:cs="仿宋_GB2312"/>
                          </w:rPr>
                        </w:pPr>
                      </w:p>
                    </w:tc>
                    <w:tc>
                      <w:tcPr>
                        <w:tcW w:w="4066" w:type="dxa"/>
                        <w:gridSpan w:val="4"/>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1.加强对工业企业错峰生产及“散乱污”企业监督检查。2.对企业不定期开展培训洽谈会不低于3次。3.对企业人员进行环保培训不低于4次。</w:t>
                        </w:r>
                      </w:p>
                    </w:tc>
                    <w:tc>
                      <w:tcPr>
                        <w:tcW w:w="4739" w:type="dxa"/>
                        <w:gridSpan w:val="5"/>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1.加强对工业企业监督检查。2.开展培训洽谈会不低于4次。</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3.企业进行环保培训不低于6次。</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42"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8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4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97"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9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64"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9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8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Merge w:val="continue"/>
                        <w:vAlign w:val="center"/>
                      </w:tcPr>
                      <w:p>
                        <w:pPr>
                          <w:rPr>
                            <w:rFonts w:hint="eastAsia" w:ascii="仿宋_GB2312" w:hAnsi="仿宋_GB2312" w:eastAsia="仿宋_GB2312" w:cs="仿宋_GB2312"/>
                          </w:rPr>
                        </w:pPr>
                      </w:p>
                    </w:tc>
                    <w:tc>
                      <w:tcPr>
                        <w:tcW w:w="897" w:type="dxa"/>
                        <w:vMerge w:val="continue"/>
                        <w:vAlign w:val="center"/>
                      </w:tcPr>
                      <w:p>
                        <w:pPr>
                          <w:rPr>
                            <w:rFonts w:hint="eastAsia" w:ascii="仿宋_GB2312" w:hAnsi="仿宋_GB2312" w:eastAsia="仿宋_GB2312" w:cs="仿宋_GB2312"/>
                          </w:rPr>
                        </w:pPr>
                      </w:p>
                    </w:tc>
                    <w:tc>
                      <w:tcPr>
                        <w:tcW w:w="893" w:type="dxa"/>
                        <w:vMerge w:val="continue"/>
                        <w:vAlign w:val="center"/>
                      </w:tcPr>
                      <w:p>
                        <w:pPr>
                          <w:rPr>
                            <w:rFonts w:hint="eastAsia" w:ascii="仿宋_GB2312" w:hAnsi="仿宋_GB2312" w:eastAsia="仿宋_GB2312" w:cs="仿宋_GB2312"/>
                          </w:rPr>
                        </w:pPr>
                      </w:p>
                    </w:tc>
                    <w:tc>
                      <w:tcPr>
                        <w:tcW w:w="1264" w:type="dxa"/>
                        <w:gridSpan w:val="2"/>
                        <w:vMerge w:val="continue"/>
                        <w:vAlign w:val="center"/>
                      </w:tcPr>
                      <w:p>
                        <w:pPr>
                          <w:rPr>
                            <w:rFonts w:hint="eastAsia" w:ascii="仿宋_GB2312" w:hAnsi="仿宋_GB2312" w:eastAsia="仿宋_GB2312" w:cs="仿宋_GB2312"/>
                          </w:rPr>
                        </w:pPr>
                      </w:p>
                    </w:tc>
                    <w:tc>
                      <w:tcPr>
                        <w:tcW w:w="893" w:type="dxa"/>
                        <w:vMerge w:val="continue"/>
                        <w:vAlign w:val="center"/>
                      </w:tcPr>
                      <w:p>
                        <w:pPr>
                          <w:rPr>
                            <w:rFonts w:hint="eastAsia" w:ascii="仿宋_GB2312" w:hAnsi="仿宋_GB2312" w:eastAsia="仿宋_GB2312" w:cs="仿宋_GB2312"/>
                          </w:rPr>
                        </w:pPr>
                      </w:p>
                    </w:tc>
                    <w:tc>
                      <w:tcPr>
                        <w:tcW w:w="1689"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42" w:type="dxa"/>
                        <w:vMerge w:val="continue"/>
                        <w:vAlign w:val="center"/>
                      </w:tcPr>
                      <w:p>
                        <w:pPr>
                          <w:rPr>
                            <w:rFonts w:hint="eastAsia" w:ascii="仿宋_GB2312" w:hAnsi="仿宋_GB2312" w:eastAsia="仿宋_GB2312" w:cs="仿宋_GB2312"/>
                          </w:rPr>
                        </w:pPr>
                      </w:p>
                    </w:tc>
                    <w:tc>
                      <w:tcPr>
                        <w:tcW w:w="68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“散乱污”企业监督检查</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企业不定期开展培训洽谈会</w:t>
                        </w: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3次</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4次</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企业进行环保培训。</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4次</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6次</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“散乱污”企业监督检查率</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6</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10</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培训洽谈会</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90%</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100%</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宣传覆盖率</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95%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100%</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“散乱污”企业监督检查经费</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2.5万元</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2.5万元</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2</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培训洽谈会经费</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0.3万元</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0.3万元</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Align w:val="center"/>
                      </w:tcPr>
                      <w:p>
                        <w:pPr>
                          <w:rPr>
                            <w:rFonts w:hint="eastAsia" w:ascii="仿宋_GB2312" w:hAnsi="仿宋_GB2312" w:eastAsia="仿宋_GB2312" w:cs="仿宋_GB2312"/>
                          </w:rPr>
                        </w:pPr>
                      </w:p>
                    </w:tc>
                    <w:tc>
                      <w:tcPr>
                        <w:tcW w:w="1448" w:type="dxa"/>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环保宣传经费</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0.5万元</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0.5万元</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42" w:type="dxa"/>
                        <w:vMerge w:val="continue"/>
                        <w:vAlign w:val="center"/>
                      </w:tcPr>
                      <w:p>
                        <w:pPr>
                          <w:rPr>
                            <w:rFonts w:hint="eastAsia" w:ascii="仿宋_GB2312" w:hAnsi="仿宋_GB2312" w:eastAsia="仿宋_GB2312" w:cs="仿宋_GB2312"/>
                          </w:rPr>
                        </w:pPr>
                      </w:p>
                    </w:tc>
                    <w:tc>
                      <w:tcPr>
                        <w:tcW w:w="68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保障“散乱污”企业专项整治工作项目顺 利开展</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42" w:type="dxa"/>
                        <w:vMerge w:val="continue"/>
                        <w:vAlign w:val="center"/>
                      </w:tcPr>
                      <w:p>
                        <w:pPr>
                          <w:rPr>
                            <w:rFonts w:hint="eastAsia" w:ascii="仿宋_GB2312" w:hAnsi="仿宋_GB2312" w:eastAsia="仿宋_GB2312" w:cs="仿宋_GB2312"/>
                          </w:rPr>
                        </w:pPr>
                      </w:p>
                    </w:tc>
                    <w:tc>
                      <w:tcPr>
                        <w:tcW w:w="68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错峰生产及“散乱污”企业满意度</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401"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pStyle w:val="2"/>
                    <w:rPr>
                      <w:rFonts w:hint="eastAsia" w:ascii="仿宋_GB2312" w:hAnsi="仿宋_GB2312" w:eastAsia="仿宋_GB2312" w:cs="仿宋_GB2312"/>
                      <w:b/>
                      <w:bCs/>
                      <w:color w:val="000000"/>
                      <w:kern w:val="0"/>
                      <w:sz w:val="36"/>
                      <w:szCs w:val="36"/>
                    </w:rPr>
                  </w:pP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lang w:val="en-US" w:eastAsia="zh-CN"/>
                    </w:rPr>
                    <w:t>.</w:t>
                  </w:r>
                  <w:r>
                    <w:rPr>
                      <w:rFonts w:hint="eastAsia" w:ascii="仿宋_GB2312" w:hAnsi="仿宋_GB2312" w:eastAsia="仿宋_GB2312" w:cs="仿宋_GB2312"/>
                      <w:sz w:val="32"/>
                      <w:szCs w:val="32"/>
                    </w:rPr>
                    <w:t>诚信体系建设、大数据及新经济产业建设</w:t>
                  </w:r>
                  <w:r>
                    <w:rPr>
                      <w:rFonts w:hint="eastAsia" w:ascii="仿宋_GB2312" w:hAnsi="仿宋_GB2312" w:eastAsia="仿宋_GB2312" w:cs="仿宋_GB2312"/>
                      <w:sz w:val="32"/>
                      <w:szCs w:val="32"/>
                    </w:rPr>
                    <w:t>项目绩效自评综述：项目全年预算数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项目绩效目标完成情况：</w:t>
                  </w:r>
                  <w:r>
                    <w:rPr>
                      <w:rFonts w:hint="eastAsia" w:ascii="仿宋_GB2312" w:hAnsi="仿宋_GB2312" w:eastAsia="仿宋_GB2312" w:cs="仿宋_GB2312"/>
                      <w:b w:val="0"/>
                      <w:bCs w:val="0"/>
                      <w:sz w:val="32"/>
                      <w:szCs w:val="32"/>
                    </w:rPr>
                    <w:t>大数据企业走访，调研及论坛，印制宣传资料及政策汇编，建设社会信用体系，促进电子信息技术的推广与应用，推动软件公共服务体系和平台建设</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rPr>
                    <w:t>发现的问题及原因：</w:t>
                  </w:r>
                  <w:r>
                    <w:rPr>
                      <w:rFonts w:hint="eastAsia" w:ascii="仿宋_GB2312" w:hAnsi="仿宋_GB2312" w:eastAsia="仿宋_GB2312" w:cs="仿宋_GB2312"/>
                      <w:sz w:val="32"/>
                      <w:szCs w:val="32"/>
                      <w:lang w:val="en-US" w:eastAsia="zh-CN"/>
                    </w:rPr>
                    <w:t>大数据</w:t>
                  </w:r>
                  <w:r>
                    <w:rPr>
                      <w:rFonts w:hint="eastAsia" w:ascii="仿宋_GB2312" w:hAnsi="仿宋_GB2312" w:eastAsia="仿宋_GB2312" w:cs="仿宋_GB2312"/>
                      <w:b w:val="0"/>
                      <w:bCs w:val="0"/>
                      <w:sz w:val="32"/>
                      <w:szCs w:val="32"/>
                    </w:rPr>
                    <w:t>电子信息技术的推广</w:t>
                  </w:r>
                  <w:r>
                    <w:rPr>
                      <w:rFonts w:hint="eastAsia" w:ascii="仿宋_GB2312" w:hAnsi="仿宋_GB2312" w:eastAsia="仿宋_GB2312" w:cs="仿宋_GB2312"/>
                      <w:b w:val="0"/>
                      <w:bCs w:val="0"/>
                      <w:sz w:val="32"/>
                      <w:szCs w:val="32"/>
                      <w:lang w:val="en-US" w:eastAsia="zh-CN"/>
                    </w:rPr>
                    <w:t>需要大量数据、</w:t>
                  </w:r>
                  <w:r>
                    <w:rPr>
                      <w:rFonts w:hint="eastAsia" w:ascii="仿宋_GB2312" w:hAnsi="仿宋_GB2312" w:eastAsia="仿宋_GB2312" w:cs="仿宋_GB2312"/>
                      <w:b w:val="0"/>
                      <w:bCs w:val="0"/>
                      <w:sz w:val="32"/>
                      <w:szCs w:val="32"/>
                    </w:rPr>
                    <w:t>软件</w:t>
                  </w:r>
                  <w:r>
                    <w:rPr>
                      <w:rFonts w:hint="eastAsia" w:ascii="仿宋_GB2312" w:hAnsi="仿宋_GB2312" w:eastAsia="仿宋_GB2312" w:cs="仿宋_GB2312"/>
                      <w:b w:val="0"/>
                      <w:bCs w:val="0"/>
                      <w:sz w:val="32"/>
                      <w:szCs w:val="32"/>
                      <w:lang w:eastAsia="zh-CN"/>
                    </w:rPr>
                    <w:t>的</w:t>
                  </w:r>
                  <w:r>
                    <w:rPr>
                      <w:rFonts w:hint="eastAsia" w:ascii="仿宋_GB2312" w:hAnsi="仿宋_GB2312" w:eastAsia="仿宋_GB2312" w:cs="仿宋_GB2312"/>
                      <w:b w:val="0"/>
                      <w:bCs w:val="0"/>
                      <w:sz w:val="32"/>
                      <w:szCs w:val="32"/>
                      <w:lang w:val="en-US" w:eastAsia="zh-CN"/>
                    </w:rPr>
                    <w:t>使用，企业数字化设备配备不足。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进一步加强企业数字化推广进程。</w:t>
                  </w:r>
                </w:p>
                <w:p>
                  <w:pPr>
                    <w:rPr>
                      <w:rFonts w:hint="eastAsia" w:ascii="仿宋_GB2312" w:hAnsi="仿宋_GB2312" w:eastAsia="仿宋_GB2312" w:cs="仿宋_GB2312"/>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117"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诚信体系建设、大数据及新经济产业建设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78"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62"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3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33"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97"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33"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rPr>
                        </w:pP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78"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3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7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66"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739"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42" w:type="dxa"/>
                        <w:vMerge w:val="continue"/>
                        <w:vAlign w:val="center"/>
                      </w:tcPr>
                      <w:p>
                        <w:pPr>
                          <w:rPr>
                            <w:rFonts w:hint="eastAsia" w:ascii="仿宋_GB2312" w:hAnsi="仿宋_GB2312" w:eastAsia="仿宋_GB2312" w:cs="仿宋_GB2312"/>
                          </w:rPr>
                        </w:pPr>
                      </w:p>
                    </w:tc>
                    <w:tc>
                      <w:tcPr>
                        <w:tcW w:w="4066" w:type="dxa"/>
                        <w:gridSpan w:val="4"/>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1.大数据企业走访调研。2：电子信息宣传教育不低于3次。3.电子信息技术推广及其应用。</w:t>
                        </w:r>
                      </w:p>
                    </w:tc>
                    <w:tc>
                      <w:tcPr>
                        <w:tcW w:w="4739"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1.大数据企业走访调研。2：大数据宣传教育不低于5次。3.电子信息技术推广及其应用。</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42"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8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4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97"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9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64"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93"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8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Merge w:val="continue"/>
                        <w:vAlign w:val="center"/>
                      </w:tcPr>
                      <w:p>
                        <w:pPr>
                          <w:rPr>
                            <w:rFonts w:hint="eastAsia" w:ascii="仿宋_GB2312" w:hAnsi="仿宋_GB2312" w:eastAsia="仿宋_GB2312" w:cs="仿宋_GB2312"/>
                          </w:rPr>
                        </w:pPr>
                      </w:p>
                    </w:tc>
                    <w:tc>
                      <w:tcPr>
                        <w:tcW w:w="897" w:type="dxa"/>
                        <w:vMerge w:val="continue"/>
                        <w:vAlign w:val="center"/>
                      </w:tcPr>
                      <w:p>
                        <w:pPr>
                          <w:rPr>
                            <w:rFonts w:hint="eastAsia" w:ascii="仿宋_GB2312" w:hAnsi="仿宋_GB2312" w:eastAsia="仿宋_GB2312" w:cs="仿宋_GB2312"/>
                          </w:rPr>
                        </w:pPr>
                      </w:p>
                    </w:tc>
                    <w:tc>
                      <w:tcPr>
                        <w:tcW w:w="893" w:type="dxa"/>
                        <w:vMerge w:val="continue"/>
                        <w:vAlign w:val="center"/>
                      </w:tcPr>
                      <w:p>
                        <w:pPr>
                          <w:rPr>
                            <w:rFonts w:hint="eastAsia" w:ascii="仿宋_GB2312" w:hAnsi="仿宋_GB2312" w:eastAsia="仿宋_GB2312" w:cs="仿宋_GB2312"/>
                          </w:rPr>
                        </w:pPr>
                      </w:p>
                    </w:tc>
                    <w:tc>
                      <w:tcPr>
                        <w:tcW w:w="1264" w:type="dxa"/>
                        <w:gridSpan w:val="2"/>
                        <w:vMerge w:val="continue"/>
                        <w:vAlign w:val="center"/>
                      </w:tcPr>
                      <w:p>
                        <w:pPr>
                          <w:rPr>
                            <w:rFonts w:hint="eastAsia" w:ascii="仿宋_GB2312" w:hAnsi="仿宋_GB2312" w:eastAsia="仿宋_GB2312" w:cs="仿宋_GB2312"/>
                          </w:rPr>
                        </w:pPr>
                      </w:p>
                    </w:tc>
                    <w:tc>
                      <w:tcPr>
                        <w:tcW w:w="893" w:type="dxa"/>
                        <w:vMerge w:val="continue"/>
                        <w:vAlign w:val="center"/>
                      </w:tcPr>
                      <w:p>
                        <w:pPr>
                          <w:rPr>
                            <w:rFonts w:hint="eastAsia" w:ascii="仿宋_GB2312" w:hAnsi="仿宋_GB2312" w:eastAsia="仿宋_GB2312" w:cs="仿宋_GB2312"/>
                          </w:rPr>
                        </w:pPr>
                      </w:p>
                    </w:tc>
                    <w:tc>
                      <w:tcPr>
                        <w:tcW w:w="1689"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42" w:type="dxa"/>
                        <w:vMerge w:val="continue"/>
                        <w:vAlign w:val="center"/>
                      </w:tcPr>
                      <w:p>
                        <w:pPr>
                          <w:rPr>
                            <w:rFonts w:hint="eastAsia" w:ascii="仿宋_GB2312" w:hAnsi="仿宋_GB2312" w:eastAsia="仿宋_GB2312" w:cs="仿宋_GB2312"/>
                          </w:rPr>
                        </w:pPr>
                      </w:p>
                    </w:tc>
                    <w:tc>
                      <w:tcPr>
                        <w:tcW w:w="68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企业走访调研</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电子信息宣传教育</w:t>
                        </w:r>
                        <w:r>
                          <w:rPr>
                            <w:rFonts w:hint="eastAsia" w:ascii="仿宋_GB2312" w:hAnsi="仿宋_GB2312" w:eastAsia="仿宋_GB2312" w:cs="仿宋_GB2312"/>
                            <w:color w:val="000000"/>
                            <w:kern w:val="0"/>
                            <w:sz w:val="22"/>
                            <w:szCs w:val="22"/>
                          </w:rPr>
                          <w:t>　</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3次</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5次</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电子信息技术推广</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走访企业率</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10</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电子信息宣传教育率</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86%</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≥86</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电子信息技术推广</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bidi="ar-SA"/>
                          </w:rPr>
                          <w:t>95%</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走访企业调研经费</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1万元</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1万元</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Merge w:val="continue"/>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电子信息宣传教育经费</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0.3万元</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0.3万元</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42" w:type="dxa"/>
                        <w:vMerge w:val="continue"/>
                        <w:vAlign w:val="center"/>
                      </w:tcPr>
                      <w:p>
                        <w:pPr>
                          <w:rPr>
                            <w:rFonts w:hint="eastAsia" w:ascii="仿宋_GB2312" w:hAnsi="仿宋_GB2312" w:eastAsia="仿宋_GB2312" w:cs="仿宋_GB2312"/>
                          </w:rPr>
                        </w:pPr>
                      </w:p>
                    </w:tc>
                    <w:tc>
                      <w:tcPr>
                        <w:tcW w:w="688" w:type="dxa"/>
                        <w:vAlign w:val="center"/>
                      </w:tcPr>
                      <w:p>
                        <w:pPr>
                          <w:rPr>
                            <w:rFonts w:hint="eastAsia" w:ascii="仿宋_GB2312" w:hAnsi="仿宋_GB2312" w:eastAsia="仿宋_GB2312" w:cs="仿宋_GB2312"/>
                          </w:rPr>
                        </w:pPr>
                      </w:p>
                    </w:tc>
                    <w:tc>
                      <w:tcPr>
                        <w:tcW w:w="1448" w:type="dxa"/>
                        <w:vAlign w:val="center"/>
                      </w:tcPr>
                      <w:p>
                        <w:pPr>
                          <w:rPr>
                            <w:rFonts w:hint="eastAsia" w:ascii="仿宋_GB2312" w:hAnsi="仿宋_GB2312" w:eastAsia="仿宋_GB2312" w:cs="仿宋_GB2312"/>
                          </w:rPr>
                        </w:pPr>
                      </w:p>
                    </w:tc>
                    <w:tc>
                      <w:tcPr>
                        <w:tcW w:w="1033" w:type="dxa"/>
                        <w:vAlign w:val="center"/>
                      </w:tcPr>
                      <w:p>
                        <w:pPr>
                          <w:widowControl/>
                          <w:jc w:val="left"/>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电子信息技术推广经费</w:t>
                        </w:r>
                      </w:p>
                    </w:tc>
                    <w:tc>
                      <w:tcPr>
                        <w:tcW w:w="897"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0.7万元</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0.7万元</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93"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89"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42" w:type="dxa"/>
                        <w:vMerge w:val="continue"/>
                        <w:vAlign w:val="center"/>
                      </w:tcPr>
                      <w:p>
                        <w:pPr>
                          <w:rPr>
                            <w:rFonts w:hint="eastAsia" w:ascii="仿宋_GB2312" w:hAnsi="仿宋_GB2312" w:eastAsia="仿宋_GB2312" w:cs="仿宋_GB2312"/>
                          </w:rPr>
                        </w:pPr>
                      </w:p>
                    </w:tc>
                    <w:tc>
                      <w:tcPr>
                        <w:tcW w:w="68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促进电子信息技术的推广与应用，推动软 件公共服务体系和平台建设。</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33"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42" w:type="dxa"/>
                        <w:vMerge w:val="continue"/>
                        <w:vAlign w:val="center"/>
                      </w:tcPr>
                      <w:p>
                        <w:pPr>
                          <w:rPr>
                            <w:rFonts w:hint="eastAsia" w:ascii="仿宋_GB2312" w:hAnsi="仿宋_GB2312" w:eastAsia="仿宋_GB2312" w:cs="仿宋_GB2312"/>
                          </w:rPr>
                        </w:pPr>
                      </w:p>
                    </w:tc>
                    <w:tc>
                      <w:tcPr>
                        <w:tcW w:w="688" w:type="dxa"/>
                        <w:vMerge w:val="continue"/>
                        <w:vAlign w:val="center"/>
                      </w:tcPr>
                      <w:p>
                        <w:pPr>
                          <w:rPr>
                            <w:rFonts w:hint="eastAsia" w:ascii="仿宋_GB2312" w:hAnsi="仿宋_GB2312" w:eastAsia="仿宋_GB2312" w:cs="仿宋_GB2312"/>
                          </w:rPr>
                        </w:pP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42" w:type="dxa"/>
                        <w:vMerge w:val="continue"/>
                        <w:vAlign w:val="center"/>
                      </w:tcPr>
                      <w:p>
                        <w:pPr>
                          <w:rPr>
                            <w:rFonts w:hint="eastAsia" w:ascii="仿宋_GB2312" w:hAnsi="仿宋_GB2312" w:eastAsia="仿宋_GB2312" w:cs="仿宋_GB2312"/>
                          </w:rPr>
                        </w:pPr>
                      </w:p>
                    </w:tc>
                    <w:tc>
                      <w:tcPr>
                        <w:tcW w:w="68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4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33"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企业满意度</w:t>
                        </w:r>
                      </w:p>
                    </w:tc>
                    <w:tc>
                      <w:tcPr>
                        <w:tcW w:w="89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90%</w:t>
                        </w:r>
                        <w:r>
                          <w:rPr>
                            <w:rFonts w:hint="eastAsia" w:ascii="仿宋_GB2312" w:hAnsi="仿宋_GB2312" w:eastAsia="仿宋_GB2312" w:cs="仿宋_GB2312"/>
                            <w:color w:val="000000"/>
                            <w:kern w:val="0"/>
                            <w:sz w:val="22"/>
                            <w:szCs w:val="22"/>
                          </w:rPr>
                          <w:t>　</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401"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6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93"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8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sz w:val="32"/>
                      <w:szCs w:val="32"/>
                    </w:rPr>
                    <w:t>强工业稳增长经费</w:t>
                  </w:r>
                  <w:r>
                    <w:rPr>
                      <w:rFonts w:hint="eastAsia" w:ascii="仿宋_GB2312" w:hAnsi="仿宋_GB2312" w:eastAsia="仿宋_GB2312" w:cs="仿宋_GB2312"/>
                      <w:sz w:val="32"/>
                      <w:szCs w:val="32"/>
                    </w:rPr>
                    <w:t>项目绩效自评综述：项目全年预算数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项目绩效目标完成情况：</w:t>
                  </w:r>
                  <w:r>
                    <w:rPr>
                      <w:rFonts w:hint="eastAsia" w:ascii="仿宋_GB2312" w:hAnsi="仿宋_GB2312" w:eastAsia="仿宋_GB2312" w:cs="仿宋_GB2312"/>
                      <w:sz w:val="24"/>
                      <w:szCs w:val="24"/>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做好强工业稳增长政策宣传，确保辖区工业企业中有较高的政策知晓度，为指导企业进行项目申报打好基础。2：指导企业产业升级，推进传统制造向智能制造转变。3：工业信息化工作（含互联网+，大数据），推动企业提质增效，加快工业化和信息化“两化融合”。发现的问题及原因：</w:t>
                  </w:r>
                  <w:r>
                    <w:rPr>
                      <w:rFonts w:hint="eastAsia" w:ascii="仿宋_GB2312" w:hAnsi="仿宋_GB2312" w:eastAsia="仿宋_GB2312" w:cs="仿宋_GB2312"/>
                      <w:sz w:val="32"/>
                      <w:szCs w:val="32"/>
                      <w:lang w:val="en-US" w:eastAsia="zh-CN"/>
                    </w:rPr>
                    <w:t>个别企业对企业转型不够主动积极。</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对辖区内转型企业多走访、调研，多组织企业学习。</w:t>
                  </w:r>
                </w:p>
                <w:p>
                  <w:pPr>
                    <w:rPr>
                      <w:rFonts w:hint="eastAsia" w:ascii="仿宋_GB2312" w:hAnsi="仿宋_GB2312" w:eastAsia="仿宋_GB2312" w:cs="仿宋_GB2312"/>
                      <w:b/>
                      <w:bCs/>
                      <w:color w:val="000000"/>
                      <w:kern w:val="0"/>
                      <w:sz w:val="36"/>
                      <w:szCs w:val="36"/>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004"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强工业稳增长经费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31"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13"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19"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84"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19"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eastAsia="zh-CN"/>
                          </w:rPr>
                          <w:t>5</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rPr>
                          <w:t>　</w:t>
                        </w:r>
                        <w:r>
                          <w:rPr>
                            <w:rFonts w:hint="eastAsia" w:ascii="仿宋_GB2312" w:hAnsi="仿宋_GB2312" w:eastAsia="仿宋_GB2312" w:cs="仿宋_GB2312"/>
                            <w:color w:val="000000"/>
                            <w:kern w:val="0"/>
                            <w:sz w:val="22"/>
                            <w:szCs w:val="22"/>
                            <w:lang w:val="en-US" w:eastAsia="zh-CN"/>
                          </w:rPr>
                          <w:t>5</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lang w:val="en-US"/>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pPr>
                          <w:rPr>
                            <w:rFonts w:hint="eastAsia" w:ascii="仿宋_GB2312" w:hAnsi="仿宋_GB2312" w:eastAsia="仿宋_GB2312" w:cs="仿宋_GB2312"/>
                          </w:rPr>
                        </w:pP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1.指导企业产业升级，推进传统制造业向智能制造业转化。2.做好强工业稳增长政策宣传。3.工业发展专项工作，对全区工业企业生产运营情况进行调研。</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1.传统工业企业向智能制造业转化。2.大力加强企业升级政策宣传。3.对全区传统工业企业进行调研。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7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2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8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47"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6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Merge w:val="continue"/>
                        <w:vAlign w:val="center"/>
                      </w:tcPr>
                      <w:p>
                        <w:pPr>
                          <w:rPr>
                            <w:rFonts w:hint="eastAsia" w:ascii="仿宋_GB2312" w:hAnsi="仿宋_GB2312" w:eastAsia="仿宋_GB2312" w:cs="仿宋_GB2312"/>
                          </w:rPr>
                        </w:pPr>
                      </w:p>
                    </w:tc>
                    <w:tc>
                      <w:tcPr>
                        <w:tcW w:w="884" w:type="dxa"/>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247" w:type="dxa"/>
                        <w:gridSpan w:val="2"/>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664"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指导企业升级转型</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政策宣传</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传统工业企业调研</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30次</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50次</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企业转型率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政策宣传覆盖率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企业调研率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88%</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指导企业升级转型经费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2.5万元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2.5万元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政策宣传经费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0.5万元</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0.5万元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企业调研经费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2万元</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保障规上工业企业生产运行基本正常稳定 ，指导企业产业升级，推进传统制造向智 能制造转变</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pPr>
                          <w:rPr>
                            <w:rFonts w:hint="eastAsia" w:ascii="仿宋_GB2312" w:hAnsi="仿宋_GB2312" w:eastAsia="仿宋_GB2312" w:cs="仿宋_GB2312"/>
                          </w:rPr>
                        </w:pPr>
                      </w:p>
                    </w:tc>
                    <w:tc>
                      <w:tcPr>
                        <w:tcW w:w="67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企业满意度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95%</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jc w:val="center"/>
                    <w:rPr>
                      <w:rFonts w:hint="eastAsia" w:ascii="仿宋_GB2312" w:hAnsi="仿宋_GB2312" w:eastAsia="仿宋_GB2312" w:cs="仿宋_GB2312"/>
                      <w:b/>
                      <w:bCs/>
                      <w:color w:val="000000"/>
                      <w:kern w:val="0"/>
                      <w:sz w:val="36"/>
                      <w:szCs w:val="36"/>
                    </w:rPr>
                  </w:pP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sz w:val="32"/>
                      <w:szCs w:val="32"/>
                    </w:rPr>
                    <w:t>强工业稳增长经费</w:t>
                  </w:r>
                  <w:r>
                    <w:rPr>
                      <w:rFonts w:hint="eastAsia" w:ascii="仿宋_GB2312" w:hAnsi="仿宋_GB2312" w:eastAsia="仿宋_GB2312" w:cs="仿宋_GB2312"/>
                      <w:sz w:val="32"/>
                      <w:szCs w:val="32"/>
                    </w:rPr>
                    <w:t>项目绩效自评综述：项目全年预算数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%。项目绩效目标完成情况：</w:t>
                  </w:r>
                  <w:r>
                    <w:rPr>
                      <w:rFonts w:hint="eastAsia" w:ascii="仿宋_GB2312" w:hAnsi="仿宋_GB2312" w:eastAsia="仿宋_GB2312" w:cs="仿宋_GB2312"/>
                      <w:sz w:val="24"/>
                      <w:szCs w:val="24"/>
                    </w:rPr>
                    <w:t>:</w:t>
                  </w:r>
                  <w:r>
                    <w:rPr>
                      <w:rFonts w:hint="eastAsia" w:ascii="仿宋_GB2312" w:hAnsi="仿宋_GB2312" w:eastAsia="仿宋_GB2312" w:cs="仿宋_GB2312"/>
                      <w:sz w:val="32"/>
                      <w:szCs w:val="32"/>
                    </w:rPr>
                    <w:t>保障</w:t>
                  </w: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rPr>
                    <w:t>单位工作正常运转，促进辖区军民融合企业发展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发现的问题及原因：</w:t>
                  </w:r>
                  <w:r>
                    <w:rPr>
                      <w:rFonts w:hint="eastAsia" w:ascii="仿宋_GB2312" w:hAnsi="仿宋_GB2312" w:eastAsia="仿宋_GB2312" w:cs="仿宋_GB2312"/>
                      <w:color w:val="000000"/>
                      <w:kern w:val="0"/>
                      <w:sz w:val="32"/>
                      <w:szCs w:val="32"/>
                      <w:lang w:val="en-US" w:eastAsia="zh-CN" w:bidi="ar-SA"/>
                    </w:rPr>
                    <w:t>因疫情原因，</w:t>
                  </w:r>
                  <w:r>
                    <w:rPr>
                      <w:rFonts w:hint="eastAsia" w:ascii="仿宋_GB2312" w:hAnsi="仿宋_GB2312" w:eastAsia="仿宋_GB2312" w:cs="仿宋_GB2312"/>
                      <w:sz w:val="32"/>
                      <w:szCs w:val="32"/>
                      <w:lang w:val="en-US" w:eastAsia="zh-CN"/>
                    </w:rPr>
                    <w:t>企业走访</w:t>
                  </w:r>
                  <w:r>
                    <w:rPr>
                      <w:rFonts w:hint="eastAsia" w:ascii="仿宋_GB2312" w:hAnsi="仿宋_GB2312" w:eastAsia="仿宋_GB2312" w:cs="仿宋_GB2312"/>
                      <w:color w:val="000000"/>
                      <w:kern w:val="0"/>
                      <w:sz w:val="32"/>
                      <w:szCs w:val="32"/>
                      <w:lang w:val="en-US" w:eastAsia="zh-CN" w:bidi="ar-SA"/>
                    </w:rPr>
                    <w:t>不够理想。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color w:val="000000"/>
                      <w:kern w:val="0"/>
                      <w:sz w:val="32"/>
                      <w:szCs w:val="32"/>
                      <w:lang w:val="en-US" w:eastAsia="zh-CN" w:bidi="ar-SA"/>
                    </w:rPr>
                    <w:t>加大工作力度，加强企业调研力度。</w:t>
                  </w:r>
                </w:p>
                <w:p>
                  <w:pPr>
                    <w:ind w:firstLine="3253" w:firstLineChars="900"/>
                    <w:rPr>
                      <w:rFonts w:hint="eastAsia" w:ascii="仿宋_GB2312" w:hAnsi="仿宋_GB2312" w:eastAsia="仿宋_GB2312" w:cs="仿宋_GB2312"/>
                      <w:b/>
                      <w:bCs/>
                      <w:color w:val="000000"/>
                      <w:kern w:val="0"/>
                      <w:sz w:val="36"/>
                      <w:szCs w:val="36"/>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004"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军民融合工作经费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31"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13"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19"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84"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19"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pPr>
                          <w:rPr>
                            <w:rFonts w:hint="eastAsia" w:ascii="仿宋_GB2312" w:hAnsi="仿宋_GB2312" w:eastAsia="仿宋_GB2312" w:cs="仿宋_GB2312"/>
                          </w:rPr>
                        </w:pP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保障单位工作正常运行，促进辖区军民融合企业发展≥2家。</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1.保障本单位工作正常运行，2.促进辖区军民融合企业发展≥3家。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7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2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8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47"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6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Merge w:val="continue"/>
                        <w:vAlign w:val="center"/>
                      </w:tcPr>
                      <w:p>
                        <w:pPr>
                          <w:rPr>
                            <w:rFonts w:hint="eastAsia" w:ascii="仿宋_GB2312" w:hAnsi="仿宋_GB2312" w:eastAsia="仿宋_GB2312" w:cs="仿宋_GB2312"/>
                          </w:rPr>
                        </w:pPr>
                      </w:p>
                    </w:tc>
                    <w:tc>
                      <w:tcPr>
                        <w:tcW w:w="884" w:type="dxa"/>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247" w:type="dxa"/>
                        <w:gridSpan w:val="2"/>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664"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军民融合企业认定</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≥2家</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≥3家</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单位与民融合企业加强合作</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≥87%</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民融合企业调研</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军民融合企业认定率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政府与民融合企业合作率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企业调研率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86%</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军民融合企业认定经费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0.8万元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0.8万元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政府与民融合企业合作经费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0.5万元</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0.5万元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企业调研经费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0.7万元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0.7万元</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保障单位工作正常运转</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pPr>
                          <w:rPr>
                            <w:rFonts w:hint="eastAsia" w:ascii="仿宋_GB2312" w:hAnsi="仿宋_GB2312" w:eastAsia="仿宋_GB2312" w:cs="仿宋_GB2312"/>
                          </w:rPr>
                        </w:pPr>
                      </w:p>
                    </w:tc>
                    <w:tc>
                      <w:tcPr>
                        <w:tcW w:w="67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企业满意度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jc w:val="both"/>
                    <w:rPr>
                      <w:rFonts w:hint="eastAsia" w:ascii="仿宋_GB2312" w:hAnsi="仿宋_GB2312" w:eastAsia="仿宋_GB2312" w:cs="仿宋_GB2312"/>
                      <w:b/>
                      <w:bCs/>
                      <w:color w:val="000000"/>
                      <w:kern w:val="0"/>
                      <w:sz w:val="36"/>
                      <w:szCs w:val="36"/>
                    </w:rPr>
                  </w:pPr>
                </w:p>
                <w:p>
                  <w:pPr>
                    <w:numPr>
                      <w:ilvl w:val="0"/>
                      <w:numId w:val="0"/>
                    </w:numPr>
                    <w:adjustRightInd w:val="0"/>
                    <w:snapToGrid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sz w:val="32"/>
                      <w:szCs w:val="32"/>
                    </w:rPr>
                    <w:t>亲商助企经费</w:t>
                  </w:r>
                  <w:r>
                    <w:rPr>
                      <w:rFonts w:hint="eastAsia" w:ascii="仿宋_GB2312" w:hAnsi="仿宋_GB2312" w:eastAsia="仿宋_GB2312" w:cs="仿宋_GB2312"/>
                      <w:sz w:val="32"/>
                      <w:szCs w:val="32"/>
                    </w:rPr>
                    <w:t>项目绩效自评综述：项目全年预算数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万元，执行数</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numPr>
                      <w:ilvl w:val="0"/>
                      <w:numId w:val="0"/>
                    </w:numPr>
                    <w:adjustRightInd w:val="0"/>
                    <w:snapToGrid w:val="0"/>
                    <w:spacing w:line="560" w:lineRule="exact"/>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项目绩效目标完成情况：建立亲商助企良好运行机制，确保亲商助企活动有效开展。发挥区亲商助企办统筹协调作用，把亲商助企工作作为全区投资稳增长的有力抓手，助力企业发展，优化营商环境，促进我区经济社会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发现的问题及原因</w:t>
                  </w:r>
                  <w:r>
                    <w:rPr>
                      <w:rFonts w:hint="eastAsia" w:ascii="仿宋_GB2312" w:hAnsi="仿宋_GB2312" w:eastAsia="仿宋_GB2312" w:cs="仿宋_GB2312"/>
                      <w:color w:val="000000"/>
                      <w:kern w:val="0"/>
                      <w:sz w:val="32"/>
                      <w:szCs w:val="32"/>
                      <w:lang w:val="en-US" w:eastAsia="zh-CN" w:bidi="ar-SA"/>
                    </w:rPr>
                    <w:t>：因疫情原因，</w:t>
                  </w:r>
                  <w:r>
                    <w:rPr>
                      <w:rFonts w:hint="eastAsia" w:ascii="仿宋_GB2312" w:hAnsi="仿宋_GB2312" w:eastAsia="仿宋_GB2312" w:cs="仿宋_GB2312"/>
                      <w:sz w:val="32"/>
                      <w:szCs w:val="32"/>
                      <w:lang w:val="en-US" w:eastAsia="zh-CN"/>
                    </w:rPr>
                    <w:t>企业走访</w:t>
                  </w:r>
                  <w:r>
                    <w:rPr>
                      <w:rFonts w:hint="eastAsia" w:ascii="仿宋_GB2312" w:hAnsi="仿宋_GB2312" w:eastAsia="仿宋_GB2312" w:cs="仿宋_GB2312"/>
                      <w:color w:val="000000"/>
                      <w:kern w:val="0"/>
                      <w:sz w:val="32"/>
                      <w:szCs w:val="32"/>
                      <w:lang w:val="en-US" w:eastAsia="zh-CN" w:bidi="ar-SA"/>
                    </w:rPr>
                    <w:t>不够理想。</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color w:val="000000"/>
                      <w:kern w:val="0"/>
                      <w:sz w:val="32"/>
                      <w:szCs w:val="32"/>
                      <w:lang w:val="en-US" w:eastAsia="zh-CN" w:bidi="ar-SA"/>
                    </w:rPr>
                    <w:t>加大工作力度，加强企业调研力度。</w:t>
                  </w:r>
                </w:p>
                <w:p>
                  <w:pPr>
                    <w:jc w:val="both"/>
                    <w:rPr>
                      <w:rFonts w:hint="eastAsia" w:ascii="仿宋_GB2312" w:hAnsi="仿宋_GB2312" w:eastAsia="仿宋_GB2312" w:cs="仿宋_GB2312"/>
                      <w:b/>
                      <w:bCs/>
                      <w:color w:val="000000"/>
                      <w:kern w:val="0"/>
                      <w:sz w:val="36"/>
                      <w:szCs w:val="36"/>
                    </w:rPr>
                  </w:pPr>
                </w:p>
                <w:p>
                  <w:pPr>
                    <w:ind w:firstLine="3253" w:firstLineChars="900"/>
                    <w:rPr>
                      <w:rFonts w:hint="eastAsia" w:ascii="仿宋_GB2312" w:hAnsi="仿宋_GB2312" w:eastAsia="仿宋_GB2312" w:cs="仿宋_GB2312"/>
                      <w:b/>
                      <w:bCs/>
                      <w:color w:val="000000"/>
                      <w:kern w:val="0"/>
                      <w:sz w:val="36"/>
                      <w:szCs w:val="36"/>
                    </w:rPr>
                  </w:pPr>
                  <w:r>
                    <w:rPr>
                      <w:rFonts w:hint="eastAsia" w:ascii="仿宋_GB2312" w:hAnsi="仿宋_GB2312" w:eastAsia="仿宋_GB2312" w:cs="仿宋_GB2312"/>
                      <w:b/>
                      <w:bCs/>
                      <w:color w:val="000000"/>
                      <w:kern w:val="0"/>
                      <w:sz w:val="36"/>
                      <w:szCs w:val="36"/>
                    </w:rPr>
                    <w:t>项目支出绩效自评表</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val="en-US" w:eastAsia="zh-CN"/>
                    </w:rPr>
                    <w:t>2020</w:t>
                  </w:r>
                  <w:r>
                    <w:rPr>
                      <w:rFonts w:hint="eastAsia" w:ascii="仿宋_GB2312" w:hAnsi="仿宋_GB2312" w:eastAsia="仿宋_GB2312" w:cs="仿宋_GB2312"/>
                      <w:color w:val="000000"/>
                      <w:kern w:val="0"/>
                      <w:sz w:val="28"/>
                      <w:szCs w:val="28"/>
                    </w:rPr>
                    <w:t>年度）</w:t>
                  </w:r>
                </w:p>
                <w:tbl>
                  <w:tblPr>
                    <w:tblStyle w:val="9"/>
                    <w:tblW w:w="92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
                    <w:gridCol w:w="688"/>
                    <w:gridCol w:w="1448"/>
                    <w:gridCol w:w="1033"/>
                    <w:gridCol w:w="897"/>
                    <w:gridCol w:w="893"/>
                    <w:gridCol w:w="384"/>
                    <w:gridCol w:w="880"/>
                    <w:gridCol w:w="893"/>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项目名称</w:t>
                        </w:r>
                      </w:p>
                    </w:tc>
                    <w:tc>
                      <w:tcPr>
                        <w:tcW w:w="8004" w:type="dxa"/>
                        <w:gridSpan w:val="8"/>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亲商助企经费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主管部门</w:t>
                        </w:r>
                      </w:p>
                    </w:tc>
                    <w:tc>
                      <w:tcPr>
                        <w:tcW w:w="3331"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实施单位</w:t>
                        </w:r>
                      </w:p>
                    </w:tc>
                    <w:tc>
                      <w:tcPr>
                        <w:tcW w:w="3413" w:type="dxa"/>
                        <w:gridSpan w:val="3"/>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西安市莲湖区工业信息化和交通局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1114"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项目资金</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019"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年初</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884"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预算数</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全年</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执行数</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执行率</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年度资金总额（万元）</w:t>
                        </w:r>
                      </w:p>
                    </w:tc>
                    <w:tc>
                      <w:tcPr>
                        <w:tcW w:w="1019" w:type="dxa"/>
                        <w:vAlign w:val="center"/>
                      </w:tcPr>
                      <w:p>
                        <w:pPr>
                          <w:widowControl/>
                          <w:jc w:val="center"/>
                          <w:rPr>
                            <w:rFonts w:hint="eastAsia" w:ascii="仿宋_GB2312" w:hAnsi="仿宋_GB2312" w:eastAsia="仿宋_GB2312" w:cs="仿宋_GB2312"/>
                            <w:color w:val="000000"/>
                            <w:kern w:val="0"/>
                            <w:sz w:val="22"/>
                            <w:szCs w:val="22"/>
                            <w:lang w:val="en-US" w:eastAsia="zh-CN"/>
                          </w:rPr>
                        </w:pP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100%</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其中：</w:t>
                        </w:r>
                      </w:p>
                      <w:p>
                        <w:pPr>
                          <w:widowControl/>
                          <w:ind w:firstLine="440" w:firstLineChars="200"/>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当年财政拨款</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上年结转资金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542" w:type="dxa"/>
                        <w:gridSpan w:val="3"/>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其他资金</w:t>
                        </w:r>
                      </w:p>
                    </w:tc>
                    <w:tc>
                      <w:tcPr>
                        <w:tcW w:w="101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60"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6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年度</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总体目标</w:t>
                        </w: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预期目标</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36" w:type="dxa"/>
                        <w:vMerge w:val="continue"/>
                        <w:vAlign w:val="center"/>
                      </w:tcPr>
                      <w:p>
                        <w:pPr>
                          <w:rPr>
                            <w:rFonts w:hint="eastAsia" w:ascii="仿宋_GB2312" w:hAnsi="仿宋_GB2312" w:eastAsia="仿宋_GB2312" w:cs="仿宋_GB2312"/>
                          </w:rPr>
                        </w:pPr>
                      </w:p>
                    </w:tc>
                    <w:tc>
                      <w:tcPr>
                        <w:tcW w:w="4009" w:type="dxa"/>
                        <w:gridSpan w:val="4"/>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sz w:val="24"/>
                            <w:szCs w:val="24"/>
                          </w:rPr>
                          <w:t>建立亲商助企良好运行机制，确保亲商助 企活动有效开展。发挥区亲商助企办统筹协调作用，把亲商助企工作作为全区投资稳增长的有力抓手，助力企业发展，优化 营商环境，促进我区经济社会发展。</w:t>
                        </w:r>
                      </w:p>
                    </w:tc>
                    <w:tc>
                      <w:tcPr>
                        <w:tcW w:w="4673" w:type="dxa"/>
                        <w:gridSpan w:val="5"/>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1.聘用工作人员2名。2.大力加强</w:t>
                        </w:r>
                        <w:r>
                          <w:rPr>
                            <w:rFonts w:hint="eastAsia" w:ascii="仿宋_GB2312" w:hAnsi="仿宋_GB2312" w:eastAsia="仿宋_GB2312" w:cs="仿宋_GB2312"/>
                            <w:sz w:val="24"/>
                            <w:szCs w:val="24"/>
                          </w:rPr>
                          <w:t>亲商助企工作</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lang w:val="en-US" w:eastAsia="zh-CN"/>
                          </w:rPr>
                          <w:t>宣传力度。3.大力</w:t>
                        </w:r>
                        <w:r>
                          <w:rPr>
                            <w:rFonts w:hint="eastAsia" w:ascii="仿宋_GB2312" w:hAnsi="仿宋_GB2312" w:eastAsia="仿宋_GB2312" w:cs="仿宋_GB2312"/>
                            <w:sz w:val="24"/>
                            <w:szCs w:val="24"/>
                          </w:rPr>
                          <w:t>优化</w:t>
                        </w:r>
                        <w:r>
                          <w:rPr>
                            <w:rFonts w:hint="eastAsia" w:ascii="仿宋_GB2312" w:hAnsi="仿宋_GB2312" w:eastAsia="仿宋_GB2312" w:cs="仿宋_GB2312"/>
                            <w:sz w:val="24"/>
                            <w:szCs w:val="24"/>
                            <w:lang w:val="en-US" w:eastAsia="zh-CN"/>
                          </w:rPr>
                          <w:t>辖区</w:t>
                        </w:r>
                        <w:r>
                          <w:rPr>
                            <w:rFonts w:hint="eastAsia" w:ascii="仿宋_GB2312" w:hAnsi="仿宋_GB2312" w:eastAsia="仿宋_GB2312" w:cs="仿宋_GB2312"/>
                            <w:sz w:val="24"/>
                            <w:szCs w:val="24"/>
                          </w:rPr>
                          <w:t>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436" w:type="dxa"/>
                        <w:vMerge w:val="restart"/>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绩</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效</w:t>
                        </w:r>
                      </w:p>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指</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标</w:t>
                        </w:r>
                      </w:p>
                    </w:tc>
                    <w:tc>
                      <w:tcPr>
                        <w:tcW w:w="67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一级指标</w:t>
                        </w:r>
                      </w:p>
                    </w:tc>
                    <w:tc>
                      <w:tcPr>
                        <w:tcW w:w="1428"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二级</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三级指标</w:t>
                        </w:r>
                      </w:p>
                    </w:tc>
                    <w:tc>
                      <w:tcPr>
                        <w:tcW w:w="88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年度</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实际</w:t>
                        </w:r>
                      </w:p>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完成值</w:t>
                        </w:r>
                      </w:p>
                    </w:tc>
                    <w:tc>
                      <w:tcPr>
                        <w:tcW w:w="1247" w:type="dxa"/>
                        <w:gridSpan w:val="2"/>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分值</w:t>
                        </w:r>
                      </w:p>
                    </w:tc>
                    <w:tc>
                      <w:tcPr>
                        <w:tcW w:w="881"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得分</w:t>
                        </w:r>
                      </w:p>
                    </w:tc>
                    <w:tc>
                      <w:tcPr>
                        <w:tcW w:w="1664" w:type="dxa"/>
                        <w:vMerge w:val="restart"/>
                        <w:vAlign w:val="center"/>
                      </w:tcPr>
                      <w:p>
                        <w:pPr>
                          <w:widowControl/>
                          <w:adjustRightInd w:val="0"/>
                          <w:snapToGrid w:val="0"/>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偏差原因分析及改进措施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Merge w:val="continue"/>
                        <w:vAlign w:val="center"/>
                      </w:tcPr>
                      <w:p>
                        <w:pPr>
                          <w:rPr>
                            <w:rFonts w:hint="eastAsia" w:ascii="仿宋_GB2312" w:hAnsi="仿宋_GB2312" w:eastAsia="仿宋_GB2312" w:cs="仿宋_GB2312"/>
                          </w:rPr>
                        </w:pPr>
                      </w:p>
                    </w:tc>
                    <w:tc>
                      <w:tcPr>
                        <w:tcW w:w="884" w:type="dxa"/>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247" w:type="dxa"/>
                        <w:gridSpan w:val="2"/>
                        <w:vMerge w:val="continue"/>
                        <w:vAlign w:val="center"/>
                      </w:tcPr>
                      <w:p>
                        <w:pPr>
                          <w:rPr>
                            <w:rFonts w:hint="eastAsia" w:ascii="仿宋_GB2312" w:hAnsi="仿宋_GB2312" w:eastAsia="仿宋_GB2312" w:cs="仿宋_GB2312"/>
                          </w:rPr>
                        </w:pPr>
                      </w:p>
                    </w:tc>
                    <w:tc>
                      <w:tcPr>
                        <w:tcW w:w="881" w:type="dxa"/>
                        <w:vMerge w:val="continue"/>
                        <w:vAlign w:val="center"/>
                      </w:tcPr>
                      <w:p>
                        <w:pPr>
                          <w:rPr>
                            <w:rFonts w:hint="eastAsia" w:ascii="仿宋_GB2312" w:hAnsi="仿宋_GB2312" w:eastAsia="仿宋_GB2312" w:cs="仿宋_GB2312"/>
                          </w:rPr>
                        </w:pPr>
                      </w:p>
                    </w:tc>
                    <w:tc>
                      <w:tcPr>
                        <w:tcW w:w="1664" w:type="dxa"/>
                        <w:vMerge w:val="continue"/>
                        <w:vAlign w:val="center"/>
                      </w:tcPr>
                      <w:p>
                        <w:pPr>
                          <w:rPr>
                            <w:rFonts w:hint="eastAsia" w:ascii="仿宋_GB2312" w:hAnsi="仿宋_GB2312" w:eastAsia="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产出指标50</w:t>
                        </w: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数量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聘用人员</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≥1人</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≥2家</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sz w:val="24"/>
                            <w:szCs w:val="24"/>
                          </w:rPr>
                          <w:t>亲商助企工作</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lang w:val="en-US" w:eastAsia="zh-CN"/>
                          </w:rPr>
                          <w:t>宣传力度</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sz w:val="24"/>
                            <w:szCs w:val="24"/>
                          </w:rPr>
                          <w:t>优化</w:t>
                        </w:r>
                        <w:r>
                          <w:rPr>
                            <w:rFonts w:hint="eastAsia" w:ascii="仿宋_GB2312" w:hAnsi="仿宋_GB2312" w:eastAsia="仿宋_GB2312" w:cs="仿宋_GB2312"/>
                            <w:sz w:val="24"/>
                            <w:szCs w:val="24"/>
                            <w:lang w:val="en-US" w:eastAsia="zh-CN"/>
                          </w:rPr>
                          <w:t>辖区</w:t>
                        </w:r>
                        <w:r>
                          <w:rPr>
                            <w:rFonts w:hint="eastAsia" w:ascii="仿宋_GB2312" w:hAnsi="仿宋_GB2312" w:eastAsia="仿宋_GB2312" w:cs="仿宋_GB2312"/>
                            <w:sz w:val="24"/>
                            <w:szCs w:val="24"/>
                          </w:rPr>
                          <w:t>营商环境</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＞88%</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质量</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人员聘用率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86%</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＞98%</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sz w:val="24"/>
                            <w:szCs w:val="24"/>
                          </w:rPr>
                          <w:t>亲商助企</w:t>
                        </w:r>
                        <w:r>
                          <w:rPr>
                            <w:rFonts w:hint="eastAsia" w:ascii="仿宋_GB2312" w:hAnsi="仿宋_GB2312" w:eastAsia="仿宋_GB2312" w:cs="仿宋_GB2312"/>
                            <w:sz w:val="24"/>
                            <w:szCs w:val="24"/>
                            <w:lang w:val="en-US" w:eastAsia="zh-CN"/>
                          </w:rPr>
                          <w:t>宣传</w:t>
                        </w:r>
                        <w:r>
                          <w:rPr>
                            <w:rFonts w:hint="eastAsia" w:ascii="仿宋_GB2312" w:hAnsi="仿宋_GB2312" w:eastAsia="仿宋_GB2312" w:cs="仿宋_GB2312"/>
                            <w:color w:val="000000"/>
                            <w:kern w:val="0"/>
                            <w:sz w:val="22"/>
                            <w:szCs w:val="22"/>
                            <w:lang w:val="en-US" w:eastAsia="zh-CN"/>
                          </w:rPr>
                          <w:t>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bidi="ar-SA"/>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widowControl/>
                          <w:jc w:val="center"/>
                          <w:rPr>
                            <w:rFonts w:hint="eastAsia" w:ascii="仿宋_GB2312" w:hAnsi="仿宋_GB2312" w:eastAsia="仿宋_GB2312" w:cs="仿宋_GB2312"/>
                            <w:color w:val="000000"/>
                            <w:kern w:val="0"/>
                            <w:sz w:val="22"/>
                            <w:szCs w:val="22"/>
                          </w:rPr>
                        </w:pP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营商环境优化率</w:t>
                        </w:r>
                      </w:p>
                    </w:tc>
                    <w:tc>
                      <w:tcPr>
                        <w:tcW w:w="884"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80%</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5</w:t>
                        </w:r>
                      </w:p>
                    </w:tc>
                    <w:tc>
                      <w:tcPr>
                        <w:tcW w:w="1664" w:type="dxa"/>
                        <w:vAlign w:val="center"/>
                      </w:tcPr>
                      <w:p>
                        <w:pPr>
                          <w:widowControl/>
                          <w:jc w:val="center"/>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时效</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完成时间</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1-12月</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成本</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聘用人员经费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0.4万元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0.4万元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指标2：</w:t>
                        </w:r>
                        <w:r>
                          <w:rPr>
                            <w:rFonts w:hint="eastAsia" w:ascii="仿宋_GB2312" w:hAnsi="仿宋_GB2312" w:eastAsia="仿宋_GB2312" w:cs="仿宋_GB2312"/>
                            <w:color w:val="000000"/>
                            <w:kern w:val="0"/>
                            <w:sz w:val="22"/>
                            <w:szCs w:val="22"/>
                            <w:lang w:val="en-US" w:eastAsia="zh-CN"/>
                          </w:rPr>
                          <w:t>政府与民融合企业合作经费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0.8万元</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0.7万元</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Merge w:val="continue"/>
                        <w:vAlign w:val="center"/>
                      </w:tcPr>
                      <w:p>
                        <w:pPr>
                          <w:rPr>
                            <w:rFonts w:hint="eastAsia" w:ascii="仿宋_GB2312" w:hAnsi="仿宋_GB2312" w:eastAsia="仿宋_GB2312" w:cs="仿宋_GB2312"/>
                          </w:rPr>
                        </w:pP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r>
                          <w:rPr>
                            <w:rFonts w:hint="eastAsia" w:ascii="仿宋_GB2312" w:hAnsi="仿宋_GB2312" w:eastAsia="仿宋_GB2312" w:cs="仿宋_GB2312"/>
                            <w:color w:val="000000"/>
                            <w:kern w:val="0"/>
                            <w:sz w:val="22"/>
                            <w:szCs w:val="22"/>
                            <w:lang w:val="en-US" w:eastAsia="zh-CN"/>
                          </w:rPr>
                          <w:t>3</w:t>
                        </w:r>
                        <w:r>
                          <w:rPr>
                            <w:rFonts w:hint="eastAsia" w:ascii="仿宋_GB2312" w:hAnsi="仿宋_GB2312" w:eastAsia="仿宋_GB2312" w:cs="仿宋_GB2312"/>
                            <w:color w:val="000000"/>
                            <w:kern w:val="0"/>
                            <w:sz w:val="22"/>
                            <w:szCs w:val="22"/>
                          </w:rPr>
                          <w:t>：</w:t>
                        </w:r>
                        <w:r>
                          <w:rPr>
                            <w:rFonts w:hint="eastAsia" w:ascii="仿宋_GB2312" w:hAnsi="仿宋_GB2312" w:eastAsia="仿宋_GB2312" w:cs="仿宋_GB2312"/>
                            <w:color w:val="000000"/>
                            <w:kern w:val="0"/>
                            <w:sz w:val="22"/>
                            <w:szCs w:val="22"/>
                            <w:lang w:val="en-US" w:eastAsia="zh-CN"/>
                          </w:rPr>
                          <w:t>营商环境优化经费</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0.8万元</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0.8万元</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5</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36" w:type="dxa"/>
                        <w:vMerge w:val="continue"/>
                        <w:vAlign w:val="center"/>
                      </w:tcPr>
                      <w:p>
                        <w:pPr>
                          <w:rPr>
                            <w:rFonts w:hint="eastAsia" w:ascii="仿宋_GB2312" w:hAnsi="仿宋_GB2312" w:eastAsia="仿宋_GB2312" w:cs="仿宋_GB2312"/>
                          </w:rPr>
                        </w:pPr>
                      </w:p>
                    </w:tc>
                    <w:tc>
                      <w:tcPr>
                        <w:tcW w:w="678" w:type="dxa"/>
                        <w:vMerge w:val="restart"/>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效益指标30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经济</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社会</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及时了解反应协调解决企业存在的困难和 问题，促进企业经济发展。</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进一步得到提升</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生态</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效益</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w:t>
                        </w:r>
                      </w:p>
                    </w:tc>
                    <w:tc>
                      <w:tcPr>
                        <w:tcW w:w="1019" w:type="dxa"/>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指标1：</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436" w:type="dxa"/>
                        <w:vMerge w:val="continue"/>
                        <w:vAlign w:val="center"/>
                      </w:tcPr>
                      <w:p>
                        <w:pPr>
                          <w:rPr>
                            <w:rFonts w:hint="eastAsia" w:ascii="仿宋_GB2312" w:hAnsi="仿宋_GB2312" w:eastAsia="仿宋_GB2312" w:cs="仿宋_GB2312"/>
                          </w:rPr>
                        </w:pPr>
                      </w:p>
                    </w:tc>
                    <w:tc>
                      <w:tcPr>
                        <w:tcW w:w="678" w:type="dxa"/>
                        <w:vMerge w:val="continue"/>
                        <w:vAlign w:val="center"/>
                      </w:tcPr>
                      <w:p>
                        <w:pPr>
                          <w:rPr>
                            <w:rFonts w:hint="eastAsia" w:ascii="仿宋_GB2312" w:hAnsi="仿宋_GB2312" w:eastAsia="仿宋_GB2312" w:cs="仿宋_GB2312"/>
                          </w:rPr>
                        </w:pP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可持续</w:t>
                        </w:r>
                      </w:p>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影响指标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color w:val="000000"/>
                            <w:kern w:val="0"/>
                            <w:sz w:val="22"/>
                            <w:szCs w:val="22"/>
                            <w:lang w:val="en-US" w:eastAsia="zh-CN"/>
                          </w:rPr>
                          <w:t>执行年度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2020年</w:t>
                        </w:r>
                        <w:r>
                          <w:rPr>
                            <w:rFonts w:hint="eastAsia" w:ascii="仿宋_GB2312" w:hAnsi="仿宋_GB2312" w:eastAsia="仿宋_GB2312" w:cs="仿宋_GB2312"/>
                            <w:color w:val="000000"/>
                            <w:kern w:val="0"/>
                            <w:sz w:val="22"/>
                            <w:szCs w:val="22"/>
                          </w:rPr>
                          <w:t>　</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15</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36" w:type="dxa"/>
                        <w:vMerge w:val="continue"/>
                        <w:vAlign w:val="center"/>
                      </w:tcPr>
                      <w:p>
                        <w:pPr>
                          <w:rPr>
                            <w:rFonts w:hint="eastAsia" w:ascii="仿宋_GB2312" w:hAnsi="仿宋_GB2312" w:eastAsia="仿宋_GB2312" w:cs="仿宋_GB2312"/>
                          </w:rPr>
                        </w:pPr>
                      </w:p>
                    </w:tc>
                    <w:tc>
                      <w:tcPr>
                        <w:tcW w:w="67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满意度指标10</w:t>
                        </w:r>
                      </w:p>
                    </w:tc>
                    <w:tc>
                      <w:tcPr>
                        <w:tcW w:w="1428"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服务对象满意度指标</w:t>
                        </w:r>
                      </w:p>
                    </w:tc>
                    <w:tc>
                      <w:tcPr>
                        <w:tcW w:w="1019" w:type="dxa"/>
                        <w:vAlign w:val="center"/>
                      </w:tcPr>
                      <w:p>
                        <w:pPr>
                          <w:widowControl/>
                          <w:jc w:val="left"/>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指标1：</w:t>
                        </w:r>
                        <w:r>
                          <w:rPr>
                            <w:rFonts w:hint="eastAsia" w:ascii="仿宋_GB2312" w:hAnsi="仿宋_GB2312" w:eastAsia="仿宋_GB2312" w:cs="仿宋_GB2312"/>
                            <w:sz w:val="24"/>
                            <w:szCs w:val="24"/>
                          </w:rPr>
                          <w:t>企业满意度</w:t>
                        </w:r>
                      </w:p>
                    </w:tc>
                    <w:tc>
                      <w:tcPr>
                        <w:tcW w:w="88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sz w:val="24"/>
                            <w:szCs w:val="24"/>
                          </w:rPr>
                          <w:t>≥85%</w:t>
                        </w:r>
                      </w:p>
                    </w:tc>
                    <w:tc>
                      <w:tcPr>
                        <w:tcW w:w="881" w:type="dxa"/>
                        <w:vAlign w:val="center"/>
                      </w:tcPr>
                      <w:p>
                        <w:pPr>
                          <w:widowControl/>
                          <w:jc w:val="center"/>
                          <w:rPr>
                            <w:rFonts w:hint="eastAsia" w:ascii="仿宋_GB2312" w:hAnsi="仿宋_GB2312" w:eastAsia="仿宋_GB2312" w:cs="仿宋_GB2312"/>
                            <w:color w:val="000000"/>
                            <w:kern w:val="0"/>
                            <w:sz w:val="22"/>
                            <w:szCs w:val="22"/>
                            <w:lang w:val="en-US"/>
                          </w:rPr>
                        </w:pPr>
                        <w:r>
                          <w:rPr>
                            <w:rFonts w:hint="eastAsia" w:ascii="仿宋_GB2312" w:hAnsi="仿宋_GB2312" w:eastAsia="仿宋_GB2312" w:cs="仿宋_GB2312"/>
                            <w:color w:val="000000"/>
                            <w:kern w:val="0"/>
                            <w:sz w:val="22"/>
                            <w:szCs w:val="22"/>
                            <w:lang w:val="en-US" w:eastAsia="zh-CN"/>
                          </w:rPr>
                          <w:t>90%</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　</w:t>
                        </w:r>
                        <w:r>
                          <w:rPr>
                            <w:rFonts w:hint="eastAsia" w:ascii="仿宋_GB2312" w:hAnsi="仿宋_GB2312" w:eastAsia="仿宋_GB2312" w:cs="仿宋_GB2312"/>
                            <w:color w:val="000000"/>
                            <w:kern w:val="0"/>
                            <w:sz w:val="22"/>
                            <w:szCs w:val="22"/>
                            <w:lang w:val="en-US" w:eastAsia="zh-CN"/>
                          </w:rPr>
                          <w:t>10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326" w:type="dxa"/>
                        <w:gridSpan w:val="6"/>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总分</w:t>
                        </w:r>
                      </w:p>
                    </w:tc>
                    <w:tc>
                      <w:tcPr>
                        <w:tcW w:w="1247" w:type="dxa"/>
                        <w:gridSpan w:val="2"/>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100</w:t>
                        </w:r>
                      </w:p>
                    </w:tc>
                    <w:tc>
                      <w:tcPr>
                        <w:tcW w:w="881"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100</w:t>
                        </w:r>
                        <w:r>
                          <w:rPr>
                            <w:rFonts w:hint="eastAsia" w:ascii="仿宋_GB2312" w:hAnsi="仿宋_GB2312" w:eastAsia="仿宋_GB2312" w:cs="仿宋_GB2312"/>
                            <w:color w:val="000000"/>
                            <w:kern w:val="0"/>
                            <w:sz w:val="22"/>
                            <w:szCs w:val="22"/>
                          </w:rPr>
                          <w:t>　</w:t>
                        </w:r>
                      </w:p>
                    </w:tc>
                    <w:tc>
                      <w:tcPr>
                        <w:tcW w:w="1664"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　</w:t>
                        </w:r>
                      </w:p>
                    </w:tc>
                  </w:tr>
                </w:tbl>
                <w:p>
                  <w:pPr>
                    <w:ind w:left="3239" w:leftChars="1026" w:hanging="1084" w:hangingChars="300"/>
                    <w:jc w:val="both"/>
                    <w:rPr>
                      <w:rFonts w:hint="eastAsia" w:ascii="仿宋_GB2312" w:hAnsi="仿宋_GB2312" w:eastAsia="仿宋_GB2312" w:cs="仿宋_GB2312"/>
                      <w:b/>
                      <w:bCs/>
                      <w:color w:val="000000"/>
                      <w:kern w:val="0"/>
                      <w:sz w:val="36"/>
                      <w:szCs w:val="36"/>
                      <w:lang w:eastAsia="zh-CN"/>
                    </w:rPr>
                  </w:pPr>
                  <w:r>
                    <w:rPr>
                      <w:rFonts w:hint="eastAsia" w:ascii="仿宋_GB2312" w:hAnsi="仿宋_GB2312" w:eastAsia="仿宋_GB2312" w:cs="仿宋_GB2312"/>
                      <w:b/>
                      <w:bCs/>
                      <w:color w:val="000000"/>
                      <w:kern w:val="0"/>
                      <w:sz w:val="36"/>
                      <w:szCs w:val="36"/>
                    </w:rPr>
                    <w:t>部门整体支出绩效自评表</w:t>
                  </w:r>
                </w:p>
                <w:p>
                  <w:pPr>
                    <w:ind w:left="2755" w:leftChars="1026" w:hanging="600" w:hangingChars="300"/>
                    <w:jc w:val="both"/>
                    <w:rPr>
                      <w:rFonts w:hint="eastAsia" w:ascii="仿宋_GB2312" w:hAnsi="仿宋_GB2312" w:eastAsia="仿宋_GB2312" w:cs="仿宋_GB2312"/>
                      <w:strike w:val="0"/>
                      <w:dstrike w:val="0"/>
                      <w:sz w:val="20"/>
                    </w:rPr>
                  </w:pPr>
                  <w:r>
                    <w:rPr>
                      <w:rFonts w:hint="eastAsia" w:ascii="仿宋_GB2312" w:hAnsi="仿宋_GB2312" w:eastAsia="仿宋_GB2312" w:cs="仿宋_GB2312"/>
                      <w:strike w:val="0"/>
                      <w:dstrike w:val="0"/>
                      <w:sz w:val="20"/>
                    </w:rPr>
                    <w:t>（2020年度）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522" w:type="dxa"/>
                  <w:gridSpan w:val="10"/>
                  <w:tcBorders>
                    <w:top w:val="nil"/>
                    <w:left w:val="nil"/>
                    <w:bottom w:val="nil"/>
                    <w:right w:val="nil"/>
                    <w:tl2br w:val="nil"/>
                    <w:tr2bl w:val="nil"/>
                  </w:tcBorders>
                  <w:noWrap/>
                  <w:vAlign w:val="center"/>
                </w:tcPr>
                <w:p>
                  <w:pP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填报单位：</w:t>
                  </w:r>
                  <w:r>
                    <w:rPr>
                      <w:rFonts w:hint="eastAsia" w:ascii="仿宋_GB2312" w:hAnsi="仿宋_GB2312" w:eastAsia="仿宋_GB2312" w:cs="仿宋_GB2312"/>
                      <w:sz w:val="24"/>
                      <w:lang w:val="en-US" w:eastAsia="zh-CN"/>
                    </w:rPr>
                    <w:t>西安市莲湖区工业信息化和交通局</w:t>
                  </w:r>
                </w:p>
              </w:tc>
              <w:tc>
                <w:tcPr>
                  <w:tcW w:w="1995" w:type="dxa"/>
                  <w:gridSpan w:val="3"/>
                  <w:tcBorders>
                    <w:top w:val="nil"/>
                    <w:left w:val="nil"/>
                    <w:bottom w:val="nil"/>
                    <w:right w:val="nil"/>
                    <w:tl2br w:val="nil"/>
                    <w:tr2bl w:val="nil"/>
                  </w:tcBorders>
                  <w:noWrap/>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自评得分：</w:t>
                  </w:r>
                  <w:r>
                    <w:rPr>
                      <w:rFonts w:hint="eastAsia" w:ascii="仿宋_GB2312" w:hAnsi="仿宋_GB2312" w:eastAsia="仿宋_GB2312" w:cs="仿宋_GB2312"/>
                      <w:sz w:val="24"/>
                      <w:lang w:val="en-US" w:eastAsia="zh-CN"/>
                    </w:rPr>
                    <w:t>85</w:t>
                  </w:r>
                </w:p>
              </w:tc>
              <w:tc>
                <w:tcPr>
                  <w:tcW w:w="630" w:type="dxa"/>
                  <w:gridSpan w:val="2"/>
                  <w:tcBorders>
                    <w:top w:val="nil"/>
                    <w:left w:val="nil"/>
                    <w:bottom w:val="nil"/>
                    <w:right w:val="nil"/>
                    <w:tl2br w:val="nil"/>
                    <w:tr2bl w:val="nil"/>
                  </w:tcBorders>
                  <w:noWrap/>
                  <w:vAlign w:val="center"/>
                </w:tcPr>
                <w:p>
                  <w:pPr>
                    <w:jc w:val="center"/>
                    <w:rPr>
                      <w:rFonts w:hint="eastAsia" w:ascii="仿宋_GB2312" w:hAnsi="仿宋_GB2312" w:eastAsia="仿宋_GB2312" w:cs="仿宋_GB2312"/>
                      <w:sz w:val="24"/>
                    </w:rPr>
                  </w:pPr>
                </w:p>
              </w:tc>
              <w:tc>
                <w:tcPr>
                  <w:tcW w:w="945" w:type="dxa"/>
                  <w:gridSpan w:val="2"/>
                  <w:tcBorders>
                    <w:top w:val="nil"/>
                    <w:left w:val="nil"/>
                    <w:bottom w:val="nil"/>
                    <w:right w:val="nil"/>
                    <w:tl2br w:val="nil"/>
                    <w:tr2bl w:val="nil"/>
                  </w:tcBorders>
                  <w:noWrap/>
                  <w:vAlign w:val="center"/>
                </w:tcPr>
                <w:p>
                  <w:pPr>
                    <w:jc w:val="center"/>
                    <w:rPr>
                      <w:rFonts w:hint="eastAsia" w:ascii="仿宋_GB2312" w:hAnsi="仿宋_GB2312" w:eastAsia="仿宋_GB2312" w:cs="仿宋_GB2312"/>
                      <w:sz w:val="24"/>
                    </w:rPr>
                  </w:pPr>
                </w:p>
              </w:tc>
              <w:tc>
                <w:tcPr>
                  <w:tcW w:w="1155" w:type="dxa"/>
                  <w:gridSpan w:val="2"/>
                  <w:tcBorders>
                    <w:top w:val="nil"/>
                    <w:left w:val="nil"/>
                    <w:bottom w:val="nil"/>
                    <w:right w:val="nil"/>
                    <w:tl2br w:val="nil"/>
                    <w:tr2bl w:val="nil"/>
                  </w:tcBorders>
                  <w:noWrap/>
                  <w:vAlign w:val="center"/>
                </w:tcPr>
                <w:p>
                  <w:pPr>
                    <w:jc w:val="center"/>
                    <w:rPr>
                      <w:rFonts w:hint="eastAsia" w:ascii="仿宋_GB2312" w:hAnsi="仿宋_GB2312" w:eastAsia="仿宋_GB2312" w:cs="仿宋_GB2312"/>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（一）简要概述部门职能与职责。</w:t>
                  </w:r>
                </w:p>
              </w:tc>
              <w:tc>
                <w:tcPr>
                  <w:tcW w:w="4725"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pStyle w:val="5"/>
                    <w:bidi w:val="0"/>
                    <w:jc w:val="left"/>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1.</w:t>
                  </w:r>
                  <w:r>
                    <w:rPr>
                      <w:rFonts w:hint="eastAsia" w:ascii="仿宋_GB2312" w:hAnsi="仿宋_GB2312" w:eastAsia="仿宋_GB2312" w:cs="仿宋_GB2312"/>
                      <w:sz w:val="20"/>
                      <w:szCs w:val="20"/>
                    </w:rPr>
                    <w:t>指导交通运输信息化建设，监测分析运行情况</w:t>
                  </w:r>
                  <w:r>
                    <w:rPr>
                      <w:rFonts w:hint="eastAsia" w:ascii="仿宋_GB2312" w:hAnsi="仿宋_GB2312" w:eastAsia="仿宋_GB2312" w:cs="仿宋_GB2312"/>
                      <w:sz w:val="20"/>
                      <w:szCs w:val="20"/>
                      <w:lang w:eastAsia="zh-CN"/>
                    </w:rPr>
                    <w:t>。</w:t>
                  </w:r>
                </w:p>
                <w:p>
                  <w:pPr>
                    <w:pStyle w:val="5"/>
                    <w:bidi w:val="0"/>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val="en-US" w:eastAsia="zh-CN"/>
                    </w:rPr>
                    <w:t>2.</w:t>
                  </w:r>
                  <w:r>
                    <w:rPr>
                      <w:rFonts w:hint="eastAsia" w:ascii="仿宋_GB2312" w:hAnsi="仿宋_GB2312" w:eastAsia="仿宋_GB2312" w:cs="仿宋_GB2312"/>
                      <w:sz w:val="20"/>
                      <w:szCs w:val="20"/>
                    </w:rPr>
                    <w:t>负责机关及所属事业单位安全生产管理工作。</w:t>
                  </w:r>
                </w:p>
                <w:p>
                  <w:pPr>
                    <w:pStyle w:val="5"/>
                    <w:bidi w:val="0"/>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val="en-US" w:eastAsia="zh-CN"/>
                    </w:rPr>
                    <w:t>3.</w:t>
                  </w:r>
                  <w:r>
                    <w:rPr>
                      <w:rFonts w:hint="eastAsia" w:ascii="仿宋_GB2312" w:hAnsi="仿宋_GB2312" w:eastAsia="仿宋_GB2312" w:cs="仿宋_GB2312"/>
                      <w:sz w:val="20"/>
                      <w:szCs w:val="20"/>
                    </w:rPr>
                    <w:t>承办区委、区政府交办的其他事项。</w:t>
                  </w:r>
                </w:p>
                <w:p>
                  <w:pPr>
                    <w:jc w:val="left"/>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4.</w:t>
                  </w:r>
                  <w:r>
                    <w:rPr>
                      <w:rFonts w:hint="eastAsia" w:ascii="仿宋_GB2312" w:hAnsi="仿宋_GB2312" w:eastAsia="仿宋_GB2312" w:cs="仿宋_GB2312"/>
                      <w:sz w:val="20"/>
                      <w:szCs w:val="20"/>
                    </w:rPr>
                    <w:t>对接上级军民融合机构收集汇总全区军民融合发展需求</w:t>
                  </w:r>
                  <w:r>
                    <w:rPr>
                      <w:rFonts w:hint="eastAsia" w:ascii="仿宋_GB2312" w:hAnsi="仿宋_GB2312" w:eastAsia="仿宋_GB2312" w:cs="仿宋_GB2312"/>
                      <w:sz w:val="20"/>
                      <w:szCs w:val="20"/>
                      <w:lang w:eastAsia="zh-CN"/>
                    </w:rPr>
                    <w:t>。</w:t>
                  </w:r>
                </w:p>
                <w:p>
                  <w:pPr>
                    <w:pStyle w:val="5"/>
                    <w:bidi w:val="0"/>
                    <w:jc w:val="left"/>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5.</w:t>
                  </w:r>
                  <w:r>
                    <w:rPr>
                      <w:rFonts w:hint="eastAsia" w:ascii="仿宋_GB2312" w:hAnsi="仿宋_GB2312" w:eastAsia="仿宋_GB2312" w:cs="仿宋_GB2312"/>
                      <w:sz w:val="20"/>
                      <w:szCs w:val="20"/>
                    </w:rPr>
                    <w:t>推动和协调“互联网+”、信息技术等新经济产业发展工作，负责协调，指导“互联网+”、信息技术在科技、健康、环保、旅游等领域的应用</w:t>
                  </w:r>
                  <w:r>
                    <w:rPr>
                      <w:rFonts w:hint="eastAsia" w:ascii="仿宋_GB2312" w:hAnsi="仿宋_GB2312" w:eastAsia="仿宋_GB2312" w:cs="仿宋_GB2312"/>
                      <w:sz w:val="20"/>
                      <w:szCs w:val="20"/>
                      <w:lang w:eastAsia="zh-CN"/>
                    </w:rPr>
                    <w:t>。</w:t>
                  </w:r>
                </w:p>
                <w:p>
                  <w:pPr>
                    <w:pStyle w:val="5"/>
                    <w:bidi w:val="0"/>
                    <w:jc w:val="left"/>
                    <w:rPr>
                      <w:rFonts w:hint="eastAsia" w:ascii="仿宋_GB2312" w:hAnsi="仿宋_GB2312" w:eastAsia="仿宋_GB2312" w:cs="仿宋_GB2312"/>
                      <w:sz w:val="20"/>
                      <w:szCs w:val="20"/>
                    </w:rPr>
                  </w:pPr>
                  <w:r>
                    <w:rPr>
                      <w:rFonts w:hint="eastAsia" w:ascii="仿宋_GB2312" w:hAnsi="仿宋_GB2312" w:eastAsia="仿宋_GB2312" w:cs="仿宋_GB2312"/>
                      <w:i w:val="0"/>
                      <w:iCs w:val="0"/>
                      <w:caps w:val="0"/>
                      <w:color w:val="333333"/>
                      <w:spacing w:val="0"/>
                      <w:sz w:val="20"/>
                      <w:szCs w:val="20"/>
                      <w:shd w:val="clear" w:fill="FFFFFF"/>
                      <w:lang w:val="en-US" w:eastAsia="zh-CN"/>
                    </w:rPr>
                    <w:t>6.</w:t>
                  </w:r>
                  <w:r>
                    <w:rPr>
                      <w:rStyle w:val="12"/>
                      <w:rFonts w:hint="eastAsia" w:ascii="仿宋_GB2312" w:hAnsi="仿宋_GB2312" w:eastAsia="仿宋_GB2312" w:cs="仿宋_GB2312"/>
                      <w:sz w:val="20"/>
                      <w:szCs w:val="20"/>
                    </w:rPr>
                    <w:t>贯彻落实工业节能降耗和资源综合利用、清洁生产促进政策措施、发展规划；推动工业能源节约和资源综合利用工作，</w:t>
                  </w:r>
                  <w:r>
                    <w:rPr>
                      <w:rFonts w:hint="eastAsia" w:ascii="仿宋_GB2312" w:hAnsi="仿宋_GB2312" w:eastAsia="仿宋_GB2312" w:cs="仿宋_GB2312"/>
                      <w:sz w:val="20"/>
                      <w:szCs w:val="20"/>
                    </w:rPr>
                    <w:t>组织协调相关重大示范工程和新产品、新技术、新设备、新材料的推广应用。</w:t>
                  </w:r>
                </w:p>
                <w:p>
                  <w:pPr>
                    <w:pStyle w:val="5"/>
                    <w:bidi w:val="0"/>
                    <w:jc w:val="left"/>
                    <w:rPr>
                      <w:rFonts w:hint="eastAsia" w:ascii="仿宋_GB2312" w:hAnsi="仿宋_GB2312" w:eastAsia="仿宋_GB2312" w:cs="仿宋_GB2312"/>
                      <w:sz w:val="20"/>
                      <w:szCs w:val="20"/>
                      <w:lang w:eastAsia="zh-CN"/>
                    </w:rPr>
                  </w:pPr>
                  <w:r>
                    <w:rPr>
                      <w:rFonts w:hint="eastAsia" w:ascii="仿宋_GB2312" w:hAnsi="仿宋_GB2312" w:eastAsia="仿宋_GB2312" w:cs="仿宋_GB2312"/>
                      <w:sz w:val="20"/>
                      <w:szCs w:val="20"/>
                      <w:lang w:val="en-US" w:eastAsia="zh-CN"/>
                    </w:rPr>
                    <w:t>7.</w:t>
                  </w:r>
                  <w:r>
                    <w:rPr>
                      <w:rFonts w:hint="eastAsia" w:ascii="仿宋_GB2312" w:hAnsi="仿宋_GB2312" w:eastAsia="仿宋_GB2312" w:cs="仿宋_GB2312"/>
                      <w:sz w:val="20"/>
                      <w:szCs w:val="20"/>
                    </w:rPr>
                    <w:t>提出优化产业布局、调整结构的政策建议；检测分析全区工业信息产业经济运行态势，进行预测预警和信息引导；推进全区工业和信息化融合</w:t>
                  </w:r>
                  <w:r>
                    <w:rPr>
                      <w:rFonts w:hint="eastAsia" w:ascii="仿宋_GB2312" w:hAnsi="仿宋_GB2312" w:eastAsia="仿宋_GB2312" w:cs="仿宋_GB2312"/>
                      <w:sz w:val="20"/>
                      <w:szCs w:val="20"/>
                      <w:lang w:eastAsia="zh-CN"/>
                    </w:rPr>
                    <w:t>。</w:t>
                  </w:r>
                </w:p>
                <w:p>
                  <w:pPr>
                    <w:pStyle w:val="5"/>
                    <w:bidi w:val="0"/>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lang w:val="en-US" w:eastAsia="zh-CN"/>
                    </w:rPr>
                    <w:t>8.</w:t>
                  </w:r>
                  <w:r>
                    <w:rPr>
                      <w:rFonts w:hint="eastAsia" w:ascii="仿宋_GB2312" w:hAnsi="仿宋_GB2312" w:eastAsia="仿宋_GB2312" w:cs="仿宋_GB2312"/>
                      <w:sz w:val="20"/>
                      <w:szCs w:val="20"/>
                    </w:rPr>
                    <w:t>贯彻执行国家和省、市有关工业和信息化、军民融合、大数据、新经济产业、交通运输行业、信用工作方面的法律法规和方针政策，起草有关规范性文件，实施产业引导、政策扶持，调整优化产业结构，加强相关产业的对外交流与合作。</w:t>
                  </w:r>
                </w:p>
                <w:p>
                  <w:pPr>
                    <w:pStyle w:val="5"/>
                    <w:bidi w:val="0"/>
                    <w:jc w:val="left"/>
                    <w:rPr>
                      <w:rFonts w:hint="eastAsia" w:ascii="仿宋_GB2312" w:hAnsi="仿宋_GB2312" w:eastAsia="仿宋_GB2312" w:cs="仿宋_GB2312"/>
                      <w:b w:val="0"/>
                      <w:bCs w:val="0"/>
                      <w:lang w:eastAsia="zh-CN"/>
                    </w:rPr>
                  </w:pPr>
                  <w:r>
                    <w:rPr>
                      <w:rFonts w:hint="eastAsia" w:ascii="仿宋_GB2312" w:hAnsi="仿宋_GB2312" w:eastAsia="仿宋_GB2312" w:cs="仿宋_GB2312"/>
                      <w:sz w:val="20"/>
                      <w:szCs w:val="20"/>
                      <w:lang w:val="en-US" w:eastAsia="zh-CN"/>
                    </w:rPr>
                    <w:t>9.</w:t>
                  </w:r>
                  <w:r>
                    <w:rPr>
                      <w:rFonts w:hint="eastAsia" w:ascii="仿宋_GB2312" w:hAnsi="仿宋_GB2312" w:eastAsia="仿宋_GB2312" w:cs="仿宋_GB2312"/>
                      <w:sz w:val="20"/>
                      <w:szCs w:val="20"/>
                    </w:rPr>
                    <w:t>负责拟订全区工业和信息化融合、军民融合、大数据、新经济产业、交通运输行业发展规划和年度计划，并组织实施。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（二）简要概述部门支出情况，按活动内容分类。</w:t>
                  </w:r>
                </w:p>
              </w:tc>
              <w:tc>
                <w:tcPr>
                  <w:tcW w:w="4725"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1.</w:t>
                  </w:r>
                  <w:r>
                    <w:rPr>
                      <w:rFonts w:hint="eastAsia" w:ascii="仿宋_GB2312" w:hAnsi="仿宋_GB2312" w:eastAsia="仿宋_GB2312" w:cs="仿宋_GB2312"/>
                      <w:color w:val="000000"/>
                      <w:kern w:val="0"/>
                      <w:sz w:val="20"/>
                      <w:szCs w:val="20"/>
                      <w:lang w:val="en-US" w:eastAsia="zh-CN"/>
                    </w:rPr>
                    <w:t>客运站场周边秩序整治经费支出1万元；</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color w:val="000000"/>
                      <w:kern w:val="0"/>
                      <w:sz w:val="20"/>
                      <w:szCs w:val="20"/>
                      <w:lang w:val="en-US" w:eastAsia="zh-CN"/>
                    </w:rPr>
                    <w:t>2.</w:t>
                  </w:r>
                  <w:r>
                    <w:rPr>
                      <w:rFonts w:hint="eastAsia" w:ascii="仿宋_GB2312" w:hAnsi="仿宋_GB2312" w:eastAsia="仿宋_GB2312" w:cs="仿宋_GB2312"/>
                      <w:sz w:val="20"/>
                      <w:szCs w:val="20"/>
                    </w:rPr>
                    <w:t>汽修行业铁腕治霾工作经费</w:t>
                  </w:r>
                  <w:r>
                    <w:rPr>
                      <w:rFonts w:hint="eastAsia" w:ascii="仿宋_GB2312" w:hAnsi="仿宋_GB2312" w:eastAsia="仿宋_GB2312" w:cs="仿宋_GB2312"/>
                      <w:sz w:val="20"/>
                      <w:szCs w:val="20"/>
                      <w:lang w:val="en-US" w:eastAsia="zh-CN"/>
                    </w:rPr>
                    <w:t>支出3万元；</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3.</w:t>
                  </w:r>
                  <w:r>
                    <w:rPr>
                      <w:rFonts w:hint="eastAsia" w:ascii="仿宋_GB2312" w:hAnsi="仿宋_GB2312" w:eastAsia="仿宋_GB2312" w:cs="仿宋_GB2312"/>
                      <w:sz w:val="20"/>
                      <w:szCs w:val="20"/>
                    </w:rPr>
                    <w:t>“散乱污”企业专项整治工作经费</w:t>
                  </w:r>
                  <w:r>
                    <w:rPr>
                      <w:rFonts w:hint="eastAsia" w:ascii="仿宋_GB2312" w:hAnsi="仿宋_GB2312" w:eastAsia="仿宋_GB2312" w:cs="仿宋_GB2312"/>
                      <w:sz w:val="20"/>
                      <w:szCs w:val="20"/>
                      <w:lang w:val="en-US" w:eastAsia="zh-CN"/>
                    </w:rPr>
                    <w:t>5万元；</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4.</w:t>
                  </w:r>
                  <w:r>
                    <w:rPr>
                      <w:rFonts w:hint="eastAsia" w:ascii="仿宋_GB2312" w:hAnsi="仿宋_GB2312" w:eastAsia="仿宋_GB2312" w:cs="仿宋_GB2312"/>
                      <w:sz w:val="20"/>
                      <w:szCs w:val="20"/>
                    </w:rPr>
                    <w:t>诚信体系建设、大数据及新经济产业建设</w:t>
                  </w:r>
                  <w:r>
                    <w:rPr>
                      <w:rFonts w:hint="eastAsia" w:ascii="仿宋_GB2312" w:hAnsi="仿宋_GB2312" w:eastAsia="仿宋_GB2312" w:cs="仿宋_GB2312"/>
                      <w:sz w:val="20"/>
                      <w:szCs w:val="20"/>
                      <w:lang w:val="en-US" w:eastAsia="zh-CN"/>
                    </w:rPr>
                    <w:t>2万元；</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5.</w:t>
                  </w:r>
                  <w:r>
                    <w:rPr>
                      <w:rFonts w:hint="eastAsia" w:ascii="仿宋_GB2312" w:hAnsi="仿宋_GB2312" w:eastAsia="仿宋_GB2312" w:cs="仿宋_GB2312"/>
                      <w:sz w:val="20"/>
                      <w:szCs w:val="20"/>
                    </w:rPr>
                    <w:t>强工业稳增长经费</w:t>
                  </w:r>
                  <w:r>
                    <w:rPr>
                      <w:rFonts w:hint="eastAsia" w:ascii="仿宋_GB2312" w:hAnsi="仿宋_GB2312" w:eastAsia="仿宋_GB2312" w:cs="仿宋_GB2312"/>
                      <w:sz w:val="20"/>
                      <w:szCs w:val="20"/>
                      <w:lang w:val="en-US" w:eastAsia="zh-CN"/>
                    </w:rPr>
                    <w:t>支出5万元；</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6.</w:t>
                  </w:r>
                  <w:r>
                    <w:rPr>
                      <w:rFonts w:hint="eastAsia" w:ascii="仿宋_GB2312" w:hAnsi="仿宋_GB2312" w:eastAsia="仿宋_GB2312" w:cs="仿宋_GB2312"/>
                      <w:sz w:val="20"/>
                      <w:szCs w:val="20"/>
                    </w:rPr>
                    <w:t>军民融合工作经费</w:t>
                  </w:r>
                  <w:r>
                    <w:rPr>
                      <w:rFonts w:hint="eastAsia" w:ascii="仿宋_GB2312" w:hAnsi="仿宋_GB2312" w:eastAsia="仿宋_GB2312" w:cs="仿宋_GB2312"/>
                      <w:sz w:val="20"/>
                      <w:szCs w:val="20"/>
                      <w:lang w:val="en-US" w:eastAsia="zh-CN"/>
                    </w:rPr>
                    <w:t>2万元；</w:t>
                  </w:r>
                </w:p>
                <w:p>
                  <w:pPr>
                    <w:jc w:val="both"/>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szCs w:val="20"/>
                      <w:lang w:val="en-US" w:eastAsia="zh-CN"/>
                    </w:rPr>
                    <w:t>7.</w:t>
                  </w:r>
                  <w:r>
                    <w:rPr>
                      <w:rFonts w:hint="eastAsia" w:ascii="仿宋_GB2312" w:hAnsi="仿宋_GB2312" w:eastAsia="仿宋_GB2312" w:cs="仿宋_GB2312"/>
                      <w:sz w:val="20"/>
                      <w:szCs w:val="20"/>
                    </w:rPr>
                    <w:t>亲商助企经费</w:t>
                  </w:r>
                  <w:r>
                    <w:rPr>
                      <w:rFonts w:hint="eastAsia" w:ascii="仿宋_GB2312" w:hAnsi="仿宋_GB2312" w:eastAsia="仿宋_GB2312" w:cs="仿宋_GB2312"/>
                      <w:sz w:val="20"/>
                      <w:szCs w:val="20"/>
                      <w:lang w:val="en-US" w:eastAsia="zh-CN"/>
                    </w:rPr>
                    <w:t>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4522" w:type="dxa"/>
                  <w:gridSpan w:val="10"/>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（三）简要概述当年省委省政府下达的重点工作。</w:t>
                  </w:r>
                </w:p>
              </w:tc>
              <w:tc>
                <w:tcPr>
                  <w:tcW w:w="4725" w:type="dxa"/>
                  <w:gridSpan w:val="9"/>
                  <w:tcBorders>
                    <w:top w:val="single" w:color="auto" w:sz="6" w:space="0"/>
                    <w:left w:val="single" w:color="auto" w:sz="6" w:space="0"/>
                    <w:bottom w:val="single" w:color="auto" w:sz="6" w:space="0"/>
                    <w:right w:val="single" w:color="auto" w:sz="6" w:space="0"/>
                    <w:tl2br w:val="nil"/>
                    <w:tr2bl w:val="nil"/>
                  </w:tcBorders>
                  <w:noWrap/>
                  <w:vAlign w:val="center"/>
                </w:tcPr>
                <w:p>
                  <w:pPr>
                    <w:widowControl/>
                    <w:snapToGrid w:val="0"/>
                    <w:jc w:val="left"/>
                    <w:rPr>
                      <w:rFonts w:hint="eastAsia" w:ascii="仿宋_GB2312" w:hAnsi="仿宋_GB2312" w:eastAsia="仿宋_GB2312" w:cs="仿宋_GB2312"/>
                      <w:sz w:val="20"/>
                      <w:szCs w:val="20"/>
                    </w:rPr>
                  </w:pPr>
                  <w:r>
                    <w:rPr>
                      <w:rFonts w:hint="eastAsia" w:ascii="仿宋_GB2312" w:hAnsi="仿宋_GB2312" w:eastAsia="仿宋_GB2312" w:cs="仿宋_GB2312"/>
                      <w:kern w:val="0"/>
                      <w:sz w:val="21"/>
                      <w:szCs w:val="21"/>
                    </w:rPr>
                    <w:t>　</w:t>
                  </w:r>
                  <w:r>
                    <w:rPr>
                      <w:rFonts w:hint="eastAsia" w:ascii="仿宋_GB2312" w:hAnsi="仿宋_GB2312" w:eastAsia="仿宋_GB2312" w:cs="仿宋_GB2312"/>
                      <w:kern w:val="0"/>
                      <w:sz w:val="20"/>
                      <w:szCs w:val="20"/>
                    </w:rPr>
                    <w:t>1.</w:t>
                  </w:r>
                  <w:r>
                    <w:rPr>
                      <w:rFonts w:hint="eastAsia" w:ascii="仿宋_GB2312" w:hAnsi="仿宋_GB2312" w:eastAsia="仿宋_GB2312" w:cs="仿宋_GB2312"/>
                      <w:sz w:val="20"/>
                      <w:szCs w:val="20"/>
                    </w:rPr>
                    <w:t>发挥</w:t>
                  </w:r>
                  <w:r>
                    <w:rPr>
                      <w:rFonts w:hint="eastAsia" w:ascii="仿宋_GB2312" w:hAnsi="仿宋_GB2312" w:eastAsia="仿宋_GB2312" w:cs="仿宋_GB2312"/>
                      <w:sz w:val="20"/>
                      <w:szCs w:val="20"/>
                      <w:lang w:val="en-US" w:eastAsia="zh-CN"/>
                    </w:rPr>
                    <w:t>领头</w:t>
                  </w:r>
                  <w:r>
                    <w:rPr>
                      <w:rFonts w:hint="eastAsia" w:ascii="仿宋_GB2312" w:hAnsi="仿宋_GB2312" w:eastAsia="仿宋_GB2312" w:cs="仿宋_GB2312"/>
                      <w:sz w:val="20"/>
                      <w:szCs w:val="20"/>
                    </w:rPr>
                    <w:t>力量，助力疫情防控；</w:t>
                  </w:r>
                </w:p>
                <w:p>
                  <w:pPr>
                    <w:widowControl/>
                    <w:snapToGrid w:val="0"/>
                    <w:jc w:val="left"/>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 xml:space="preserve">  2.提升</w:t>
                  </w:r>
                  <w:r>
                    <w:rPr>
                      <w:rFonts w:hint="eastAsia" w:ascii="仿宋_GB2312" w:hAnsi="仿宋_GB2312" w:eastAsia="仿宋_GB2312" w:cs="仿宋_GB2312"/>
                      <w:sz w:val="20"/>
                      <w:szCs w:val="20"/>
                      <w:lang w:val="en-US" w:eastAsia="zh-CN"/>
                    </w:rPr>
                    <w:t>全局</w:t>
                  </w:r>
                  <w:r>
                    <w:rPr>
                      <w:rFonts w:hint="eastAsia" w:ascii="仿宋_GB2312" w:hAnsi="仿宋_GB2312" w:eastAsia="仿宋_GB2312" w:cs="仿宋_GB2312"/>
                      <w:sz w:val="20"/>
                      <w:szCs w:val="20"/>
                    </w:rPr>
                    <w:t>工作水平；</w:t>
                  </w:r>
                </w:p>
                <w:p>
                  <w:pPr>
                    <w:widowControl/>
                    <w:snapToGrid w:val="0"/>
                    <w:ind w:firstLine="200" w:firstLineChars="100"/>
                    <w:jc w:val="left"/>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szCs w:val="20"/>
                    </w:rPr>
                    <w:t>3.维护</w:t>
                  </w:r>
                  <w:r>
                    <w:rPr>
                      <w:rFonts w:hint="eastAsia" w:ascii="仿宋_GB2312" w:hAnsi="仿宋_GB2312" w:eastAsia="仿宋_GB2312" w:cs="仿宋_GB2312"/>
                      <w:sz w:val="20"/>
                      <w:szCs w:val="20"/>
                      <w:lang w:val="en-US" w:eastAsia="zh-CN"/>
                    </w:rPr>
                    <w:t>辖区各个企业行业</w:t>
                  </w:r>
                  <w:r>
                    <w:rPr>
                      <w:rFonts w:hint="eastAsia" w:ascii="仿宋_GB2312" w:hAnsi="仿宋_GB2312" w:eastAsia="仿宋_GB2312" w:cs="仿宋_GB2312"/>
                      <w:sz w:val="20"/>
                      <w:szCs w:val="20"/>
                    </w:rPr>
                    <w:t>域稳定</w:t>
                  </w:r>
                  <w:r>
                    <w:rPr>
                      <w:rFonts w:hint="eastAsia" w:ascii="仿宋_GB2312" w:hAnsi="仿宋_GB2312" w:eastAsia="仿宋_GB2312" w:cs="仿宋_GB2312"/>
                      <w:sz w:val="20"/>
                      <w:szCs w:val="20"/>
                      <w:lang w:val="en-US" w:eastAsia="zh-CN"/>
                    </w:rPr>
                    <w:t>发展</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val="en-US" w:eastAsia="zh-CN"/>
                    </w:rPr>
                    <w:t>大力加强企业调研、巡查、宣传力度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60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一级</w:t>
                  </w:r>
                </w:p>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指标</w:t>
                  </w:r>
                </w:p>
              </w:tc>
              <w:tc>
                <w:tcPr>
                  <w:tcW w:w="666"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二级</w:t>
                  </w:r>
                </w:p>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指标</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三级指标</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分值</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指标说明</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评分标准</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年初目标值</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实际完成值</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b/>
                      <w:i w:val="0"/>
                      <w:sz w:val="20"/>
                    </w:rPr>
                  </w:pPr>
                  <w:r>
                    <w:rPr>
                      <w:rFonts w:hint="eastAsia" w:ascii="仿宋_GB2312" w:hAnsi="仿宋_GB2312" w:eastAsia="仿宋_GB2312" w:cs="仿宋_GB2312"/>
                      <w:b/>
                      <w:i w:val="0"/>
                      <w:sz w:val="20"/>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9"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投入</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预算执行（25分）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预算</w:t>
                  </w:r>
                </w:p>
                <w:p>
                  <w:pPr>
                    <w:rPr>
                      <w:rFonts w:hint="eastAsia" w:ascii="仿宋_GB2312" w:hAnsi="仿宋_GB2312" w:eastAsia="仿宋_GB2312" w:cs="仿宋_GB2312"/>
                      <w:sz w:val="20"/>
                    </w:rPr>
                  </w:pPr>
                  <w:r>
                    <w:rPr>
                      <w:rFonts w:hint="eastAsia" w:ascii="仿宋_GB2312" w:hAnsi="仿宋_GB2312" w:eastAsia="仿宋_GB2312" w:cs="仿宋_GB2312"/>
                      <w:sz w:val="20"/>
                    </w:rPr>
                    <w:t>完成率</w:t>
                  </w:r>
                </w:p>
                <w:p>
                  <w:pPr>
                    <w:rPr>
                      <w:rFonts w:hint="eastAsia" w:ascii="仿宋_GB2312" w:hAnsi="仿宋_GB2312" w:eastAsia="仿宋_GB2312" w:cs="仿宋_GB2312"/>
                      <w:sz w:val="20"/>
                    </w:rPr>
                  </w:pPr>
                  <w:r>
                    <w:rPr>
                      <w:rFonts w:hint="eastAsia" w:ascii="仿宋_GB2312" w:hAnsi="仿宋_GB2312" w:eastAsia="仿宋_GB2312" w:cs="仿宋_GB2312"/>
                      <w:sz w:val="20"/>
                    </w:rPr>
                    <w:t>（10分）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10</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预算完成率=（预算完成数/预算数）×100%，用以反映和考核部门（单位）预算完成程度。</w:t>
                  </w:r>
                </w:p>
                <w:p>
                  <w:pPr>
                    <w:rPr>
                      <w:rFonts w:hint="eastAsia" w:ascii="仿宋_GB2312" w:hAnsi="仿宋_GB2312" w:eastAsia="仿宋_GB2312" w:cs="仿宋_GB2312"/>
                      <w:sz w:val="15"/>
                    </w:rPr>
                  </w:pPr>
                  <w:r>
                    <w:rPr>
                      <w:rFonts w:hint="eastAsia" w:ascii="仿宋_GB2312" w:hAnsi="仿宋_GB2312" w:eastAsia="仿宋_GB2312" w:cs="仿宋_GB2312"/>
                      <w:sz w:val="15"/>
                    </w:rPr>
                    <w:t>预算完成数：部门（单位）本年度实际完成的预算数。</w:t>
                  </w:r>
                </w:p>
                <w:p>
                  <w:pPr>
                    <w:rPr>
                      <w:rFonts w:hint="eastAsia" w:ascii="仿宋_GB2312" w:hAnsi="仿宋_GB2312" w:eastAsia="仿宋_GB2312" w:cs="仿宋_GB2312"/>
                      <w:sz w:val="15"/>
                    </w:rPr>
                  </w:pPr>
                  <w:r>
                    <w:rPr>
                      <w:rFonts w:hint="eastAsia" w:ascii="仿宋_GB2312" w:hAnsi="仿宋_GB2312" w:eastAsia="仿宋_GB2312" w:cs="仿宋_GB2312"/>
                      <w:sz w:val="15"/>
                    </w:rPr>
                    <w:t>预算数：财政部门批复的本年度部门（单位）预算数。</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预算完成率＝100%的，得10分。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预算完成率≥95%的，得9分。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预算完成率在90%（含）和95%之间，得8分。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预算完成率在85%（含）和90%之间，得7分。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预算完成率在80%（含）和85%之间，得6分。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预算完成率在70%（含）和80%之间，得4分。</w:t>
                  </w:r>
                </w:p>
                <w:p>
                  <w:pPr>
                    <w:rPr>
                      <w:rFonts w:hint="eastAsia" w:ascii="仿宋_GB2312" w:hAnsi="仿宋_GB2312" w:eastAsia="仿宋_GB2312" w:cs="仿宋_GB2312"/>
                      <w:sz w:val="12"/>
                    </w:rPr>
                  </w:pPr>
                  <w:r>
                    <w:rPr>
                      <w:rFonts w:hint="eastAsia" w:ascii="仿宋_GB2312" w:hAnsi="仿宋_GB2312" w:eastAsia="仿宋_GB2312" w:cs="仿宋_GB2312"/>
                      <w:sz w:val="12"/>
                    </w:rPr>
                    <w:t>预算完成率＜70%的，得0分。</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100%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100%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预算调整率</w:t>
                  </w:r>
                </w:p>
                <w:p>
                  <w:pPr>
                    <w:rPr>
                      <w:rFonts w:hint="eastAsia" w:ascii="仿宋_GB2312" w:hAnsi="仿宋_GB2312" w:eastAsia="仿宋_GB2312" w:cs="仿宋_GB2312"/>
                      <w:sz w:val="20"/>
                    </w:rPr>
                  </w:pPr>
                  <w:r>
                    <w:rPr>
                      <w:rFonts w:hint="eastAsia" w:ascii="仿宋_GB2312" w:hAnsi="仿宋_GB2312" w:eastAsia="仿宋_GB2312" w:cs="仿宋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预算调整率=（预算调整数/预算数）×100%，用以反映和考核部门（单位）预算的调整程度。</w:t>
                  </w:r>
                </w:p>
                <w:p>
                  <w:pPr>
                    <w:rPr>
                      <w:rFonts w:hint="eastAsia" w:ascii="仿宋_GB2312" w:hAnsi="仿宋_GB2312" w:eastAsia="仿宋_GB2312" w:cs="仿宋_GB2312"/>
                      <w:sz w:val="15"/>
                    </w:rPr>
                  </w:pPr>
                  <w:r>
                    <w:rPr>
                      <w:rFonts w:hint="eastAsia" w:ascii="仿宋_GB2312" w:hAnsi="仿宋_GB2312" w:eastAsia="仿宋_GB2312" w:cs="仿宋_GB2312"/>
                      <w:sz w:val="15"/>
                    </w:rPr>
                    <w:t>预算调整数：部门（单位）在本年度内涉及预算的追加、追减或结构调整的资金总和（因落实国家政策、发生不可抗力、上级部门或本级党委政府临时交办而产生的调整除外）。</w:t>
                  </w:r>
                </w:p>
                <w:p>
                  <w:pPr>
                    <w:rPr>
                      <w:rFonts w:hint="eastAsia" w:ascii="仿宋_GB2312" w:hAnsi="仿宋_GB2312" w:eastAsia="仿宋_GB2312" w:cs="仿宋_GB2312"/>
                      <w:sz w:val="15"/>
                    </w:rPr>
                  </w:pPr>
                  <w:r>
                    <w:rPr>
                      <w:rFonts w:hint="eastAsia" w:ascii="仿宋_GB2312" w:hAnsi="仿宋_GB2312" w:eastAsia="仿宋_GB2312" w:cs="仿宋_GB2312"/>
                      <w:sz w:val="15"/>
                    </w:rPr>
                    <w:t>预算包括一般公共预算与政府性基金预算。</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预算调整率绝对值≤5%，得5分。</w:t>
                  </w:r>
                </w:p>
                <w:p>
                  <w:pPr>
                    <w:rPr>
                      <w:rFonts w:hint="eastAsia" w:ascii="仿宋_GB2312" w:hAnsi="仿宋_GB2312" w:eastAsia="仿宋_GB2312" w:cs="仿宋_GB2312"/>
                      <w:sz w:val="13"/>
                    </w:rPr>
                  </w:pPr>
                  <w:r>
                    <w:rPr>
                      <w:rFonts w:hint="eastAsia" w:ascii="仿宋_GB2312" w:hAnsi="仿宋_GB2312" w:eastAsia="仿宋_GB2312" w:cs="仿宋_GB2312"/>
                      <w:sz w:val="13"/>
                    </w:rPr>
                    <w:t>预算调整率绝对值＞5%的，每增加0.1个百分点扣0.1分，扣完为止。</w:t>
                  </w:r>
                </w:p>
                <w:p>
                  <w:pPr>
                    <w:rPr>
                      <w:rFonts w:hint="eastAsia" w:ascii="仿宋_GB2312" w:hAnsi="仿宋_GB2312" w:eastAsia="仿宋_GB2312" w:cs="仿宋_GB2312"/>
                      <w:sz w:val="13"/>
                    </w:rPr>
                  </w:pP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预算调整率绝对值≤5%</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　预算调整率绝对值＞5%</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支出进度率</w:t>
                  </w:r>
                </w:p>
                <w:p>
                  <w:pPr>
                    <w:rPr>
                      <w:rFonts w:hint="eastAsia" w:ascii="仿宋_GB2312" w:hAnsi="仿宋_GB2312" w:eastAsia="仿宋_GB2312" w:cs="仿宋_GB2312"/>
                      <w:sz w:val="20"/>
                    </w:rPr>
                  </w:pPr>
                  <w:r>
                    <w:rPr>
                      <w:rFonts w:hint="eastAsia" w:ascii="仿宋_GB2312" w:hAnsi="仿宋_GB2312" w:eastAsia="仿宋_GB2312" w:cs="仿宋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支出进度率=（实际支出/支出预算）×100%，用以反映和考核部门（单位）预算执行的及时性和均衡性程度。</w:t>
                  </w:r>
                </w:p>
                <w:p>
                  <w:pPr>
                    <w:rPr>
                      <w:rFonts w:hint="eastAsia" w:ascii="仿宋_GB2312" w:hAnsi="仿宋_GB2312" w:eastAsia="仿宋_GB2312" w:cs="仿宋_GB2312"/>
                      <w:sz w:val="15"/>
                    </w:rPr>
                  </w:pPr>
                  <w:r>
                    <w:rPr>
                      <w:rFonts w:hint="eastAsia" w:ascii="仿宋_GB2312" w:hAnsi="仿宋_GB2312" w:eastAsia="仿宋_GB2312" w:cs="仿宋_GB2312"/>
                      <w:sz w:val="15"/>
                    </w:rPr>
                    <w:t>半年支出进度＝部门上半年实际支出/（上年结余结转+本年部门预算安排+上半年执行中追加追减）*100%。</w:t>
                  </w:r>
                </w:p>
                <w:p>
                  <w:pPr>
                    <w:rPr>
                      <w:rFonts w:hint="eastAsia" w:ascii="仿宋_GB2312" w:hAnsi="仿宋_GB2312" w:eastAsia="仿宋_GB2312" w:cs="仿宋_GB2312"/>
                      <w:sz w:val="15"/>
                    </w:rPr>
                  </w:pPr>
                  <w:r>
                    <w:rPr>
                      <w:rFonts w:hint="eastAsia" w:ascii="仿宋_GB2312" w:hAnsi="仿宋_GB2312" w:eastAsia="仿宋_GB2312" w:cs="仿宋_GB2312"/>
                      <w:sz w:val="15"/>
                    </w:rPr>
                    <w:t>前三季度支出进度＝部门前三季度实际支出/（上年结余结转+本年部门预算安排+前三季度执行中追加追减）*100%。</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半年进度：进度率≥45%，得2分；进度率在40%（含）和45%之间，得1分；进度率＜40%，得0分。</w:t>
                  </w:r>
                </w:p>
                <w:p>
                  <w:pPr>
                    <w:rPr>
                      <w:rFonts w:hint="eastAsia" w:ascii="仿宋_GB2312" w:hAnsi="仿宋_GB2312" w:eastAsia="仿宋_GB2312" w:cs="仿宋_GB2312"/>
                      <w:sz w:val="13"/>
                    </w:rPr>
                  </w:pPr>
                  <w:r>
                    <w:rPr>
                      <w:rFonts w:hint="eastAsia" w:ascii="仿宋_GB2312" w:hAnsi="仿宋_GB2312" w:eastAsia="仿宋_GB2312" w:cs="仿宋_GB2312"/>
                      <w:sz w:val="13"/>
                    </w:rPr>
                    <w:t>前三季度进度：进度率≥75%，得3分；进度率在60%（含）和75%之间，得2分；进度率＜60%，得0分。</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半年进度：进度率≥45%；前三季度进度：进度率≥75%</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　半年进度：进度率≥45%；前三季度进度：进度率≥75%</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预算编制准确率（5分）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部门预算中除财政拨款外的其他收入预算与决算差异率。</w:t>
                  </w:r>
                </w:p>
                <w:p>
                  <w:pPr>
                    <w:rPr>
                      <w:rFonts w:hint="eastAsia" w:ascii="仿宋_GB2312" w:hAnsi="仿宋_GB2312" w:eastAsia="仿宋_GB2312" w:cs="仿宋_GB2312"/>
                      <w:sz w:val="15"/>
                    </w:rPr>
                  </w:pPr>
                  <w:r>
                    <w:rPr>
                      <w:rFonts w:hint="eastAsia" w:ascii="仿宋_GB2312" w:hAnsi="仿宋_GB2312" w:eastAsia="仿宋_GB2312" w:cs="仿宋_GB2312"/>
                      <w:sz w:val="15"/>
                    </w:rPr>
                    <w:t>预算编制准确率＝其他收入决算数/其他收入预算数×100%-100%。</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预算编制准确率≤20%，得5分。</w:t>
                  </w:r>
                </w:p>
                <w:p>
                  <w:pPr>
                    <w:rPr>
                      <w:rFonts w:hint="eastAsia" w:ascii="仿宋_GB2312" w:hAnsi="仿宋_GB2312" w:eastAsia="仿宋_GB2312" w:cs="仿宋_GB2312"/>
                      <w:sz w:val="13"/>
                    </w:rPr>
                  </w:pPr>
                  <w:r>
                    <w:rPr>
                      <w:rFonts w:hint="eastAsia" w:ascii="仿宋_GB2312" w:hAnsi="仿宋_GB2312" w:eastAsia="仿宋_GB2312" w:cs="仿宋_GB2312"/>
                      <w:sz w:val="13"/>
                    </w:rPr>
                    <w:t>预算编制准确率在20%和40%（含）之间，得3分。</w:t>
                  </w:r>
                </w:p>
                <w:p>
                  <w:pPr>
                    <w:rPr>
                      <w:rFonts w:hint="eastAsia" w:ascii="仿宋_GB2312" w:hAnsi="仿宋_GB2312" w:eastAsia="仿宋_GB2312" w:cs="仿宋_GB2312"/>
                      <w:sz w:val="13"/>
                    </w:rPr>
                  </w:pPr>
                  <w:r>
                    <w:rPr>
                      <w:rFonts w:hint="eastAsia" w:ascii="仿宋_GB2312" w:hAnsi="仿宋_GB2312" w:eastAsia="仿宋_GB2312" w:cs="仿宋_GB2312"/>
                      <w:sz w:val="13"/>
                    </w:rPr>
                    <w:t>预算编制准确率＞40%，得0分。</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　预算编制准确率≤20%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lang w:val="en-US" w:eastAsia="zh-CN"/>
                    </w:rPr>
                  </w:pPr>
                  <w:r>
                    <w:rPr>
                      <w:rFonts w:hint="eastAsia" w:ascii="仿宋_GB2312" w:hAnsi="仿宋_GB2312" w:eastAsia="仿宋_GB2312" w:cs="仿宋_GB2312"/>
                      <w:kern w:val="0"/>
                      <w:sz w:val="20"/>
                      <w:szCs w:val="20"/>
                    </w:rPr>
                    <w:t>预算编制准确率＞</w:t>
                  </w:r>
                  <w:r>
                    <w:rPr>
                      <w:rFonts w:hint="eastAsia" w:ascii="仿宋_GB2312" w:hAnsi="仿宋_GB2312" w:eastAsia="仿宋_GB2312" w:cs="仿宋_GB2312"/>
                      <w:kern w:val="0"/>
                      <w:sz w:val="20"/>
                      <w:szCs w:val="20"/>
                      <w:lang w:val="en-US" w:eastAsia="zh-CN"/>
                    </w:rPr>
                    <w:t>40%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过程</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预算管理（15分）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“三公经费”控制率</w:t>
                  </w:r>
                </w:p>
                <w:p>
                  <w:pPr>
                    <w:rPr>
                      <w:rFonts w:hint="eastAsia" w:ascii="仿宋_GB2312" w:hAnsi="仿宋_GB2312" w:eastAsia="仿宋_GB2312" w:cs="仿宋_GB2312"/>
                      <w:sz w:val="20"/>
                    </w:rPr>
                  </w:pPr>
                  <w:r>
                    <w:rPr>
                      <w:rFonts w:hint="eastAsia" w:ascii="仿宋_GB2312" w:hAnsi="仿宋_GB2312" w:eastAsia="仿宋_GB2312" w:cs="仿宋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“三公经费”控制率=（“三公经费”实际支出数/“三公经费”预算安排数）×100%，用以反映和考核部门（单位）对“三公经费”的实际控制程度。</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三公经费控制率 ≤100%，得5分，每增加0.1个百分点扣0.5分，扣完为止。</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　三公经费控制率 ≤100%</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三公经费控制率 ≤100%</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9"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资产管理规范性</w:t>
                  </w:r>
                </w:p>
                <w:p>
                  <w:pPr>
                    <w:rPr>
                      <w:rFonts w:hint="eastAsia" w:ascii="仿宋_GB2312" w:hAnsi="仿宋_GB2312" w:eastAsia="仿宋_GB2312" w:cs="仿宋_GB2312"/>
                      <w:sz w:val="20"/>
                    </w:rPr>
                  </w:pPr>
                  <w:r>
                    <w:rPr>
                      <w:rFonts w:hint="eastAsia" w:ascii="仿宋_GB2312" w:hAnsi="仿宋_GB2312" w:eastAsia="仿宋_GB2312" w:cs="仿宋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部门（单位）资产管理是否规范，用以反映和考核部门（单位）资产管理情况。</w:t>
                  </w:r>
                </w:p>
                <w:p>
                  <w:pPr>
                    <w:rPr>
                      <w:rFonts w:hint="eastAsia" w:ascii="仿宋_GB2312" w:hAnsi="仿宋_GB2312" w:eastAsia="仿宋_GB2312" w:cs="仿宋_GB2312"/>
                      <w:sz w:val="15"/>
                    </w:rPr>
                  </w:pPr>
                  <w:r>
                    <w:rPr>
                      <w:rFonts w:hint="eastAsia" w:ascii="仿宋_GB2312" w:hAnsi="仿宋_GB2312" w:eastAsia="仿宋_GB2312" w:cs="仿宋_GB2312"/>
                      <w:sz w:val="15"/>
                    </w:rPr>
                    <w:t>1.新增资产配置按预算执行。</w:t>
                  </w:r>
                </w:p>
                <w:p>
                  <w:pPr>
                    <w:rPr>
                      <w:rFonts w:hint="eastAsia" w:ascii="仿宋_GB2312" w:hAnsi="仿宋_GB2312" w:eastAsia="仿宋_GB2312" w:cs="仿宋_GB2312"/>
                      <w:sz w:val="15"/>
                    </w:rPr>
                  </w:pPr>
                  <w:r>
                    <w:rPr>
                      <w:rFonts w:hint="eastAsia" w:ascii="仿宋_GB2312" w:hAnsi="仿宋_GB2312" w:eastAsia="仿宋_GB2312" w:cs="仿宋_GB2312"/>
                      <w:sz w:val="15"/>
                    </w:rPr>
                    <w:t>2.资产有偿使用、处置按规定程序审批。</w:t>
                  </w:r>
                </w:p>
                <w:p>
                  <w:pPr>
                    <w:rPr>
                      <w:rFonts w:hint="eastAsia" w:ascii="仿宋_GB2312" w:hAnsi="仿宋_GB2312" w:eastAsia="仿宋_GB2312" w:cs="仿宋_GB2312"/>
                      <w:sz w:val="15"/>
                    </w:rPr>
                  </w:pPr>
                  <w:r>
                    <w:rPr>
                      <w:rFonts w:hint="eastAsia" w:ascii="仿宋_GB2312" w:hAnsi="仿宋_GB2312" w:eastAsia="仿宋_GB2312" w:cs="仿宋_GB2312"/>
                      <w:sz w:val="15"/>
                    </w:rPr>
                    <w:t>3.资产收益及时、足额上缴财政。</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全部符合5分，有1项不符扣2分,扣完为止。</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3项全部符合</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3项全部符合</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资金使用合规性</w:t>
                  </w:r>
                </w:p>
                <w:p>
                  <w:pPr>
                    <w:rPr>
                      <w:rFonts w:hint="eastAsia" w:ascii="仿宋_GB2312" w:hAnsi="仿宋_GB2312" w:eastAsia="仿宋_GB2312" w:cs="仿宋_GB2312"/>
                      <w:sz w:val="20"/>
                    </w:rPr>
                  </w:pPr>
                  <w:r>
                    <w:rPr>
                      <w:rFonts w:hint="eastAsia" w:ascii="仿宋_GB2312" w:hAnsi="仿宋_GB2312" w:eastAsia="仿宋_GB2312" w:cs="仿宋_GB2312"/>
                      <w:sz w:val="20"/>
                    </w:rPr>
                    <w:t>（5分）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5</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r>
                    <w:rPr>
                      <w:rFonts w:hint="eastAsia" w:ascii="仿宋_GB2312" w:hAnsi="仿宋_GB2312" w:eastAsia="仿宋_GB2312" w:cs="仿宋_GB2312"/>
                      <w:sz w:val="15"/>
                    </w:rPr>
                    <w:t>部门（单位）使用预算资金是否符合相关的预算财务管理制度的规定，用以反映和考核部门（单位）预算资金的规范运行情况。</w:t>
                  </w:r>
                </w:p>
                <w:p>
                  <w:pPr>
                    <w:rPr>
                      <w:rFonts w:hint="eastAsia" w:ascii="仿宋_GB2312" w:hAnsi="仿宋_GB2312" w:eastAsia="仿宋_GB2312" w:cs="仿宋_GB2312"/>
                      <w:sz w:val="15"/>
                    </w:rPr>
                  </w:pPr>
                  <w:r>
                    <w:rPr>
                      <w:rFonts w:hint="eastAsia" w:ascii="仿宋_GB2312" w:hAnsi="仿宋_GB2312" w:eastAsia="仿宋_GB2312" w:cs="仿宋_GB2312"/>
                      <w:sz w:val="15"/>
                    </w:rPr>
                    <w:t>1.符合国家财经法规和财务管理制度规定以及有关专项资金管理办法的规定；</w:t>
                  </w:r>
                </w:p>
                <w:p>
                  <w:pPr>
                    <w:rPr>
                      <w:rFonts w:hint="eastAsia" w:ascii="仿宋_GB2312" w:hAnsi="仿宋_GB2312" w:eastAsia="仿宋_GB2312" w:cs="仿宋_GB2312"/>
                      <w:sz w:val="15"/>
                    </w:rPr>
                  </w:pPr>
                  <w:r>
                    <w:rPr>
                      <w:rFonts w:hint="eastAsia" w:ascii="仿宋_GB2312" w:hAnsi="仿宋_GB2312" w:eastAsia="仿宋_GB2312" w:cs="仿宋_GB2312"/>
                      <w:sz w:val="15"/>
                    </w:rPr>
                    <w:t>2.资金的拨付有完整的审批程序和手续；</w:t>
                  </w:r>
                </w:p>
                <w:p>
                  <w:pPr>
                    <w:rPr>
                      <w:rFonts w:hint="eastAsia" w:ascii="仿宋_GB2312" w:hAnsi="仿宋_GB2312" w:eastAsia="仿宋_GB2312" w:cs="仿宋_GB2312"/>
                      <w:sz w:val="15"/>
                    </w:rPr>
                  </w:pPr>
                  <w:r>
                    <w:rPr>
                      <w:rFonts w:hint="eastAsia" w:ascii="仿宋_GB2312" w:hAnsi="仿宋_GB2312" w:eastAsia="仿宋_GB2312" w:cs="仿宋_GB2312"/>
                      <w:sz w:val="15"/>
                    </w:rPr>
                    <w:t>3.重大项目开支经过评估论证；</w:t>
                  </w:r>
                </w:p>
                <w:p>
                  <w:pPr>
                    <w:rPr>
                      <w:rFonts w:hint="eastAsia" w:ascii="仿宋_GB2312" w:hAnsi="仿宋_GB2312" w:eastAsia="仿宋_GB2312" w:cs="仿宋_GB2312"/>
                      <w:sz w:val="15"/>
                    </w:rPr>
                  </w:pPr>
                  <w:r>
                    <w:rPr>
                      <w:rFonts w:hint="eastAsia" w:ascii="仿宋_GB2312" w:hAnsi="仿宋_GB2312" w:eastAsia="仿宋_GB2312" w:cs="仿宋_GB2312"/>
                      <w:sz w:val="15"/>
                    </w:rPr>
                    <w:t>4.符合部门预算批复的用途；</w:t>
                  </w:r>
                </w:p>
                <w:p>
                  <w:pPr>
                    <w:rPr>
                      <w:rFonts w:hint="eastAsia" w:ascii="仿宋_GB2312" w:hAnsi="仿宋_GB2312" w:eastAsia="仿宋_GB2312" w:cs="仿宋_GB2312"/>
                      <w:sz w:val="15"/>
                    </w:rPr>
                  </w:pPr>
                  <w:r>
                    <w:rPr>
                      <w:rFonts w:hint="eastAsia" w:ascii="仿宋_GB2312" w:hAnsi="仿宋_GB2312" w:eastAsia="仿宋_GB2312" w:cs="仿宋_GB2312"/>
                      <w:sz w:val="15"/>
                    </w:rPr>
                    <w:t>5.不存在截留、挤占、挪用、虚列支出等情况。</w:t>
                  </w:r>
                </w:p>
              </w:tc>
              <w:tc>
                <w:tcPr>
                  <w:tcW w:w="1995" w:type="dxa"/>
                  <w:gridSpan w:val="3"/>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全部符合5分,有1项不符扣2分。</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5项全部符合</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widowControl/>
                    <w:spacing w:line="240" w:lineRule="exact"/>
                    <w:jc w:val="left"/>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5项全部符合</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600" w:type="dxa"/>
                  <w:gridSpan w:val="2"/>
                  <w:vMerge w:val="restart"/>
                  <w:tcBorders>
                    <w:top w:val="single" w:color="auto" w:sz="6" w:space="0"/>
                    <w:left w:val="single" w:color="auto" w:sz="6" w:space="0"/>
                    <w:bottom w:val="single" w:color="auto" w:sz="6" w:space="0"/>
                    <w:right w:val="single" w:color="auto" w:sz="6" w:space="0"/>
                    <w:tl2br w:val="nil"/>
                    <w:tr2bl w:val="nil"/>
                  </w:tcBorders>
                  <w:noWrap/>
                  <w:textDirection w:val="tbRlV"/>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效果</w:t>
                  </w:r>
                </w:p>
              </w:tc>
              <w:tc>
                <w:tcPr>
                  <w:tcW w:w="666" w:type="dxa"/>
                  <w:gridSpan w:val="2"/>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履职尽责（60分）</w:t>
                  </w: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项目产出</w:t>
                  </w:r>
                </w:p>
                <w:p>
                  <w:pPr>
                    <w:rPr>
                      <w:rFonts w:hint="eastAsia" w:ascii="仿宋_GB2312" w:hAnsi="仿宋_GB2312" w:eastAsia="仿宋_GB2312" w:cs="仿宋_GB2312"/>
                      <w:sz w:val="20"/>
                    </w:rPr>
                  </w:pPr>
                  <w:r>
                    <w:rPr>
                      <w:rFonts w:hint="eastAsia" w:ascii="仿宋_GB2312" w:hAnsi="仿宋_GB2312" w:eastAsia="仿宋_GB2312" w:cs="仿宋_GB2312"/>
                      <w:sz w:val="20"/>
                    </w:rPr>
                    <w:t>（40分）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40</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p>
              </w:tc>
              <w:tc>
                <w:tcPr>
                  <w:tcW w:w="1995" w:type="dxa"/>
                  <w:gridSpan w:val="3"/>
                  <w:vMerge w:val="restart"/>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3"/>
                    </w:rPr>
                  </w:pPr>
                  <w:r>
                    <w:rPr>
                      <w:rFonts w:hint="eastAsia" w:ascii="仿宋_GB2312" w:hAnsi="仿宋_GB2312" w:eastAsia="仿宋_GB2312" w:cs="仿宋_GB2312"/>
                      <w:sz w:val="13"/>
                    </w:rPr>
                    <w:t>1.若为定性指标，根据“三档”原则分别按照指标分值的100-80%（含）、80-50%（含）、50-10%来记分；</w:t>
                  </w:r>
                </w:p>
                <w:p>
                  <w:pPr>
                    <w:rPr>
                      <w:rFonts w:hint="eastAsia" w:ascii="仿宋_GB2312" w:hAnsi="仿宋_GB2312" w:eastAsia="仿宋_GB2312" w:cs="仿宋_GB2312"/>
                      <w:sz w:val="13"/>
                    </w:rPr>
                  </w:pPr>
                  <w:r>
                    <w:rPr>
                      <w:rFonts w:hint="eastAsia" w:ascii="仿宋_GB2312" w:hAnsi="仿宋_GB2312" w:eastAsia="仿宋_GB2312" w:cs="仿宋_GB2312"/>
                      <w:sz w:val="13"/>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完成了</w:t>
                  </w:r>
                  <w:r>
                    <w:rPr>
                      <w:rFonts w:hint="eastAsia" w:ascii="仿宋_GB2312" w:hAnsi="仿宋_GB2312" w:eastAsia="仿宋_GB2312" w:cs="仿宋_GB2312"/>
                      <w:color w:val="000000"/>
                      <w:kern w:val="0"/>
                      <w:sz w:val="20"/>
                      <w:szCs w:val="20"/>
                      <w:lang w:val="en-US" w:eastAsia="zh-CN"/>
                    </w:rPr>
                    <w:t>客运站场周边秩序整治经；</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汽修行业铁腕治霾工作</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“散乱污”企业专项整治</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诚信体系建设、大数据及新经济产业建设</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强工业稳增长</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军民融合</w:t>
                  </w:r>
                  <w:r>
                    <w:rPr>
                      <w:rFonts w:hint="eastAsia" w:ascii="仿宋_GB2312" w:hAnsi="仿宋_GB2312" w:eastAsia="仿宋_GB2312" w:cs="仿宋_GB2312"/>
                      <w:sz w:val="20"/>
                      <w:szCs w:val="20"/>
                      <w:lang w:val="en-US" w:eastAsia="zh-CN"/>
                    </w:rPr>
                    <w:t>；</w:t>
                  </w:r>
                </w:p>
                <w:p>
                  <w:pPr>
                    <w:rPr>
                      <w:rFonts w:hint="eastAsia" w:ascii="仿宋_GB2312" w:hAnsi="仿宋_GB2312" w:eastAsia="仿宋_GB2312" w:cs="仿宋_GB2312"/>
                      <w:sz w:val="20"/>
                    </w:rPr>
                  </w:pPr>
                  <w:r>
                    <w:rPr>
                      <w:rFonts w:hint="eastAsia" w:ascii="仿宋_GB2312" w:hAnsi="仿宋_GB2312" w:eastAsia="仿宋_GB2312" w:cs="仿宋_GB2312"/>
                      <w:sz w:val="20"/>
                      <w:szCs w:val="20"/>
                    </w:rPr>
                    <w:t>亲商助企</w:t>
                  </w:r>
                  <w:r>
                    <w:rPr>
                      <w:rFonts w:hint="eastAsia" w:ascii="仿宋_GB2312" w:hAnsi="仿宋_GB2312" w:eastAsia="仿宋_GB2312" w:cs="仿宋_GB2312"/>
                      <w:sz w:val="20"/>
                      <w:szCs w:val="20"/>
                      <w:lang w:val="en-US" w:eastAsia="zh-CN"/>
                    </w:rPr>
                    <w:t>；</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基本达到指标值的90%以上</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4" w:hRule="atLeast"/>
              </w:trPr>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gridSpan w:val="2"/>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66" w:type="dxa"/>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sz w:val="20"/>
                    </w:rPr>
                    <w:t>项目效益</w:t>
                  </w:r>
                </w:p>
                <w:p>
                  <w:pPr>
                    <w:rPr>
                      <w:rFonts w:hint="eastAsia" w:ascii="仿宋_GB2312" w:hAnsi="仿宋_GB2312" w:eastAsia="仿宋_GB2312" w:cs="仿宋_GB2312"/>
                      <w:sz w:val="20"/>
                    </w:rPr>
                  </w:pPr>
                  <w:r>
                    <w:rPr>
                      <w:rFonts w:hint="eastAsia" w:ascii="仿宋_GB2312" w:hAnsi="仿宋_GB2312" w:eastAsia="仿宋_GB2312" w:cs="仿宋_GB2312"/>
                      <w:sz w:val="20"/>
                    </w:rPr>
                    <w:t>（20分）</w:t>
                  </w:r>
                </w:p>
              </w:tc>
              <w:tc>
                <w:tcPr>
                  <w:tcW w:w="417" w:type="dxa"/>
                  <w:tcBorders>
                    <w:top w:val="single" w:color="auto" w:sz="6" w:space="0"/>
                    <w:left w:val="single" w:color="auto" w:sz="6" w:space="0"/>
                    <w:bottom w:val="single" w:color="auto" w:sz="6" w:space="0"/>
                    <w:right w:val="single" w:color="auto" w:sz="6" w:space="0"/>
                    <w:tl2br w:val="nil"/>
                    <w:tr2bl w:val="nil"/>
                  </w:tcBorders>
                  <w:noWrap/>
                  <w:vAlign w:val="center"/>
                </w:tcPr>
                <w:p>
                  <w:pPr>
                    <w:jc w:val="center"/>
                    <w:rPr>
                      <w:rFonts w:hint="eastAsia" w:ascii="仿宋_GB2312" w:hAnsi="仿宋_GB2312" w:eastAsia="仿宋_GB2312" w:cs="仿宋_GB2312"/>
                      <w:sz w:val="20"/>
                    </w:rPr>
                  </w:pPr>
                  <w:r>
                    <w:rPr>
                      <w:rFonts w:hint="eastAsia" w:ascii="仿宋_GB2312" w:hAnsi="仿宋_GB2312" w:eastAsia="仿宋_GB2312" w:cs="仿宋_GB2312"/>
                      <w:sz w:val="20"/>
                    </w:rPr>
                    <w:t>20</w:t>
                  </w:r>
                </w:p>
              </w:tc>
              <w:tc>
                <w:tcPr>
                  <w:tcW w:w="2173" w:type="dxa"/>
                  <w:gridSpan w:val="4"/>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15"/>
                    </w:rPr>
                  </w:pPr>
                </w:p>
              </w:tc>
              <w:tc>
                <w:tcPr>
                  <w:gridSpan w:val="3"/>
                  <w:vMerge w:val="continue"/>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rPr>
                  </w:pPr>
                </w:p>
              </w:tc>
              <w:tc>
                <w:tcPr>
                  <w:tcW w:w="630"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jc w:val="left"/>
                    <w:rPr>
                      <w:rFonts w:hint="eastAsia" w:ascii="仿宋_GB2312" w:hAnsi="仿宋_GB2312" w:eastAsia="仿宋_GB2312" w:cs="仿宋_GB2312"/>
                      <w:color w:val="000000"/>
                      <w:kern w:val="0"/>
                      <w:sz w:val="20"/>
                      <w:szCs w:val="20"/>
                      <w:lang w:val="en-US" w:eastAsia="zh-CN"/>
                    </w:rPr>
                  </w:pPr>
                  <w:r>
                    <w:rPr>
                      <w:rFonts w:hint="eastAsia" w:ascii="仿宋_GB2312" w:hAnsi="仿宋_GB2312" w:eastAsia="仿宋_GB2312" w:cs="仿宋_GB2312"/>
                      <w:color w:val="000000"/>
                      <w:kern w:val="0"/>
                      <w:sz w:val="20"/>
                      <w:szCs w:val="20"/>
                      <w:lang w:val="en-US" w:eastAsia="zh-CN"/>
                    </w:rPr>
                    <w:t>解决了</w:t>
                  </w:r>
                  <w:r>
                    <w:rPr>
                      <w:rFonts w:hint="eastAsia" w:ascii="仿宋_GB2312" w:hAnsi="仿宋_GB2312" w:eastAsia="仿宋_GB2312" w:cs="仿宋_GB2312"/>
                      <w:color w:val="000000"/>
                      <w:kern w:val="0"/>
                      <w:sz w:val="20"/>
                      <w:szCs w:val="20"/>
                      <w:lang w:val="en-US" w:eastAsia="zh-CN"/>
                    </w:rPr>
                    <w:t>客运站场周边秩序整治经；</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汽修行业铁腕治霾工作</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“散乱污”企业专项整治</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诚信体系建设、大数据及新经济产业建设</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强工业稳增长</w:t>
                  </w:r>
                  <w:r>
                    <w:rPr>
                      <w:rFonts w:hint="eastAsia" w:ascii="仿宋_GB2312" w:hAnsi="仿宋_GB2312" w:eastAsia="仿宋_GB2312" w:cs="仿宋_GB2312"/>
                      <w:sz w:val="20"/>
                      <w:szCs w:val="20"/>
                      <w:lang w:val="en-US" w:eastAsia="zh-CN"/>
                    </w:rPr>
                    <w:t>；</w:t>
                  </w:r>
                </w:p>
                <w:p>
                  <w:pPr>
                    <w:jc w:val="left"/>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z w:val="20"/>
                      <w:szCs w:val="20"/>
                    </w:rPr>
                    <w:t>军民融合</w:t>
                  </w:r>
                  <w:r>
                    <w:rPr>
                      <w:rFonts w:hint="eastAsia" w:ascii="仿宋_GB2312" w:hAnsi="仿宋_GB2312" w:eastAsia="仿宋_GB2312" w:cs="仿宋_GB2312"/>
                      <w:sz w:val="20"/>
                      <w:szCs w:val="20"/>
                      <w:lang w:val="en-US" w:eastAsia="zh-CN"/>
                    </w:rPr>
                    <w:t>；</w:t>
                  </w:r>
                </w:p>
                <w:p>
                  <w:pPr>
                    <w:rPr>
                      <w:rFonts w:hint="eastAsia" w:ascii="仿宋_GB2312" w:hAnsi="仿宋_GB2312" w:eastAsia="仿宋_GB2312" w:cs="仿宋_GB2312"/>
                      <w:sz w:val="20"/>
                    </w:rPr>
                  </w:pPr>
                  <w:r>
                    <w:rPr>
                      <w:rFonts w:hint="eastAsia" w:ascii="仿宋_GB2312" w:hAnsi="仿宋_GB2312" w:eastAsia="仿宋_GB2312" w:cs="仿宋_GB2312"/>
                      <w:sz w:val="20"/>
                      <w:szCs w:val="20"/>
                    </w:rPr>
                    <w:t>亲商助企</w:t>
                  </w:r>
                  <w:r>
                    <w:rPr>
                      <w:rFonts w:hint="eastAsia" w:ascii="仿宋_GB2312" w:hAnsi="仿宋_GB2312" w:eastAsia="仿宋_GB2312" w:cs="仿宋_GB2312"/>
                      <w:sz w:val="20"/>
                      <w:szCs w:val="20"/>
                      <w:lang w:val="en-US" w:eastAsia="zh-CN"/>
                    </w:rPr>
                    <w:t>；</w:t>
                  </w:r>
                </w:p>
              </w:tc>
              <w:tc>
                <w:tcPr>
                  <w:tcW w:w="94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rPr>
                  </w:pPr>
                  <w:r>
                    <w:rPr>
                      <w:rFonts w:hint="eastAsia" w:ascii="仿宋_GB2312" w:hAnsi="仿宋_GB2312" w:eastAsia="仿宋_GB2312" w:cs="仿宋_GB2312"/>
                      <w:kern w:val="0"/>
                      <w:sz w:val="20"/>
                      <w:szCs w:val="20"/>
                    </w:rPr>
                    <w:t>基本达到指标值的90%以上</w:t>
                  </w:r>
                </w:p>
              </w:tc>
              <w:tc>
                <w:tcPr>
                  <w:tcW w:w="1155" w:type="dxa"/>
                  <w:gridSpan w:val="2"/>
                  <w:tcBorders>
                    <w:top w:val="single" w:color="auto" w:sz="6" w:space="0"/>
                    <w:left w:val="single" w:color="auto" w:sz="6" w:space="0"/>
                    <w:bottom w:val="single" w:color="auto" w:sz="6" w:space="0"/>
                    <w:right w:val="single" w:color="auto" w:sz="6" w:space="0"/>
                    <w:tl2br w:val="nil"/>
                    <w:tr2bl w:val="nil"/>
                  </w:tcBorders>
                  <w:noWrap/>
                  <w:vAlign w:val="center"/>
                </w:tcPr>
                <w:p>
                  <w:pPr>
                    <w:rPr>
                      <w:rFonts w:hint="eastAsia" w:ascii="仿宋_GB2312" w:hAnsi="仿宋_GB2312" w:eastAsia="仿宋_GB2312" w:cs="仿宋_GB2312"/>
                      <w:sz w:val="20"/>
                      <w:lang w:val="en-US" w:eastAsia="zh-CN"/>
                    </w:rPr>
                  </w:pPr>
                  <w:r>
                    <w:rPr>
                      <w:rFonts w:hint="eastAsia" w:ascii="仿宋_GB2312" w:hAnsi="仿宋_GB2312" w:eastAsia="仿宋_GB2312" w:cs="仿宋_GB2312"/>
                      <w:sz w:val="20"/>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4" w:hRule="atLeast"/>
              </w:trPr>
              <w:tc>
                <w:tcPr>
                  <w:tcW w:w="9247" w:type="dxa"/>
                  <w:gridSpan w:val="19"/>
                  <w:tcBorders>
                    <w:top w:val="nil"/>
                    <w:left w:val="nil"/>
                    <w:bottom w:val="nil"/>
                    <w:right w:val="nil"/>
                    <w:tl2br w:val="nil"/>
                    <w:tr2bl w:val="nil"/>
                  </w:tcBorders>
                  <w:noWrap/>
                </w:tcPr>
                <w:p>
                  <w:pPr>
                    <w:rPr>
                      <w:rFonts w:hint="eastAsia" w:ascii="仿宋_GB2312" w:hAnsi="仿宋_GB2312" w:eastAsia="仿宋_GB2312" w:cs="仿宋_GB2312"/>
                      <w:sz w:val="20"/>
                    </w:rPr>
                  </w:pPr>
                  <w:r>
                    <w:rPr>
                      <w:rFonts w:hint="eastAsia" w:ascii="仿宋_GB2312" w:hAnsi="仿宋_GB2312" w:eastAsia="仿宋_GB2312" w:cs="仿宋_GB2312"/>
                      <w:sz w:val="20"/>
                    </w:rPr>
                    <w:t>备注：</w:t>
                  </w:r>
                </w:p>
                <w:p>
                  <w:pPr>
                    <w:rPr>
                      <w:rFonts w:hint="eastAsia" w:ascii="仿宋_GB2312" w:hAnsi="仿宋_GB2312" w:eastAsia="仿宋_GB2312" w:cs="仿宋_GB2312"/>
                      <w:sz w:val="20"/>
                    </w:rPr>
                  </w:pPr>
                  <w:r>
                    <w:rPr>
                      <w:rFonts w:hint="eastAsia" w:ascii="仿宋_GB2312" w:hAnsi="仿宋_GB2312" w:eastAsia="仿宋_GB2312" w:cs="仿宋_GB2312"/>
                      <w:sz w:val="20"/>
                    </w:rPr>
                    <w:t>1.“项目产出”和“项目效果”直接细化成部门年初绩效目标中的指标，并根据重要程度赋权。</w:t>
                  </w:r>
                </w:p>
                <w:p>
                  <w:pPr>
                    <w:rPr>
                      <w:rFonts w:hint="eastAsia" w:ascii="仿宋_GB2312" w:hAnsi="仿宋_GB2312" w:eastAsia="仿宋_GB2312" w:cs="仿宋_GB2312"/>
                      <w:sz w:val="20"/>
                    </w:rPr>
                  </w:pPr>
                  <w:r>
                    <w:rPr>
                      <w:rFonts w:hint="eastAsia" w:ascii="仿宋_GB2312" w:hAnsi="仿宋_GB2312" w:eastAsia="仿宋_GB2312" w:cs="仿宋_GB2312"/>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pStyle w:val="2"/>
              <w:rPr>
                <w:rFonts w:hint="eastAsia" w:ascii="仿宋_GB2312" w:hAnsi="仿宋_GB2312" w:eastAsia="仿宋_GB2312" w:cs="仿宋_GB2312"/>
              </w:rPr>
            </w:pPr>
          </w:p>
        </w:tc>
      </w:tr>
    </w:tbl>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sz w:val="32"/>
          <w:szCs w:val="40"/>
        </w:rPr>
      </w:pPr>
      <w:r>
        <w:rPr>
          <w:rFonts w:hint="eastAsia" w:ascii="仿宋_GB2312" w:hAnsi="仿宋_GB2312" w:eastAsia="仿宋_GB2312" w:cs="仿宋_GB2312"/>
          <w:color w:val="000000"/>
          <w:kern w:val="0"/>
          <w:sz w:val="44"/>
          <w:szCs w:val="44"/>
        </w:rPr>
        <w:t>第四部分</w:t>
      </w:r>
      <w:r>
        <w:rPr>
          <w:rFonts w:hint="eastAsia" w:ascii="仿宋_GB2312" w:hAnsi="仿宋_GB2312" w:eastAsia="仿宋_GB2312" w:cs="仿宋_GB2312"/>
          <w:color w:val="000000"/>
          <w:kern w:val="0"/>
          <w:sz w:val="44"/>
          <w:szCs w:val="44"/>
        </w:rPr>
        <w:t xml:space="preserve"> </w:t>
      </w:r>
      <w:r>
        <w:rPr>
          <w:rFonts w:hint="eastAsia" w:ascii="仿宋_GB2312" w:hAnsi="仿宋_GB2312" w:eastAsia="仿宋_GB2312" w:cs="仿宋_GB2312"/>
          <w:color w:val="000000"/>
          <w:kern w:val="0"/>
          <w:sz w:val="44"/>
          <w:szCs w:val="44"/>
        </w:rPr>
        <w:t>专业名词解释</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rPr>
        <w:t>基本支出</w:t>
      </w:r>
      <w:r>
        <w:rPr>
          <w:rFonts w:hint="eastAsia" w:ascii="仿宋_GB2312" w:hAnsi="仿宋_GB2312" w:eastAsia="仿宋_GB2312" w:cs="仿宋_GB2312"/>
          <w:sz w:val="32"/>
          <w:szCs w:val="32"/>
        </w:rPr>
        <w:t>：指</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rPr>
        <w:t>保障机构正常运</w:t>
      </w:r>
      <w:r>
        <w:rPr>
          <w:rFonts w:hint="eastAsia" w:ascii="仿宋_GB2312" w:hAnsi="仿宋_GB2312" w:eastAsia="仿宋_GB2312" w:cs="仿宋_GB2312"/>
          <w:sz w:val="32"/>
          <w:szCs w:val="32"/>
        </w:rPr>
        <w:t>转</w:t>
      </w:r>
      <w:r>
        <w:rPr>
          <w:rFonts w:hint="eastAsia" w:ascii="仿宋_GB2312" w:hAnsi="仿宋_GB2312" w:eastAsia="仿宋_GB2312" w:cs="仿宋_GB2312"/>
          <w:sz w:val="32"/>
          <w:szCs w:val="32"/>
        </w:rPr>
        <w:t>、完成日常工作任</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而</w:t>
      </w:r>
      <w:r>
        <w:rPr>
          <w:rFonts w:hint="eastAsia" w:ascii="仿宋_GB2312" w:hAnsi="仿宋_GB2312" w:eastAsia="仿宋_GB2312" w:cs="仿宋_GB2312"/>
          <w:sz w:val="32"/>
          <w:szCs w:val="32"/>
        </w:rPr>
        <w:t>发</w:t>
      </w:r>
      <w:r>
        <w:rPr>
          <w:rFonts w:hint="eastAsia" w:ascii="仿宋_GB2312" w:hAnsi="仿宋_GB2312" w:eastAsia="仿宋_GB2312" w:cs="仿宋_GB2312"/>
          <w:sz w:val="32"/>
          <w:szCs w:val="32"/>
        </w:rPr>
        <w:t>生的各</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rPr>
        <w:t>支出。</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rPr>
        <w:t>项</w:t>
      </w:r>
      <w:r>
        <w:rPr>
          <w:rFonts w:hint="eastAsia" w:ascii="仿宋_GB2312" w:hAnsi="仿宋_GB2312" w:eastAsia="仿宋_GB2312" w:cs="仿宋_GB2312"/>
          <w:b/>
          <w:bCs/>
          <w:sz w:val="32"/>
          <w:szCs w:val="32"/>
        </w:rPr>
        <w:t>目支出</w:t>
      </w:r>
      <w:r>
        <w:rPr>
          <w:rFonts w:hint="eastAsia" w:ascii="仿宋_GB2312" w:hAnsi="仿宋_GB2312" w:eastAsia="仿宋_GB2312" w:cs="仿宋_GB2312"/>
          <w:sz w:val="32"/>
          <w:szCs w:val="32"/>
        </w:rPr>
        <w:t>：指</w:t>
      </w:r>
      <w:r>
        <w:rPr>
          <w:rFonts w:hint="eastAsia" w:ascii="仿宋_GB2312" w:hAnsi="仿宋_GB2312" w:eastAsia="仿宋_GB2312" w:cs="仿宋_GB2312"/>
          <w:sz w:val="32"/>
          <w:szCs w:val="32"/>
        </w:rPr>
        <w:t>单</w:t>
      </w:r>
      <w:r>
        <w:rPr>
          <w:rFonts w:hint="eastAsia" w:ascii="仿宋_GB2312" w:hAnsi="仿宋_GB2312" w:eastAsia="仿宋_GB2312" w:cs="仿宋_GB2312"/>
          <w:sz w:val="32"/>
          <w:szCs w:val="32"/>
        </w:rPr>
        <w:t>位</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rPr>
        <w:t>完成特定的行政工作任</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或事</w:t>
      </w:r>
      <w:r>
        <w:rPr>
          <w:rFonts w:hint="eastAsia" w:ascii="仿宋_GB2312" w:hAnsi="仿宋_GB2312" w:eastAsia="仿宋_GB2312" w:cs="仿宋_GB2312"/>
          <w:sz w:val="32"/>
          <w:szCs w:val="32"/>
        </w:rPr>
        <w:t>业发</w:t>
      </w:r>
      <w:r>
        <w:rPr>
          <w:rFonts w:hint="eastAsia" w:ascii="仿宋_GB2312" w:hAnsi="仿宋_GB2312" w:eastAsia="仿宋_GB2312" w:cs="仿宋_GB2312"/>
          <w:sz w:val="32"/>
          <w:szCs w:val="32"/>
        </w:rPr>
        <w:t>展目</w:t>
      </w:r>
      <w:r>
        <w:rPr>
          <w:rFonts w:hint="eastAsia" w:ascii="仿宋_GB2312" w:hAnsi="仿宋_GB2312" w:eastAsia="仿宋_GB2312" w:cs="仿宋_GB2312"/>
          <w:sz w:val="32"/>
          <w:szCs w:val="32"/>
        </w:rPr>
        <w:t>标</w:t>
      </w:r>
      <w:r>
        <w:rPr>
          <w:rFonts w:hint="eastAsia" w:ascii="仿宋_GB2312" w:hAnsi="仿宋_GB2312" w:eastAsia="仿宋_GB2312" w:cs="仿宋_GB2312"/>
          <w:sz w:val="32"/>
          <w:szCs w:val="32"/>
        </w:rPr>
        <w:t>所</w:t>
      </w:r>
      <w:r>
        <w:rPr>
          <w:rFonts w:hint="eastAsia" w:ascii="仿宋_GB2312" w:hAnsi="仿宋_GB2312" w:eastAsia="仿宋_GB2312" w:cs="仿宋_GB2312"/>
          <w:sz w:val="32"/>
          <w:szCs w:val="32"/>
        </w:rPr>
        <w:t>发</w:t>
      </w:r>
      <w:r>
        <w:rPr>
          <w:rFonts w:hint="eastAsia" w:ascii="仿宋_GB2312" w:hAnsi="仿宋_GB2312" w:eastAsia="仿宋_GB2312" w:cs="仿宋_GB2312"/>
          <w:sz w:val="32"/>
          <w:szCs w:val="32"/>
        </w:rPr>
        <w:t>生的各</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rPr>
        <w:t>支出。</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rPr>
        <w:t>三公</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rPr>
        <w:t>经费</w:t>
      </w:r>
      <w:r>
        <w:rPr>
          <w:rFonts w:hint="eastAsia" w:ascii="仿宋_GB2312" w:hAnsi="仿宋_GB2312" w:eastAsia="仿宋_GB2312" w:cs="仿宋_GB2312"/>
          <w:sz w:val="32"/>
          <w:szCs w:val="32"/>
        </w:rPr>
        <w:t>：指部</w:t>
      </w:r>
      <w:r>
        <w:rPr>
          <w:rFonts w:hint="eastAsia" w:ascii="仿宋_GB2312" w:hAnsi="仿宋_GB2312" w:eastAsia="仿宋_GB2312" w:cs="仿宋_GB2312"/>
          <w:sz w:val="32"/>
          <w:szCs w:val="32"/>
        </w:rPr>
        <w:t>门</w:t>
      </w:r>
      <w:r>
        <w:rPr>
          <w:rFonts w:hint="eastAsia" w:ascii="仿宋_GB2312" w:hAnsi="仿宋_GB2312" w:eastAsia="仿宋_GB2312" w:cs="仿宋_GB2312"/>
          <w:sz w:val="32"/>
          <w:szCs w:val="32"/>
        </w:rPr>
        <w:t>使用一般公共</w:t>
      </w:r>
      <w:r>
        <w:rPr>
          <w:rFonts w:hint="eastAsia" w:ascii="仿宋_GB2312" w:hAnsi="仿宋_GB2312" w:eastAsia="仿宋_GB2312" w:cs="仿宋_GB2312"/>
          <w:sz w:val="32"/>
          <w:szCs w:val="32"/>
        </w:rPr>
        <w:t>预</w:t>
      </w:r>
      <w:r>
        <w:rPr>
          <w:rFonts w:hint="eastAsia" w:ascii="仿宋_GB2312" w:hAnsi="仿宋_GB2312" w:eastAsia="仿宋_GB2312" w:cs="仿宋_GB2312"/>
          <w:sz w:val="32"/>
          <w:szCs w:val="32"/>
        </w:rPr>
        <w:t>算</w:t>
      </w:r>
      <w:r>
        <w:rPr>
          <w:rFonts w:hint="eastAsia" w:ascii="仿宋_GB2312" w:hAnsi="仿宋_GB2312" w:eastAsia="仿宋_GB2312" w:cs="仿宋_GB2312"/>
          <w:sz w:val="32"/>
          <w:szCs w:val="32"/>
        </w:rPr>
        <w:t>财</w:t>
      </w:r>
      <w:r>
        <w:rPr>
          <w:rFonts w:hint="eastAsia" w:ascii="仿宋_GB2312" w:hAnsi="仿宋_GB2312" w:eastAsia="仿宋_GB2312" w:cs="仿宋_GB2312"/>
          <w:sz w:val="32"/>
          <w:szCs w:val="32"/>
        </w:rPr>
        <w:t>政</w:t>
      </w:r>
      <w:r>
        <w:rPr>
          <w:rFonts w:hint="eastAsia" w:ascii="仿宋_GB2312" w:hAnsi="仿宋_GB2312" w:eastAsia="仿宋_GB2312" w:cs="仿宋_GB2312"/>
          <w:sz w:val="32"/>
          <w:szCs w:val="32"/>
        </w:rPr>
        <w:t>拨</w:t>
      </w:r>
      <w:r>
        <w:rPr>
          <w:rFonts w:hint="eastAsia" w:ascii="仿宋_GB2312" w:hAnsi="仿宋_GB2312" w:eastAsia="仿宋_GB2312" w:cs="仿宋_GB2312"/>
          <w:sz w:val="32"/>
          <w:szCs w:val="32"/>
        </w:rPr>
        <w:t>款安排的因公出国（境）</w:t>
      </w:r>
      <w:r>
        <w:rPr>
          <w:rFonts w:hint="eastAsia" w:ascii="仿宋_GB2312" w:hAnsi="仿宋_GB2312" w:eastAsia="仿宋_GB2312" w:cs="仿宋_GB2312"/>
          <w:sz w:val="32"/>
          <w:szCs w:val="32"/>
        </w:rPr>
        <w:t>费</w:t>
      </w:r>
      <w:r>
        <w:rPr>
          <w:rFonts w:hint="eastAsia" w:ascii="仿宋_GB2312" w:hAnsi="仿宋_GB2312" w:eastAsia="仿宋_GB2312" w:cs="仿宋_GB2312"/>
          <w:sz w:val="32"/>
          <w:szCs w:val="32"/>
        </w:rPr>
        <w:t>、公</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用</w:t>
      </w:r>
      <w:r>
        <w:rPr>
          <w:rFonts w:hint="eastAsia" w:ascii="仿宋_GB2312" w:hAnsi="仿宋_GB2312" w:eastAsia="仿宋_GB2312" w:cs="仿宋_GB2312"/>
          <w:sz w:val="32"/>
          <w:szCs w:val="32"/>
        </w:rPr>
        <w:t>车购</w:t>
      </w:r>
      <w:r>
        <w:rPr>
          <w:rFonts w:hint="eastAsia" w:ascii="仿宋_GB2312" w:hAnsi="仿宋_GB2312" w:eastAsia="仿宋_GB2312" w:cs="仿宋_GB2312"/>
          <w:sz w:val="32"/>
          <w:szCs w:val="32"/>
        </w:rPr>
        <w:t>置及运行</w:t>
      </w:r>
      <w:r>
        <w:rPr>
          <w:rFonts w:hint="eastAsia" w:ascii="仿宋_GB2312" w:hAnsi="仿宋_GB2312" w:eastAsia="仿宋_GB2312" w:cs="仿宋_GB2312"/>
          <w:sz w:val="32"/>
          <w:szCs w:val="32"/>
        </w:rPr>
        <w:t>费</w:t>
      </w:r>
      <w:r>
        <w:rPr>
          <w:rFonts w:hint="eastAsia" w:ascii="仿宋_GB2312" w:hAnsi="仿宋_GB2312" w:eastAsia="仿宋_GB2312" w:cs="仿宋_GB2312"/>
          <w:sz w:val="32"/>
          <w:szCs w:val="32"/>
        </w:rPr>
        <w:t>和公</w:t>
      </w:r>
      <w:r>
        <w:rPr>
          <w:rFonts w:hint="eastAsia" w:ascii="仿宋_GB2312" w:hAnsi="仿宋_GB2312" w:eastAsia="仿宋_GB2312" w:cs="仿宋_GB2312"/>
          <w:sz w:val="32"/>
          <w:szCs w:val="32"/>
        </w:rPr>
        <w:t>务</w:t>
      </w:r>
      <w:r>
        <w:rPr>
          <w:rFonts w:hint="eastAsia" w:ascii="仿宋_GB2312" w:hAnsi="仿宋_GB2312" w:eastAsia="仿宋_GB2312" w:cs="仿宋_GB2312"/>
          <w:sz w:val="32"/>
          <w:szCs w:val="32"/>
        </w:rPr>
        <w:t>接待</w:t>
      </w:r>
      <w:r>
        <w:rPr>
          <w:rFonts w:hint="eastAsia" w:ascii="仿宋_GB2312" w:hAnsi="仿宋_GB2312" w:eastAsia="仿宋_GB2312" w:cs="仿宋_GB2312"/>
          <w:sz w:val="32"/>
          <w:szCs w:val="32"/>
        </w:rPr>
        <w:t>费</w:t>
      </w:r>
      <w:r>
        <w:rPr>
          <w:rFonts w:hint="eastAsia" w:ascii="仿宋_GB2312" w:hAnsi="仿宋_GB2312" w:eastAsia="仿宋_GB2312" w:cs="仿宋_GB2312"/>
          <w:sz w:val="32"/>
          <w:szCs w:val="32"/>
        </w:rPr>
        <w:t>支出。</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rPr>
        <w:t>财</w:t>
      </w:r>
      <w:r>
        <w:rPr>
          <w:rFonts w:hint="eastAsia" w:ascii="仿宋_GB2312" w:hAnsi="仿宋_GB2312" w:eastAsia="仿宋_GB2312" w:cs="仿宋_GB2312"/>
          <w:b/>
          <w:bCs/>
          <w:sz w:val="32"/>
          <w:szCs w:val="32"/>
        </w:rPr>
        <w:t>政</w:t>
      </w:r>
      <w:r>
        <w:rPr>
          <w:rFonts w:hint="eastAsia" w:ascii="仿宋_GB2312" w:hAnsi="仿宋_GB2312" w:eastAsia="仿宋_GB2312" w:cs="仿宋_GB2312"/>
          <w:b/>
          <w:bCs/>
          <w:sz w:val="32"/>
          <w:szCs w:val="32"/>
        </w:rPr>
        <w:t>拨</w:t>
      </w:r>
      <w:r>
        <w:rPr>
          <w:rFonts w:hint="eastAsia" w:ascii="仿宋_GB2312" w:hAnsi="仿宋_GB2312" w:eastAsia="仿宋_GB2312" w:cs="仿宋_GB2312"/>
          <w:b/>
          <w:bCs/>
          <w:sz w:val="32"/>
          <w:szCs w:val="32"/>
        </w:rPr>
        <w:t>款收入</w:t>
      </w:r>
      <w:r>
        <w:rPr>
          <w:rFonts w:hint="eastAsia" w:ascii="仿宋_GB2312" w:hAnsi="仿宋_GB2312" w:eastAsia="仿宋_GB2312" w:cs="仿宋_GB2312"/>
          <w:sz w:val="32"/>
          <w:szCs w:val="32"/>
        </w:rPr>
        <w:t>：指本</w:t>
      </w:r>
      <w:r>
        <w:rPr>
          <w:rFonts w:hint="eastAsia" w:ascii="仿宋_GB2312" w:hAnsi="仿宋_GB2312" w:eastAsia="仿宋_GB2312" w:cs="仿宋_GB2312"/>
          <w:sz w:val="32"/>
          <w:szCs w:val="32"/>
        </w:rPr>
        <w:t>级财</w:t>
      </w:r>
      <w:r>
        <w:rPr>
          <w:rFonts w:hint="eastAsia" w:ascii="仿宋_GB2312" w:hAnsi="仿宋_GB2312" w:eastAsia="仿宋_GB2312" w:cs="仿宋_GB2312"/>
          <w:sz w:val="32"/>
          <w:szCs w:val="32"/>
        </w:rPr>
        <w:t>政当年</w:t>
      </w:r>
      <w:r>
        <w:rPr>
          <w:rFonts w:hint="eastAsia" w:ascii="仿宋_GB2312" w:hAnsi="仿宋_GB2312" w:eastAsia="仿宋_GB2312" w:cs="仿宋_GB2312"/>
          <w:sz w:val="32"/>
          <w:szCs w:val="32"/>
        </w:rPr>
        <w:t>拨</w:t>
      </w:r>
      <w:r>
        <w:rPr>
          <w:rFonts w:hint="eastAsia" w:ascii="仿宋_GB2312" w:hAnsi="仿宋_GB2312" w:eastAsia="仿宋_GB2312" w:cs="仿宋_GB2312"/>
          <w:sz w:val="32"/>
          <w:szCs w:val="32"/>
        </w:rPr>
        <w:t>付的</w:t>
      </w:r>
      <w:r>
        <w:rPr>
          <w:rFonts w:hint="eastAsia" w:ascii="仿宋_GB2312" w:hAnsi="仿宋_GB2312" w:eastAsia="仿宋_GB2312" w:cs="仿宋_GB2312"/>
          <w:sz w:val="32"/>
          <w:szCs w:val="32"/>
        </w:rPr>
        <w:t>资</w:t>
      </w:r>
      <w:r>
        <w:rPr>
          <w:rFonts w:hint="eastAsia" w:ascii="仿宋_GB2312" w:hAnsi="仿宋_GB2312" w:eastAsia="仿宋_GB2312" w:cs="仿宋_GB2312"/>
          <w:sz w:val="32"/>
          <w:szCs w:val="32"/>
        </w:rPr>
        <w:t>金。</w:t>
      </w:r>
    </w:p>
    <w:p>
      <w:pP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jc w:val="cente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p>
      <w:pPr>
        <w:rPr>
          <w:rFonts w:hint="eastAsia" w:ascii="仿宋_GB2312" w:hAnsi="仿宋_GB2312" w:eastAsia="仿宋_GB2312" w:cs="仿宋_GB2312"/>
          <w:color w:val="000000"/>
          <w:kern w:val="0"/>
          <w:sz w:val="44"/>
          <w:szCs w:val="44"/>
        </w:rPr>
      </w:pPr>
    </w:p>
    <w:sectPr>
      <w:footerReference r:id="rId6" w:type="default"/>
      <w:pgSz w:w="11906" w:h="16838"/>
      <w:pgMar w:top="2098" w:right="1474" w:bottom="1984" w:left="1587" w:header="851" w:footer="992"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_GB2312">
    <w:altName w:val="MS Mincho"/>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A00002BF" w:usb1="68C7FCFB" w:usb2="00000010" w:usb3="00000000" w:csb0="4002009F" w:csb1="DFD7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126365" distB="126365" distL="113665" distR="113665" simplePos="0" relativeHeight="251659264" behindDoc="0" locked="0" layoutInCell="1" allowOverlap="1">
              <wp:simplePos x="0" y="0"/>
              <wp:positionH relativeFrom="margin">
                <wp:align>center</wp:align>
              </wp:positionH>
              <wp:positionV relativeFrom="paragraph">
                <wp:posOffset>0</wp:posOffset>
              </wp:positionV>
              <wp:extent cx="9525"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9524" cy="139674"/>
                      </a:xfrm>
                      <a:prstGeom prst="rect">
                        <a:avLst/>
                      </a:prstGeom>
                      <a:noFill/>
                      <a:ln w="9525" cmpd="sng">
                        <a:noFill/>
                        <a:prstDash val="solid"/>
                        <a:miter/>
                      </a:ln>
                    </wps:spPr>
                    <wps:txbx>
                      <w:txbxContent>
                        <w:p>
                          <w:pPr>
                            <w:pStyle w:val="5"/>
                          </w:pP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1pt;width:0.75pt;mso-position-horizontal:center;mso-position-horizontal-relative:margin;mso-wrap-style:none;z-index:251659264;mso-width-relative:page;mso-height-relative:page;" filled="f" stroked="f" coordsize="21600,21600" o:gfxdata="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2ghutAAAAACAQAADwAAAAAAAAABACAAAAAiAAAAZHJzL2Rvd25yZXYueG1sUEsBAhQA&#10;FAAAAAgAh07iQO/tQ5z6AQAA5wMAAA4AAAAAAAAAAQAgAAAAHwEAAGRycy9lMm9Eb2MueG1sUEsF&#10;BgAAAAAGAAYAWQEAAIsFAAAAAA==&#10;">
              <v:fill on="f" focussize="0,0"/>
              <v:stroke on="f" joinstyle="miter"/>
              <v:imagedata o:title=""/>
              <o:lock v:ext="edit" aspectratio="f"/>
              <v:textbox inset="0mm,0mm,0mm,0mm" style="mso-fit-shape-to-text:t;">
                <w:txbxContent>
                  <w:p>
                    <w:pPr>
                      <w:pStyle w:val="5"/>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126365" distB="126365" distL="113665" distR="113665" simplePos="0" relativeHeight="251659264" behindDoc="0" locked="0" layoutInCell="1" allowOverlap="1">
              <wp:simplePos x="0" y="0"/>
              <wp:positionH relativeFrom="margin">
                <wp:posOffset>2433955</wp:posOffset>
              </wp:positionH>
              <wp:positionV relativeFrom="paragraph">
                <wp:posOffset>20955</wp:posOffset>
              </wp:positionV>
              <wp:extent cx="669290" cy="168275"/>
              <wp:effectExtent l="0" t="0" r="0" b="0"/>
              <wp:wrapNone/>
              <wp:docPr id="4" name="文本框 4"/>
              <wp:cNvGraphicFramePr/>
              <a:graphic xmlns:a="http://schemas.openxmlformats.org/drawingml/2006/main">
                <a:graphicData uri="http://schemas.microsoft.com/office/word/2010/wordprocessingShape">
                  <wps:wsp>
                    <wps:cNvSpPr/>
                    <wps:spPr>
                      <a:xfrm>
                        <a:off x="0" y="0"/>
                        <a:ext cx="669289" cy="168275"/>
                      </a:xfrm>
                      <a:prstGeom prst="rect">
                        <a:avLst/>
                      </a:prstGeom>
                      <a:noFill/>
                      <a:ln w="9525" cmpd="sng">
                        <a:noFill/>
                        <a:prstDash val="solid"/>
                        <a:miter/>
                      </a:ln>
                    </wps:spPr>
                    <wps:txbx>
                      <w:txbxContent>
                        <w:p>
                          <w:pPr>
                            <w:pStyle w:val="5"/>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23</w:t>
                          </w:r>
                          <w:r>
                            <w:rPr>
                              <w:rFonts w:ascii="宋体" w:cs="宋体"/>
                              <w:sz w:val="24"/>
                            </w:rPr>
                            <w:fldChar w:fldCharType="end"/>
                          </w:r>
                          <w:r>
                            <w:rPr>
                              <w:rFonts w:ascii="宋体" w:cs="宋体"/>
                              <w:sz w:val="24"/>
                            </w:rPr>
                            <w:t>—</w:t>
                          </w:r>
                        </w:p>
                      </w:txbxContent>
                    </wps:txbx>
                    <wps:bodyPr vert="horz" wrap="square" lIns="0" tIns="0" rIns="0" bIns="0" anchor="t" anchorCtr="0" upright="1">
                      <a:noAutofit/>
                    </wps:bodyPr>
                  </wps:wsp>
                </a:graphicData>
              </a:graphic>
            </wp:anchor>
          </w:drawing>
        </mc:Choice>
        <mc:Fallback>
          <w:pict>
            <v:rect id="文本框 4" o:spid="_x0000_s1026" o:spt="1" style="position:absolute;left:0pt;margin-left:191.65pt;margin-top:1.65pt;height:13.25pt;width:52.7pt;mso-position-horizontal-relative:margin;z-index:251659264;mso-width-relative:page;mso-height-relative:page;" filled="f" stroked="f" coordsize="21600,21600" o:gfxdata="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6zep2QAAAAgBAAAPAAAAAAAAAAEAIAAAACIAAABkcnMvZG93&#10;bnJldi54bWxQSwECFAAUAAAACACHTuJAblK9wP8BAADrAwAADgAAAAAAAAABACAAAAAoAQAAZHJz&#10;L2Uyb0RvYy54bWxQSwUGAAAAAAYABgBZAQAAmQUAAAAA&#10;">
              <v:fill on="f" focussize="0,0"/>
              <v:stroke on="f" joinstyle="miter"/>
              <v:imagedata o:title=""/>
              <o:lock v:ext="edit" aspectratio="f"/>
              <v:textbox inset="0mm,0mm,0mm,0mm">
                <w:txbxContent>
                  <w:p>
                    <w:pPr>
                      <w:pStyle w:val="5"/>
                    </w:pPr>
                    <w:r>
                      <w:rPr>
                        <w:rFonts w:ascii="宋体" w:cs="宋体"/>
                        <w:sz w:val="24"/>
                      </w:rPr>
                      <w:t>—</w:t>
                    </w:r>
                    <w:r>
                      <w:rPr>
                        <w:rFonts w:ascii="宋体" w:cs="宋体"/>
                        <w:sz w:val="24"/>
                      </w:rPr>
                      <w:fldChar w:fldCharType="begin"/>
                    </w:r>
                    <w:r>
                      <w:rPr>
                        <w:rFonts w:ascii="宋体" w:cs="宋体"/>
                        <w:sz w:val="24"/>
                      </w:rPr>
                      <w:instrText xml:space="preserve"> PAGE  \* MERGEFORMAT </w:instrText>
                    </w:r>
                    <w:r>
                      <w:rPr>
                        <w:rFonts w:ascii="宋体" w:cs="宋体"/>
                        <w:sz w:val="24"/>
                      </w:rPr>
                      <w:fldChar w:fldCharType="separate"/>
                    </w:r>
                    <w:r>
                      <w:rPr>
                        <w:rFonts w:ascii="宋体" w:cs="宋体"/>
                        <w:sz w:val="24"/>
                      </w:rPr>
                      <w:t>23</w:t>
                    </w:r>
                    <w:r>
                      <w:rPr>
                        <w:rFonts w:ascii="宋体" w:cs="宋体"/>
                        <w:sz w:val="24"/>
                      </w:rPr>
                      <w:fldChar w:fldCharType="end"/>
                    </w:r>
                    <w:r>
                      <w:rPr>
                        <w:rFonts w:ascii="宋体" w:cs="宋体"/>
                        <w:sz w:val="24"/>
                      </w:rPr>
                      <w:t>—</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B2CF31"/>
    <w:multiLevelType w:val="singleLevel"/>
    <w:tmpl w:val="EDB2CF31"/>
    <w:lvl w:ilvl="0" w:tentative="0">
      <w:start w:val="2"/>
      <w:numFmt w:val="decimal"/>
      <w:lvlText w:val="%1."/>
      <w:lvlJc w:val="left"/>
      <w:pPr>
        <w:tabs>
          <w:tab w:val="left" w:pos="312"/>
        </w:tabs>
      </w:pPr>
    </w:lvl>
  </w:abstractNum>
  <w:abstractNum w:abstractNumId="1">
    <w:nsid w:val="1A03E74E"/>
    <w:multiLevelType w:val="singleLevel"/>
    <w:tmpl w:val="1A03E74E"/>
    <w:lvl w:ilvl="0" w:tentative="0">
      <w:start w:val="1"/>
      <w:numFmt w:val="chineseCounting"/>
      <w:suff w:val="nothing"/>
      <w:lvlText w:val="（%1）"/>
      <w:lvlJc w:val="left"/>
      <w:rPr>
        <w:rFonts w:hint="eastAsia"/>
      </w:rPr>
    </w:lvl>
  </w:abstractNum>
  <w:abstractNum w:abstractNumId="2">
    <w:nsid w:val="35ABB6AC"/>
    <w:multiLevelType w:val="singleLevel"/>
    <w:tmpl w:val="35ABB6AC"/>
    <w:lvl w:ilvl="0" w:tentative="0">
      <w:start w:val="7"/>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31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ulTrailSpace/>
    <w:doNotExpandShiftReturn/>
    <w:adjustLineHeightInTable/>
    <w:doNotWrapTextWithPunct/>
    <w:doNotUseEastAsianBreakRules/>
    <w:growAutofit/>
    <w:useFELayout/>
    <w:doNotUseIndentAsNumberingTabStop/>
    <w:useAltKinsokuLineBreakRules/>
    <w:splitPgBreakAndParaMark/>
    <w:compatSetting w:name="compatibilityMode" w:uri="http://schemas.microsoft.com/office/word" w:val="14"/>
  </w:compat>
  <w:docVars>
    <w:docVar w:name="commondata" w:val="eyJoZGlkIjoiYWJmNTAxYTA0NTllZTU0OWY5NWY0MWNlMzBjNGU2OTYifQ=="/>
  </w:docVars>
  <w:rsids>
    <w:rsidRoot w:val="00000000"/>
    <w:rsid w:val="0079601F"/>
    <w:rsid w:val="00CA6BE0"/>
    <w:rsid w:val="037D11C6"/>
    <w:rsid w:val="04136E9B"/>
    <w:rsid w:val="08A95371"/>
    <w:rsid w:val="0BD43E83"/>
    <w:rsid w:val="0EE42FA5"/>
    <w:rsid w:val="127A4D16"/>
    <w:rsid w:val="13B53200"/>
    <w:rsid w:val="167B4ADC"/>
    <w:rsid w:val="177B0B4D"/>
    <w:rsid w:val="1ED90976"/>
    <w:rsid w:val="1F0D3ECD"/>
    <w:rsid w:val="2D324ED9"/>
    <w:rsid w:val="308A0A71"/>
    <w:rsid w:val="34625B80"/>
    <w:rsid w:val="353B0190"/>
    <w:rsid w:val="35B156B0"/>
    <w:rsid w:val="3CEB3204"/>
    <w:rsid w:val="3FB83E7C"/>
    <w:rsid w:val="429C10C8"/>
    <w:rsid w:val="43D06B90"/>
    <w:rsid w:val="44C45256"/>
    <w:rsid w:val="492C5790"/>
    <w:rsid w:val="4BC66D76"/>
    <w:rsid w:val="4D93588D"/>
    <w:rsid w:val="4E062CBE"/>
    <w:rsid w:val="4F1463D3"/>
    <w:rsid w:val="517A0836"/>
    <w:rsid w:val="522610AF"/>
    <w:rsid w:val="56151906"/>
    <w:rsid w:val="589A1416"/>
    <w:rsid w:val="5A7F1F07"/>
    <w:rsid w:val="5D0F0110"/>
    <w:rsid w:val="5DB951F6"/>
    <w:rsid w:val="620E2644"/>
    <w:rsid w:val="64215451"/>
    <w:rsid w:val="6A1A08A9"/>
    <w:rsid w:val="6A9A0FF4"/>
    <w:rsid w:val="6AC46789"/>
    <w:rsid w:val="7159585F"/>
    <w:rsid w:val="751B3603"/>
    <w:rsid w:val="76C67C1A"/>
    <w:rsid w:val="7A4D41E4"/>
    <w:rsid w:val="7A653D93"/>
    <w:rsid w:val="7D470982"/>
    <w:rsid w:val="7DF20E36"/>
    <w:rsid w:val="7E165A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黑体"/>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b/>
      <w:bCs/>
      <w:kern w:val="0"/>
      <w:sz w:val="28"/>
      <w:szCs w:val="28"/>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Balloon Text"/>
    <w:basedOn w:val="1"/>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annotation subject"/>
    <w:basedOn w:val="3"/>
    <w:next w:val="3"/>
    <w:qFormat/>
    <w:uiPriority w:val="0"/>
    <w:rPr>
      <w:b/>
      <w:bCs/>
    </w:rPr>
  </w:style>
  <w:style w:type="character" w:styleId="11">
    <w:name w:val="annotation reference"/>
    <w:basedOn w:val="10"/>
    <w:qFormat/>
    <w:uiPriority w:val="0"/>
    <w:rPr>
      <w:rFonts w:cs="Times New Roman"/>
      <w:sz w:val="21"/>
      <w:szCs w:val="21"/>
    </w:rPr>
  </w:style>
  <w:style w:type="character" w:customStyle="1" w:styleId="12">
    <w:name w:val="页脚 Char"/>
    <w:link w:val="5"/>
    <w:qFormat/>
    <w:uiPriority w:val="0"/>
    <w:rPr>
      <w:sz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9.xml"/><Relationship Id="rId15" Type="http://schemas.openxmlformats.org/officeDocument/2006/relationships/chart" Target="charts/chart8.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2"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2"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24037;&#20316;&#31807;2"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2"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2"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2.xml"/><Relationship Id="rId1" Type="http://schemas.openxmlformats.org/officeDocument/2006/relationships/oleObject" Target="&#24037;&#20316;&#31807;2" TargetMode="External"/></Relationships>
</file>

<file path=word/charts/_rels/chart7.xml.rels><?xml version="1.0" encoding="UTF-8" standalone="yes"?>
<Relationships xmlns="http://schemas.openxmlformats.org/package/2006/relationships"><Relationship Id="rId5" Type="http://schemas.microsoft.com/office/2011/relationships/chartColorStyle" Target="colors7.xml"/><Relationship Id="rId4" Type="http://schemas.microsoft.com/office/2011/relationships/chartStyle" Target="style7.xml"/><Relationship Id="rId3" Type="http://schemas.openxmlformats.org/officeDocument/2006/relationships/image" Target="../media/image1.png"/><Relationship Id="rId2" Type="http://schemas.openxmlformats.org/officeDocument/2006/relationships/themeOverride" Target="../theme/themeOverride3.xml"/><Relationship Id="rId1" Type="http://schemas.openxmlformats.org/officeDocument/2006/relationships/oleObject" Target="&#24037;&#20316;&#31807;2" TargetMode="External"/></Relationships>
</file>

<file path=word/charts/_rels/chart8.xml.rels><?xml version="1.0" encoding="UTF-8" standalone="yes"?>
<Relationships xmlns="http://schemas.openxmlformats.org/package/2006/relationships"><Relationship Id="rId5" Type="http://schemas.microsoft.com/office/2011/relationships/chartColorStyle" Target="colors8.xml"/><Relationship Id="rId4" Type="http://schemas.microsoft.com/office/2011/relationships/chartStyle" Target="style8.xml"/><Relationship Id="rId3" Type="http://schemas.openxmlformats.org/officeDocument/2006/relationships/image" Target="../media/image1.png"/><Relationship Id="rId2" Type="http://schemas.openxmlformats.org/officeDocument/2006/relationships/themeOverride" Target="../theme/themeOverride4.xml"/><Relationship Id="rId1" Type="http://schemas.openxmlformats.org/officeDocument/2006/relationships/oleObject" Target="&#24037;&#20316;&#31807;2" TargetMode="External"/></Relationships>
</file>

<file path=word/charts/_rels/chart9.xml.rels><?xml version="1.0" encoding="UTF-8" standalone="yes"?>
<Relationships xmlns="http://schemas.openxmlformats.org/package/2006/relationships"><Relationship Id="rId7" Type="http://schemas.openxmlformats.org/officeDocument/2006/relationships/image" Target="../media/image6.png"/><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 Type="http://schemas.openxmlformats.org/officeDocument/2006/relationships/image" Target="../media/image2.png"/><Relationship Id="rId2" Type="http://schemas.openxmlformats.org/officeDocument/2006/relationships/themeOverride" Target="../theme/themeOverride5.xml"/><Relationship Id="rId1" Type="http://schemas.openxmlformats.org/officeDocument/2006/relationships/oleObject" Target="&#24037;&#20316;&#31807;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cap="all" spc="150" baseline="0">
                <a:solidFill>
                  <a:schemeClr val="tx1">
                    <a:lumMod val="50000"/>
                    <a:lumOff val="50000"/>
                  </a:schemeClr>
                </a:solidFill>
                <a:latin typeface="+mn-lt"/>
                <a:ea typeface="+mn-ea"/>
                <a:cs typeface="+mn-cs"/>
              </a:defRPr>
            </a:pPr>
            <a:r>
              <a:t>所属人员情况表</a:t>
            </a:r>
          </a:p>
        </c:rich>
      </c:tx>
      <c:layout/>
      <c:overlay val="0"/>
      <c:spPr>
        <a:noFill/>
        <a:ln>
          <a:noFill/>
        </a:ln>
        <a:effectLst/>
      </c:spPr>
    </c:title>
    <c:autoTitleDeleted val="0"/>
    <c:plotArea>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delete val="1"/>
          </c:dLbls>
          <c:cat>
            <c:strRef>
              <c:f>[工作簿2]Sheet1!$A$1:$C$1</c:f>
              <c:strCache>
                <c:ptCount val="3"/>
                <c:pt idx="0">
                  <c:v>实有人员</c:v>
                </c:pt>
                <c:pt idx="1">
                  <c:v>编制</c:v>
                </c:pt>
                <c:pt idx="2">
                  <c:v>事业编制</c:v>
                </c:pt>
              </c:strCache>
            </c:strRef>
          </c:cat>
          <c:val>
            <c:numRef>
              <c:f>[工作簿2]Sheet1!$A$2:$C$2</c:f>
              <c:numCache>
                <c:formatCode>General</c:formatCode>
                <c:ptCount val="3"/>
                <c:pt idx="0">
                  <c:v>11</c:v>
                </c:pt>
                <c:pt idx="1">
                  <c:v>10</c:v>
                </c:pt>
                <c:pt idx="2">
                  <c:v>1</c:v>
                </c:pt>
              </c:numCache>
            </c:numRef>
          </c:val>
        </c:ser>
        <c:dLbls>
          <c:showLegendKey val="0"/>
          <c:showVal val="0"/>
          <c:showCatName val="0"/>
          <c:showSerName val="0"/>
          <c:showPercent val="0"/>
          <c:showBubbleSize val="0"/>
        </c:dLbls>
        <c:gapWidth val="164"/>
        <c:overlap val="-22"/>
        <c:axId val="371455443"/>
        <c:axId val="995976410"/>
      </c:barChart>
      <c:catAx>
        <c:axId val="371455443"/>
        <c:scaling>
          <c:orientation val="minMax"/>
        </c:scaling>
        <c:delete val="0"/>
        <c:axPos val="b"/>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5976410"/>
        <c:crosses val="autoZero"/>
        <c:auto val="1"/>
        <c:lblAlgn val="ctr"/>
        <c:lblOffset val="100"/>
        <c:noMultiLvlLbl val="0"/>
      </c:catAx>
      <c:valAx>
        <c:axId val="995976410"/>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4554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cap="all" spc="150" baseline="0">
                <a:solidFill>
                  <a:schemeClr val="tx1">
                    <a:lumMod val="50000"/>
                    <a:lumOff val="50000"/>
                  </a:schemeClr>
                </a:solidFill>
                <a:latin typeface="+mn-lt"/>
                <a:ea typeface="+mn-ea"/>
                <a:cs typeface="+mn-cs"/>
              </a:defRPr>
            </a:pPr>
            <a:r>
              <a:t>交通运输综合执法支队莲湖大队人员情况表</a:t>
            </a:r>
          </a:p>
        </c:rich>
      </c:tx>
      <c:layout/>
      <c:overlay val="0"/>
      <c:spPr>
        <a:noFill/>
        <a:ln>
          <a:noFill/>
        </a:ln>
        <a:effectLst/>
      </c:spPr>
    </c:title>
    <c:autoTitleDeleted val="0"/>
    <c:plotArea>
      <c:layout>
        <c:manualLayout>
          <c:layoutTarget val="inner"/>
          <c:xMode val="edge"/>
          <c:yMode val="edge"/>
          <c:x val="0.0524444444444444"/>
          <c:y val="0.191666666666667"/>
          <c:w val="0.907277777777778"/>
          <c:h val="0.689907407407407"/>
        </c:manualLayout>
      </c:layout>
      <c:barChart>
        <c:barDir val="col"/>
        <c:grouping val="clustered"/>
        <c:varyColors val="0"/>
        <c:ser>
          <c:idx val="0"/>
          <c:order val="0"/>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delete val="1"/>
          </c:dLbls>
          <c:cat>
            <c:strRef>
              <c:f>[工作簿2]Sheet1!$A$1:$C$1</c:f>
              <c:strCache>
                <c:ptCount val="3"/>
                <c:pt idx="0">
                  <c:v>退休人员</c:v>
                </c:pt>
                <c:pt idx="2">
                  <c:v>事业编制</c:v>
                </c:pt>
              </c:strCache>
            </c:strRef>
          </c:cat>
          <c:val>
            <c:numRef>
              <c:f>[工作簿2]Sheet1!$A$2:$C$2</c:f>
              <c:numCache>
                <c:formatCode>General</c:formatCode>
                <c:ptCount val="3"/>
                <c:pt idx="0">
                  <c:v>24</c:v>
                </c:pt>
                <c:pt idx="2">
                  <c:v>25</c:v>
                </c:pt>
              </c:numCache>
            </c:numRef>
          </c:val>
        </c:ser>
        <c:dLbls>
          <c:showLegendKey val="0"/>
          <c:showVal val="0"/>
          <c:showCatName val="0"/>
          <c:showSerName val="0"/>
          <c:showPercent val="0"/>
          <c:showBubbleSize val="0"/>
        </c:dLbls>
        <c:gapWidth val="164"/>
        <c:overlap val="-22"/>
        <c:axId val="371455443"/>
        <c:axId val="995976410"/>
      </c:barChart>
      <c:catAx>
        <c:axId val="371455443"/>
        <c:scaling>
          <c:orientation val="minMax"/>
        </c:scaling>
        <c:delete val="0"/>
        <c:axPos val="b"/>
        <c:majorTickMark val="none"/>
        <c:minorTickMark val="none"/>
        <c:tickLblPos val="nextTo"/>
        <c:spPr>
          <a:noFill/>
          <a:ln w="19050" cap="flat" cmpd="sng" algn="ctr">
            <a:solidFill>
              <a:schemeClr val="tx1">
                <a:lumMod val="25000"/>
                <a:lumOff val="7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5976410"/>
        <c:crosses val="autoZero"/>
        <c:auto val="1"/>
        <c:lblAlgn val="ctr"/>
        <c:lblOffset val="100"/>
        <c:noMultiLvlLbl val="0"/>
      </c:catAx>
      <c:valAx>
        <c:axId val="995976410"/>
        <c:scaling>
          <c:orientation val="minMax"/>
        </c:scaling>
        <c:delete val="0"/>
        <c:axPos val="l"/>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45544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年收入、支出数据</a:t>
            </a:r>
            <a:endParaRPr lang="en-US" altLang="zh-CN"/>
          </a:p>
        </c:rich>
      </c:tx>
      <c:layout/>
      <c:overlay val="0"/>
      <c:spPr>
        <a:noFill/>
        <a:ln>
          <a:noFill/>
        </a:ln>
        <a:effectLst/>
      </c:spPr>
    </c:title>
    <c:autoTitleDeleted val="0"/>
    <c:plotArea>
      <c:layout/>
      <c:barChart>
        <c:barDir val="col"/>
        <c:grouping val="stacked"/>
        <c:varyColors val="0"/>
        <c:ser>
          <c:idx val="0"/>
          <c:order val="0"/>
          <c:spPr>
            <a:solidFill>
              <a:srgbClr val="019199"/>
            </a:solidFill>
            <a:ln w="25400">
              <a:solidFill>
                <a:schemeClr val="bg1"/>
              </a:solidFill>
            </a:ln>
            <a:effectLst/>
          </c:spPr>
          <c:invertIfNegative val="0"/>
          <c:dLbls>
            <c:delete val="1"/>
          </c:dLbls>
          <c:cat>
            <c:strRef>
              <c:f>[工作簿2]Sheet1!$A$22:$D$22</c:f>
              <c:strCache>
                <c:ptCount val="4"/>
                <c:pt idx="0">
                  <c:v>2019年度收入</c:v>
                </c:pt>
                <c:pt idx="1">
                  <c:v>2020年度收入</c:v>
                </c:pt>
                <c:pt idx="2">
                  <c:v>2019年度支出</c:v>
                </c:pt>
                <c:pt idx="3">
                  <c:v>2020年度支出</c:v>
                </c:pt>
              </c:strCache>
            </c:strRef>
          </c:cat>
          <c:val>
            <c:numRef>
              <c:f>[工作簿2]Sheet1!$A$23:$D$23</c:f>
              <c:numCache>
                <c:formatCode>General</c:formatCode>
                <c:ptCount val="4"/>
                <c:pt idx="0">
                  <c:v>710.28</c:v>
                </c:pt>
                <c:pt idx="1">
                  <c:v>225.51</c:v>
                </c:pt>
                <c:pt idx="2">
                  <c:v>710.28</c:v>
                </c:pt>
                <c:pt idx="3">
                  <c:v>224.46</c:v>
                </c:pt>
              </c:numCache>
            </c:numRef>
          </c:val>
        </c:ser>
        <c:dLbls>
          <c:showLegendKey val="0"/>
          <c:showVal val="0"/>
          <c:showCatName val="0"/>
          <c:showSerName val="0"/>
          <c:showPercent val="0"/>
          <c:showBubbleSize val="0"/>
        </c:dLbls>
        <c:gapWidth val="100"/>
        <c:overlap val="100"/>
        <c:axId val="313527855"/>
        <c:axId val="63390293"/>
      </c:barChart>
      <c:catAx>
        <c:axId val="313527855"/>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63390293"/>
        <c:crosses val="autoZero"/>
        <c:auto val="1"/>
        <c:lblAlgn val="ctr"/>
        <c:lblOffset val="100"/>
        <c:noMultiLvlLbl val="0"/>
      </c:catAx>
      <c:valAx>
        <c:axId val="63390293"/>
        <c:scaling>
          <c:orientation val="minMax"/>
        </c:scaling>
        <c:delete val="0"/>
        <c:axPos val="l"/>
        <c:majorGridlines>
          <c:spPr>
            <a:ln w="9525" cap="flat" cmpd="sng" algn="ctr">
              <a:solidFill>
                <a:sysClr val="windowText" lastClr="000000">
                  <a:lumMod val="25000"/>
                  <a:lumOff val="75000"/>
                  <a:alpha val="30000"/>
                </a:sys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31352785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[工作簿2]Sheet1!$A$40:$B$40</c:f>
              <c:strCache>
                <c:ptCount val="2"/>
                <c:pt idx="0">
                  <c:v>财政拨款收入（万元）</c:v>
                </c:pt>
                <c:pt idx="1">
                  <c:v>其他收入（万元）</c:v>
                </c:pt>
              </c:strCache>
            </c:strRef>
          </c:cat>
          <c:val>
            <c:numRef>
              <c:f>[工作簿2]Sheet1!$A$41:$B$41</c:f>
              <c:numCache>
                <c:formatCode>General</c:formatCode>
                <c:ptCount val="2"/>
                <c:pt idx="0">
                  <c:v>224.01</c:v>
                </c:pt>
                <c:pt idx="1">
                  <c:v>1.5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[工作簿2]Sheet1!$A$40:$B$40</c:f>
              <c:strCache>
                <c:ptCount val="2"/>
                <c:pt idx="0">
                  <c:v>财政拨款支出（万元）</c:v>
                </c:pt>
                <c:pt idx="1">
                  <c:v>项目支出（万元）</c:v>
                </c:pt>
              </c:strCache>
            </c:strRef>
          </c:cat>
          <c:val>
            <c:numRef>
              <c:f>[工作簿2]Sheet1!$A$41:$B$41</c:f>
              <c:numCache>
                <c:formatCode>General</c:formatCode>
                <c:ptCount val="2"/>
                <c:pt idx="0">
                  <c:v>224.46</c:v>
                </c:pt>
                <c:pt idx="1">
                  <c:v>20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75000"/>
                    <a:lumOff val="25000"/>
                  </a:schemeClr>
                </a:solidFill>
                <a:latin typeface="微软雅黑" panose="020B0503020204020204" charset="-122"/>
                <a:ea typeface="微软雅黑" panose="020B0503020204020204" charset="-122"/>
                <a:cs typeface="+mn-cs"/>
              </a:defRPr>
            </a:pPr>
            <a:r>
              <a:rPr lang="en-US" altLang="zh-CN"/>
              <a:t>2019-2020</a:t>
            </a:r>
            <a:r>
              <a:rPr altLang="en-US"/>
              <a:t>财政拨款收入</a:t>
            </a:r>
            <a:endParaRPr lang="en-US" altLang="zh-CN"/>
          </a:p>
        </c:rich>
      </c:tx>
      <c:layout>
        <c:manualLayout>
          <c:xMode val="edge"/>
          <c:yMode val="edge"/>
          <c:x val="0.306170674682699"/>
          <c:y val="0.0290241164093751"/>
        </c:manualLayout>
      </c:layout>
      <c:overlay val="0"/>
      <c:spPr>
        <a:noFill/>
        <a:ln>
          <a:noFill/>
        </a:ln>
        <a:effectLst/>
      </c:spPr>
    </c:title>
    <c:autoTitleDeleted val="0"/>
    <c:plotArea>
      <c:layout>
        <c:manualLayout>
          <c:layoutTarget val="inner"/>
          <c:xMode val="edge"/>
          <c:yMode val="edge"/>
          <c:x val="0.0873748906386702"/>
          <c:y val="0.174131111111111"/>
          <c:w val="0.882069553805774"/>
          <c:h val="0.692801481481482"/>
        </c:manualLayout>
      </c:layout>
      <c:barChart>
        <c:barDir val="col"/>
        <c:grouping val="clustered"/>
        <c:varyColors val="0"/>
        <c:ser>
          <c:idx val="0"/>
          <c:order val="0"/>
          <c:spPr>
            <a:pattFill prst="dkDnDiag">
              <a:fgClr>
                <a:srgbClr val="2CB288"/>
              </a:fgClr>
              <a:bgClr>
                <a:schemeClr val="bg1"/>
              </a:bgClr>
            </a:pattFill>
            <a:ln>
              <a:noFill/>
            </a:ln>
            <a:effectLst/>
          </c:spPr>
          <c:invertIfNegative val="0"/>
          <c:dLbls>
            <c:delete val="1"/>
          </c:dLbls>
          <c:cat>
            <c:strRef>
              <c:f>[工作簿2]Sheet1!$A$22:$B$22</c:f>
              <c:strCache>
                <c:ptCount val="2"/>
                <c:pt idx="0">
                  <c:v>2019年度收入</c:v>
                </c:pt>
                <c:pt idx="1">
                  <c:v>2020年度收入</c:v>
                </c:pt>
              </c:strCache>
            </c:strRef>
          </c:cat>
          <c:val>
            <c:numRef>
              <c:f>[工作簿2]Sheet1!$A$23:$B$23</c:f>
              <c:numCache>
                <c:formatCode>General</c:formatCode>
                <c:ptCount val="2"/>
                <c:pt idx="0">
                  <c:v>710.28</c:v>
                </c:pt>
                <c:pt idx="1">
                  <c:v>225.51</c:v>
                </c:pt>
              </c:numCache>
            </c:numRef>
          </c:val>
        </c:ser>
        <c:dLbls>
          <c:showLegendKey val="0"/>
          <c:showVal val="0"/>
          <c:showCatName val="0"/>
          <c:showSerName val="0"/>
          <c:showPercent val="0"/>
          <c:showBubbleSize val="0"/>
        </c:dLbls>
        <c:gapWidth val="219"/>
        <c:axId val="975430327"/>
        <c:axId val="206480511"/>
      </c:barChart>
      <c:catAx>
        <c:axId val="9754303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206480511"/>
        <c:crosses val="autoZero"/>
        <c:auto val="1"/>
        <c:lblAlgn val="ctr"/>
        <c:lblOffset val="100"/>
        <c:noMultiLvlLbl val="0"/>
      </c:catAx>
      <c:valAx>
        <c:axId val="206480511"/>
        <c:scaling>
          <c:orientation val="minMax"/>
        </c:scaling>
        <c:delete val="0"/>
        <c:axPos val="l"/>
        <c:numFmt formatCode="General" sourceLinked="1"/>
        <c:majorTickMark val="none"/>
        <c:minorTickMark val="none"/>
        <c:tickLblPos val="nextTo"/>
        <c:spPr>
          <a:noFill/>
          <a:ln>
            <a:solidFill>
              <a:schemeClr val="bg1">
                <a:lumMod val="85000"/>
              </a:schemeClr>
            </a:solidFill>
          </a:ln>
          <a:effectLst/>
        </c:spPr>
        <c:txPr>
          <a:bodyPr rot="-60000000" spcFirstLastPara="0" vertOverflow="ellipsis" vert="horz" wrap="square" anchor="ctr" anchorCtr="1" forceAA="0"/>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mn-cs"/>
              </a:defRPr>
            </a:pPr>
          </a:p>
        </c:txPr>
        <c:crossAx val="975430327"/>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chemeClr val="bg1">
          <a:lumMod val="9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财政拨款支出</a:t>
            </a:r>
            <a:endParaRPr lang="en-US" altLang="zh-CN"/>
          </a:p>
        </c:rich>
      </c:tx>
      <c:layout/>
      <c:overlay val="0"/>
      <c:spPr>
        <a:noFill/>
        <a:ln>
          <a:noFill/>
        </a:ln>
        <a:effectLst/>
      </c:spPr>
    </c:title>
    <c:autoTitleDeleted val="0"/>
    <c:plotArea>
      <c:layout>
        <c:manualLayout>
          <c:layoutTarget val="inner"/>
          <c:xMode val="edge"/>
          <c:yMode val="edge"/>
          <c:x val="0.0466532802084583"/>
          <c:y val="0.24188931029639"/>
          <c:w val="0.902816839154127"/>
          <c:h val="0.65000140469167"/>
        </c:manualLayout>
      </c:layout>
      <c:barChart>
        <c:barDir val="col"/>
        <c:grouping val="stacked"/>
        <c:varyColors val="0"/>
        <c:ser>
          <c:idx val="0"/>
          <c:order val="0"/>
          <c:spPr>
            <a:blipFill dpi="0" rotWithShape="1">
              <a:blip xmlns:r="http://schemas.openxmlformats.org/officeDocument/2006/relationships" r:embed="rId3"/>
              <a:srcRect/>
              <a:stretch>
                <a:fillRect/>
              </a:stretch>
            </a:blip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8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[工作簿2]Sheet1!$A$29:$B$29</c:f>
              <c:strCache>
                <c:ptCount val="2"/>
                <c:pt idx="0">
                  <c:v>2019年度支出</c:v>
                </c:pt>
                <c:pt idx="1">
                  <c:v>2020年度支出</c:v>
                </c:pt>
              </c:strCache>
            </c:strRef>
          </c:cat>
          <c:val>
            <c:numRef>
              <c:f>[工作簿2]Sheet1!$A$30:$B$30</c:f>
              <c:numCache>
                <c:formatCode>General</c:formatCode>
                <c:ptCount val="2"/>
                <c:pt idx="0">
                  <c:v>710.28</c:v>
                </c:pt>
                <c:pt idx="1">
                  <c:v>224.46</c:v>
                </c:pt>
              </c:numCache>
            </c:numRef>
          </c:val>
        </c:ser>
        <c:dLbls>
          <c:showLegendKey val="0"/>
          <c:showVal val="1"/>
          <c:showCatName val="0"/>
          <c:showSerName val="0"/>
          <c:showPercent val="0"/>
          <c:showBubbleSize val="0"/>
        </c:dLbls>
        <c:gapWidth val="100"/>
        <c:overlap val="100"/>
        <c:axId val="833706612"/>
        <c:axId val="788608743"/>
      </c:barChart>
      <c:catAx>
        <c:axId val="833706612"/>
        <c:scaling>
          <c:orientation val="minMax"/>
        </c:scaling>
        <c:delete val="0"/>
        <c:axPos val="b"/>
        <c:numFmt formatCode="General" sourceLinked="1"/>
        <c:majorTickMark val="out"/>
        <c:minorTickMark val="none"/>
        <c:tickLblPos val="nextTo"/>
        <c:spPr>
          <a:noFill/>
          <a:ln w="38100"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88608743"/>
        <c:crosses val="autoZero"/>
        <c:auto val="1"/>
        <c:lblAlgn val="ctr"/>
        <c:lblOffset val="0"/>
        <c:tickMarkSkip val="10"/>
        <c:noMultiLvlLbl val="0"/>
      </c:catAx>
      <c:valAx>
        <c:axId val="7886087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8337066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2019-2020</a:t>
            </a:r>
            <a:r>
              <a:rPr altLang="en-US"/>
              <a:t>财政拨款支出</a:t>
            </a:r>
            <a:endParaRPr lang="en-US" altLang="zh-CN"/>
          </a:p>
        </c:rich>
      </c:tx>
      <c:layout>
        <c:manualLayout>
          <c:xMode val="edge"/>
          <c:yMode val="edge"/>
          <c:x val="0.323219965745045"/>
          <c:y val="0.0409810617820553"/>
        </c:manualLayout>
      </c:layout>
      <c:overlay val="0"/>
      <c:spPr>
        <a:noFill/>
        <a:ln>
          <a:noFill/>
        </a:ln>
        <a:effectLst/>
      </c:spPr>
    </c:title>
    <c:autoTitleDeleted val="0"/>
    <c:plotArea>
      <c:layout>
        <c:manualLayout>
          <c:layoutTarget val="inner"/>
          <c:xMode val="edge"/>
          <c:yMode val="edge"/>
          <c:x val="0.0466532802084583"/>
          <c:y val="0.24188931029639"/>
          <c:w val="0.902816839154127"/>
          <c:h val="0.65000140469167"/>
        </c:manualLayout>
      </c:layout>
      <c:barChart>
        <c:barDir val="col"/>
        <c:grouping val="stacked"/>
        <c:varyColors val="0"/>
        <c:ser>
          <c:idx val="0"/>
          <c:order val="0"/>
          <c:spPr>
            <a:blipFill dpi="0" rotWithShape="1">
              <a:blip xmlns:r="http://schemas.openxmlformats.org/officeDocument/2006/relationships" r:embed="rId3"/>
              <a:srcRect/>
              <a:stretch>
                <a:fillRect/>
              </a:stretch>
            </a:blip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800" b="0" i="0" u="none" strike="noStrike" kern="1200" baseline="0">
                    <a:solidFill>
                      <a:schemeClr val="bg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[工作簿2]Sheet1!$A$29:$B$29</c:f>
              <c:strCache>
                <c:ptCount val="2"/>
                <c:pt idx="0">
                  <c:v>2019年度支出</c:v>
                </c:pt>
                <c:pt idx="1">
                  <c:v>2020年度支出</c:v>
                </c:pt>
              </c:strCache>
            </c:strRef>
          </c:cat>
          <c:val>
            <c:numRef>
              <c:f>[工作簿2]Sheet1!$A$30:$B$30</c:f>
              <c:numCache>
                <c:formatCode>General</c:formatCode>
                <c:ptCount val="2"/>
                <c:pt idx="0">
                  <c:v>710.28</c:v>
                </c:pt>
                <c:pt idx="1">
                  <c:v>224.46</c:v>
                </c:pt>
              </c:numCache>
            </c:numRef>
          </c:val>
        </c:ser>
        <c:dLbls>
          <c:showLegendKey val="0"/>
          <c:showVal val="1"/>
          <c:showCatName val="0"/>
          <c:showSerName val="0"/>
          <c:showPercent val="0"/>
          <c:showBubbleSize val="0"/>
        </c:dLbls>
        <c:gapWidth val="100"/>
        <c:overlap val="100"/>
        <c:axId val="833706612"/>
        <c:axId val="788608743"/>
      </c:barChart>
      <c:catAx>
        <c:axId val="833706612"/>
        <c:scaling>
          <c:orientation val="minMax"/>
        </c:scaling>
        <c:delete val="0"/>
        <c:axPos val="b"/>
        <c:numFmt formatCode="General" sourceLinked="1"/>
        <c:majorTickMark val="out"/>
        <c:minorTickMark val="none"/>
        <c:tickLblPos val="nextTo"/>
        <c:spPr>
          <a:noFill/>
          <a:ln w="38100" cap="flat" cmpd="sng" algn="ctr">
            <a:noFill/>
            <a:prstDash val="solid"/>
            <a:round/>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788608743"/>
        <c:crosses val="autoZero"/>
        <c:auto val="1"/>
        <c:lblAlgn val="ctr"/>
        <c:lblOffset val="0"/>
        <c:tickMarkSkip val="10"/>
        <c:noMultiLvlLbl val="0"/>
      </c:catAx>
      <c:valAx>
        <c:axId val="7886087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forceAA="0"/>
          <a:lstStyle/>
          <a:p>
            <a:pPr>
              <a:defRPr lang="zh-CN" sz="900" b="0" i="0" u="none" strike="noStrike" kern="1200" baseline="0">
                <a:solidFill>
                  <a:schemeClr val="tx1">
                    <a:lumMod val="65000"/>
                    <a:lumOff val="35000"/>
                  </a:schemeClr>
                </a:solidFill>
                <a:latin typeface="+mn-lt"/>
                <a:ea typeface="+mn-ea"/>
                <a:cs typeface="+mn-cs"/>
              </a:defRPr>
            </a:pPr>
          </a:p>
        </c:txPr>
        <c:crossAx val="83370661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r>
              <a:rPr lang="zh-CN" altLang="en-US"/>
              <a:t>三公经费财政拨款支出决算表</a:t>
            </a:r>
            <a:endParaRPr lang="zh-CN" altLang="en-US"/>
          </a:p>
        </c:rich>
      </c:tx>
      <c:layout>
        <c:manualLayout>
          <c:xMode val="edge"/>
          <c:yMode val="edge"/>
          <c:x val="0.0297222222222222"/>
          <c:y val="0.025462962962963"/>
        </c:manualLayout>
      </c:layout>
      <c:overlay val="0"/>
      <c:spPr>
        <a:noFill/>
        <a:ln>
          <a:noFill/>
        </a:ln>
        <a:effectLst/>
      </c:spPr>
    </c:title>
    <c:autoTitleDeleted val="0"/>
    <c:view3D>
      <c:rotX val="50"/>
      <c:rotY val="28"/>
      <c:depthPercent val="100"/>
      <c:rAngAx val="0"/>
    </c:view3D>
    <c:floor>
      <c:thickness val="0"/>
    </c:floor>
    <c:sideWall>
      <c:thickness val="0"/>
    </c:sideWall>
    <c:backWall>
      <c:thickness val="0"/>
    </c:backWall>
    <c:plotArea>
      <c:layout>
        <c:manualLayout>
          <c:layoutTarget val="inner"/>
          <c:xMode val="edge"/>
          <c:yMode val="edge"/>
          <c:x val="0.0868888888888889"/>
          <c:y val="0.234699074074074"/>
          <c:w val="0.826222222222222"/>
          <c:h val="0.675277777777778"/>
        </c:manualLayout>
      </c:layout>
      <c:pie3DChart>
        <c:varyColors val="1"/>
        <c:ser>
          <c:idx val="0"/>
          <c:order val="0"/>
          <c:spPr>
            <a:ln w="9525">
              <a:solidFill>
                <a:schemeClr val="bg1"/>
              </a:solidFill>
            </a:ln>
            <a:scene3d>
              <a:camera prst="orthographicFront"/>
              <a:lightRig rig="threePt" dir="t"/>
            </a:scene3d>
            <a:sp3d contourW="9525"/>
          </c:spPr>
          <c:explosion val="0"/>
          <c:dPt>
            <c:idx val="0"/>
            <c:bubble3D val="0"/>
            <c:spPr>
              <a:blipFill>
                <a:blip xmlns:r="http://schemas.openxmlformats.org/officeDocument/2006/relationships" r:embed="rId3"/>
                <a:stretch>
                  <a:fillRect/>
                </a:stretch>
              </a:blipFill>
              <a:ln w="9525">
                <a:solidFill>
                  <a:schemeClr val="bg1"/>
                </a:solidFill>
              </a:ln>
              <a:effectLst/>
              <a:scene3d>
                <a:camera prst="orthographicFront"/>
                <a:lightRig rig="threePt" dir="t"/>
              </a:scene3d>
              <a:sp3d contourW="9525">
                <a:contourClr>
                  <a:schemeClr val="lt1"/>
                </a:contourClr>
              </a:sp3d>
            </c:spPr>
          </c:dPt>
          <c:dPt>
            <c:idx val="1"/>
            <c:bubble3D val="0"/>
            <c:spPr>
              <a:blipFill>
                <a:blip xmlns:r="http://schemas.openxmlformats.org/officeDocument/2006/relationships" r:embed="rId4"/>
                <a:stretch>
                  <a:fillRect/>
                </a:stretch>
              </a:blipFill>
              <a:ln w="9525">
                <a:solidFill>
                  <a:schemeClr val="bg1"/>
                </a:solidFill>
              </a:ln>
              <a:effectLst/>
              <a:scene3d>
                <a:camera prst="orthographicFront"/>
                <a:lightRig rig="threePt" dir="t"/>
              </a:scene3d>
              <a:sp3d contourW="9525">
                <a:contourClr>
                  <a:schemeClr val="lt1"/>
                </a:contourClr>
              </a:sp3d>
            </c:spPr>
          </c:dPt>
          <c:dPt>
            <c:idx val="2"/>
            <c:bubble3D val="0"/>
            <c:spPr>
              <a:blipFill>
                <a:blip xmlns:r="http://schemas.openxmlformats.org/officeDocument/2006/relationships" r:embed="rId5"/>
                <a:stretch>
                  <a:fillRect/>
                </a:stretch>
              </a:blipFill>
              <a:ln w="9525">
                <a:solidFill>
                  <a:schemeClr val="bg1"/>
                </a:solidFill>
              </a:ln>
              <a:effectLst/>
              <a:scene3d>
                <a:camera prst="orthographicFront"/>
                <a:lightRig rig="threePt" dir="t"/>
              </a:scene3d>
              <a:sp3d contourW="9525">
                <a:contourClr>
                  <a:schemeClr val="lt1"/>
                </a:contourClr>
              </a:sp3d>
            </c:spPr>
          </c:dPt>
          <c:dPt>
            <c:idx val="3"/>
            <c:bubble3D val="0"/>
            <c:spPr>
              <a:blipFill>
                <a:blip xmlns:r="http://schemas.openxmlformats.org/officeDocument/2006/relationships" r:embed="rId6"/>
                <a:stretch>
                  <a:fillRect/>
                </a:stretch>
              </a:blipFill>
              <a:ln w="9525">
                <a:solidFill>
                  <a:schemeClr val="bg1"/>
                </a:solidFill>
              </a:ln>
              <a:effectLst/>
              <a:scene3d>
                <a:camera prst="orthographicFront"/>
                <a:lightRig rig="threePt" dir="t"/>
              </a:scene3d>
              <a:sp3d contourW="9525">
                <a:contourClr>
                  <a:schemeClr val="lt1"/>
                </a:contourClr>
              </a:sp3d>
            </c:spPr>
          </c:dPt>
          <c:dLbls>
            <c:dLbl>
              <c:idx val="0"/>
              <c:layout>
                <c:manualLayout>
                  <c:x val="0.158333333333333"/>
                  <c:y val="0.07407407407407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0555555555555556"/>
                  <c:y val="-0.14583333333333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3"/>
              <c:layout>
                <c:manualLayout>
                  <c:x val="0.166666666666667"/>
                  <c:y val="-0.0324074074074074"/>
                </c:manualLayout>
              </c:layout>
              <c:dLblPos val="bestFit"/>
              <c:showLegendKey val="0"/>
              <c:showVal val="1"/>
              <c:showCatName val="1"/>
              <c:showSerName val="0"/>
              <c:showPercent val="0"/>
              <c:showBubbleSize val="0"/>
              <c:extLst>
                <c:ext xmlns:c15="http://schemas.microsoft.com/office/drawing/2012/chart" uri="{CE6537A1-D6FC-4f65-9D91-7224C49458BB}">
                  <c15:layout>
                    <c:manualLayout>
                      <c:w val="0.198194444444444"/>
                      <c:h val="0.121759259259259"/>
                    </c:manualLayout>
                  </c15:layout>
                </c:ext>
              </c:extLst>
            </c:dLbl>
            <c:numFmt formatCode="General" sourceLinked="1"/>
            <c:spPr>
              <a:noFill/>
              <a:ln>
                <a:noFill/>
              </a:ln>
              <a:effectLst/>
            </c:spPr>
            <c:txPr>
              <a:bodyPr rot="0" spcFirstLastPara="0" vertOverflow="ellipsis" vert="horz" wrap="square" lIns="38100" tIns="19050" rIns="38100" bIns="19050" anchor="ctr" anchorCtr="1" forceAA="0">
                <a:spAutoFit/>
              </a:bodyPr>
              <a:lstStyle/>
              <a:p>
                <a:pPr>
                  <a:defRPr lang="zh-CN" sz="900" b="0" i="0" u="none" strike="noStrike" kern="1200" baseline="0">
                    <a:solidFill>
                      <a:schemeClr val="tx1">
                        <a:lumMod val="75000"/>
                        <a:lumOff val="25000"/>
                      </a:schemeClr>
                    </a:solidFill>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dLblPos val="out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[工作簿2]Sheet1!$A$61:$D$61</c:f>
              <c:strCache>
                <c:ptCount val="4"/>
                <c:pt idx="0">
                  <c:v>因公出国（境）支出</c:v>
                </c:pt>
                <c:pt idx="1">
                  <c:v>公务用车购置费用支出</c:v>
                </c:pt>
                <c:pt idx="2">
                  <c:v>公务用车运行维护费用</c:v>
                </c:pt>
                <c:pt idx="3">
                  <c:v>公务接待费支出</c:v>
                </c:pt>
              </c:strCache>
            </c:strRef>
          </c:cat>
          <c:val>
            <c:numRef>
              <c:f>[工作簿2]Sheet1!$A$62:$D$62</c:f>
              <c:numCache>
                <c:formatCode>General</c:formatCode>
                <c:ptCount val="4"/>
                <c:pt idx="0">
                  <c:v>0</c:v>
                </c:pt>
                <c:pt idx="1">
                  <c:v>0</c:v>
                </c:pt>
                <c:pt idx="2">
                  <c:v>23.34</c:v>
                </c:pt>
                <c:pt idx="3">
                  <c:v>0</c:v>
                </c:pt>
              </c:numCache>
            </c:numRef>
          </c:val>
        </c:ser>
        <c:dLbls>
          <c:showLegendKey val="0"/>
          <c:showVal val="1"/>
          <c:showCatName val="0"/>
          <c:showSerName val="0"/>
          <c:showPercent val="0"/>
          <c:showBubbleSize val="0"/>
        </c:dLbls>
      </c:pie3DChart>
      <c:spPr>
        <a:noFill/>
        <a:ln>
          <a:noFill/>
        </a:ln>
        <a:effectLst/>
      </c:spPr>
    </c:plotArea>
    <c:plotVisOnly val="1"/>
    <c:dispBlanksAs val="gap"/>
    <c:showDLblsOverMax val="0"/>
  </c:chart>
  <c:spPr>
    <a:blipFill>
      <a:blip xmlns:r="http://schemas.openxmlformats.org/officeDocument/2006/relationships" r:embed="rId7"/>
      <a:stretch>
        <a:fillRect/>
      </a:stretch>
    </a:blipFill>
    <a:ln w="9525" cap="flat" cmpd="sng" algn="ctr">
      <a:solidFill>
        <a:schemeClr val="tx1">
          <a:lumMod val="15000"/>
          <a:lumOff val="85000"/>
        </a:schemeClr>
      </a:solidFill>
      <a:prstDash val="solid"/>
      <a:round/>
    </a:ln>
    <a:effectLst>
      <a:outerShdw blurRad="63500" dist="37357" dir="2700000" sx="0" sy="0" rotWithShape="0">
        <a:scrgbClr r="0" g="0" b="0"/>
      </a:outerShdw>
    </a:effectLst>
  </c:spPr>
  <c:txPr>
    <a:bodyPr/>
    <a:lstStyle/>
    <a:p>
      <a:pPr>
        <a:defRPr lang="zh-CN">
          <a:latin typeface="微软雅黑" panose="020B0503020204020204" charset="-122"/>
          <a:ea typeface="微软雅黑" panose="020B0503020204020204" charset="-122"/>
          <a:cs typeface="微软雅黑" panose="020B0503020204020204" charset="-122"/>
          <a:sym typeface="微软雅黑" panose="020B0503020204020204"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27</Pages>
  <Words>7555</Words>
  <Characters>8153</Characters>
  <Lines>2224</Lines>
  <Paragraphs>609</Paragraphs>
  <TotalTime>298</TotalTime>
  <ScaleCrop>false</ScaleCrop>
  <LinksUpToDate>false</LinksUpToDate>
  <CharactersWithSpaces>9877</CharactersWithSpaces>
  <Application>WPS Office_11.1.0.12313_F1E327BC-269C-435d-A152-05C5408002CA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2021-08-24T09:24:00Z</dcterms:created>
  <dc:creator>Administrator</dc:creator>
  <cp:lastModifiedBy>上官雅人</cp:lastModifiedBy>
  <cp:lastPrinted>2021-09-22T03:11:00Z</cp:lastPrinted>
  <dcterms:modified xsi:type="dcterms:W3CDTF">2022-09-02T07:53:18Z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8042B7B7B9A041C8A063D9B4D215074A</vt:lpwstr>
  </property>
</Properties>
</file>